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F26DD" w14:textId="77777777" w:rsidR="00EA5EB4" w:rsidRPr="00EA5EB4" w:rsidRDefault="00BD13B7" w:rsidP="00B81B18">
      <w:pPr>
        <w:rPr>
          <w:sz w:val="2"/>
          <w:szCs w:val="2"/>
        </w:rPr>
        <w:sectPr w:rsidR="00EA5EB4" w:rsidRPr="00EA5EB4" w:rsidSect="00EA5EB4">
          <w:headerReference w:type="default" r:id="rId11"/>
          <w:footerReference w:type="default" r:id="rId12"/>
          <w:headerReference w:type="first" r:id="rId13"/>
          <w:footerReference w:type="first" r:id="rId14"/>
          <w:pgSz w:w="11906" w:h="16838" w:code="9"/>
          <w:pgMar w:top="2268" w:right="1134" w:bottom="1134" w:left="1588" w:header="431" w:footer="567" w:gutter="0"/>
          <w:cols w:space="708"/>
          <w:titlePg/>
          <w:docGrid w:linePitch="360"/>
        </w:sectPr>
      </w:pPr>
      <w:r>
        <w:rPr>
          <w:noProof/>
          <w:lang w:eastAsia="en-GB"/>
        </w:rPr>
        <w:drawing>
          <wp:anchor distT="0" distB="0" distL="114300" distR="114300" simplePos="0" relativeHeight="251659264" behindDoc="0" locked="0" layoutInCell="1" allowOverlap="1" wp14:anchorId="5FEF29E5" wp14:editId="112DA50C">
            <wp:simplePos x="0" y="0"/>
            <wp:positionH relativeFrom="page">
              <wp:posOffset>967740</wp:posOffset>
            </wp:positionH>
            <wp:positionV relativeFrom="page">
              <wp:posOffset>625475</wp:posOffset>
            </wp:positionV>
            <wp:extent cx="3422650" cy="754380"/>
            <wp:effectExtent l="0" t="0" r="6350" b="7620"/>
            <wp:wrapNone/>
            <wp:docPr id="1" name="Picture 1"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RlogoA4col_hi"/>
                    <pic:cNvPicPr>
                      <a:picLocks noChangeAspect="1" noChangeArrowheads="1"/>
                    </pic:cNvPicPr>
                  </pic:nvPicPr>
                  <pic:blipFill>
                    <a:blip r:embed="rId15" cstate="print">
                      <a:biLevel thresh="75000"/>
                      <a:extLst>
                        <a:ext uri="{28A0092B-C50C-407E-A947-70E740481C1C}">
                          <a14:useLocalDpi xmlns:a14="http://schemas.microsoft.com/office/drawing/2010/main" val="0"/>
                        </a:ext>
                      </a:extLst>
                    </a:blip>
                    <a:srcRect l="7504" t="22215" r="7504" b="22215"/>
                    <a:stretch>
                      <a:fillRect/>
                    </a:stretch>
                  </pic:blipFill>
                  <pic:spPr bwMode="auto">
                    <a:xfrm>
                      <a:off x="0" y="0"/>
                      <a:ext cx="3422650" cy="754380"/>
                    </a:xfrm>
                    <a:prstGeom prst="rect">
                      <a:avLst/>
                    </a:prstGeom>
                    <a:noFill/>
                  </pic:spPr>
                </pic:pic>
              </a:graphicData>
            </a:graphic>
            <wp14:sizeRelH relativeFrom="page">
              <wp14:pctWidth>0</wp14:pctWidth>
            </wp14:sizeRelH>
            <wp14:sizeRelV relativeFrom="page">
              <wp14:pctHeight>0</wp14:pctHeight>
            </wp14:sizeRelV>
          </wp:anchor>
        </w:drawing>
      </w:r>
    </w:p>
    <w:p w14:paraId="5FEF26DE" w14:textId="77777777" w:rsidR="00346F64" w:rsidRPr="00C1651F" w:rsidRDefault="00346F64" w:rsidP="0090611D">
      <w:pPr>
        <w:jc w:val="right"/>
        <w:rPr>
          <w:rFonts w:cs="Arial"/>
          <w:b/>
        </w:rPr>
      </w:pPr>
    </w:p>
    <w:p w14:paraId="5FEF26DF" w14:textId="77777777" w:rsidR="00346F64" w:rsidRPr="008519A2" w:rsidRDefault="00346F64" w:rsidP="0090611D">
      <w:pPr>
        <w:jc w:val="right"/>
        <w:rPr>
          <w:rFonts w:cs="Arial"/>
          <w:b/>
        </w:rPr>
      </w:pPr>
    </w:p>
    <w:p w14:paraId="5FEF26E0" w14:textId="77777777" w:rsidR="00346F64" w:rsidRPr="008519A2" w:rsidRDefault="00346F64" w:rsidP="0090611D">
      <w:pPr>
        <w:jc w:val="right"/>
        <w:rPr>
          <w:rFonts w:cs="Arial"/>
          <w:b/>
        </w:rPr>
      </w:pPr>
    </w:p>
    <w:p w14:paraId="5FEF26E1" w14:textId="77777777" w:rsidR="0090611D" w:rsidRPr="008519A2" w:rsidRDefault="0090611D" w:rsidP="0090611D">
      <w:pPr>
        <w:jc w:val="right"/>
        <w:rPr>
          <w:rFonts w:cs="Arial"/>
          <w:b/>
        </w:rPr>
      </w:pPr>
      <w:r w:rsidRPr="008519A2">
        <w:rPr>
          <w:rFonts w:cs="Arial"/>
          <w:b/>
        </w:rPr>
        <w:t>HR Directorate</w:t>
      </w:r>
    </w:p>
    <w:p w14:paraId="5FEF26E2" w14:textId="77777777" w:rsidR="0090611D" w:rsidRPr="008519A2" w:rsidRDefault="0090611D" w:rsidP="0090611D">
      <w:pPr>
        <w:jc w:val="right"/>
        <w:rPr>
          <w:rFonts w:cs="Arial"/>
          <w:b/>
        </w:rPr>
      </w:pPr>
    </w:p>
    <w:p w14:paraId="5FEF26E3" w14:textId="006F46A9" w:rsidR="0090611D" w:rsidRPr="008519A2" w:rsidRDefault="0090611D" w:rsidP="0090611D">
      <w:pPr>
        <w:jc w:val="right"/>
        <w:rPr>
          <w:rFonts w:cs="Arial"/>
          <w:b/>
        </w:rPr>
      </w:pPr>
      <w:r w:rsidRPr="008519A2">
        <w:rPr>
          <w:rFonts w:cs="Arial"/>
          <w:b/>
        </w:rPr>
        <w:t>Office for Nuclear R</w:t>
      </w:r>
      <w:r w:rsidR="00C349B5" w:rsidRPr="008519A2">
        <w:rPr>
          <w:rFonts w:cs="Arial"/>
          <w:b/>
        </w:rPr>
        <w:t>egulation Gender Pay Report 20</w:t>
      </w:r>
      <w:r w:rsidR="004657EA" w:rsidRPr="008519A2">
        <w:rPr>
          <w:rFonts w:cs="Arial"/>
          <w:b/>
        </w:rPr>
        <w:t>2</w:t>
      </w:r>
      <w:r w:rsidR="00483A5A">
        <w:rPr>
          <w:rFonts w:cs="Arial"/>
          <w:b/>
        </w:rPr>
        <w:t>3</w:t>
      </w:r>
    </w:p>
    <w:p w14:paraId="5FEF26E4" w14:textId="77777777" w:rsidR="0090611D" w:rsidRPr="008519A2" w:rsidRDefault="0090611D" w:rsidP="0090611D">
      <w:pPr>
        <w:rPr>
          <w:rFonts w:cs="Arial"/>
        </w:rPr>
      </w:pPr>
    </w:p>
    <w:p w14:paraId="5FEF26E5" w14:textId="77777777" w:rsidR="0090611D" w:rsidRPr="008519A2" w:rsidRDefault="0090611D" w:rsidP="0090611D">
      <w:pPr>
        <w:rPr>
          <w:rFonts w:cs="Arial"/>
        </w:rPr>
      </w:pPr>
    </w:p>
    <w:p w14:paraId="5FEF26E6" w14:textId="77777777" w:rsidR="0090611D" w:rsidRPr="008519A2" w:rsidRDefault="0090611D" w:rsidP="0090611D">
      <w:pPr>
        <w:rPr>
          <w:rFonts w:cs="Arial"/>
        </w:rPr>
      </w:pPr>
    </w:p>
    <w:p w14:paraId="5FEF26E7" w14:textId="77777777" w:rsidR="0090611D" w:rsidRPr="008519A2" w:rsidRDefault="0090611D" w:rsidP="0090611D">
      <w:pPr>
        <w:rPr>
          <w:rFonts w:cs="Arial"/>
        </w:rPr>
      </w:pPr>
    </w:p>
    <w:p w14:paraId="5FEF26E8" w14:textId="77777777" w:rsidR="0090611D" w:rsidRPr="008519A2" w:rsidRDefault="0090611D" w:rsidP="0090611D">
      <w:pPr>
        <w:rPr>
          <w:rFonts w:cs="Arial"/>
        </w:rPr>
      </w:pPr>
    </w:p>
    <w:p w14:paraId="5FEF26E9" w14:textId="77777777" w:rsidR="0090611D" w:rsidRPr="008519A2" w:rsidRDefault="0090611D" w:rsidP="0090611D">
      <w:pPr>
        <w:rPr>
          <w:rFonts w:cs="Arial"/>
        </w:rPr>
      </w:pPr>
    </w:p>
    <w:p w14:paraId="5FEF26EA" w14:textId="77777777" w:rsidR="0090611D" w:rsidRPr="008519A2" w:rsidRDefault="0090611D" w:rsidP="0090611D">
      <w:pPr>
        <w:rPr>
          <w:rFonts w:cs="Arial"/>
        </w:rPr>
      </w:pPr>
    </w:p>
    <w:p w14:paraId="5FEF26EB" w14:textId="77777777" w:rsidR="0090611D" w:rsidRPr="008519A2" w:rsidRDefault="0090611D" w:rsidP="0090611D">
      <w:pPr>
        <w:rPr>
          <w:rFonts w:cs="Arial"/>
        </w:rPr>
      </w:pPr>
    </w:p>
    <w:p w14:paraId="5FEF26EC" w14:textId="77777777" w:rsidR="0090611D" w:rsidRPr="008519A2" w:rsidRDefault="0090611D" w:rsidP="0090611D">
      <w:pPr>
        <w:rPr>
          <w:rFonts w:cs="Arial"/>
        </w:rPr>
      </w:pPr>
    </w:p>
    <w:p w14:paraId="5FEF26ED" w14:textId="77777777" w:rsidR="00346F64" w:rsidRPr="008519A2" w:rsidRDefault="00346F64" w:rsidP="0090611D">
      <w:pPr>
        <w:rPr>
          <w:rFonts w:cs="Arial"/>
        </w:rPr>
      </w:pPr>
    </w:p>
    <w:p w14:paraId="5FEF26EE" w14:textId="77777777" w:rsidR="0090611D" w:rsidRPr="008519A2" w:rsidRDefault="0090611D" w:rsidP="0090611D">
      <w:pPr>
        <w:rPr>
          <w:rFonts w:cs="Arial"/>
        </w:rPr>
      </w:pPr>
    </w:p>
    <w:p w14:paraId="5FEF26EF" w14:textId="77777777" w:rsidR="0090611D" w:rsidRPr="008519A2" w:rsidRDefault="0090611D" w:rsidP="0090611D">
      <w:pPr>
        <w:rPr>
          <w:rFonts w:cs="Arial"/>
        </w:rPr>
      </w:pPr>
    </w:p>
    <w:p w14:paraId="5FEF26F0" w14:textId="77777777" w:rsidR="0090611D" w:rsidRPr="008519A2" w:rsidRDefault="0090611D" w:rsidP="0090611D">
      <w:pPr>
        <w:rPr>
          <w:rFonts w:cs="Arial"/>
        </w:rPr>
      </w:pPr>
    </w:p>
    <w:p w14:paraId="5FEF26F1" w14:textId="77777777" w:rsidR="0090611D" w:rsidRPr="008519A2" w:rsidRDefault="0090611D" w:rsidP="0090611D">
      <w:pPr>
        <w:rPr>
          <w:rFonts w:cs="Arial"/>
        </w:rPr>
      </w:pPr>
    </w:p>
    <w:p w14:paraId="5FEF26F2" w14:textId="77777777" w:rsidR="0090611D" w:rsidRPr="008519A2" w:rsidRDefault="0090611D" w:rsidP="0090611D">
      <w:pPr>
        <w:rPr>
          <w:rFonts w:cs="Arial"/>
        </w:rPr>
      </w:pPr>
    </w:p>
    <w:p w14:paraId="5FEF26F3" w14:textId="77777777" w:rsidR="0090611D" w:rsidRPr="008519A2" w:rsidRDefault="0090611D" w:rsidP="0090611D">
      <w:pPr>
        <w:rPr>
          <w:rFonts w:cs="Arial"/>
        </w:rPr>
      </w:pPr>
    </w:p>
    <w:p w14:paraId="5FEF26F4" w14:textId="77777777" w:rsidR="0090611D" w:rsidRPr="008519A2" w:rsidRDefault="0090611D" w:rsidP="0090611D">
      <w:pPr>
        <w:rPr>
          <w:rFonts w:cs="Arial"/>
        </w:rPr>
      </w:pPr>
    </w:p>
    <w:p w14:paraId="5FEF26F5" w14:textId="77777777" w:rsidR="0090611D" w:rsidRPr="008519A2" w:rsidRDefault="0090611D" w:rsidP="0090611D">
      <w:pPr>
        <w:rPr>
          <w:rFonts w:cs="Arial"/>
        </w:rPr>
      </w:pPr>
    </w:p>
    <w:p w14:paraId="5FEF26F6" w14:textId="77777777" w:rsidR="0090611D" w:rsidRPr="008519A2" w:rsidRDefault="0090611D" w:rsidP="0090611D">
      <w:pPr>
        <w:rPr>
          <w:rFonts w:cs="Arial"/>
        </w:rPr>
      </w:pPr>
    </w:p>
    <w:p w14:paraId="5FEF26F7" w14:textId="77777777" w:rsidR="0090611D" w:rsidRPr="008519A2" w:rsidRDefault="0090611D" w:rsidP="0090611D">
      <w:pPr>
        <w:rPr>
          <w:rFonts w:cs="Arial"/>
        </w:rPr>
      </w:pPr>
    </w:p>
    <w:p w14:paraId="5FEF26F8" w14:textId="77777777" w:rsidR="0090611D" w:rsidRPr="008519A2" w:rsidRDefault="0090611D" w:rsidP="0090611D">
      <w:pPr>
        <w:rPr>
          <w:rFonts w:cs="Arial"/>
        </w:rPr>
      </w:pPr>
    </w:p>
    <w:p w14:paraId="5FEF26F9" w14:textId="77777777" w:rsidR="0090611D" w:rsidRPr="008519A2" w:rsidRDefault="0090611D" w:rsidP="0090611D">
      <w:pPr>
        <w:rPr>
          <w:rFonts w:cs="Arial"/>
        </w:rPr>
      </w:pPr>
    </w:p>
    <w:p w14:paraId="5FEF26FA" w14:textId="77777777" w:rsidR="0090611D" w:rsidRPr="008519A2" w:rsidRDefault="0090611D" w:rsidP="0090611D">
      <w:pPr>
        <w:rPr>
          <w:rFonts w:cs="Arial"/>
        </w:rPr>
      </w:pPr>
    </w:p>
    <w:p w14:paraId="5FEF26FB" w14:textId="77777777" w:rsidR="0090611D" w:rsidRPr="008519A2" w:rsidRDefault="0090611D" w:rsidP="0090611D">
      <w:pPr>
        <w:rPr>
          <w:rFonts w:cs="Arial"/>
        </w:rPr>
      </w:pPr>
    </w:p>
    <w:p w14:paraId="5FEF26FC" w14:textId="77777777" w:rsidR="0090611D" w:rsidRPr="008519A2" w:rsidRDefault="0090611D" w:rsidP="0090611D">
      <w:pPr>
        <w:rPr>
          <w:rFonts w:cs="Arial"/>
        </w:rPr>
      </w:pPr>
    </w:p>
    <w:p w14:paraId="5FEF26FD" w14:textId="77777777" w:rsidR="0090611D" w:rsidRPr="008519A2" w:rsidRDefault="0090611D" w:rsidP="0090611D">
      <w:pPr>
        <w:rPr>
          <w:rFonts w:cs="Arial"/>
        </w:rPr>
      </w:pPr>
    </w:p>
    <w:p w14:paraId="5FEF26FE" w14:textId="77777777" w:rsidR="0090611D" w:rsidRPr="008519A2" w:rsidRDefault="0090611D" w:rsidP="0090611D">
      <w:pPr>
        <w:rPr>
          <w:rFonts w:cs="Arial"/>
        </w:rPr>
      </w:pPr>
    </w:p>
    <w:p w14:paraId="5FEF26FF" w14:textId="77777777" w:rsidR="0090611D" w:rsidRPr="008519A2" w:rsidRDefault="0090611D" w:rsidP="0090611D">
      <w:pPr>
        <w:rPr>
          <w:rFonts w:cs="Arial"/>
        </w:rPr>
      </w:pPr>
    </w:p>
    <w:p w14:paraId="5FEF2700" w14:textId="77777777" w:rsidR="0090611D" w:rsidRPr="008519A2" w:rsidRDefault="0090611D" w:rsidP="0090611D">
      <w:pPr>
        <w:rPr>
          <w:rFonts w:cs="Arial"/>
        </w:rPr>
      </w:pPr>
    </w:p>
    <w:p w14:paraId="5FEF2701" w14:textId="77777777" w:rsidR="0090611D" w:rsidRPr="008519A2" w:rsidRDefault="0090611D" w:rsidP="0090611D">
      <w:pPr>
        <w:rPr>
          <w:rFonts w:cs="Arial"/>
        </w:rPr>
      </w:pPr>
    </w:p>
    <w:p w14:paraId="5FEF2702" w14:textId="77777777" w:rsidR="0090611D" w:rsidRPr="008519A2" w:rsidRDefault="0090611D" w:rsidP="0090611D">
      <w:pPr>
        <w:rPr>
          <w:rFonts w:cs="Arial"/>
        </w:rPr>
      </w:pPr>
    </w:p>
    <w:p w14:paraId="5FEF2703" w14:textId="77777777" w:rsidR="0090611D" w:rsidRPr="008519A2" w:rsidRDefault="0090611D" w:rsidP="0090611D">
      <w:pPr>
        <w:rPr>
          <w:rFonts w:cs="Arial"/>
        </w:rPr>
      </w:pPr>
    </w:p>
    <w:p w14:paraId="5FEF2704" w14:textId="77777777" w:rsidR="0090611D" w:rsidRPr="008519A2" w:rsidRDefault="0090611D" w:rsidP="0090611D">
      <w:pPr>
        <w:rPr>
          <w:rFonts w:cs="Arial"/>
        </w:rPr>
      </w:pPr>
    </w:p>
    <w:p w14:paraId="5FEF2705" w14:textId="77777777" w:rsidR="0090611D" w:rsidRPr="008519A2" w:rsidRDefault="0090611D" w:rsidP="0090611D">
      <w:pPr>
        <w:rPr>
          <w:rFonts w:cs="Arial"/>
        </w:rPr>
      </w:pPr>
    </w:p>
    <w:p w14:paraId="5FEF2707" w14:textId="44D68E1A" w:rsidR="00BE0777" w:rsidRPr="008519A2" w:rsidRDefault="00D676D9" w:rsidP="00BE0777">
      <w:pPr>
        <w:ind w:left="5040"/>
        <w:jc w:val="center"/>
        <w:rPr>
          <w:rFonts w:cs="Arial"/>
        </w:rPr>
      </w:pPr>
      <w:r>
        <w:rPr>
          <w:rFonts w:cs="Arial"/>
        </w:rPr>
        <w:t xml:space="preserve"> </w:t>
      </w:r>
      <w:r w:rsidR="0056472E">
        <w:rPr>
          <w:rFonts w:cs="Arial"/>
        </w:rPr>
        <w:tab/>
      </w:r>
      <w:r w:rsidR="0056472E">
        <w:rPr>
          <w:rFonts w:cs="Arial"/>
        </w:rPr>
        <w:tab/>
      </w:r>
      <w:r w:rsidR="00AA6834">
        <w:rPr>
          <w:rFonts w:cs="Arial"/>
        </w:rPr>
        <w:tab/>
      </w:r>
    </w:p>
    <w:p w14:paraId="5FEF2708" w14:textId="20B06F78" w:rsidR="0090611D" w:rsidRPr="008519A2" w:rsidRDefault="0090611D" w:rsidP="00AA6834">
      <w:pPr>
        <w:ind w:left="6480" w:firstLine="720"/>
        <w:rPr>
          <w:rFonts w:cs="Arial"/>
        </w:rPr>
      </w:pPr>
    </w:p>
    <w:p w14:paraId="5FEF2709" w14:textId="77777777" w:rsidR="00272FB0" w:rsidRPr="008519A2" w:rsidRDefault="0090611D" w:rsidP="0090611D">
      <w:pPr>
        <w:outlineLvl w:val="1"/>
        <w:rPr>
          <w:rFonts w:cs="Arial"/>
        </w:rPr>
      </w:pPr>
      <w:r w:rsidRPr="008519A2">
        <w:rPr>
          <w:rFonts w:cs="Arial"/>
        </w:rPr>
        <w:br w:type="page"/>
      </w:r>
    </w:p>
    <w:p w14:paraId="5FEF2710" w14:textId="53D4DEFA" w:rsidR="00940BE9" w:rsidRPr="008519A2" w:rsidRDefault="00940BE9" w:rsidP="00940BE9">
      <w:pPr>
        <w:pStyle w:val="Number"/>
        <w:jc w:val="center"/>
        <w:rPr>
          <w:rFonts w:cs="Arial"/>
          <w:b/>
        </w:rPr>
      </w:pPr>
      <w:r w:rsidRPr="008519A2">
        <w:rPr>
          <w:rFonts w:cs="Arial"/>
          <w:b/>
        </w:rPr>
        <w:lastRenderedPageBreak/>
        <w:t>GENDER PAY REPORT</w:t>
      </w:r>
      <w:r w:rsidR="00C349B5" w:rsidRPr="008519A2">
        <w:rPr>
          <w:rFonts w:cs="Arial"/>
          <w:b/>
        </w:rPr>
        <w:t xml:space="preserve"> 20</w:t>
      </w:r>
      <w:r w:rsidR="004657EA" w:rsidRPr="008519A2">
        <w:rPr>
          <w:rFonts w:cs="Arial"/>
          <w:b/>
        </w:rPr>
        <w:t>2</w:t>
      </w:r>
      <w:r w:rsidR="00671DA8">
        <w:rPr>
          <w:rFonts w:cs="Arial"/>
          <w:b/>
        </w:rPr>
        <w:t>3</w:t>
      </w:r>
    </w:p>
    <w:p w14:paraId="5FEF2711" w14:textId="77777777" w:rsidR="006B533A" w:rsidRPr="008519A2" w:rsidRDefault="006B533A" w:rsidP="00940BE9">
      <w:pPr>
        <w:ind w:firstLine="360"/>
        <w:jc w:val="center"/>
        <w:rPr>
          <w:rFonts w:cs="Arial"/>
          <w:b/>
        </w:rPr>
      </w:pPr>
    </w:p>
    <w:p w14:paraId="5FEF2713" w14:textId="3E15918E" w:rsidR="00940BE9" w:rsidRPr="006A063F" w:rsidRDefault="00C715FE" w:rsidP="00C715FE">
      <w:pPr>
        <w:rPr>
          <w:rFonts w:cs="Arial"/>
          <w:sz w:val="28"/>
          <w:szCs w:val="28"/>
        </w:rPr>
      </w:pPr>
      <w:r w:rsidRPr="006A063F">
        <w:rPr>
          <w:rFonts w:cs="Arial"/>
          <w:b/>
          <w:sz w:val="28"/>
          <w:szCs w:val="28"/>
        </w:rPr>
        <w:t>Organisational Context</w:t>
      </w:r>
    </w:p>
    <w:p w14:paraId="4A5DC215" w14:textId="6A63A623" w:rsidR="00D76FE9" w:rsidRDefault="007E6923" w:rsidP="003A3A0B">
      <w:pPr>
        <w:shd w:val="clear" w:color="auto" w:fill="FFFFFF"/>
        <w:spacing w:before="300" w:after="300"/>
        <w:rPr>
          <w:rFonts w:cs="Arial"/>
          <w:color w:val="000000" w:themeColor="text1"/>
        </w:rPr>
      </w:pPr>
      <w:r>
        <w:t>ONR</w:t>
      </w:r>
      <w:r w:rsidR="00FE28F9">
        <w:t xml:space="preserve"> is committed to being a diverse and inclusive employer</w:t>
      </w:r>
      <w:r w:rsidR="001A208E">
        <w:t xml:space="preserve">, </w:t>
      </w:r>
      <w:r w:rsidR="00232632">
        <w:t xml:space="preserve">and we are </w:t>
      </w:r>
      <w:r w:rsidR="00232632">
        <w:rPr>
          <w:rFonts w:cs="Arial"/>
          <w:color w:val="0B0C0C"/>
          <w:lang w:eastAsia="en-GB"/>
        </w:rPr>
        <w:t>working hard to reduce and eventually close the gender pa</w:t>
      </w:r>
      <w:r w:rsidR="00232632" w:rsidRPr="00C00EF3">
        <w:rPr>
          <w:rFonts w:cs="Arial"/>
          <w:color w:val="0B0C0C"/>
          <w:lang w:eastAsia="en-GB"/>
        </w:rPr>
        <w:t>y gap</w:t>
      </w:r>
      <w:r w:rsidR="00232632">
        <w:rPr>
          <w:rFonts w:cs="Arial"/>
          <w:color w:val="0B0C0C"/>
          <w:lang w:eastAsia="en-GB"/>
        </w:rPr>
        <w:t>. We</w:t>
      </w:r>
      <w:r w:rsidR="00232632">
        <w:t xml:space="preserve"> </w:t>
      </w:r>
      <w:r w:rsidR="001A208E">
        <w:t>recognise</w:t>
      </w:r>
      <w:r w:rsidR="001A208E" w:rsidRPr="00827E1E">
        <w:rPr>
          <w:rFonts w:cs="Arial"/>
          <w:color w:val="000000" w:themeColor="text1"/>
        </w:rPr>
        <w:t xml:space="preserve"> that we continue to have a </w:t>
      </w:r>
      <w:r w:rsidR="00003955">
        <w:rPr>
          <w:rFonts w:cs="Arial"/>
          <w:color w:val="000000" w:themeColor="text1"/>
        </w:rPr>
        <w:t xml:space="preserve">significant </w:t>
      </w:r>
      <w:r w:rsidR="001A208E" w:rsidRPr="00827E1E">
        <w:rPr>
          <w:rFonts w:cs="Arial"/>
          <w:color w:val="000000" w:themeColor="text1"/>
        </w:rPr>
        <w:t>gender pay gap and there remains more to be done to improve this</w:t>
      </w:r>
      <w:r w:rsidR="001A208E">
        <w:rPr>
          <w:rFonts w:cs="Arial"/>
          <w:color w:val="000000" w:themeColor="text1"/>
        </w:rPr>
        <w:t>.</w:t>
      </w:r>
      <w:r w:rsidR="00003955">
        <w:rPr>
          <w:rFonts w:cs="Arial"/>
          <w:color w:val="000000" w:themeColor="text1"/>
        </w:rPr>
        <w:t xml:space="preserve"> </w:t>
      </w:r>
      <w:r w:rsidR="00D73CF3">
        <w:t>A</w:t>
      </w:r>
      <w:r>
        <w:t xml:space="preserve">ttracting and retaining </w:t>
      </w:r>
      <w:r w:rsidR="00D73CF3" w:rsidRPr="00C00EF3">
        <w:rPr>
          <w:rFonts w:cs="Arial"/>
          <w:color w:val="0B0C0C"/>
          <w:lang w:eastAsia="en-GB"/>
        </w:rPr>
        <w:t>a diverse workforce is a</w:t>
      </w:r>
      <w:r w:rsidR="00AC579E">
        <w:rPr>
          <w:rFonts w:cs="Arial"/>
          <w:color w:val="0B0C0C"/>
          <w:lang w:eastAsia="en-GB"/>
        </w:rPr>
        <w:t>n ongoing</w:t>
      </w:r>
      <w:r w:rsidR="00D73CF3" w:rsidRPr="00C00EF3">
        <w:rPr>
          <w:rFonts w:cs="Arial"/>
          <w:color w:val="0B0C0C"/>
          <w:lang w:eastAsia="en-GB"/>
        </w:rPr>
        <w:t xml:space="preserve"> priority </w:t>
      </w:r>
      <w:r w:rsidR="006E6035">
        <w:rPr>
          <w:rFonts w:cs="Arial"/>
          <w:color w:val="0B0C0C"/>
          <w:lang w:eastAsia="en-GB"/>
        </w:rPr>
        <w:t>and greater</w:t>
      </w:r>
      <w:r w:rsidR="00631555">
        <w:rPr>
          <w:rFonts w:cs="Arial"/>
          <w:color w:val="0B0C0C"/>
          <w:lang w:eastAsia="en-GB"/>
        </w:rPr>
        <w:t xml:space="preserve"> g</w:t>
      </w:r>
      <w:r w:rsidR="00631555">
        <w:rPr>
          <w:rFonts w:cs="Arial"/>
          <w:color w:val="000000" w:themeColor="text1"/>
        </w:rPr>
        <w:t xml:space="preserve">ender balance is a key area of our People Strategy 2025. </w:t>
      </w:r>
    </w:p>
    <w:p w14:paraId="1FC97699" w14:textId="4F08DADF" w:rsidR="00984567" w:rsidRDefault="00046F03" w:rsidP="00F30FC5">
      <w:pPr>
        <w:shd w:val="clear" w:color="auto" w:fill="FFFFFF"/>
        <w:spacing w:before="300" w:after="300"/>
        <w:rPr>
          <w:rFonts w:cs="Arial"/>
          <w:color w:val="0B0C0C"/>
          <w:shd w:val="clear" w:color="auto" w:fill="FFFFFF"/>
        </w:rPr>
      </w:pPr>
      <w:r w:rsidRPr="00046F03">
        <w:rPr>
          <w:rFonts w:cs="Arial"/>
          <w:color w:val="0B0C0C"/>
          <w:shd w:val="clear" w:color="auto" w:fill="FFFFFF"/>
        </w:rPr>
        <w:t xml:space="preserve">Whilst we haven’t seen the </w:t>
      </w:r>
      <w:r w:rsidR="00B52F95" w:rsidRPr="00046F03">
        <w:rPr>
          <w:rFonts w:cs="Arial"/>
          <w:color w:val="0B0C0C"/>
          <w:shd w:val="clear" w:color="auto" w:fill="FFFFFF"/>
        </w:rPr>
        <w:t>decrease,</w:t>
      </w:r>
      <w:r w:rsidRPr="00046F03">
        <w:rPr>
          <w:rFonts w:cs="Arial"/>
          <w:color w:val="0B0C0C"/>
          <w:shd w:val="clear" w:color="auto" w:fill="FFFFFF"/>
        </w:rPr>
        <w:t xml:space="preserve"> we hoped for </w:t>
      </w:r>
      <w:r w:rsidR="003C59DC">
        <w:rPr>
          <w:rFonts w:cs="Arial"/>
          <w:color w:val="0B0C0C"/>
          <w:shd w:val="clear" w:color="auto" w:fill="FFFFFF"/>
        </w:rPr>
        <w:t xml:space="preserve">during </w:t>
      </w:r>
      <w:r w:rsidRPr="00046F03">
        <w:rPr>
          <w:rFonts w:cs="Arial"/>
          <w:color w:val="0B0C0C"/>
          <w:shd w:val="clear" w:color="auto" w:fill="FFFFFF"/>
        </w:rPr>
        <w:t>20</w:t>
      </w:r>
      <w:r w:rsidR="00246271">
        <w:rPr>
          <w:rFonts w:cs="Arial"/>
          <w:color w:val="0B0C0C"/>
          <w:shd w:val="clear" w:color="auto" w:fill="FFFFFF"/>
        </w:rPr>
        <w:t>22</w:t>
      </w:r>
      <w:r w:rsidR="003C59DC">
        <w:rPr>
          <w:rFonts w:cs="Arial"/>
          <w:color w:val="0B0C0C"/>
          <w:shd w:val="clear" w:color="auto" w:fill="FFFFFF"/>
        </w:rPr>
        <w:t>-</w:t>
      </w:r>
      <w:r w:rsidRPr="00046F03">
        <w:rPr>
          <w:rFonts w:cs="Arial"/>
          <w:color w:val="0B0C0C"/>
          <w:shd w:val="clear" w:color="auto" w:fill="FFFFFF"/>
        </w:rPr>
        <w:t>202</w:t>
      </w:r>
      <w:r w:rsidR="00246271">
        <w:rPr>
          <w:rFonts w:cs="Arial"/>
          <w:color w:val="0B0C0C"/>
          <w:shd w:val="clear" w:color="auto" w:fill="FFFFFF"/>
        </w:rPr>
        <w:t>3</w:t>
      </w:r>
      <w:r w:rsidRPr="00046F03">
        <w:rPr>
          <w:rFonts w:cs="Arial"/>
          <w:color w:val="0B0C0C"/>
          <w:shd w:val="clear" w:color="auto" w:fill="FFFFFF"/>
        </w:rPr>
        <w:t xml:space="preserve">, </w:t>
      </w:r>
      <w:r w:rsidR="00300E80">
        <w:rPr>
          <w:rFonts w:cs="Arial"/>
          <w:color w:val="0B0C0C"/>
          <w:shd w:val="clear" w:color="auto" w:fill="FFFFFF"/>
        </w:rPr>
        <w:t>we</w:t>
      </w:r>
      <w:r w:rsidR="00B63ACE">
        <w:rPr>
          <w:rFonts w:cs="Arial"/>
          <w:color w:val="0B0C0C"/>
          <w:shd w:val="clear" w:color="auto" w:fill="FFFFFF"/>
        </w:rPr>
        <w:t xml:space="preserve"> </w:t>
      </w:r>
      <w:r w:rsidR="00770984">
        <w:rPr>
          <w:rFonts w:cs="Arial"/>
          <w:color w:val="0B0C0C"/>
          <w:shd w:val="clear" w:color="auto" w:fill="FFFFFF"/>
        </w:rPr>
        <w:t>believe</w:t>
      </w:r>
      <w:r w:rsidRPr="00046F03">
        <w:rPr>
          <w:rFonts w:cs="Arial"/>
          <w:color w:val="0B0C0C"/>
          <w:shd w:val="clear" w:color="auto" w:fill="FFFFFF"/>
        </w:rPr>
        <w:t xml:space="preserve"> the efforts we are taking will ensure we continue to see an improving trajectory </w:t>
      </w:r>
      <w:r w:rsidR="001440EB">
        <w:rPr>
          <w:rFonts w:cs="Arial"/>
          <w:color w:val="0B0C0C"/>
          <w:shd w:val="clear" w:color="auto" w:fill="FFFFFF"/>
        </w:rPr>
        <w:t>a</w:t>
      </w:r>
      <w:r w:rsidR="00E57F39">
        <w:rPr>
          <w:rFonts w:cs="Arial"/>
          <w:color w:val="0B0C0C"/>
          <w:shd w:val="clear" w:color="auto" w:fill="FFFFFF"/>
        </w:rPr>
        <w:t>s we</w:t>
      </w:r>
      <w:r w:rsidRPr="00046F03">
        <w:rPr>
          <w:rFonts w:cs="Arial"/>
          <w:color w:val="0B0C0C"/>
          <w:shd w:val="clear" w:color="auto" w:fill="FFFFFF"/>
        </w:rPr>
        <w:t xml:space="preserve"> seek to ensure </w:t>
      </w:r>
      <w:r w:rsidR="00B52F95" w:rsidRPr="00046F03">
        <w:rPr>
          <w:rFonts w:cs="Arial"/>
          <w:color w:val="0B0C0C"/>
          <w:shd w:val="clear" w:color="auto" w:fill="FFFFFF"/>
        </w:rPr>
        <w:t>all</w:t>
      </w:r>
      <w:r w:rsidRPr="00046F03">
        <w:rPr>
          <w:rFonts w:cs="Arial"/>
          <w:color w:val="0B0C0C"/>
          <w:shd w:val="clear" w:color="auto" w:fill="FFFFFF"/>
        </w:rPr>
        <w:t xml:space="preserve"> our jobs and career opportunities, including the most senior and well-remunerated, are </w:t>
      </w:r>
      <w:r w:rsidR="00770984">
        <w:rPr>
          <w:rFonts w:cs="Arial"/>
          <w:color w:val="0B0C0C"/>
          <w:shd w:val="clear" w:color="auto" w:fill="FFFFFF"/>
        </w:rPr>
        <w:t xml:space="preserve">inclusive and </w:t>
      </w:r>
      <w:r w:rsidRPr="00046F03">
        <w:rPr>
          <w:rFonts w:cs="Arial"/>
          <w:color w:val="0B0C0C"/>
          <w:shd w:val="clear" w:color="auto" w:fill="FFFFFF"/>
        </w:rPr>
        <w:t>a</w:t>
      </w:r>
      <w:r w:rsidR="00770984">
        <w:rPr>
          <w:rFonts w:cs="Arial"/>
          <w:color w:val="0B0C0C"/>
          <w:shd w:val="clear" w:color="auto" w:fill="FFFFFF"/>
        </w:rPr>
        <w:t>ppealing</w:t>
      </w:r>
      <w:r w:rsidRPr="00046F03">
        <w:rPr>
          <w:rFonts w:cs="Arial"/>
          <w:color w:val="0B0C0C"/>
          <w:shd w:val="clear" w:color="auto" w:fill="FFFFFF"/>
        </w:rPr>
        <w:t xml:space="preserve"> to women</w:t>
      </w:r>
      <w:r w:rsidR="00770984">
        <w:rPr>
          <w:rFonts w:cs="Arial"/>
          <w:color w:val="0B0C0C"/>
          <w:shd w:val="clear" w:color="auto" w:fill="FFFFFF"/>
        </w:rPr>
        <w:t xml:space="preserve"> and deliver a changing demographic</w:t>
      </w:r>
      <w:r w:rsidRPr="00046F03">
        <w:rPr>
          <w:rFonts w:cs="Arial"/>
          <w:color w:val="0B0C0C"/>
          <w:shd w:val="clear" w:color="auto" w:fill="FFFFFF"/>
        </w:rPr>
        <w:t xml:space="preserve">. We will stay focused on </w:t>
      </w:r>
      <w:r w:rsidR="00770984">
        <w:rPr>
          <w:rFonts w:cs="Arial"/>
          <w:color w:val="0B0C0C"/>
          <w:shd w:val="clear" w:color="auto" w:fill="FFFFFF"/>
        </w:rPr>
        <w:t>identifying and addressing any barriers with a commitment</w:t>
      </w:r>
      <w:r w:rsidRPr="00046F03">
        <w:rPr>
          <w:rFonts w:cs="Arial"/>
          <w:color w:val="0B0C0C"/>
          <w:shd w:val="clear" w:color="auto" w:fill="FFFFFF"/>
        </w:rPr>
        <w:t xml:space="preserve"> on </w:t>
      </w:r>
      <w:r w:rsidR="00984567">
        <w:rPr>
          <w:rFonts w:cs="Arial"/>
          <w:color w:val="0B0C0C"/>
          <w:shd w:val="clear" w:color="auto" w:fill="FFFFFF"/>
        </w:rPr>
        <w:t xml:space="preserve">targeted action </w:t>
      </w:r>
      <w:r w:rsidR="00B63ACE">
        <w:rPr>
          <w:rFonts w:cs="Arial"/>
          <w:color w:val="0B0C0C"/>
          <w:shd w:val="clear" w:color="auto" w:fill="FFFFFF"/>
        </w:rPr>
        <w:t xml:space="preserve">to improve outcomes in the </w:t>
      </w:r>
      <w:r w:rsidR="00770984">
        <w:rPr>
          <w:rFonts w:cs="Arial"/>
          <w:color w:val="0B0C0C"/>
          <w:shd w:val="clear" w:color="auto" w:fill="FFFFFF"/>
        </w:rPr>
        <w:t xml:space="preserve">medium and </w:t>
      </w:r>
      <w:r w:rsidR="00B63ACE">
        <w:rPr>
          <w:rFonts w:cs="Arial"/>
          <w:color w:val="0B0C0C"/>
          <w:shd w:val="clear" w:color="auto" w:fill="FFFFFF"/>
        </w:rPr>
        <w:t>long term</w:t>
      </w:r>
      <w:r w:rsidR="009F4EF8">
        <w:rPr>
          <w:rFonts w:cs="Arial"/>
          <w:color w:val="0B0C0C"/>
          <w:shd w:val="clear" w:color="auto" w:fill="FFFFFF"/>
        </w:rPr>
        <w:t xml:space="preserve"> that will contribute to the continuing erosion of the gender pay gap.</w:t>
      </w:r>
    </w:p>
    <w:p w14:paraId="1C4771CC" w14:textId="2BD0D3C5" w:rsidR="00641A6C" w:rsidRDefault="00770984" w:rsidP="00A72D80">
      <w:r>
        <w:t>We are encouraged that some</w:t>
      </w:r>
      <w:r w:rsidR="003C59DC">
        <w:t xml:space="preserve"> p</w:t>
      </w:r>
      <w:r w:rsidR="00892FF6" w:rsidRPr="00923942">
        <w:t>rogress is being made</w:t>
      </w:r>
      <w:r w:rsidR="00892FF6">
        <w:t xml:space="preserve">, and </w:t>
      </w:r>
      <w:r w:rsidR="00AE1F6F">
        <w:t xml:space="preserve">we are pleased to report that </w:t>
      </w:r>
      <w:r w:rsidR="00892FF6">
        <w:t>c</w:t>
      </w:r>
      <w:r w:rsidR="00892FF6" w:rsidRPr="00923942">
        <w:rPr>
          <w:rFonts w:cs="Arial"/>
        </w:rPr>
        <w:t xml:space="preserve">urrently </w:t>
      </w:r>
      <w:r w:rsidR="00892FF6" w:rsidRPr="003A3A0B">
        <w:rPr>
          <w:rFonts w:cs="Arial"/>
        </w:rPr>
        <w:t>3</w:t>
      </w:r>
      <w:r w:rsidR="00DC5DBB" w:rsidRPr="003A3A0B">
        <w:rPr>
          <w:rFonts w:cs="Arial"/>
        </w:rPr>
        <w:t>7</w:t>
      </w:r>
      <w:r w:rsidR="00892FF6" w:rsidRPr="003A3A0B">
        <w:rPr>
          <w:rFonts w:cs="Arial"/>
        </w:rPr>
        <w:t>%</w:t>
      </w:r>
      <w:r w:rsidR="00892FF6" w:rsidRPr="00923942">
        <w:rPr>
          <w:rFonts w:cs="Arial"/>
        </w:rPr>
        <w:t xml:space="preserve"> of our employees are women, moving us closer to </w:t>
      </w:r>
      <w:r w:rsidR="00892FF6" w:rsidRPr="00923942">
        <w:t xml:space="preserve">targets set jointly by industry and </w:t>
      </w:r>
      <w:r w:rsidR="00892FF6">
        <w:t>g</w:t>
      </w:r>
      <w:r w:rsidR="00892FF6" w:rsidRPr="00923942">
        <w:t>overnment in the Nuclear Sector Deal of 40% women in the industry by 2030.</w:t>
      </w:r>
      <w:r w:rsidR="00560F74">
        <w:t xml:space="preserve"> However, a</w:t>
      </w:r>
      <w:r w:rsidR="00057F71">
        <w:t xml:space="preserve">s with the experience reported by other organisations across the nuclear sector, we </w:t>
      </w:r>
      <w:r w:rsidR="001A58E2">
        <w:t>know</w:t>
      </w:r>
      <w:r w:rsidR="00057F71">
        <w:t xml:space="preserve"> that there continues to be a shortage across the UK of young and experienced females working in the fields of science, technology, </w:t>
      </w:r>
      <w:r w:rsidR="00753088">
        <w:t>engineering,</w:t>
      </w:r>
      <w:r w:rsidR="00057F71">
        <w:t xml:space="preserve"> and mathematics (STEM).</w:t>
      </w:r>
      <w:r w:rsidR="001A58E2">
        <w:t xml:space="preserve"> </w:t>
      </w:r>
    </w:p>
    <w:p w14:paraId="294A62E5" w14:textId="77777777" w:rsidR="00641A6C" w:rsidRDefault="00641A6C" w:rsidP="00A72D80"/>
    <w:p w14:paraId="104EAA1E" w14:textId="6E9E9170" w:rsidR="00892FF6" w:rsidRDefault="00CB30BE" w:rsidP="00A72D80">
      <w:r>
        <w:t xml:space="preserve">We are making </w:t>
      </w:r>
      <w:r w:rsidR="00A72D80">
        <w:t xml:space="preserve">determined </w:t>
      </w:r>
      <w:r>
        <w:t>efforts to attract, retain and develop women, particularly through our apprenticeship and graduate training</w:t>
      </w:r>
      <w:r w:rsidR="00A72D80">
        <w:t xml:space="preserve">. </w:t>
      </w:r>
      <w:r w:rsidR="001A58E2">
        <w:t xml:space="preserve">While we </w:t>
      </w:r>
      <w:r w:rsidR="000056B2">
        <w:t>have seen</w:t>
      </w:r>
      <w:r w:rsidR="00892FF6" w:rsidRPr="00923942">
        <w:t xml:space="preserve"> initial success with our Nuclear Engineering Degree Apprentice routes into ONR</w:t>
      </w:r>
      <w:r w:rsidR="000056B2">
        <w:t xml:space="preserve">, </w:t>
      </w:r>
      <w:r w:rsidR="00892FF6" w:rsidRPr="00923942">
        <w:t>it will take time for this to translate into career progression into higher paying positions within the organisation</w:t>
      </w:r>
      <w:r w:rsidR="00892FF6">
        <w:t>,</w:t>
      </w:r>
      <w:r w:rsidR="00892FF6" w:rsidRPr="00923942">
        <w:t xml:space="preserve"> </w:t>
      </w:r>
      <w:r w:rsidR="00892FF6">
        <w:t>m</w:t>
      </w:r>
      <w:r w:rsidR="00892FF6" w:rsidRPr="00923942">
        <w:t xml:space="preserve">eaning that </w:t>
      </w:r>
      <w:r w:rsidR="00892FF6">
        <w:t xml:space="preserve">its impact </w:t>
      </w:r>
      <w:r w:rsidR="00892FF6" w:rsidRPr="00923942">
        <w:t xml:space="preserve">in relation to narrowing the gender pay gap will </w:t>
      </w:r>
      <w:r w:rsidR="00892FF6">
        <w:t xml:space="preserve">only </w:t>
      </w:r>
      <w:r w:rsidR="00892FF6" w:rsidRPr="00923942">
        <w:t>be seen in the longer term.</w:t>
      </w:r>
      <w:r w:rsidR="00770984">
        <w:t xml:space="preserve"> We also need to ensure that we encourage and provide opportunities for the </w:t>
      </w:r>
      <w:r w:rsidR="00AE4040">
        <w:t>progression</w:t>
      </w:r>
      <w:r w:rsidR="00770984">
        <w:t xml:space="preserve"> of existing female staff into our senior positions and will continue a focus on practical and positive ways to do so including through </w:t>
      </w:r>
      <w:r w:rsidR="00AE4040">
        <w:t xml:space="preserve">provision of </w:t>
      </w:r>
      <w:r w:rsidR="00770984">
        <w:t xml:space="preserve">mentoring, leadership development, </w:t>
      </w:r>
      <w:r w:rsidR="00AE4040">
        <w:t>talent and succession planning support and challenging any barriers that hinder this objective.</w:t>
      </w:r>
      <w:r w:rsidR="00770984">
        <w:t xml:space="preserve"> </w:t>
      </w:r>
    </w:p>
    <w:p w14:paraId="2374DB64" w14:textId="77777777" w:rsidR="00892FF6" w:rsidRDefault="00892FF6" w:rsidP="003B393D"/>
    <w:p w14:paraId="7708F838" w14:textId="29014BE0" w:rsidR="00A64A20" w:rsidRDefault="003B393D" w:rsidP="00745E58">
      <w:pPr>
        <w:rPr>
          <w:rFonts w:cs="Arial"/>
          <w:color w:val="000000" w:themeColor="text1"/>
        </w:rPr>
      </w:pPr>
      <w:r>
        <w:t xml:space="preserve">We </w:t>
      </w:r>
      <w:r w:rsidR="00D850FA">
        <w:t>remain</w:t>
      </w:r>
      <w:r w:rsidR="00A64A20">
        <w:t xml:space="preserve"> fully </w:t>
      </w:r>
      <w:r>
        <w:t xml:space="preserve">committed to </w:t>
      </w:r>
      <w:r w:rsidR="00EA0C76">
        <w:t xml:space="preserve">driving change </w:t>
      </w:r>
      <w:r w:rsidR="00393F0C">
        <w:t xml:space="preserve">and </w:t>
      </w:r>
      <w:r>
        <w:t>the actions we have implemented</w:t>
      </w:r>
      <w:r w:rsidR="006E21C2">
        <w:t>,</w:t>
      </w:r>
      <w:r>
        <w:t xml:space="preserve"> are designed to create a more diverse </w:t>
      </w:r>
      <w:r w:rsidR="00D850FA">
        <w:t>and inc</w:t>
      </w:r>
      <w:r w:rsidR="00A64A20">
        <w:t>lusive organisation</w:t>
      </w:r>
      <w:r w:rsidR="007D73CB">
        <w:t>,</w:t>
      </w:r>
      <w:r w:rsidR="00745E58">
        <w:t xml:space="preserve"> and </w:t>
      </w:r>
      <w:r w:rsidR="006E21C2">
        <w:t xml:space="preserve">to help us be </w:t>
      </w:r>
      <w:r w:rsidR="003B744F">
        <w:t xml:space="preserve">more </w:t>
      </w:r>
      <w:r w:rsidR="00A64A20" w:rsidRPr="00827E1E">
        <w:rPr>
          <w:rFonts w:cs="Arial"/>
          <w:color w:val="000000" w:themeColor="text1"/>
        </w:rPr>
        <w:t>reflective of the society we operate</w:t>
      </w:r>
      <w:r w:rsidR="009C214D">
        <w:rPr>
          <w:rFonts w:cs="Arial"/>
          <w:color w:val="000000" w:themeColor="text1"/>
        </w:rPr>
        <w:t xml:space="preserve"> in.</w:t>
      </w:r>
      <w:r w:rsidR="003B744F">
        <w:rPr>
          <w:rFonts w:cs="Arial"/>
          <w:color w:val="000000" w:themeColor="text1"/>
        </w:rPr>
        <w:t xml:space="preserve"> We will </w:t>
      </w:r>
      <w:r w:rsidR="00A64A20" w:rsidRPr="00827E1E">
        <w:rPr>
          <w:rFonts w:cs="Arial"/>
          <w:color w:val="000000" w:themeColor="text1"/>
        </w:rPr>
        <w:t xml:space="preserve">continue to act </w:t>
      </w:r>
      <w:r w:rsidR="00C51C61">
        <w:rPr>
          <w:rFonts w:cs="Arial"/>
          <w:color w:val="000000" w:themeColor="text1"/>
        </w:rPr>
        <w:t xml:space="preserve">through a focused strategy, greater collaboration with others across the sector </w:t>
      </w:r>
      <w:r w:rsidR="00A64A20" w:rsidRPr="00827E1E">
        <w:rPr>
          <w:rFonts w:cs="Arial"/>
          <w:color w:val="000000" w:themeColor="text1"/>
        </w:rPr>
        <w:t xml:space="preserve">and </w:t>
      </w:r>
      <w:r w:rsidR="00F011E8">
        <w:rPr>
          <w:rFonts w:cs="Arial"/>
          <w:color w:val="000000" w:themeColor="text1"/>
        </w:rPr>
        <w:t>th</w:t>
      </w:r>
      <w:r w:rsidR="00234DA1">
        <w:rPr>
          <w:rFonts w:cs="Arial"/>
          <w:color w:val="000000" w:themeColor="text1"/>
        </w:rPr>
        <w:t>r</w:t>
      </w:r>
      <w:r w:rsidR="00F011E8">
        <w:rPr>
          <w:rFonts w:cs="Arial"/>
          <w:color w:val="000000" w:themeColor="text1"/>
        </w:rPr>
        <w:t xml:space="preserve">ough transparent </w:t>
      </w:r>
      <w:r w:rsidR="00A64A20" w:rsidRPr="00827E1E">
        <w:rPr>
          <w:rFonts w:cs="Arial"/>
          <w:color w:val="000000" w:themeColor="text1"/>
        </w:rPr>
        <w:t>report</w:t>
      </w:r>
      <w:r w:rsidR="00F011E8">
        <w:rPr>
          <w:rFonts w:cs="Arial"/>
          <w:color w:val="000000" w:themeColor="text1"/>
        </w:rPr>
        <w:t xml:space="preserve">ing, with the ambition of </w:t>
      </w:r>
      <w:r w:rsidR="007D73CB">
        <w:rPr>
          <w:rFonts w:cs="Arial"/>
          <w:color w:val="000000" w:themeColor="text1"/>
        </w:rPr>
        <w:t>closing the gender pay gap</w:t>
      </w:r>
      <w:r w:rsidR="002D43DD">
        <w:rPr>
          <w:rFonts w:cs="Arial"/>
          <w:color w:val="000000" w:themeColor="text1"/>
        </w:rPr>
        <w:t xml:space="preserve"> and making it a reality.</w:t>
      </w:r>
    </w:p>
    <w:p w14:paraId="6B1987CF" w14:textId="77777777" w:rsidR="00DB5CF6" w:rsidRDefault="00DB5CF6" w:rsidP="00745E58">
      <w:pPr>
        <w:rPr>
          <w:rFonts w:cs="Arial"/>
          <w:color w:val="000000" w:themeColor="text1"/>
        </w:rPr>
      </w:pPr>
    </w:p>
    <w:p w14:paraId="5FEF271D" w14:textId="4849FFE2" w:rsidR="00940BE9" w:rsidRPr="008519A2" w:rsidRDefault="00940BE9" w:rsidP="00CD4FCA">
      <w:pPr>
        <w:rPr>
          <w:rFonts w:cs="Arial"/>
          <w:color w:val="5F497A" w:themeColor="accent4" w:themeShade="BF"/>
        </w:rPr>
      </w:pPr>
      <w:r w:rsidRPr="008519A2">
        <w:rPr>
          <w:rFonts w:cs="Arial"/>
        </w:rPr>
        <w:t>Th</w:t>
      </w:r>
      <w:r w:rsidR="005E0EFE">
        <w:rPr>
          <w:rFonts w:cs="Arial"/>
        </w:rPr>
        <w:t>is</w:t>
      </w:r>
      <w:r w:rsidRPr="008519A2">
        <w:rPr>
          <w:rFonts w:cs="Arial"/>
        </w:rPr>
        <w:t xml:space="preserve"> report highlights the degree of challenge that we face, but we </w:t>
      </w:r>
      <w:r w:rsidR="003D75C3" w:rsidRPr="008519A2">
        <w:rPr>
          <w:rFonts w:cs="Arial"/>
        </w:rPr>
        <w:t xml:space="preserve">are </w:t>
      </w:r>
      <w:r w:rsidR="00417688">
        <w:rPr>
          <w:rFonts w:cs="Arial"/>
        </w:rPr>
        <w:t>steadfast</w:t>
      </w:r>
      <w:r w:rsidR="00E235EB" w:rsidRPr="008519A2">
        <w:rPr>
          <w:rFonts w:cs="Arial"/>
        </w:rPr>
        <w:t xml:space="preserve"> in our </w:t>
      </w:r>
      <w:r w:rsidR="00A91389">
        <w:rPr>
          <w:rFonts w:cs="Arial"/>
        </w:rPr>
        <w:t>resolve</w:t>
      </w:r>
      <w:r w:rsidR="00E235EB" w:rsidRPr="008519A2">
        <w:rPr>
          <w:rFonts w:cs="Arial"/>
        </w:rPr>
        <w:t xml:space="preserve"> to</w:t>
      </w:r>
      <w:r w:rsidRPr="008519A2">
        <w:rPr>
          <w:rFonts w:cs="Arial"/>
        </w:rPr>
        <w:t xml:space="preserve"> improve </w:t>
      </w:r>
      <w:r w:rsidR="00E235EB" w:rsidRPr="008519A2">
        <w:rPr>
          <w:rFonts w:cs="Arial"/>
        </w:rPr>
        <w:t>and to be</w:t>
      </w:r>
      <w:r w:rsidRPr="008519A2">
        <w:rPr>
          <w:rFonts w:cs="Arial"/>
        </w:rPr>
        <w:t xml:space="preserve"> able to meet those challenges.</w:t>
      </w:r>
      <w:r w:rsidR="00D676D9">
        <w:rPr>
          <w:rFonts w:cs="Arial"/>
          <w:color w:val="5F497A" w:themeColor="accent4" w:themeShade="BF"/>
        </w:rPr>
        <w:t xml:space="preserve"> </w:t>
      </w:r>
    </w:p>
    <w:p w14:paraId="676FAC51" w14:textId="77777777" w:rsidR="00446867" w:rsidRPr="008519A2" w:rsidRDefault="00446867" w:rsidP="00940BE9">
      <w:pPr>
        <w:ind w:left="360"/>
        <w:rPr>
          <w:rFonts w:cs="Arial"/>
          <w:b/>
        </w:rPr>
      </w:pPr>
    </w:p>
    <w:p w14:paraId="6427DFBC" w14:textId="77777777" w:rsidR="00D97241" w:rsidRDefault="00940BE9" w:rsidP="00D97241">
      <w:pPr>
        <w:rPr>
          <w:rFonts w:cs="Arial"/>
          <w:b/>
        </w:rPr>
      </w:pPr>
      <w:r w:rsidRPr="008519A2">
        <w:rPr>
          <w:rFonts w:cs="Arial"/>
          <w:b/>
        </w:rPr>
        <w:t>Dave Caton</w:t>
      </w:r>
      <w:r w:rsidR="00D97241">
        <w:rPr>
          <w:rFonts w:cs="Arial"/>
          <w:b/>
        </w:rPr>
        <w:t xml:space="preserve">, </w:t>
      </w:r>
      <w:r w:rsidRPr="008519A2">
        <w:rPr>
          <w:rFonts w:cs="Arial"/>
          <w:b/>
        </w:rPr>
        <w:t>HR Director</w:t>
      </w:r>
    </w:p>
    <w:p w14:paraId="087C8FAA" w14:textId="68BF1C3E" w:rsidR="002D43DD" w:rsidRDefault="00BE0777" w:rsidP="00D97241">
      <w:pPr>
        <w:rPr>
          <w:rFonts w:cs="Arial"/>
          <w:b/>
        </w:rPr>
      </w:pPr>
      <w:r>
        <w:rPr>
          <w:rFonts w:cs="Arial"/>
          <w:b/>
        </w:rPr>
        <w:t>4</w:t>
      </w:r>
      <w:r w:rsidR="00BE7082">
        <w:rPr>
          <w:rFonts w:cs="Arial"/>
          <w:b/>
        </w:rPr>
        <w:t xml:space="preserve"> </w:t>
      </w:r>
      <w:r w:rsidR="004B64B4">
        <w:rPr>
          <w:rFonts w:cs="Arial"/>
          <w:b/>
        </w:rPr>
        <w:t>December</w:t>
      </w:r>
      <w:r w:rsidR="004B64B4" w:rsidRPr="008519A2">
        <w:rPr>
          <w:rFonts w:cs="Arial"/>
          <w:b/>
        </w:rPr>
        <w:t xml:space="preserve"> </w:t>
      </w:r>
      <w:r w:rsidR="00FC781C">
        <w:rPr>
          <w:rFonts w:cs="Arial"/>
          <w:b/>
        </w:rPr>
        <w:t>2023</w:t>
      </w:r>
    </w:p>
    <w:p w14:paraId="54095551" w14:textId="77777777" w:rsidR="00120FA6" w:rsidRDefault="00120FA6" w:rsidP="00BE0777">
      <w:pPr>
        <w:pStyle w:val="Number"/>
        <w:spacing w:line="360" w:lineRule="auto"/>
        <w:rPr>
          <w:rFonts w:cs="Arial"/>
          <w:b/>
          <w:sz w:val="28"/>
          <w:szCs w:val="28"/>
        </w:rPr>
      </w:pPr>
    </w:p>
    <w:p w14:paraId="3F2524FB" w14:textId="76CDE64F" w:rsidR="00CB68EA" w:rsidRDefault="00CB68EA" w:rsidP="00BE0777">
      <w:pPr>
        <w:pStyle w:val="Number"/>
        <w:spacing w:line="360" w:lineRule="auto"/>
        <w:rPr>
          <w:rFonts w:cs="Arial"/>
          <w:b/>
          <w:sz w:val="28"/>
          <w:szCs w:val="28"/>
        </w:rPr>
      </w:pPr>
      <w:r>
        <w:rPr>
          <w:rFonts w:cs="Arial"/>
          <w:b/>
          <w:sz w:val="28"/>
          <w:szCs w:val="28"/>
        </w:rPr>
        <w:lastRenderedPageBreak/>
        <w:t>G</w:t>
      </w:r>
      <w:r w:rsidR="002C3663">
        <w:rPr>
          <w:rFonts w:cs="Arial"/>
          <w:b/>
          <w:sz w:val="28"/>
          <w:szCs w:val="28"/>
        </w:rPr>
        <w:t>ender Pay Gap Report</w:t>
      </w:r>
    </w:p>
    <w:p w14:paraId="5FEF2727" w14:textId="353EA3F8" w:rsidR="00940BE9" w:rsidRPr="0000180A" w:rsidRDefault="00204D3C" w:rsidP="00BE0777">
      <w:pPr>
        <w:pStyle w:val="Number"/>
        <w:spacing w:line="360" w:lineRule="auto"/>
        <w:rPr>
          <w:rFonts w:cs="Arial"/>
          <w:b/>
        </w:rPr>
      </w:pPr>
      <w:r w:rsidRPr="0000180A">
        <w:rPr>
          <w:rFonts w:cs="Arial"/>
          <w:b/>
        </w:rPr>
        <w:t>Introduction</w:t>
      </w:r>
    </w:p>
    <w:p w14:paraId="5FEF272A" w14:textId="625A23F9" w:rsidR="006B533A" w:rsidRPr="008519A2" w:rsidRDefault="00940BE9" w:rsidP="00940BE9">
      <w:pPr>
        <w:rPr>
          <w:rFonts w:cs="Arial"/>
        </w:rPr>
      </w:pPr>
      <w:r w:rsidRPr="008519A2">
        <w:rPr>
          <w:rFonts w:cs="Arial"/>
          <w:color w:val="000000"/>
        </w:rPr>
        <w:t>This is the Office for Nuclear Regulation’s</w:t>
      </w:r>
      <w:r w:rsidR="006A3EF2" w:rsidRPr="008519A2">
        <w:rPr>
          <w:rFonts w:cs="Arial"/>
          <w:color w:val="000000"/>
        </w:rPr>
        <w:t xml:space="preserve"> </w:t>
      </w:r>
      <w:r w:rsidRPr="008519A2">
        <w:rPr>
          <w:rFonts w:cs="Arial"/>
          <w:color w:val="000000"/>
        </w:rPr>
        <w:t xml:space="preserve">(ONR) </w:t>
      </w:r>
      <w:r w:rsidR="009529B9">
        <w:rPr>
          <w:rFonts w:cs="Arial"/>
          <w:color w:val="000000"/>
        </w:rPr>
        <w:t>seventh</w:t>
      </w:r>
      <w:r w:rsidRPr="008519A2">
        <w:rPr>
          <w:rFonts w:cs="Arial"/>
          <w:color w:val="000000"/>
        </w:rPr>
        <w:t xml:space="preserve"> Gender Pay Report</w:t>
      </w:r>
      <w:r w:rsidRPr="008519A2">
        <w:rPr>
          <w:rFonts w:cs="Arial"/>
        </w:rPr>
        <w:t>.</w:t>
      </w:r>
      <w:r w:rsidR="00D676D9">
        <w:rPr>
          <w:rFonts w:cs="Arial"/>
        </w:rPr>
        <w:t xml:space="preserve"> </w:t>
      </w:r>
      <w:r w:rsidRPr="008519A2">
        <w:rPr>
          <w:rFonts w:cs="Arial"/>
        </w:rPr>
        <w:t>It is based on a snapshot of the pay of all O</w:t>
      </w:r>
      <w:r w:rsidR="00C349B5" w:rsidRPr="008519A2">
        <w:rPr>
          <w:rFonts w:cs="Arial"/>
        </w:rPr>
        <w:t xml:space="preserve">NR employees as </w:t>
      </w:r>
      <w:r w:rsidR="0055409D" w:rsidRPr="008519A2">
        <w:rPr>
          <w:rFonts w:cs="Arial"/>
        </w:rPr>
        <w:t>of</w:t>
      </w:r>
      <w:r w:rsidR="00C349B5" w:rsidRPr="008519A2">
        <w:rPr>
          <w:rFonts w:cs="Arial"/>
        </w:rPr>
        <w:t xml:space="preserve"> 31 March 20</w:t>
      </w:r>
      <w:r w:rsidR="0048731E" w:rsidRPr="008519A2">
        <w:rPr>
          <w:rFonts w:cs="Arial"/>
        </w:rPr>
        <w:t>2</w:t>
      </w:r>
      <w:r w:rsidR="00D1582B">
        <w:rPr>
          <w:rFonts w:cs="Arial"/>
        </w:rPr>
        <w:t>3</w:t>
      </w:r>
      <w:r w:rsidRPr="008519A2">
        <w:rPr>
          <w:rFonts w:cs="Arial"/>
        </w:rPr>
        <w:t>, as well as annual payments and bonuses paid between 1 April 20</w:t>
      </w:r>
      <w:r w:rsidR="00131C70" w:rsidRPr="008519A2">
        <w:rPr>
          <w:rFonts w:cs="Arial"/>
        </w:rPr>
        <w:t>2</w:t>
      </w:r>
      <w:r w:rsidR="00D1582B">
        <w:rPr>
          <w:rFonts w:cs="Arial"/>
        </w:rPr>
        <w:t>2</w:t>
      </w:r>
      <w:r w:rsidR="00C349B5" w:rsidRPr="008519A2">
        <w:rPr>
          <w:rFonts w:cs="Arial"/>
        </w:rPr>
        <w:t xml:space="preserve"> and 31 March 20</w:t>
      </w:r>
      <w:r w:rsidR="0048731E" w:rsidRPr="008519A2">
        <w:rPr>
          <w:rFonts w:cs="Arial"/>
        </w:rPr>
        <w:t>2</w:t>
      </w:r>
      <w:r w:rsidR="00D1582B">
        <w:rPr>
          <w:rFonts w:cs="Arial"/>
        </w:rPr>
        <w:t>3</w:t>
      </w:r>
      <w:r w:rsidR="00B21659">
        <w:rPr>
          <w:rFonts w:cs="Arial"/>
        </w:rPr>
        <w:t>.</w:t>
      </w:r>
    </w:p>
    <w:p w14:paraId="5FEF272B" w14:textId="29908BAD" w:rsidR="00940BE9" w:rsidRPr="008519A2" w:rsidRDefault="00D676D9" w:rsidP="00940BE9">
      <w:pPr>
        <w:rPr>
          <w:rFonts w:cs="Arial"/>
        </w:rPr>
      </w:pPr>
      <w:r>
        <w:rPr>
          <w:rFonts w:cs="Arial"/>
        </w:rPr>
        <w:t xml:space="preserve"> </w:t>
      </w:r>
    </w:p>
    <w:p w14:paraId="5FEF272C" w14:textId="3734D76F" w:rsidR="00940BE9" w:rsidRPr="008519A2" w:rsidRDefault="00940BE9" w:rsidP="00940BE9">
      <w:pPr>
        <w:rPr>
          <w:rFonts w:cs="Arial"/>
        </w:rPr>
      </w:pPr>
      <w:r w:rsidRPr="008519A2">
        <w:rPr>
          <w:rFonts w:cs="Arial"/>
        </w:rPr>
        <w:t>Th</w:t>
      </w:r>
      <w:r w:rsidR="009A7E86">
        <w:rPr>
          <w:rFonts w:cs="Arial"/>
        </w:rPr>
        <w:t>is</w:t>
      </w:r>
      <w:r w:rsidRPr="008519A2">
        <w:rPr>
          <w:rFonts w:cs="Arial"/>
        </w:rPr>
        <w:t xml:space="preserve"> report has been produced in line </w:t>
      </w:r>
      <w:r w:rsidR="00633680" w:rsidRPr="008519A2">
        <w:rPr>
          <w:rFonts w:cs="Arial"/>
        </w:rPr>
        <w:t xml:space="preserve">with </w:t>
      </w:r>
      <w:r w:rsidRPr="008519A2">
        <w:rPr>
          <w:rFonts w:cs="Arial"/>
        </w:rPr>
        <w:t>the guidance in the Equalities Act 2010 and associated A</w:t>
      </w:r>
      <w:r w:rsidR="00B500FC">
        <w:rPr>
          <w:rFonts w:cs="Arial"/>
        </w:rPr>
        <w:t xml:space="preserve">dvisory, </w:t>
      </w:r>
      <w:r w:rsidRPr="008519A2">
        <w:rPr>
          <w:rFonts w:cs="Arial"/>
        </w:rPr>
        <w:t>C</w:t>
      </w:r>
      <w:r w:rsidR="00B500FC">
        <w:rPr>
          <w:rFonts w:cs="Arial"/>
        </w:rPr>
        <w:t xml:space="preserve">onciliation &amp; </w:t>
      </w:r>
      <w:r w:rsidRPr="008519A2">
        <w:rPr>
          <w:rFonts w:cs="Arial"/>
        </w:rPr>
        <w:t>A</w:t>
      </w:r>
      <w:r w:rsidR="00B500FC">
        <w:rPr>
          <w:rFonts w:cs="Arial"/>
        </w:rPr>
        <w:t xml:space="preserve">rbitration </w:t>
      </w:r>
      <w:r w:rsidRPr="008519A2">
        <w:rPr>
          <w:rFonts w:cs="Arial"/>
        </w:rPr>
        <w:t>S</w:t>
      </w:r>
      <w:r w:rsidR="00B500FC">
        <w:rPr>
          <w:rFonts w:cs="Arial"/>
        </w:rPr>
        <w:t xml:space="preserve">ervice (ACAS) </w:t>
      </w:r>
      <w:r w:rsidRPr="008519A2">
        <w:rPr>
          <w:rFonts w:cs="Arial"/>
        </w:rPr>
        <w:t>guidance “Mana</w:t>
      </w:r>
      <w:r w:rsidR="00C349B5" w:rsidRPr="008519A2">
        <w:rPr>
          <w:rFonts w:cs="Arial"/>
        </w:rPr>
        <w:t>ging gender pay reporting”, February 2019</w:t>
      </w:r>
      <w:r w:rsidRPr="008519A2">
        <w:rPr>
          <w:rFonts w:cs="Arial"/>
        </w:rPr>
        <w:t>.</w:t>
      </w:r>
    </w:p>
    <w:p w14:paraId="5FEF272D" w14:textId="77777777" w:rsidR="006B533A" w:rsidRPr="008519A2" w:rsidRDefault="006B533A" w:rsidP="00940BE9">
      <w:pPr>
        <w:rPr>
          <w:rFonts w:cs="Arial"/>
        </w:rPr>
      </w:pPr>
    </w:p>
    <w:p w14:paraId="5FEF272E" w14:textId="77777777" w:rsidR="00940BE9" w:rsidRPr="008519A2" w:rsidRDefault="00940BE9" w:rsidP="00940BE9">
      <w:pPr>
        <w:pStyle w:val="Number"/>
        <w:spacing w:line="360" w:lineRule="auto"/>
        <w:ind w:left="0" w:firstLine="0"/>
        <w:rPr>
          <w:rFonts w:cs="Arial"/>
          <w:color w:val="000000"/>
        </w:rPr>
      </w:pPr>
      <w:r w:rsidRPr="008519A2">
        <w:rPr>
          <w:rFonts w:cs="Arial"/>
          <w:b/>
          <w:color w:val="000000"/>
        </w:rPr>
        <w:t>Why do we have to report on our gender pay gap?</w:t>
      </w:r>
    </w:p>
    <w:p w14:paraId="5FEF272F" w14:textId="427BFF22" w:rsidR="00940BE9" w:rsidRPr="008519A2" w:rsidRDefault="00940BE9" w:rsidP="00940BE9">
      <w:pPr>
        <w:pStyle w:val="Number"/>
        <w:ind w:left="0" w:firstLine="0"/>
        <w:rPr>
          <w:rFonts w:eastAsia="Calibri" w:cs="Arial"/>
          <w:lang w:eastAsia="en-US"/>
        </w:rPr>
      </w:pPr>
      <w:r w:rsidRPr="008519A2">
        <w:rPr>
          <w:rFonts w:eastAsia="Calibri" w:cs="Arial"/>
          <w:lang w:eastAsia="en-US"/>
        </w:rPr>
        <w:t>The Equalities Act 2010 (Specific Duties and Public Authorities) came into force on 6 April 2017 and requires public sector organisations to publish their results against six prescribed indicators of gender pay equality.</w:t>
      </w:r>
      <w:r w:rsidR="00D676D9">
        <w:rPr>
          <w:rFonts w:eastAsia="Calibri" w:cs="Arial"/>
          <w:lang w:eastAsia="en-US"/>
        </w:rPr>
        <w:t xml:space="preserve"> </w:t>
      </w:r>
    </w:p>
    <w:p w14:paraId="5FEF2730" w14:textId="1BA47925" w:rsidR="00940BE9" w:rsidRPr="008519A2" w:rsidRDefault="00940BE9" w:rsidP="00940BE9">
      <w:pPr>
        <w:pStyle w:val="Number"/>
        <w:ind w:left="0" w:firstLine="0"/>
        <w:rPr>
          <w:rFonts w:eastAsia="Calibri" w:cs="Arial"/>
          <w:lang w:eastAsia="en-US"/>
        </w:rPr>
      </w:pPr>
      <w:r w:rsidRPr="008519A2">
        <w:rPr>
          <w:rFonts w:eastAsia="Calibri" w:cs="Arial"/>
          <w:lang w:eastAsia="en-US"/>
        </w:rPr>
        <w:t xml:space="preserve">As an organisation we </w:t>
      </w:r>
      <w:r w:rsidR="00633680" w:rsidRPr="008519A2">
        <w:rPr>
          <w:rFonts w:eastAsia="Calibri" w:cs="Arial"/>
          <w:lang w:eastAsia="en-US"/>
        </w:rPr>
        <w:t>are</w:t>
      </w:r>
      <w:r w:rsidRPr="008519A2">
        <w:rPr>
          <w:rFonts w:eastAsia="Calibri" w:cs="Arial"/>
          <w:lang w:eastAsia="en-US"/>
        </w:rPr>
        <w:t xml:space="preserve"> interested in this information as we strive to build greater equality across a more diverse and inclusive workforce. This is in line with our</w:t>
      </w:r>
      <w:r w:rsidR="00DF1364">
        <w:rPr>
          <w:rFonts w:eastAsia="Calibri" w:cs="Arial"/>
          <w:lang w:eastAsia="en-US"/>
        </w:rPr>
        <w:t xml:space="preserve"> </w:t>
      </w:r>
      <w:r w:rsidR="00DF1364" w:rsidRPr="008519A2">
        <w:rPr>
          <w:rFonts w:eastAsia="Calibri" w:cs="Arial"/>
          <w:lang w:eastAsia="en-US"/>
        </w:rPr>
        <w:t xml:space="preserve">People </w:t>
      </w:r>
      <w:r w:rsidR="00DF1364" w:rsidRPr="001F087B">
        <w:rPr>
          <w:rFonts w:eastAsia="Calibri" w:cs="Arial"/>
          <w:lang w:eastAsia="en-US"/>
        </w:rPr>
        <w:t xml:space="preserve">Strategy </w:t>
      </w:r>
      <w:r w:rsidR="00DF1364" w:rsidRPr="001F087B">
        <w:rPr>
          <w:rFonts w:cs="Arial"/>
          <w:color w:val="000000" w:themeColor="text1"/>
        </w:rPr>
        <w:t xml:space="preserve">2025 and ONR’s </w:t>
      </w:r>
      <w:r w:rsidR="00DF1364" w:rsidRPr="001F087B">
        <w:rPr>
          <w:rFonts w:eastAsia="Calibri" w:cs="Arial"/>
          <w:lang w:eastAsia="en-US"/>
        </w:rPr>
        <w:t>organisational values (fair, open-minded, supportive, accountable). W</w:t>
      </w:r>
      <w:r w:rsidR="009858F8" w:rsidRPr="001F087B">
        <w:rPr>
          <w:rFonts w:eastAsia="Calibri" w:cs="Arial"/>
          <w:lang w:eastAsia="en-US"/>
        </w:rPr>
        <w:t>e are</w:t>
      </w:r>
      <w:r w:rsidR="009858F8" w:rsidRPr="008519A2">
        <w:rPr>
          <w:rFonts w:eastAsia="Calibri" w:cs="Arial"/>
          <w:lang w:eastAsia="en-US"/>
        </w:rPr>
        <w:t xml:space="preserve"> committed to our aim </w:t>
      </w:r>
      <w:r w:rsidRPr="008519A2">
        <w:rPr>
          <w:rFonts w:eastAsia="Calibri" w:cs="Arial"/>
          <w:lang w:eastAsia="en-US"/>
        </w:rPr>
        <w:t xml:space="preserve">of making ONR a great place to work </w:t>
      </w:r>
      <w:r w:rsidR="00BC29FD" w:rsidRPr="008519A2">
        <w:rPr>
          <w:rFonts w:eastAsia="Calibri" w:cs="Arial"/>
          <w:lang w:eastAsia="en-US"/>
        </w:rPr>
        <w:t xml:space="preserve">as </w:t>
      </w:r>
      <w:r w:rsidR="009858F8" w:rsidRPr="008519A2">
        <w:rPr>
          <w:rFonts w:eastAsia="Calibri" w:cs="Arial"/>
          <w:lang w:eastAsia="en-US"/>
        </w:rPr>
        <w:t xml:space="preserve">is </w:t>
      </w:r>
      <w:r w:rsidRPr="008519A2">
        <w:rPr>
          <w:rFonts w:eastAsia="Calibri" w:cs="Arial"/>
          <w:lang w:eastAsia="en-US"/>
        </w:rPr>
        <w:t>to be expected of us as a world class regulator.</w:t>
      </w:r>
      <w:r w:rsidR="00D676D9">
        <w:rPr>
          <w:rFonts w:eastAsia="Calibri" w:cs="Arial"/>
          <w:lang w:eastAsia="en-US"/>
        </w:rPr>
        <w:t xml:space="preserve"> </w:t>
      </w:r>
    </w:p>
    <w:p w14:paraId="5FEF2731" w14:textId="11E668BB" w:rsidR="00940BE9" w:rsidRPr="008519A2" w:rsidRDefault="00940BE9" w:rsidP="00940BE9">
      <w:pPr>
        <w:pStyle w:val="Number"/>
        <w:ind w:left="0" w:firstLine="0"/>
        <w:rPr>
          <w:rFonts w:eastAsia="Calibri" w:cs="Arial"/>
          <w:lang w:eastAsia="en-US"/>
        </w:rPr>
      </w:pPr>
      <w:r w:rsidRPr="008519A2">
        <w:rPr>
          <w:rFonts w:eastAsia="Calibri" w:cs="Arial"/>
          <w:lang w:eastAsia="en-US"/>
        </w:rPr>
        <w:t xml:space="preserve">This report helps us to better understand and focus on the issues, holding ourselves to account as we plan actions </w:t>
      </w:r>
      <w:r w:rsidRPr="001F087B">
        <w:rPr>
          <w:rFonts w:eastAsia="Calibri" w:cs="Arial"/>
          <w:lang w:eastAsia="en-US"/>
        </w:rPr>
        <w:t xml:space="preserve">to </w:t>
      </w:r>
      <w:r w:rsidR="00DF1364" w:rsidRPr="001F087B">
        <w:rPr>
          <w:rFonts w:eastAsia="Calibri" w:cs="Arial"/>
          <w:lang w:eastAsia="en-US"/>
        </w:rPr>
        <w:t>continue</w:t>
      </w:r>
      <w:r w:rsidR="00DF1364">
        <w:rPr>
          <w:rFonts w:eastAsia="Calibri" w:cs="Arial"/>
          <w:lang w:eastAsia="en-US"/>
        </w:rPr>
        <w:t xml:space="preserve"> to </w:t>
      </w:r>
      <w:r w:rsidRPr="008519A2">
        <w:rPr>
          <w:rFonts w:eastAsia="Calibri" w:cs="Arial"/>
          <w:lang w:eastAsia="en-US"/>
        </w:rPr>
        <w:t>improve on our current position.</w:t>
      </w:r>
      <w:r w:rsidR="00D676D9">
        <w:rPr>
          <w:rFonts w:eastAsia="Calibri" w:cs="Arial"/>
          <w:lang w:eastAsia="en-US"/>
        </w:rPr>
        <w:t xml:space="preserve"> </w:t>
      </w:r>
    </w:p>
    <w:p w14:paraId="5FEF2732" w14:textId="77777777" w:rsidR="00940BE9" w:rsidRPr="008519A2" w:rsidRDefault="00940BE9" w:rsidP="00940BE9">
      <w:pPr>
        <w:pStyle w:val="Number"/>
        <w:spacing w:line="360" w:lineRule="auto"/>
        <w:ind w:left="0" w:firstLine="0"/>
        <w:rPr>
          <w:rFonts w:cs="Arial"/>
          <w:color w:val="000000"/>
        </w:rPr>
      </w:pPr>
      <w:r w:rsidRPr="008519A2">
        <w:rPr>
          <w:rFonts w:cs="Arial"/>
          <w:b/>
          <w:color w:val="000000"/>
        </w:rPr>
        <w:t>What do we have to report about our gender pay gap?</w:t>
      </w:r>
    </w:p>
    <w:p w14:paraId="49402360" w14:textId="013990E0" w:rsidR="00DF1364" w:rsidRDefault="009858F8" w:rsidP="00940BE9">
      <w:pPr>
        <w:pStyle w:val="Number"/>
        <w:ind w:left="0" w:firstLine="0"/>
        <w:rPr>
          <w:rFonts w:eastAsia="Calibri" w:cs="Arial"/>
          <w:lang w:eastAsia="en-US"/>
        </w:rPr>
      </w:pPr>
      <w:r w:rsidRPr="008519A2">
        <w:rPr>
          <w:rFonts w:eastAsia="Calibri" w:cs="Arial"/>
          <w:lang w:eastAsia="en-US"/>
        </w:rPr>
        <w:t>We need to report against six prescribed organisation-wide indicators to show the difference between the average earnings of men and women in the organisation</w:t>
      </w:r>
      <w:r w:rsidRPr="001F087B">
        <w:rPr>
          <w:rFonts w:eastAsia="Calibri" w:cs="Arial"/>
          <w:lang w:eastAsia="en-US"/>
        </w:rPr>
        <w:t>.</w:t>
      </w:r>
      <w:r w:rsidR="005E3452" w:rsidRPr="001F087B">
        <w:rPr>
          <w:rFonts w:eastAsia="Calibri" w:cs="Arial"/>
          <w:lang w:eastAsia="en-US"/>
        </w:rPr>
        <w:t xml:space="preserve"> T</w:t>
      </w:r>
      <w:r w:rsidR="00DF1364" w:rsidRPr="001F087B">
        <w:rPr>
          <w:rFonts w:eastAsia="Calibri" w:cs="Arial"/>
          <w:lang w:eastAsia="en-US"/>
        </w:rPr>
        <w:t xml:space="preserve">o support with the understanding of the gender pay gap </w:t>
      </w:r>
      <w:r w:rsidR="005E3452" w:rsidRPr="001F087B">
        <w:rPr>
          <w:rFonts w:eastAsia="Calibri" w:cs="Arial"/>
          <w:lang w:eastAsia="en-US"/>
        </w:rPr>
        <w:t>in a</w:t>
      </w:r>
      <w:r w:rsidR="00DF1364" w:rsidRPr="001F087B">
        <w:rPr>
          <w:rFonts w:eastAsia="Calibri" w:cs="Arial"/>
          <w:lang w:eastAsia="en-US"/>
        </w:rPr>
        <w:t xml:space="preserve"> broader organisational context</w:t>
      </w:r>
      <w:r w:rsidR="005E3452" w:rsidRPr="001F087B">
        <w:rPr>
          <w:rFonts w:eastAsia="Calibri" w:cs="Arial"/>
          <w:lang w:eastAsia="en-US"/>
        </w:rPr>
        <w:t>, we have included additional information on our progress and the sector</w:t>
      </w:r>
      <w:r w:rsidR="00A23046">
        <w:rPr>
          <w:rFonts w:eastAsia="Calibri" w:cs="Arial"/>
          <w:lang w:eastAsia="en-US"/>
        </w:rPr>
        <w:t>-</w:t>
      </w:r>
      <w:r w:rsidR="005E3452" w:rsidRPr="001F087B">
        <w:rPr>
          <w:rFonts w:eastAsia="Calibri" w:cs="Arial"/>
          <w:lang w:eastAsia="en-US"/>
        </w:rPr>
        <w:t>specific influences.</w:t>
      </w:r>
    </w:p>
    <w:p w14:paraId="5FEF2734" w14:textId="77777777" w:rsidR="00940BE9" w:rsidRPr="008519A2" w:rsidRDefault="00940BE9" w:rsidP="00940BE9">
      <w:pPr>
        <w:pStyle w:val="Number"/>
        <w:spacing w:line="360" w:lineRule="auto"/>
        <w:ind w:left="0" w:firstLine="0"/>
        <w:rPr>
          <w:rFonts w:cs="Arial"/>
          <w:b/>
          <w:color w:val="000000"/>
        </w:rPr>
      </w:pPr>
      <w:r w:rsidRPr="008519A2">
        <w:rPr>
          <w:rFonts w:cs="Arial"/>
          <w:b/>
          <w:color w:val="000000"/>
        </w:rPr>
        <w:t>When and how do we have to publish the information?</w:t>
      </w:r>
    </w:p>
    <w:p w14:paraId="5FEF2735" w14:textId="45FB5EDB" w:rsidR="00BC29FD" w:rsidRPr="008519A2" w:rsidRDefault="00BC29FD" w:rsidP="00BC29FD">
      <w:pPr>
        <w:pStyle w:val="Number"/>
        <w:spacing w:after="0"/>
        <w:ind w:left="0" w:firstLine="0"/>
        <w:rPr>
          <w:rFonts w:eastAsia="Calibri" w:cs="Arial"/>
          <w:lang w:eastAsia="en-US"/>
        </w:rPr>
      </w:pPr>
      <w:r w:rsidRPr="008519A2">
        <w:rPr>
          <w:rFonts w:eastAsia="Calibri" w:cs="Arial"/>
          <w:lang w:eastAsia="en-US"/>
        </w:rPr>
        <w:t>We are publishing ONR’s gender pay gap results through this report. This report contains background context to the results as well as plans to address issues relating to the gender pay gap.</w:t>
      </w:r>
    </w:p>
    <w:p w14:paraId="5FEF2736" w14:textId="77777777" w:rsidR="00BC29FD" w:rsidRPr="008519A2" w:rsidRDefault="00BC29FD" w:rsidP="00BC29FD">
      <w:pPr>
        <w:pStyle w:val="Number"/>
        <w:spacing w:after="0"/>
        <w:ind w:left="0" w:firstLine="0"/>
        <w:rPr>
          <w:rFonts w:eastAsia="Calibri" w:cs="Arial"/>
          <w:lang w:eastAsia="en-US"/>
        </w:rPr>
      </w:pPr>
    </w:p>
    <w:p w14:paraId="5FEF2737" w14:textId="3666C08E" w:rsidR="00BC29FD" w:rsidRPr="008519A2" w:rsidRDefault="0085790B" w:rsidP="00BC29FD">
      <w:pPr>
        <w:pStyle w:val="Number"/>
        <w:spacing w:after="0"/>
        <w:ind w:left="0" w:firstLine="0"/>
        <w:rPr>
          <w:rFonts w:eastAsia="Calibri" w:cs="Arial"/>
          <w:lang w:eastAsia="en-US"/>
        </w:rPr>
      </w:pPr>
      <w:r w:rsidRPr="008519A2">
        <w:rPr>
          <w:rFonts w:eastAsia="Calibri" w:cs="Arial"/>
          <w:lang w:eastAsia="en-US"/>
        </w:rPr>
        <w:t>T</w:t>
      </w:r>
      <w:r w:rsidR="00BC29FD" w:rsidRPr="008519A2">
        <w:rPr>
          <w:rFonts w:eastAsia="Calibri" w:cs="Arial"/>
          <w:lang w:eastAsia="en-US"/>
        </w:rPr>
        <w:t>he prescribed gender pay gap indicators have also been uploaded to</w:t>
      </w:r>
      <w:hyperlink r:id="rId16" w:history="1">
        <w:r w:rsidR="00BE43AC" w:rsidRPr="00BE43AC">
          <w:rPr>
            <w:rStyle w:val="Hyperlink"/>
            <w:rFonts w:eastAsia="Calibri" w:cs="Arial"/>
            <w:lang w:eastAsia="en-US"/>
          </w:rPr>
          <w:t>.GOV.UK</w:t>
        </w:r>
      </w:hyperlink>
      <w:r w:rsidR="00BE43AC">
        <w:rPr>
          <w:rFonts w:eastAsia="Calibri" w:cs="Arial"/>
          <w:lang w:eastAsia="en-US"/>
        </w:rPr>
        <w:t xml:space="preserve"> </w:t>
      </w:r>
    </w:p>
    <w:p w14:paraId="5FEF2738" w14:textId="77777777" w:rsidR="00BC29FD" w:rsidRPr="008519A2" w:rsidRDefault="00BC29FD" w:rsidP="006B533A">
      <w:pPr>
        <w:pStyle w:val="Number"/>
        <w:spacing w:after="0"/>
        <w:ind w:left="0" w:firstLine="0"/>
        <w:rPr>
          <w:rFonts w:cs="Arial"/>
        </w:rPr>
      </w:pPr>
    </w:p>
    <w:p w14:paraId="5FEF273D" w14:textId="77777777" w:rsidR="00940BE9" w:rsidRPr="008519A2" w:rsidRDefault="00940BE9" w:rsidP="00940BE9">
      <w:pPr>
        <w:pStyle w:val="Number"/>
        <w:spacing w:line="360" w:lineRule="auto"/>
        <w:ind w:left="0" w:firstLine="0"/>
        <w:rPr>
          <w:rFonts w:cs="Arial"/>
          <w:b/>
        </w:rPr>
      </w:pPr>
      <w:r w:rsidRPr="008519A2">
        <w:rPr>
          <w:rFonts w:cs="Arial"/>
          <w:b/>
        </w:rPr>
        <w:t xml:space="preserve">What do we have to report? </w:t>
      </w:r>
    </w:p>
    <w:p w14:paraId="5FEF273E" w14:textId="0046A820" w:rsidR="00940BE9" w:rsidRPr="008519A2" w:rsidRDefault="00940BE9" w:rsidP="006B533A">
      <w:pPr>
        <w:rPr>
          <w:rFonts w:cs="Arial"/>
        </w:rPr>
      </w:pPr>
      <w:r w:rsidRPr="008519A2">
        <w:rPr>
          <w:rFonts w:cs="Arial"/>
        </w:rPr>
        <w:t xml:space="preserve">The legislation requires ONR to report </w:t>
      </w:r>
      <w:r w:rsidR="00A755D6" w:rsidRPr="008519A2">
        <w:rPr>
          <w:rFonts w:cs="Arial"/>
        </w:rPr>
        <w:t xml:space="preserve">against </w:t>
      </w:r>
      <w:r w:rsidRPr="008519A2">
        <w:rPr>
          <w:rFonts w:cs="Arial"/>
        </w:rPr>
        <w:t>the following prescribed organisation-wide ge</w:t>
      </w:r>
      <w:r w:rsidR="00C349B5" w:rsidRPr="008519A2">
        <w:rPr>
          <w:rFonts w:cs="Arial"/>
        </w:rPr>
        <w:t>nder pay gap indicators for 20</w:t>
      </w:r>
      <w:r w:rsidR="007248D9" w:rsidRPr="008519A2">
        <w:rPr>
          <w:rFonts w:cs="Arial"/>
        </w:rPr>
        <w:t>2</w:t>
      </w:r>
      <w:r w:rsidR="00DF7985">
        <w:rPr>
          <w:rFonts w:cs="Arial"/>
        </w:rPr>
        <w:t>2/23</w:t>
      </w:r>
      <w:r w:rsidR="008200C1">
        <w:rPr>
          <w:rFonts w:cs="Arial"/>
        </w:rPr>
        <w:t>.</w:t>
      </w:r>
    </w:p>
    <w:p w14:paraId="5FEF273F" w14:textId="77777777" w:rsidR="006A3EF2" w:rsidRPr="008519A2" w:rsidRDefault="006A3EF2" w:rsidP="006B533A">
      <w:pPr>
        <w:rPr>
          <w:rFonts w:cs="Arial"/>
        </w:rPr>
      </w:pPr>
    </w:p>
    <w:p w14:paraId="209DF9C4" w14:textId="77777777" w:rsidR="009B1153" w:rsidRPr="008519A2" w:rsidRDefault="009B1153" w:rsidP="009B1153">
      <w:pPr>
        <w:rPr>
          <w:rFonts w:cs="Arial"/>
        </w:rPr>
      </w:pPr>
    </w:p>
    <w:tbl>
      <w:tblPr>
        <w:tblW w:w="9621" w:type="dxa"/>
        <w:tblInd w:w="-15" w:type="dxa"/>
        <w:tblCellMar>
          <w:left w:w="0" w:type="dxa"/>
          <w:right w:w="0" w:type="dxa"/>
        </w:tblCellMar>
        <w:tblLook w:val="04A0" w:firstRow="1" w:lastRow="0" w:firstColumn="1" w:lastColumn="0" w:noHBand="0" w:noVBand="1"/>
      </w:tblPr>
      <w:tblGrid>
        <w:gridCol w:w="3211"/>
        <w:gridCol w:w="3205"/>
        <w:gridCol w:w="3205"/>
      </w:tblGrid>
      <w:tr w:rsidR="009B1153" w14:paraId="2D2742A5" w14:textId="77777777" w:rsidTr="00F31CA2">
        <w:trPr>
          <w:trHeight w:val="1140"/>
        </w:trPr>
        <w:tc>
          <w:tcPr>
            <w:tcW w:w="321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8393BD" w14:textId="614001B7" w:rsidR="009B1153" w:rsidRPr="000A1EF7" w:rsidRDefault="009F1BC1" w:rsidP="00F31CA2">
            <w:pPr>
              <w:jc w:val="center"/>
              <w:rPr>
                <w:rFonts w:eastAsiaTheme="minorHAnsi" w:cs="Arial"/>
                <w:b/>
                <w:bCs/>
                <w:color w:val="000000"/>
              </w:rPr>
            </w:pPr>
            <w:r>
              <w:rPr>
                <w:rFonts w:eastAsiaTheme="minorHAnsi" w:cs="Arial"/>
                <w:b/>
                <w:bCs/>
                <w:color w:val="000000"/>
              </w:rPr>
              <w:lastRenderedPageBreak/>
              <w:t>Mean gap</w:t>
            </w:r>
          </w:p>
        </w:tc>
        <w:tc>
          <w:tcPr>
            <w:tcW w:w="32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DC7BB10" w14:textId="77777777" w:rsidR="009B1153" w:rsidRPr="000A1EF7" w:rsidRDefault="009B1153" w:rsidP="00F31CA2">
            <w:pPr>
              <w:jc w:val="center"/>
              <w:rPr>
                <w:rFonts w:eastAsiaTheme="minorHAnsi" w:cs="Arial"/>
                <w:color w:val="000000"/>
              </w:rPr>
            </w:pPr>
            <w:r w:rsidRPr="000A1EF7">
              <w:rPr>
                <w:rFonts w:cs="Arial"/>
                <w:color w:val="000000"/>
              </w:rPr>
              <w:t xml:space="preserve">The difference between the mean* hourly rate of pay of men and women </w:t>
            </w:r>
          </w:p>
        </w:tc>
        <w:tc>
          <w:tcPr>
            <w:tcW w:w="32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6022E4" w14:textId="77777777" w:rsidR="009B1153" w:rsidRPr="000A1EF7" w:rsidRDefault="009B1153" w:rsidP="00F31CA2">
            <w:pPr>
              <w:jc w:val="center"/>
              <w:rPr>
                <w:rFonts w:eastAsiaTheme="minorHAnsi" w:cs="Arial"/>
                <w:color w:val="000000"/>
              </w:rPr>
            </w:pPr>
            <w:r w:rsidRPr="000A1EF7">
              <w:rPr>
                <w:rFonts w:cs="Arial"/>
                <w:color w:val="000000"/>
              </w:rPr>
              <w:t>27.</w:t>
            </w:r>
            <w:r>
              <w:rPr>
                <w:rFonts w:cs="Arial"/>
                <w:color w:val="000000"/>
              </w:rPr>
              <w:t>3</w:t>
            </w:r>
            <w:r w:rsidRPr="000A1EF7">
              <w:rPr>
                <w:rFonts w:cs="Arial"/>
                <w:color w:val="000000"/>
              </w:rPr>
              <w:t>% (</w:t>
            </w:r>
            <w:r>
              <w:rPr>
                <w:rFonts w:cs="Arial"/>
                <w:color w:val="000000"/>
              </w:rPr>
              <w:t>27</w:t>
            </w:r>
            <w:r w:rsidRPr="000A1EF7">
              <w:rPr>
                <w:rFonts w:cs="Arial"/>
                <w:color w:val="000000"/>
              </w:rPr>
              <w:t>.</w:t>
            </w:r>
            <w:r>
              <w:rPr>
                <w:rFonts w:cs="Arial"/>
                <w:color w:val="000000"/>
              </w:rPr>
              <w:t>1</w:t>
            </w:r>
            <w:r w:rsidRPr="000A1EF7">
              <w:rPr>
                <w:rFonts w:cs="Arial"/>
                <w:color w:val="000000"/>
              </w:rPr>
              <w:t xml:space="preserve">%) </w:t>
            </w:r>
          </w:p>
        </w:tc>
      </w:tr>
      <w:tr w:rsidR="009B1153" w14:paraId="5874C14C" w14:textId="77777777" w:rsidTr="00F31CA2">
        <w:trPr>
          <w:trHeight w:val="1140"/>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6348829" w14:textId="77777777" w:rsidR="009B1153" w:rsidRPr="000A1EF7" w:rsidRDefault="009B1153" w:rsidP="00F31CA2">
            <w:pPr>
              <w:rPr>
                <w:rFonts w:eastAsiaTheme="minorHAnsi" w:cs="Arial"/>
                <w:b/>
                <w:bCs/>
                <w:color w:val="000000"/>
              </w:rPr>
            </w:pPr>
          </w:p>
        </w:tc>
        <w:tc>
          <w:tcPr>
            <w:tcW w:w="32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586D07" w14:textId="77777777" w:rsidR="009B1153" w:rsidRPr="000A1EF7" w:rsidRDefault="009B1153" w:rsidP="00F31CA2">
            <w:pPr>
              <w:jc w:val="center"/>
              <w:rPr>
                <w:rFonts w:eastAsiaTheme="minorHAnsi" w:cs="Arial"/>
                <w:color w:val="000000"/>
              </w:rPr>
            </w:pPr>
            <w:r w:rsidRPr="000A1EF7">
              <w:rPr>
                <w:rFonts w:cs="Arial"/>
                <w:color w:val="000000"/>
              </w:rPr>
              <w:t xml:space="preserve">*Average pay for all men and average </w:t>
            </w:r>
            <w:r>
              <w:rPr>
                <w:rFonts w:cs="Arial"/>
                <w:color w:val="000000"/>
              </w:rPr>
              <w:t xml:space="preserve">pay </w:t>
            </w:r>
            <w:r w:rsidRPr="000A1EF7">
              <w:rPr>
                <w:rFonts w:cs="Arial"/>
                <w:color w:val="000000"/>
              </w:rPr>
              <w:t>for all women</w:t>
            </w:r>
          </w:p>
        </w:tc>
        <w:tc>
          <w:tcPr>
            <w:tcW w:w="32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5B811B" w14:textId="77777777" w:rsidR="009B1153" w:rsidRPr="000A1EF7" w:rsidRDefault="009B1153" w:rsidP="00F31CA2">
            <w:pPr>
              <w:jc w:val="center"/>
              <w:rPr>
                <w:rFonts w:eastAsiaTheme="minorHAnsi" w:cs="Arial"/>
                <w:color w:val="000000"/>
              </w:rPr>
            </w:pPr>
            <w:r w:rsidRPr="000A1EF7">
              <w:rPr>
                <w:rFonts w:cs="Arial"/>
                <w:color w:val="000000"/>
              </w:rPr>
              <w:t>Difference in hourly rate of men £</w:t>
            </w:r>
            <w:r>
              <w:rPr>
                <w:rFonts w:cs="Arial"/>
                <w:color w:val="000000"/>
              </w:rPr>
              <w:t>43.26</w:t>
            </w:r>
            <w:r w:rsidRPr="000A1EF7">
              <w:rPr>
                <w:rFonts w:cs="Arial"/>
                <w:color w:val="000000"/>
              </w:rPr>
              <w:t xml:space="preserve"> (£</w:t>
            </w:r>
            <w:r>
              <w:rPr>
                <w:rFonts w:cs="Arial"/>
                <w:color w:val="000000"/>
              </w:rPr>
              <w:t>40.12</w:t>
            </w:r>
            <w:r w:rsidRPr="000A1EF7">
              <w:rPr>
                <w:rFonts w:cs="Arial"/>
                <w:color w:val="000000"/>
              </w:rPr>
              <w:t>) and women £</w:t>
            </w:r>
            <w:r>
              <w:rPr>
                <w:rFonts w:cs="Arial"/>
                <w:color w:val="000000"/>
              </w:rPr>
              <w:t>31.46</w:t>
            </w:r>
            <w:r w:rsidRPr="000A1EF7">
              <w:rPr>
                <w:rFonts w:cs="Arial"/>
                <w:color w:val="000000"/>
              </w:rPr>
              <w:t xml:space="preserve"> (£</w:t>
            </w:r>
            <w:r>
              <w:rPr>
                <w:rFonts w:cs="Arial"/>
                <w:color w:val="000000"/>
              </w:rPr>
              <w:t>29.25</w:t>
            </w:r>
            <w:r w:rsidRPr="000A1EF7">
              <w:rPr>
                <w:rFonts w:cs="Arial"/>
                <w:color w:val="000000"/>
              </w:rPr>
              <w:t xml:space="preserve">) </w:t>
            </w:r>
          </w:p>
        </w:tc>
      </w:tr>
      <w:tr w:rsidR="009B1153" w14:paraId="1268DD95" w14:textId="77777777" w:rsidTr="00F31CA2">
        <w:trPr>
          <w:trHeight w:val="1140"/>
        </w:trPr>
        <w:tc>
          <w:tcPr>
            <w:tcW w:w="321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286E4F" w14:textId="77777777" w:rsidR="009B1153" w:rsidRPr="000A1EF7" w:rsidRDefault="009B1153" w:rsidP="00F31CA2">
            <w:pPr>
              <w:jc w:val="center"/>
              <w:rPr>
                <w:rFonts w:eastAsiaTheme="minorHAnsi" w:cs="Arial"/>
                <w:b/>
                <w:bCs/>
                <w:color w:val="000000"/>
              </w:rPr>
            </w:pPr>
            <w:r w:rsidRPr="000A1EF7">
              <w:rPr>
                <w:rFonts w:cs="Arial"/>
                <w:b/>
                <w:bCs/>
                <w:color w:val="000000"/>
              </w:rPr>
              <w:t xml:space="preserve">Median gap </w:t>
            </w:r>
          </w:p>
        </w:tc>
        <w:tc>
          <w:tcPr>
            <w:tcW w:w="32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1C7D2E" w14:textId="77777777" w:rsidR="009B1153" w:rsidRPr="000A1EF7" w:rsidRDefault="009B1153" w:rsidP="00F31CA2">
            <w:pPr>
              <w:jc w:val="center"/>
              <w:rPr>
                <w:rFonts w:eastAsiaTheme="minorHAnsi" w:cs="Arial"/>
                <w:color w:val="000000"/>
              </w:rPr>
            </w:pPr>
            <w:r w:rsidRPr="000A1EF7">
              <w:rPr>
                <w:rFonts w:cs="Arial"/>
                <w:color w:val="000000"/>
              </w:rPr>
              <w:t xml:space="preserve">The difference between the median* hourly rate of pay of men and women </w:t>
            </w:r>
          </w:p>
        </w:tc>
        <w:tc>
          <w:tcPr>
            <w:tcW w:w="32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FB1531" w14:textId="77777777" w:rsidR="009B1153" w:rsidRPr="000A1EF7" w:rsidRDefault="009B1153" w:rsidP="00F31CA2">
            <w:pPr>
              <w:jc w:val="center"/>
              <w:rPr>
                <w:rFonts w:eastAsiaTheme="minorHAnsi" w:cs="Arial"/>
                <w:color w:val="000000"/>
              </w:rPr>
            </w:pPr>
            <w:r>
              <w:rPr>
                <w:rFonts w:cs="Arial"/>
                <w:color w:val="000000"/>
              </w:rPr>
              <w:t>37.96</w:t>
            </w:r>
            <w:r w:rsidRPr="000A1EF7">
              <w:rPr>
                <w:rFonts w:cs="Arial"/>
                <w:color w:val="000000"/>
              </w:rPr>
              <w:t>% (</w:t>
            </w:r>
            <w:r>
              <w:rPr>
                <w:rFonts w:cs="Arial"/>
                <w:color w:val="000000"/>
              </w:rPr>
              <w:t>40.26</w:t>
            </w:r>
            <w:r w:rsidRPr="000A1EF7">
              <w:rPr>
                <w:rFonts w:cs="Arial"/>
                <w:color w:val="000000"/>
              </w:rPr>
              <w:t xml:space="preserve">%) </w:t>
            </w:r>
          </w:p>
        </w:tc>
      </w:tr>
      <w:tr w:rsidR="009B1153" w14:paraId="22E3169D" w14:textId="77777777" w:rsidTr="00F31CA2">
        <w:trPr>
          <w:trHeight w:val="1140"/>
        </w:trPr>
        <w:tc>
          <w:tcPr>
            <w:tcW w:w="0" w:type="auto"/>
            <w:vMerge/>
            <w:tcBorders>
              <w:top w:val="nil"/>
              <w:left w:val="single" w:sz="8" w:space="0" w:color="auto"/>
              <w:bottom w:val="single" w:sz="8" w:space="0" w:color="auto"/>
              <w:right w:val="single" w:sz="8" w:space="0" w:color="auto"/>
            </w:tcBorders>
            <w:vAlign w:val="center"/>
            <w:hideMark/>
          </w:tcPr>
          <w:p w14:paraId="5C095C5E" w14:textId="77777777" w:rsidR="009B1153" w:rsidRPr="000A1EF7" w:rsidRDefault="009B1153" w:rsidP="00F31CA2">
            <w:pPr>
              <w:rPr>
                <w:rFonts w:eastAsiaTheme="minorHAnsi" w:cs="Arial"/>
                <w:b/>
                <w:bCs/>
                <w:color w:val="000000"/>
              </w:rPr>
            </w:pPr>
          </w:p>
        </w:tc>
        <w:tc>
          <w:tcPr>
            <w:tcW w:w="32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2967AC" w14:textId="77777777" w:rsidR="009B1153" w:rsidRPr="000A1EF7" w:rsidRDefault="009B1153" w:rsidP="00F31CA2">
            <w:pPr>
              <w:jc w:val="center"/>
              <w:rPr>
                <w:rFonts w:eastAsiaTheme="minorHAnsi" w:cs="Arial"/>
                <w:color w:val="000000"/>
              </w:rPr>
            </w:pPr>
            <w:r w:rsidRPr="000A1EF7">
              <w:rPr>
                <w:rFonts w:cs="Arial"/>
                <w:color w:val="000000"/>
              </w:rPr>
              <w:t>* Middle value of pay for all men and middle value</w:t>
            </w:r>
            <w:r>
              <w:rPr>
                <w:rFonts w:cs="Arial"/>
                <w:color w:val="000000"/>
              </w:rPr>
              <w:t xml:space="preserve"> of pay</w:t>
            </w:r>
            <w:r w:rsidRPr="000A1EF7">
              <w:rPr>
                <w:rFonts w:cs="Arial"/>
                <w:color w:val="000000"/>
              </w:rPr>
              <w:t xml:space="preserve"> for all women</w:t>
            </w:r>
          </w:p>
        </w:tc>
        <w:tc>
          <w:tcPr>
            <w:tcW w:w="32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7B3668" w14:textId="77777777" w:rsidR="009B1153" w:rsidRPr="000A1EF7" w:rsidRDefault="009B1153" w:rsidP="00F31CA2">
            <w:pPr>
              <w:jc w:val="center"/>
              <w:rPr>
                <w:rFonts w:eastAsiaTheme="minorHAnsi" w:cs="Arial"/>
                <w:color w:val="000000"/>
              </w:rPr>
            </w:pPr>
            <w:r w:rsidRPr="000A1EF7">
              <w:rPr>
                <w:rFonts w:cs="Arial"/>
                <w:color w:val="000000"/>
              </w:rPr>
              <w:t>Difference in hourly rate of men £</w:t>
            </w:r>
            <w:r>
              <w:rPr>
                <w:rFonts w:cs="Arial"/>
                <w:color w:val="000000"/>
              </w:rPr>
              <w:t>46.70</w:t>
            </w:r>
            <w:r w:rsidRPr="000A1EF7">
              <w:rPr>
                <w:rFonts w:cs="Arial"/>
                <w:color w:val="000000"/>
              </w:rPr>
              <w:t xml:space="preserve"> (£</w:t>
            </w:r>
            <w:r>
              <w:rPr>
                <w:rFonts w:cs="Arial"/>
                <w:color w:val="000000"/>
              </w:rPr>
              <w:t>43.89</w:t>
            </w:r>
            <w:r w:rsidRPr="000A1EF7">
              <w:rPr>
                <w:rFonts w:cs="Arial"/>
                <w:color w:val="000000"/>
              </w:rPr>
              <w:t>) and women £26.22 (£</w:t>
            </w:r>
            <w:r>
              <w:rPr>
                <w:rFonts w:cs="Arial"/>
                <w:color w:val="000000"/>
              </w:rPr>
              <w:t>26.22</w:t>
            </w:r>
            <w:r w:rsidRPr="000A1EF7">
              <w:rPr>
                <w:rFonts w:cs="Arial"/>
                <w:color w:val="000000"/>
              </w:rPr>
              <w:t xml:space="preserve">) </w:t>
            </w:r>
          </w:p>
        </w:tc>
      </w:tr>
      <w:tr w:rsidR="009B1153" w14:paraId="7CF53AA7" w14:textId="77777777" w:rsidTr="00F31CA2">
        <w:trPr>
          <w:trHeight w:val="1140"/>
        </w:trPr>
        <w:tc>
          <w:tcPr>
            <w:tcW w:w="321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E74EE9" w14:textId="77777777" w:rsidR="009B1153" w:rsidRPr="000A1EF7" w:rsidRDefault="009B1153" w:rsidP="00F31CA2">
            <w:pPr>
              <w:jc w:val="center"/>
              <w:rPr>
                <w:rFonts w:eastAsiaTheme="minorHAnsi" w:cs="Arial"/>
                <w:b/>
                <w:bCs/>
                <w:color w:val="000000"/>
              </w:rPr>
            </w:pPr>
            <w:r w:rsidRPr="000A1EF7">
              <w:rPr>
                <w:rFonts w:cs="Arial"/>
                <w:b/>
                <w:bCs/>
                <w:color w:val="000000"/>
              </w:rPr>
              <w:t xml:space="preserve">Mean bonus gap </w:t>
            </w:r>
          </w:p>
        </w:tc>
        <w:tc>
          <w:tcPr>
            <w:tcW w:w="32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CB4498" w14:textId="77777777" w:rsidR="009B1153" w:rsidRPr="000A1EF7" w:rsidRDefault="009B1153" w:rsidP="00F31CA2">
            <w:pPr>
              <w:jc w:val="center"/>
              <w:rPr>
                <w:rFonts w:eastAsiaTheme="minorHAnsi" w:cs="Arial"/>
                <w:color w:val="000000"/>
              </w:rPr>
            </w:pPr>
            <w:r w:rsidRPr="000A1EF7">
              <w:rPr>
                <w:rFonts w:cs="Arial"/>
                <w:color w:val="000000"/>
              </w:rPr>
              <w:t xml:space="preserve">The difference between the mean* bonus paid to men and women </w:t>
            </w:r>
          </w:p>
        </w:tc>
        <w:tc>
          <w:tcPr>
            <w:tcW w:w="32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13501D" w14:textId="77777777" w:rsidR="009B1153" w:rsidRPr="000A1EF7" w:rsidRDefault="009B1153" w:rsidP="00F31CA2">
            <w:pPr>
              <w:jc w:val="center"/>
              <w:rPr>
                <w:rFonts w:eastAsiaTheme="minorHAnsi" w:cs="Arial"/>
                <w:color w:val="000000"/>
              </w:rPr>
            </w:pPr>
            <w:r>
              <w:rPr>
                <w:rFonts w:cs="Arial"/>
                <w:color w:val="000000"/>
              </w:rPr>
              <w:t>0.4</w:t>
            </w:r>
            <w:r w:rsidRPr="000A1EF7">
              <w:rPr>
                <w:rFonts w:cs="Arial"/>
                <w:color w:val="000000"/>
              </w:rPr>
              <w:t>% (</w:t>
            </w:r>
            <w:r>
              <w:rPr>
                <w:rFonts w:cs="Arial"/>
                <w:color w:val="000000"/>
              </w:rPr>
              <w:t>-1.9</w:t>
            </w:r>
            <w:r w:rsidRPr="000A1EF7">
              <w:rPr>
                <w:rFonts w:cs="Arial"/>
                <w:color w:val="000000"/>
              </w:rPr>
              <w:t xml:space="preserve">%) </w:t>
            </w:r>
          </w:p>
        </w:tc>
      </w:tr>
      <w:tr w:rsidR="009B1153" w14:paraId="11D3E1F6" w14:textId="77777777" w:rsidTr="00F31CA2">
        <w:trPr>
          <w:trHeight w:val="1425"/>
        </w:trPr>
        <w:tc>
          <w:tcPr>
            <w:tcW w:w="0" w:type="auto"/>
            <w:vMerge/>
            <w:tcBorders>
              <w:top w:val="nil"/>
              <w:left w:val="single" w:sz="8" w:space="0" w:color="auto"/>
              <w:bottom w:val="single" w:sz="8" w:space="0" w:color="auto"/>
              <w:right w:val="single" w:sz="8" w:space="0" w:color="auto"/>
            </w:tcBorders>
            <w:vAlign w:val="center"/>
            <w:hideMark/>
          </w:tcPr>
          <w:p w14:paraId="66D81BDE" w14:textId="77777777" w:rsidR="009B1153" w:rsidRPr="000A1EF7" w:rsidRDefault="009B1153" w:rsidP="00F31CA2">
            <w:pPr>
              <w:rPr>
                <w:rFonts w:eastAsiaTheme="minorHAnsi" w:cs="Arial"/>
                <w:b/>
                <w:bCs/>
                <w:color w:val="000000"/>
              </w:rPr>
            </w:pPr>
          </w:p>
        </w:tc>
        <w:tc>
          <w:tcPr>
            <w:tcW w:w="32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B1EF97" w14:textId="77777777" w:rsidR="009B1153" w:rsidRPr="000A1EF7" w:rsidRDefault="009B1153" w:rsidP="00F31CA2">
            <w:pPr>
              <w:jc w:val="center"/>
              <w:rPr>
                <w:rFonts w:eastAsiaTheme="minorHAnsi" w:cs="Arial"/>
                <w:color w:val="000000"/>
              </w:rPr>
            </w:pPr>
            <w:r w:rsidRPr="000A1EF7">
              <w:rPr>
                <w:rFonts w:cs="Arial"/>
                <w:color w:val="000000"/>
              </w:rPr>
              <w:t>*Average bonus for all men and average</w:t>
            </w:r>
            <w:r>
              <w:rPr>
                <w:rFonts w:cs="Arial"/>
                <w:color w:val="000000"/>
              </w:rPr>
              <w:t xml:space="preserve"> bonus</w:t>
            </w:r>
            <w:r w:rsidRPr="000A1EF7">
              <w:rPr>
                <w:rFonts w:cs="Arial"/>
                <w:color w:val="000000"/>
              </w:rPr>
              <w:t xml:space="preserve"> for all women</w:t>
            </w:r>
          </w:p>
        </w:tc>
        <w:tc>
          <w:tcPr>
            <w:tcW w:w="32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412276" w14:textId="77777777" w:rsidR="009B1153" w:rsidRPr="000A1EF7" w:rsidRDefault="009B1153" w:rsidP="00F31CA2">
            <w:pPr>
              <w:jc w:val="center"/>
              <w:rPr>
                <w:rFonts w:eastAsiaTheme="minorHAnsi" w:cs="Arial"/>
                <w:color w:val="000000"/>
              </w:rPr>
            </w:pPr>
            <w:r w:rsidRPr="000A1EF7">
              <w:rPr>
                <w:rFonts w:cs="Arial"/>
                <w:color w:val="000000"/>
              </w:rPr>
              <w:t>Difference in bonus pay of men £</w:t>
            </w:r>
            <w:r>
              <w:rPr>
                <w:rFonts w:cs="Arial"/>
                <w:color w:val="000000"/>
              </w:rPr>
              <w:t>404.52</w:t>
            </w:r>
            <w:r w:rsidRPr="000A1EF7">
              <w:rPr>
                <w:rFonts w:cs="Arial"/>
                <w:color w:val="000000"/>
              </w:rPr>
              <w:t xml:space="preserve"> (£</w:t>
            </w:r>
            <w:r>
              <w:rPr>
                <w:rFonts w:cs="Arial"/>
                <w:color w:val="000000"/>
              </w:rPr>
              <w:t>281.66</w:t>
            </w:r>
            <w:r w:rsidRPr="000A1EF7">
              <w:rPr>
                <w:rFonts w:cs="Arial"/>
                <w:color w:val="000000"/>
              </w:rPr>
              <w:t>) and women £</w:t>
            </w:r>
            <w:r>
              <w:rPr>
                <w:rFonts w:cs="Arial"/>
                <w:color w:val="000000"/>
              </w:rPr>
              <w:t>403.08</w:t>
            </w:r>
            <w:r w:rsidRPr="000A1EF7">
              <w:rPr>
                <w:rFonts w:cs="Arial"/>
                <w:color w:val="000000"/>
              </w:rPr>
              <w:t xml:space="preserve"> (£</w:t>
            </w:r>
            <w:r>
              <w:rPr>
                <w:rFonts w:cs="Arial"/>
                <w:color w:val="000000"/>
              </w:rPr>
              <w:t>267.10</w:t>
            </w:r>
            <w:r w:rsidRPr="000A1EF7">
              <w:rPr>
                <w:rFonts w:cs="Arial"/>
                <w:color w:val="000000"/>
              </w:rPr>
              <w:t xml:space="preserve">) </w:t>
            </w:r>
          </w:p>
        </w:tc>
      </w:tr>
      <w:tr w:rsidR="009B1153" w14:paraId="555ECDC7" w14:textId="77777777" w:rsidTr="00F31CA2">
        <w:trPr>
          <w:trHeight w:val="1140"/>
        </w:trPr>
        <w:tc>
          <w:tcPr>
            <w:tcW w:w="3211"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08904CB9" w14:textId="77777777" w:rsidR="009B1153" w:rsidRPr="000A1EF7" w:rsidRDefault="009B1153" w:rsidP="00F31CA2">
            <w:pPr>
              <w:jc w:val="center"/>
              <w:rPr>
                <w:rFonts w:eastAsiaTheme="minorHAnsi" w:cs="Arial"/>
                <w:b/>
                <w:bCs/>
                <w:color w:val="000000"/>
              </w:rPr>
            </w:pPr>
            <w:r w:rsidRPr="000A1EF7">
              <w:rPr>
                <w:rFonts w:cs="Arial"/>
                <w:b/>
                <w:bCs/>
                <w:color w:val="000000"/>
              </w:rPr>
              <w:t xml:space="preserve">Median bonus gap </w:t>
            </w:r>
          </w:p>
        </w:tc>
        <w:tc>
          <w:tcPr>
            <w:tcW w:w="32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DC0B15" w14:textId="77777777" w:rsidR="009B1153" w:rsidRPr="000A1EF7" w:rsidRDefault="009B1153" w:rsidP="00F31CA2">
            <w:pPr>
              <w:jc w:val="center"/>
              <w:rPr>
                <w:rFonts w:eastAsiaTheme="minorHAnsi" w:cs="Arial"/>
                <w:color w:val="000000"/>
              </w:rPr>
            </w:pPr>
            <w:r w:rsidRPr="000A1EF7">
              <w:rPr>
                <w:rFonts w:cs="Arial"/>
                <w:color w:val="000000"/>
              </w:rPr>
              <w:t>The difference between the median</w:t>
            </w:r>
            <w:r>
              <w:rPr>
                <w:rFonts w:cs="Arial"/>
                <w:color w:val="000000"/>
              </w:rPr>
              <w:t>*</w:t>
            </w:r>
            <w:r w:rsidRPr="000A1EF7">
              <w:rPr>
                <w:rFonts w:cs="Arial"/>
                <w:color w:val="000000"/>
              </w:rPr>
              <w:t xml:space="preserve"> bonus pay paid to men and women </w:t>
            </w:r>
          </w:p>
        </w:tc>
        <w:tc>
          <w:tcPr>
            <w:tcW w:w="32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1EF1B" w14:textId="77777777" w:rsidR="009B1153" w:rsidRPr="000A1EF7" w:rsidRDefault="009B1153" w:rsidP="00F31CA2">
            <w:pPr>
              <w:jc w:val="center"/>
              <w:rPr>
                <w:rFonts w:eastAsiaTheme="minorHAnsi" w:cs="Arial"/>
                <w:color w:val="000000"/>
              </w:rPr>
            </w:pPr>
            <w:r>
              <w:rPr>
                <w:rFonts w:cs="Arial"/>
                <w:color w:val="000000"/>
              </w:rPr>
              <w:t>-9.1</w:t>
            </w:r>
            <w:r w:rsidRPr="000A1EF7">
              <w:rPr>
                <w:rFonts w:cs="Arial"/>
                <w:color w:val="000000"/>
              </w:rPr>
              <w:t>% (</w:t>
            </w:r>
            <w:r>
              <w:rPr>
                <w:rFonts w:cs="Arial"/>
                <w:color w:val="000000"/>
              </w:rPr>
              <w:t>0</w:t>
            </w:r>
            <w:r w:rsidRPr="000A1EF7">
              <w:rPr>
                <w:rFonts w:cs="Arial"/>
                <w:color w:val="000000"/>
              </w:rPr>
              <w:t xml:space="preserve">%) </w:t>
            </w:r>
          </w:p>
        </w:tc>
      </w:tr>
      <w:tr w:rsidR="009B1153" w14:paraId="372D667B" w14:textId="77777777" w:rsidTr="00F31CA2">
        <w:trPr>
          <w:trHeight w:val="1140"/>
        </w:trPr>
        <w:tc>
          <w:tcPr>
            <w:tcW w:w="3211"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31092595" w14:textId="77777777" w:rsidR="009B1153" w:rsidRPr="000A1EF7" w:rsidRDefault="009B1153" w:rsidP="00F31CA2">
            <w:pPr>
              <w:jc w:val="center"/>
              <w:rPr>
                <w:rFonts w:cs="Arial"/>
                <w:b/>
                <w:bCs/>
                <w:color w:val="000000"/>
              </w:rPr>
            </w:pPr>
          </w:p>
        </w:tc>
        <w:tc>
          <w:tcPr>
            <w:tcW w:w="3205" w:type="dxa"/>
            <w:tcBorders>
              <w:top w:val="nil"/>
              <w:left w:val="nil"/>
              <w:bottom w:val="single" w:sz="8" w:space="0" w:color="auto"/>
              <w:right w:val="single" w:sz="8" w:space="0" w:color="auto"/>
            </w:tcBorders>
            <w:tcMar>
              <w:top w:w="0" w:type="dxa"/>
              <w:left w:w="108" w:type="dxa"/>
              <w:bottom w:w="0" w:type="dxa"/>
              <w:right w:w="108" w:type="dxa"/>
            </w:tcMar>
            <w:vAlign w:val="center"/>
          </w:tcPr>
          <w:p w14:paraId="46F39A3F" w14:textId="77777777" w:rsidR="009B1153" w:rsidRPr="000A1EF7" w:rsidRDefault="009B1153" w:rsidP="00F31CA2">
            <w:pPr>
              <w:jc w:val="center"/>
              <w:rPr>
                <w:rFonts w:cs="Arial"/>
                <w:color w:val="000000"/>
              </w:rPr>
            </w:pPr>
            <w:r w:rsidRPr="000A1EF7">
              <w:rPr>
                <w:rFonts w:cs="Arial"/>
                <w:color w:val="000000"/>
              </w:rPr>
              <w:t>*Middle values of bonuses paid to all men compared to all women</w:t>
            </w:r>
          </w:p>
        </w:tc>
        <w:tc>
          <w:tcPr>
            <w:tcW w:w="3205" w:type="dxa"/>
            <w:tcBorders>
              <w:top w:val="nil"/>
              <w:left w:val="nil"/>
              <w:bottom w:val="single" w:sz="8" w:space="0" w:color="auto"/>
              <w:right w:val="single" w:sz="8" w:space="0" w:color="auto"/>
            </w:tcBorders>
            <w:tcMar>
              <w:top w:w="0" w:type="dxa"/>
              <w:left w:w="108" w:type="dxa"/>
              <w:bottom w:w="0" w:type="dxa"/>
              <w:right w:w="108" w:type="dxa"/>
            </w:tcMar>
            <w:vAlign w:val="center"/>
          </w:tcPr>
          <w:p w14:paraId="0A7149EB" w14:textId="77777777" w:rsidR="009B1153" w:rsidRPr="000A1EF7" w:rsidRDefault="009B1153" w:rsidP="00F31CA2">
            <w:pPr>
              <w:jc w:val="center"/>
              <w:rPr>
                <w:rFonts w:cs="Arial"/>
                <w:color w:val="000000"/>
              </w:rPr>
            </w:pPr>
            <w:r w:rsidRPr="000A1EF7">
              <w:rPr>
                <w:rFonts w:cs="Arial"/>
                <w:color w:val="000000"/>
              </w:rPr>
              <w:t>Difference in bonus payment of men £</w:t>
            </w:r>
            <w:r>
              <w:rPr>
                <w:rFonts w:cs="Arial"/>
                <w:color w:val="000000"/>
              </w:rPr>
              <w:t>330.00</w:t>
            </w:r>
            <w:r w:rsidRPr="000A1EF7">
              <w:rPr>
                <w:rFonts w:cs="Arial"/>
                <w:color w:val="000000"/>
              </w:rPr>
              <w:t xml:space="preserve"> (£</w:t>
            </w:r>
            <w:r>
              <w:rPr>
                <w:rFonts w:cs="Arial"/>
                <w:color w:val="000000"/>
              </w:rPr>
              <w:t>250.00</w:t>
            </w:r>
            <w:r w:rsidRPr="000A1EF7">
              <w:rPr>
                <w:rFonts w:cs="Arial"/>
                <w:color w:val="000000"/>
              </w:rPr>
              <w:t>) and women £</w:t>
            </w:r>
            <w:r>
              <w:rPr>
                <w:rFonts w:cs="Arial"/>
                <w:color w:val="000000"/>
              </w:rPr>
              <w:t>360.00</w:t>
            </w:r>
            <w:r w:rsidRPr="000A1EF7">
              <w:rPr>
                <w:rFonts w:cs="Arial"/>
                <w:color w:val="000000"/>
              </w:rPr>
              <w:t xml:space="preserve"> (£</w:t>
            </w:r>
            <w:r>
              <w:rPr>
                <w:rFonts w:cs="Arial"/>
                <w:color w:val="000000"/>
              </w:rPr>
              <w:t>250.00</w:t>
            </w:r>
            <w:r w:rsidRPr="000A1EF7">
              <w:rPr>
                <w:rFonts w:cs="Arial"/>
                <w:color w:val="000000"/>
              </w:rPr>
              <w:t xml:space="preserve">) </w:t>
            </w:r>
          </w:p>
        </w:tc>
      </w:tr>
      <w:tr w:rsidR="009B1153" w14:paraId="7783C4BB" w14:textId="77777777" w:rsidTr="00F31CA2">
        <w:trPr>
          <w:trHeight w:val="1710"/>
        </w:trPr>
        <w:tc>
          <w:tcPr>
            <w:tcW w:w="0" w:type="auto"/>
            <w:tcBorders>
              <w:top w:val="nil"/>
              <w:left w:val="single" w:sz="8" w:space="0" w:color="auto"/>
              <w:bottom w:val="single" w:sz="8" w:space="0" w:color="auto"/>
              <w:right w:val="single" w:sz="8" w:space="0" w:color="auto"/>
            </w:tcBorders>
            <w:vAlign w:val="center"/>
            <w:hideMark/>
          </w:tcPr>
          <w:p w14:paraId="63C159AB" w14:textId="4547AF4A" w:rsidR="009B1153" w:rsidRPr="000A1EF7" w:rsidRDefault="009B1153" w:rsidP="00D12E0C">
            <w:pPr>
              <w:jc w:val="center"/>
              <w:rPr>
                <w:rFonts w:eastAsiaTheme="minorHAnsi" w:cs="Arial"/>
                <w:b/>
                <w:bCs/>
                <w:color w:val="000000"/>
              </w:rPr>
            </w:pPr>
            <w:r w:rsidRPr="000A1EF7">
              <w:rPr>
                <w:rFonts w:cs="Arial"/>
                <w:b/>
                <w:bCs/>
                <w:color w:val="000000"/>
              </w:rPr>
              <w:t>Bonus proportions</w:t>
            </w:r>
          </w:p>
        </w:tc>
        <w:tc>
          <w:tcPr>
            <w:tcW w:w="32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99DEEC" w14:textId="77777777" w:rsidR="009B1153" w:rsidRPr="000A1EF7" w:rsidRDefault="009B1153" w:rsidP="00F31CA2">
            <w:pPr>
              <w:jc w:val="center"/>
              <w:rPr>
                <w:rFonts w:eastAsiaTheme="minorHAnsi" w:cs="Arial"/>
                <w:color w:val="000000"/>
              </w:rPr>
            </w:pPr>
            <w:r w:rsidRPr="000A1EF7">
              <w:rPr>
                <w:rFonts w:cs="Arial"/>
                <w:color w:val="000000"/>
                <w:lang w:eastAsia="en-GB"/>
              </w:rPr>
              <w:t>The proportions of men paid a bonus and women paid a bonus</w:t>
            </w:r>
          </w:p>
        </w:tc>
        <w:tc>
          <w:tcPr>
            <w:tcW w:w="32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09C97F" w14:textId="77777777" w:rsidR="009B1153" w:rsidRPr="000A1EF7" w:rsidRDefault="009B1153" w:rsidP="00F31CA2">
            <w:pPr>
              <w:jc w:val="center"/>
              <w:rPr>
                <w:rFonts w:eastAsiaTheme="minorHAnsi" w:cs="Arial"/>
                <w:color w:val="000000"/>
              </w:rPr>
            </w:pPr>
            <w:r>
              <w:rPr>
                <w:rFonts w:cs="Arial"/>
                <w:color w:val="000000"/>
                <w:lang w:eastAsia="en-GB"/>
              </w:rPr>
              <w:t>92.5</w:t>
            </w:r>
            <w:r w:rsidRPr="000A1EF7">
              <w:rPr>
                <w:rFonts w:cs="Arial"/>
                <w:color w:val="000000"/>
                <w:lang w:eastAsia="en-GB"/>
              </w:rPr>
              <w:t>% (</w:t>
            </w:r>
            <w:r>
              <w:rPr>
                <w:rFonts w:cs="Arial"/>
                <w:color w:val="000000"/>
              </w:rPr>
              <w:t>93.8</w:t>
            </w:r>
            <w:r w:rsidRPr="000A1EF7">
              <w:rPr>
                <w:rFonts w:cs="Arial"/>
                <w:color w:val="000000"/>
                <w:lang w:eastAsia="en-GB"/>
              </w:rPr>
              <w:t xml:space="preserve">%) of men and </w:t>
            </w:r>
            <w:r>
              <w:rPr>
                <w:rFonts w:cs="Arial"/>
                <w:color w:val="000000"/>
              </w:rPr>
              <w:t>87.7</w:t>
            </w:r>
            <w:r w:rsidRPr="000A1EF7">
              <w:rPr>
                <w:rFonts w:cs="Arial"/>
                <w:color w:val="000000"/>
                <w:lang w:eastAsia="en-GB"/>
              </w:rPr>
              <w:t>% (</w:t>
            </w:r>
            <w:r>
              <w:rPr>
                <w:rFonts w:cs="Arial"/>
                <w:color w:val="000000"/>
              </w:rPr>
              <w:t>91.9</w:t>
            </w:r>
            <w:r w:rsidRPr="000A1EF7">
              <w:rPr>
                <w:rFonts w:cs="Arial"/>
                <w:color w:val="000000"/>
                <w:lang w:eastAsia="en-GB"/>
              </w:rPr>
              <w:t>%) of women received a bonus payment</w:t>
            </w:r>
          </w:p>
        </w:tc>
      </w:tr>
    </w:tbl>
    <w:p w14:paraId="151F3199" w14:textId="77777777" w:rsidR="009B1153" w:rsidRPr="008519A2" w:rsidRDefault="009B1153" w:rsidP="009B1153">
      <w:pPr>
        <w:rPr>
          <w:rFonts w:cs="Arial"/>
        </w:rPr>
      </w:pPr>
    </w:p>
    <w:p w14:paraId="68BE7134" w14:textId="6F50DBA6" w:rsidR="009B1153" w:rsidRPr="008519A2" w:rsidRDefault="009B1153" w:rsidP="009B1153">
      <w:pPr>
        <w:rPr>
          <w:rFonts w:cs="Arial"/>
          <w:b/>
        </w:rPr>
      </w:pPr>
      <w:r>
        <w:rPr>
          <w:rFonts w:cs="Arial"/>
          <w:b/>
        </w:rPr>
        <w:t>2021/22 figures provided in brackets for comparison.</w:t>
      </w:r>
      <w:r w:rsidRPr="008519A2">
        <w:rPr>
          <w:rFonts w:cs="Arial"/>
          <w:b/>
        </w:rPr>
        <w:br w:type="page"/>
      </w:r>
    </w:p>
    <w:p w14:paraId="5FEF2740" w14:textId="77777777" w:rsidR="006A3EF2" w:rsidRPr="008519A2" w:rsidRDefault="006A3EF2" w:rsidP="006B533A">
      <w:pPr>
        <w:rPr>
          <w:rFonts w:cs="Arial"/>
        </w:rPr>
      </w:pPr>
    </w:p>
    <w:p w14:paraId="5FEF2787" w14:textId="19BFDEF3" w:rsidR="00940BE9" w:rsidRPr="006A063F" w:rsidRDefault="00495998" w:rsidP="00940BE9">
      <w:pPr>
        <w:rPr>
          <w:rFonts w:cs="Arial"/>
          <w:b/>
          <w:sz w:val="28"/>
          <w:szCs w:val="28"/>
        </w:rPr>
      </w:pPr>
      <w:r w:rsidRPr="006A063F">
        <w:rPr>
          <w:rFonts w:cs="Arial"/>
          <w:b/>
          <w:sz w:val="28"/>
          <w:szCs w:val="28"/>
        </w:rPr>
        <w:t>Executive Summary</w:t>
      </w:r>
    </w:p>
    <w:p w14:paraId="53ABECD3" w14:textId="71B97E5D" w:rsidR="0034661D" w:rsidRDefault="00D83F3B" w:rsidP="008967FD">
      <w:pPr>
        <w:shd w:val="clear" w:color="auto" w:fill="FFFFFF"/>
        <w:spacing w:before="300" w:after="300"/>
        <w:rPr>
          <w:rFonts w:cs="Arial"/>
        </w:rPr>
      </w:pPr>
      <w:r>
        <w:rPr>
          <w:rFonts w:cs="Arial"/>
        </w:rPr>
        <w:t xml:space="preserve">ONR’s overall mean gender </w:t>
      </w:r>
      <w:r w:rsidR="00A23FFC">
        <w:rPr>
          <w:rFonts w:cs="Arial"/>
        </w:rPr>
        <w:t xml:space="preserve">pay gap </w:t>
      </w:r>
      <w:r w:rsidR="00637D75">
        <w:rPr>
          <w:rFonts w:cs="Arial"/>
        </w:rPr>
        <w:t xml:space="preserve">remained </w:t>
      </w:r>
      <w:r w:rsidR="004D2192">
        <w:rPr>
          <w:rFonts w:cs="Arial"/>
        </w:rPr>
        <w:t xml:space="preserve">at a similar </w:t>
      </w:r>
      <w:r w:rsidR="005A3A00">
        <w:rPr>
          <w:rFonts w:cs="Arial"/>
        </w:rPr>
        <w:t>level</w:t>
      </w:r>
      <w:r w:rsidR="00637D75">
        <w:rPr>
          <w:rFonts w:cs="Arial"/>
        </w:rPr>
        <w:t xml:space="preserve"> </w:t>
      </w:r>
      <w:r w:rsidR="00924DFE">
        <w:rPr>
          <w:rFonts w:cs="Arial"/>
        </w:rPr>
        <w:t>at 27.3</w:t>
      </w:r>
      <w:r w:rsidR="00077764">
        <w:rPr>
          <w:rFonts w:cs="Arial"/>
        </w:rPr>
        <w:t>% and</w:t>
      </w:r>
      <w:r w:rsidR="00731FFF">
        <w:rPr>
          <w:rFonts w:cs="Arial"/>
        </w:rPr>
        <w:t xml:space="preserve"> </w:t>
      </w:r>
      <w:r w:rsidR="00887AF8">
        <w:rPr>
          <w:rFonts w:cs="Arial"/>
        </w:rPr>
        <w:t xml:space="preserve">the median gap reduced by </w:t>
      </w:r>
      <w:r w:rsidR="00591988">
        <w:rPr>
          <w:rFonts w:cs="Arial"/>
        </w:rPr>
        <w:t>2.3 %</w:t>
      </w:r>
      <w:r w:rsidR="001A171C">
        <w:rPr>
          <w:rFonts w:cs="Arial"/>
        </w:rPr>
        <w:t xml:space="preserve"> to 37.9</w:t>
      </w:r>
      <w:r w:rsidR="002E3BD0">
        <w:rPr>
          <w:rFonts w:cs="Arial"/>
        </w:rPr>
        <w:t>%</w:t>
      </w:r>
      <w:r w:rsidR="001213A5">
        <w:rPr>
          <w:rFonts w:cs="Arial"/>
        </w:rPr>
        <w:t>.</w:t>
      </w:r>
      <w:r w:rsidR="0007488B">
        <w:rPr>
          <w:rFonts w:cs="Arial"/>
        </w:rPr>
        <w:t xml:space="preserve"> </w:t>
      </w:r>
      <w:r w:rsidR="005C229D">
        <w:rPr>
          <w:rFonts w:cs="Arial"/>
        </w:rPr>
        <w:t>The mean bonus gap a</w:t>
      </w:r>
      <w:r w:rsidR="00F9684D">
        <w:rPr>
          <w:rFonts w:cs="Arial"/>
        </w:rPr>
        <w:t xml:space="preserve">ppears to be </w:t>
      </w:r>
      <w:r w:rsidR="00BA3B0A">
        <w:rPr>
          <w:rFonts w:cs="Arial"/>
        </w:rPr>
        <w:t xml:space="preserve">slightly </w:t>
      </w:r>
      <w:r w:rsidR="00F9684D">
        <w:rPr>
          <w:rFonts w:cs="Arial"/>
        </w:rPr>
        <w:t xml:space="preserve">in favour of men </w:t>
      </w:r>
      <w:r w:rsidR="00BA3B0A">
        <w:rPr>
          <w:rFonts w:cs="Arial"/>
        </w:rPr>
        <w:t>(</w:t>
      </w:r>
      <w:r w:rsidR="00456FFD">
        <w:rPr>
          <w:rFonts w:cs="Arial"/>
          <w:color w:val="000000"/>
        </w:rPr>
        <w:t>0.4</w:t>
      </w:r>
      <w:r w:rsidR="00456FFD" w:rsidRPr="000A1EF7">
        <w:rPr>
          <w:rFonts w:cs="Arial"/>
          <w:color w:val="000000"/>
        </w:rPr>
        <w:t>%</w:t>
      </w:r>
      <w:r w:rsidR="00BA3B0A">
        <w:rPr>
          <w:rFonts w:cs="Arial"/>
          <w:color w:val="000000"/>
        </w:rPr>
        <w:t>)</w:t>
      </w:r>
      <w:r w:rsidR="00456FFD" w:rsidRPr="000A1EF7">
        <w:rPr>
          <w:rFonts w:cs="Arial"/>
          <w:color w:val="000000"/>
        </w:rPr>
        <w:t xml:space="preserve"> </w:t>
      </w:r>
      <w:r w:rsidR="00F9684D">
        <w:rPr>
          <w:rFonts w:cs="Arial"/>
        </w:rPr>
        <w:t xml:space="preserve">and while this report covers the period of </w:t>
      </w:r>
      <w:r w:rsidR="00DF2F1F">
        <w:rPr>
          <w:rFonts w:cs="Arial"/>
        </w:rPr>
        <w:t xml:space="preserve">1 April 2022 to 31 March 2023, </w:t>
      </w:r>
      <w:r w:rsidR="004056F1">
        <w:rPr>
          <w:rFonts w:cs="Arial"/>
        </w:rPr>
        <w:t>we have not been able to reflect a whole year following the introduction of our new Praise &amp; Recognition approach</w:t>
      </w:r>
      <w:r w:rsidR="00BA3B0A">
        <w:rPr>
          <w:rFonts w:cs="Arial"/>
        </w:rPr>
        <w:t>,</w:t>
      </w:r>
      <w:r w:rsidR="004056F1">
        <w:rPr>
          <w:rFonts w:cs="Arial"/>
        </w:rPr>
        <w:t xml:space="preserve"> which was introduced in November 2022</w:t>
      </w:r>
      <w:r w:rsidR="00C32612">
        <w:rPr>
          <w:rFonts w:cs="Arial"/>
        </w:rPr>
        <w:t>,</w:t>
      </w:r>
      <w:r w:rsidR="004056F1">
        <w:rPr>
          <w:rFonts w:cs="Arial"/>
        </w:rPr>
        <w:t xml:space="preserve"> </w:t>
      </w:r>
      <w:r w:rsidR="00900C3C">
        <w:rPr>
          <w:rFonts w:cs="Arial"/>
        </w:rPr>
        <w:t xml:space="preserve">in </w:t>
      </w:r>
      <w:r w:rsidR="00627527" w:rsidRPr="00766AAE">
        <w:rPr>
          <w:rFonts w:cs="Arial"/>
          <w:color w:val="333333"/>
          <w:bdr w:val="none" w:sz="0" w:space="0" w:color="auto" w:frame="1"/>
          <w:shd w:val="clear" w:color="auto" w:fill="FFFFFF"/>
        </w:rPr>
        <w:t>line with our organisational </w:t>
      </w:r>
      <w:r w:rsidR="00766AAE">
        <w:rPr>
          <w:rFonts w:cs="Arial"/>
          <w:color w:val="333333"/>
          <w:bdr w:val="none" w:sz="0" w:space="0" w:color="auto" w:frame="1"/>
          <w:shd w:val="clear" w:color="auto" w:fill="FFFFFF"/>
        </w:rPr>
        <w:t>values (</w:t>
      </w:r>
      <w:r w:rsidR="00627527" w:rsidRPr="00766AAE">
        <w:rPr>
          <w:rFonts w:cs="Arial"/>
          <w:color w:val="333333"/>
          <w:bdr w:val="none" w:sz="0" w:space="0" w:color="auto" w:frame="1"/>
          <w:shd w:val="clear" w:color="auto" w:fill="FFFFFF"/>
        </w:rPr>
        <w:t>fair, supportive, open-minded, and accountable)</w:t>
      </w:r>
      <w:r w:rsidR="001A431F" w:rsidRPr="00766AAE">
        <w:rPr>
          <w:rFonts w:cs="Arial"/>
          <w:color w:val="333333"/>
          <w:bdr w:val="none" w:sz="0" w:space="0" w:color="auto" w:frame="1"/>
          <w:shd w:val="clear" w:color="auto" w:fill="FFFFFF"/>
        </w:rPr>
        <w:t xml:space="preserve">, and which seeks to </w:t>
      </w:r>
      <w:r w:rsidR="00766AAE" w:rsidRPr="00766AAE">
        <w:rPr>
          <w:rFonts w:cs="Arial"/>
          <w:color w:val="333333"/>
          <w:bdr w:val="none" w:sz="0" w:space="0" w:color="auto" w:frame="1"/>
          <w:shd w:val="clear" w:color="auto" w:fill="FFFFFF"/>
        </w:rPr>
        <w:t>build a</w:t>
      </w:r>
      <w:r w:rsidR="001A431F" w:rsidRPr="00766AAE">
        <w:rPr>
          <w:rFonts w:cs="Arial"/>
          <w:color w:val="333333"/>
          <w:bdr w:val="none" w:sz="0" w:space="0" w:color="auto" w:frame="1"/>
          <w:shd w:val="clear" w:color="auto" w:fill="FFFFFF"/>
        </w:rPr>
        <w:t xml:space="preserve">n inclusive </w:t>
      </w:r>
      <w:r w:rsidR="000C5D3A">
        <w:rPr>
          <w:rFonts w:cs="Arial"/>
          <w:color w:val="333333"/>
          <w:bdr w:val="none" w:sz="0" w:space="0" w:color="auto" w:frame="1"/>
          <w:shd w:val="clear" w:color="auto" w:fill="FFFFFF"/>
        </w:rPr>
        <w:t>‘</w:t>
      </w:r>
      <w:r w:rsidR="001A431F" w:rsidRPr="00766AAE">
        <w:rPr>
          <w:rFonts w:cs="Arial"/>
          <w:color w:val="333333"/>
          <w:bdr w:val="none" w:sz="0" w:space="0" w:color="auto" w:frame="1"/>
          <w:shd w:val="clear" w:color="auto" w:fill="FFFFFF"/>
        </w:rPr>
        <w:t xml:space="preserve">collaborative culture’ as it broadens the opportunities available </w:t>
      </w:r>
      <w:r w:rsidR="007F2D90">
        <w:rPr>
          <w:rFonts w:cs="Arial"/>
          <w:color w:val="333333"/>
          <w:bdr w:val="none" w:sz="0" w:space="0" w:color="auto" w:frame="1"/>
          <w:shd w:val="clear" w:color="auto" w:fill="FFFFFF"/>
        </w:rPr>
        <w:t>for all staff to be r</w:t>
      </w:r>
      <w:r w:rsidR="001A431F" w:rsidRPr="00766AAE">
        <w:rPr>
          <w:rFonts w:cs="Arial"/>
          <w:color w:val="333333"/>
          <w:bdr w:val="none" w:sz="0" w:space="0" w:color="auto" w:frame="1"/>
          <w:shd w:val="clear" w:color="auto" w:fill="FFFFFF"/>
        </w:rPr>
        <w:t>ecognised. </w:t>
      </w:r>
      <w:r w:rsidR="008967FD">
        <w:rPr>
          <w:rFonts w:cs="Arial"/>
          <w:color w:val="333333"/>
          <w:bdr w:val="none" w:sz="0" w:space="0" w:color="auto" w:frame="1"/>
          <w:shd w:val="clear" w:color="auto" w:fill="FFFFFF"/>
        </w:rPr>
        <w:t>The an</w:t>
      </w:r>
      <w:r w:rsidR="001B6F31">
        <w:rPr>
          <w:rFonts w:cs="Arial"/>
        </w:rPr>
        <w:t>alysis of current data shows a shifting trend in fa</w:t>
      </w:r>
      <w:r w:rsidR="0034661D">
        <w:rPr>
          <w:rFonts w:cs="Arial"/>
        </w:rPr>
        <w:t>v</w:t>
      </w:r>
      <w:r w:rsidR="001B6F31">
        <w:rPr>
          <w:rFonts w:cs="Arial"/>
        </w:rPr>
        <w:t xml:space="preserve">our of </w:t>
      </w:r>
      <w:r w:rsidR="00077764">
        <w:rPr>
          <w:rFonts w:cs="Arial"/>
        </w:rPr>
        <w:t>women,</w:t>
      </w:r>
      <w:r w:rsidR="008967FD">
        <w:rPr>
          <w:rFonts w:cs="Arial"/>
        </w:rPr>
        <w:t xml:space="preserve"> and w</w:t>
      </w:r>
      <w:r w:rsidR="0034661D">
        <w:rPr>
          <w:rFonts w:cs="Arial"/>
        </w:rPr>
        <w:t xml:space="preserve">e are confident that </w:t>
      </w:r>
      <w:r w:rsidR="00A57A48">
        <w:rPr>
          <w:rFonts w:cs="Arial"/>
        </w:rPr>
        <w:t xml:space="preserve">in </w:t>
      </w:r>
      <w:r w:rsidR="0034661D">
        <w:rPr>
          <w:rFonts w:cs="Arial"/>
        </w:rPr>
        <w:t>our next</w:t>
      </w:r>
      <w:r w:rsidR="008967FD">
        <w:rPr>
          <w:rFonts w:cs="Arial"/>
        </w:rPr>
        <w:t xml:space="preserve"> gender pay</w:t>
      </w:r>
      <w:r w:rsidR="0034661D">
        <w:rPr>
          <w:rFonts w:cs="Arial"/>
        </w:rPr>
        <w:t xml:space="preserve"> report </w:t>
      </w:r>
      <w:r w:rsidR="00CE2C9E">
        <w:rPr>
          <w:rFonts w:cs="Arial"/>
        </w:rPr>
        <w:t>we will be able to demonstrate this shift</w:t>
      </w:r>
      <w:r w:rsidR="00AE4040">
        <w:rPr>
          <w:rFonts w:cs="Arial"/>
        </w:rPr>
        <w:t xml:space="preserve"> to a more equitable position</w:t>
      </w:r>
      <w:r w:rsidR="008967FD">
        <w:rPr>
          <w:rFonts w:cs="Arial"/>
        </w:rPr>
        <w:t>.</w:t>
      </w:r>
    </w:p>
    <w:p w14:paraId="6F55A3A9" w14:textId="7105ABBC" w:rsidR="0084434D" w:rsidRDefault="00122CCB" w:rsidP="0034661D">
      <w:pPr>
        <w:shd w:val="clear" w:color="auto" w:fill="FFFFFF"/>
        <w:spacing w:before="300" w:after="300"/>
        <w:rPr>
          <w:rFonts w:cs="Arial"/>
          <w:color w:val="333333"/>
          <w:shd w:val="clear" w:color="auto" w:fill="FFFFFF"/>
        </w:rPr>
      </w:pPr>
      <w:r>
        <w:rPr>
          <w:rFonts w:cs="Arial"/>
        </w:rPr>
        <w:t>As an organisation</w:t>
      </w:r>
      <w:r w:rsidR="00A610D8">
        <w:rPr>
          <w:rFonts w:cs="Arial"/>
        </w:rPr>
        <w:t xml:space="preserve"> we are committed to implementing actions that will </w:t>
      </w:r>
      <w:r w:rsidR="00BB6F47">
        <w:rPr>
          <w:rFonts w:cs="Arial"/>
        </w:rPr>
        <w:t>improve gender diversity at all levels</w:t>
      </w:r>
      <w:r w:rsidR="00F81BC7">
        <w:rPr>
          <w:rFonts w:cs="Arial"/>
        </w:rPr>
        <w:t>, and with that reduce our gender pay gap</w:t>
      </w:r>
      <w:r w:rsidR="00523512">
        <w:rPr>
          <w:rFonts w:cs="Arial"/>
        </w:rPr>
        <w:t xml:space="preserve"> and over time eradicate it</w:t>
      </w:r>
      <w:r w:rsidR="00F81BC7">
        <w:rPr>
          <w:rFonts w:cs="Arial"/>
        </w:rPr>
        <w:t xml:space="preserve">. </w:t>
      </w:r>
      <w:r w:rsidR="00887AF8">
        <w:rPr>
          <w:rFonts w:cs="Arial"/>
        </w:rPr>
        <w:t xml:space="preserve">We are </w:t>
      </w:r>
      <w:r w:rsidR="00523512">
        <w:rPr>
          <w:rFonts w:cs="Arial"/>
        </w:rPr>
        <w:t>un</w:t>
      </w:r>
      <w:r w:rsidR="008F3523">
        <w:rPr>
          <w:rFonts w:cs="Arial"/>
        </w:rPr>
        <w:t>wavering in</w:t>
      </w:r>
      <w:r w:rsidR="00887AF8">
        <w:rPr>
          <w:rFonts w:cs="Arial"/>
        </w:rPr>
        <w:t xml:space="preserve"> our efforts to focus on the right activities to deliver change</w:t>
      </w:r>
      <w:r w:rsidR="00EA1596">
        <w:rPr>
          <w:rFonts w:cs="Arial"/>
        </w:rPr>
        <w:t>.</w:t>
      </w:r>
      <w:r w:rsidR="00887AF8">
        <w:rPr>
          <w:rFonts w:cs="Arial"/>
        </w:rPr>
        <w:t xml:space="preserve"> </w:t>
      </w:r>
      <w:r w:rsidR="00F81BC7">
        <w:rPr>
          <w:rFonts w:cs="Arial"/>
        </w:rPr>
        <w:t xml:space="preserve">We </w:t>
      </w:r>
      <w:r w:rsidR="00133DBB">
        <w:rPr>
          <w:rFonts w:cs="Arial"/>
        </w:rPr>
        <w:t xml:space="preserve">know that, although our gender pay gap </w:t>
      </w:r>
      <w:r w:rsidR="00133DBB" w:rsidRPr="00D85BE1">
        <w:rPr>
          <w:rFonts w:cs="Arial"/>
        </w:rPr>
        <w:t>remains significant</w:t>
      </w:r>
      <w:r w:rsidR="00133DBB">
        <w:rPr>
          <w:rFonts w:cs="Arial"/>
        </w:rPr>
        <w:t>,</w:t>
      </w:r>
      <w:r w:rsidR="00133DBB" w:rsidRPr="00D85BE1">
        <w:rPr>
          <w:rFonts w:cs="Arial"/>
        </w:rPr>
        <w:t xml:space="preserve"> it </w:t>
      </w:r>
      <w:r w:rsidR="00AE4040">
        <w:rPr>
          <w:rFonts w:cs="Arial"/>
        </w:rPr>
        <w:t>does not illustrate any equal pay concerns but</w:t>
      </w:r>
      <w:r w:rsidR="00133DBB" w:rsidRPr="00D85BE1">
        <w:rPr>
          <w:rFonts w:cs="Arial"/>
        </w:rPr>
        <w:t xml:space="preserve"> </w:t>
      </w:r>
      <w:r w:rsidR="00EA1596">
        <w:rPr>
          <w:rFonts w:cs="Arial"/>
        </w:rPr>
        <w:t xml:space="preserve">reflects </w:t>
      </w:r>
      <w:r w:rsidR="00133DBB">
        <w:rPr>
          <w:rFonts w:cs="Arial"/>
        </w:rPr>
        <w:t xml:space="preserve">the gender and demographic mix of our workforce and </w:t>
      </w:r>
      <w:r w:rsidR="00133DBB" w:rsidRPr="00D85BE1">
        <w:rPr>
          <w:rFonts w:cs="Arial"/>
        </w:rPr>
        <w:t>the</w:t>
      </w:r>
      <w:r w:rsidR="00133DBB">
        <w:rPr>
          <w:rFonts w:cs="Arial"/>
        </w:rPr>
        <w:t xml:space="preserve"> </w:t>
      </w:r>
      <w:r w:rsidR="00133DBB" w:rsidRPr="001F087B">
        <w:rPr>
          <w:rFonts w:cs="Arial"/>
        </w:rPr>
        <w:t>legacy of the industry from which we draw</w:t>
      </w:r>
      <w:r w:rsidR="0084434D">
        <w:rPr>
          <w:rFonts w:cs="Arial"/>
        </w:rPr>
        <w:t>, which sees a lower proportion of</w:t>
      </w:r>
      <w:r w:rsidR="0084434D" w:rsidRPr="001F087B">
        <w:rPr>
          <w:rFonts w:cs="Arial"/>
        </w:rPr>
        <w:t xml:space="preserve"> women work in the fields of science, technology, engineering, and mathematics (STEM)</w:t>
      </w:r>
      <w:r w:rsidR="0084434D">
        <w:rPr>
          <w:rFonts w:cs="Arial"/>
        </w:rPr>
        <w:t>, and this is especially pronounced in the nuclear sector</w:t>
      </w:r>
      <w:r w:rsidR="0084434D" w:rsidRPr="001F087B">
        <w:rPr>
          <w:rFonts w:cs="Arial"/>
        </w:rPr>
        <w:t xml:space="preserve">. </w:t>
      </w:r>
      <w:r w:rsidR="0084434D" w:rsidRPr="000F2490">
        <w:rPr>
          <w:rFonts w:cs="Arial"/>
        </w:rPr>
        <w:t xml:space="preserve"> </w:t>
      </w:r>
    </w:p>
    <w:p w14:paraId="2CF134A1" w14:textId="10A79F18" w:rsidR="00530B41" w:rsidRDefault="000F2490" w:rsidP="00B563CC">
      <w:pPr>
        <w:shd w:val="clear" w:color="auto" w:fill="FFFFFF"/>
        <w:spacing w:before="300" w:after="300"/>
        <w:rPr>
          <w:rFonts w:cs="Arial"/>
          <w:color w:val="333333"/>
          <w:shd w:val="clear" w:color="auto" w:fill="FFFFFF"/>
        </w:rPr>
      </w:pPr>
      <w:r>
        <w:rPr>
          <w:rFonts w:cs="Arial"/>
        </w:rPr>
        <w:t>While</w:t>
      </w:r>
      <w:r w:rsidRPr="001F087B">
        <w:rPr>
          <w:rFonts w:cs="Arial"/>
        </w:rPr>
        <w:t xml:space="preserve"> we continue to attract, </w:t>
      </w:r>
      <w:r w:rsidR="00753088" w:rsidRPr="001F087B">
        <w:rPr>
          <w:rFonts w:cs="Arial"/>
        </w:rPr>
        <w:t>retain,</w:t>
      </w:r>
      <w:r w:rsidRPr="001F087B">
        <w:rPr>
          <w:rFonts w:cs="Arial"/>
        </w:rPr>
        <w:t xml:space="preserve"> and develop </w:t>
      </w:r>
      <w:r>
        <w:rPr>
          <w:rFonts w:cs="Arial"/>
        </w:rPr>
        <w:t xml:space="preserve">our female employees, </w:t>
      </w:r>
      <w:r w:rsidRPr="001F087B">
        <w:rPr>
          <w:rFonts w:cs="Arial"/>
        </w:rPr>
        <w:t>with a focus on our graduate and apprenticeship</w:t>
      </w:r>
      <w:r>
        <w:rPr>
          <w:rFonts w:cs="Arial"/>
        </w:rPr>
        <w:t xml:space="preserve"> schemes, we understand that in the short term this disparity will continue to be a contributing factor </w:t>
      </w:r>
      <w:r w:rsidR="00D676D9">
        <w:rPr>
          <w:rFonts w:cs="Arial"/>
        </w:rPr>
        <w:t>in</w:t>
      </w:r>
      <w:r>
        <w:rPr>
          <w:rFonts w:cs="Arial"/>
        </w:rPr>
        <w:t xml:space="preserve"> our gender pay gap. </w:t>
      </w:r>
      <w:r w:rsidR="003F6C5E">
        <w:t xml:space="preserve">Our gender split has seen small improvements year on year since 2017, </w:t>
      </w:r>
      <w:r w:rsidR="00B563CC">
        <w:t>and</w:t>
      </w:r>
      <w:r>
        <w:rPr>
          <w:rFonts w:cs="Arial"/>
        </w:rPr>
        <w:t xml:space="preserve"> </w:t>
      </w:r>
      <w:r>
        <w:t>p</w:t>
      </w:r>
      <w:r w:rsidR="005E3452" w:rsidRPr="001F087B">
        <w:t>rogress is being made, c</w:t>
      </w:r>
      <w:r w:rsidR="005E3452" w:rsidRPr="001F087B">
        <w:rPr>
          <w:rFonts w:cs="Arial"/>
        </w:rPr>
        <w:t>urrently 3</w:t>
      </w:r>
      <w:r w:rsidR="00FA0436">
        <w:rPr>
          <w:rFonts w:cs="Arial"/>
        </w:rPr>
        <w:t>7</w:t>
      </w:r>
      <w:r w:rsidR="005E3452" w:rsidRPr="001F087B">
        <w:rPr>
          <w:rFonts w:cs="Arial"/>
        </w:rPr>
        <w:t xml:space="preserve">% of our employees are women, moving us closer to </w:t>
      </w:r>
      <w:r w:rsidR="00D676D9">
        <w:rPr>
          <w:rFonts w:cs="Arial"/>
        </w:rPr>
        <w:t xml:space="preserve">the </w:t>
      </w:r>
      <w:r w:rsidR="005E3452" w:rsidRPr="001F087B">
        <w:t xml:space="preserve">target set jointly by industry and </w:t>
      </w:r>
      <w:r w:rsidR="004B64B4">
        <w:t>g</w:t>
      </w:r>
      <w:r w:rsidR="004B64B4" w:rsidRPr="001F087B">
        <w:t xml:space="preserve">overnment </w:t>
      </w:r>
      <w:r w:rsidR="005E3452" w:rsidRPr="001F087B">
        <w:t>in the Nuclear Sector Deal of 40% women in the industry by 2030.</w:t>
      </w:r>
      <w:r w:rsidR="00674C4A" w:rsidRPr="001F087B">
        <w:t xml:space="preserve"> </w:t>
      </w:r>
      <w:r w:rsidR="00AE4040">
        <w:t xml:space="preserve">We fully expect to reach this level well in advance of the 2030 target date. </w:t>
      </w:r>
      <w:r w:rsidR="00674C4A" w:rsidRPr="001F087B">
        <w:rPr>
          <w:rFonts w:cs="Arial"/>
          <w:color w:val="333333"/>
          <w:shd w:val="clear" w:color="auto" w:fill="FFFFFF"/>
        </w:rPr>
        <w:t xml:space="preserve">We are also pleased to see an increase in women in senior management positions (SCS2 to Band 2) from </w:t>
      </w:r>
      <w:r w:rsidR="00674C4A" w:rsidRPr="00800CF9">
        <w:rPr>
          <w:rFonts w:cs="Arial"/>
          <w:color w:val="333333"/>
          <w:shd w:val="clear" w:color="auto" w:fill="FFFFFF"/>
        </w:rPr>
        <w:t>22% to 24%</w:t>
      </w:r>
      <w:r w:rsidR="00AE4040">
        <w:rPr>
          <w:rFonts w:cs="Arial"/>
          <w:color w:val="333333"/>
          <w:shd w:val="clear" w:color="auto" w:fill="FFFFFF"/>
        </w:rPr>
        <w:t xml:space="preserve"> and believe this upward trajectory will continue</w:t>
      </w:r>
      <w:r w:rsidR="00D676D9" w:rsidRPr="00800CF9">
        <w:rPr>
          <w:rFonts w:cs="Arial"/>
          <w:color w:val="333333"/>
          <w:shd w:val="clear" w:color="auto" w:fill="FFFFFF"/>
        </w:rPr>
        <w:t>.</w:t>
      </w:r>
      <w:r w:rsidR="00674C4A" w:rsidRPr="001F087B">
        <w:rPr>
          <w:rFonts w:cs="Arial"/>
          <w:color w:val="333333"/>
          <w:shd w:val="clear" w:color="auto" w:fill="FFFFFF"/>
        </w:rPr>
        <w:t xml:space="preserve"> </w:t>
      </w:r>
      <w:r w:rsidR="00D676D9">
        <w:rPr>
          <w:rFonts w:cs="Arial"/>
          <w:color w:val="333333"/>
          <w:shd w:val="clear" w:color="auto" w:fill="FFFFFF"/>
        </w:rPr>
        <w:t>T</w:t>
      </w:r>
      <w:r w:rsidR="00674C4A" w:rsidRPr="001F087B">
        <w:rPr>
          <w:rFonts w:cs="Arial"/>
          <w:color w:val="333333"/>
          <w:shd w:val="clear" w:color="auto" w:fill="FFFFFF"/>
        </w:rPr>
        <w:t xml:space="preserve">hrough our strategy and action plan we will continue to </w:t>
      </w:r>
      <w:r w:rsidR="00AE4040">
        <w:rPr>
          <w:rFonts w:cs="Arial"/>
          <w:color w:val="333333"/>
          <w:shd w:val="clear" w:color="auto" w:fill="FFFFFF"/>
        </w:rPr>
        <w:t xml:space="preserve">ensure that we </w:t>
      </w:r>
      <w:r w:rsidR="00674C4A" w:rsidRPr="001F087B">
        <w:rPr>
          <w:rFonts w:cs="Arial"/>
          <w:color w:val="333333"/>
          <w:shd w:val="clear" w:color="auto" w:fill="FFFFFF"/>
        </w:rPr>
        <w:t>drive progress.</w:t>
      </w:r>
    </w:p>
    <w:p w14:paraId="775644A8" w14:textId="098F09BA" w:rsidR="007D08CA" w:rsidRDefault="005F6B29" w:rsidP="00AF747C">
      <w:pPr>
        <w:shd w:val="clear" w:color="auto" w:fill="FFFFFF"/>
        <w:spacing w:before="300" w:after="300"/>
      </w:pPr>
      <w:r>
        <w:t xml:space="preserve">Our actions have been designed to encourage a more balanced gender diversity approach in recruitment and to concentrate our efforts on attracting and encouraging diversity at all levels. </w:t>
      </w:r>
      <w:r w:rsidR="00AF747C" w:rsidRPr="00156E66">
        <w:rPr>
          <w:rFonts w:cs="Arial"/>
          <w:color w:val="0B0C0C"/>
          <w:shd w:val="clear" w:color="auto" w:fill="FFFFFF"/>
        </w:rPr>
        <w:t xml:space="preserve">We have embedded fairness and </w:t>
      </w:r>
      <w:r w:rsidR="00AF747C">
        <w:rPr>
          <w:rFonts w:cs="Arial"/>
          <w:color w:val="0B0C0C"/>
          <w:shd w:val="clear" w:color="auto" w:fill="FFFFFF"/>
        </w:rPr>
        <w:t xml:space="preserve">inclusion </w:t>
      </w:r>
      <w:r w:rsidR="00AF747C" w:rsidRPr="00156E66">
        <w:rPr>
          <w:rFonts w:cs="Arial"/>
          <w:color w:val="0B0C0C"/>
          <w:shd w:val="clear" w:color="auto" w:fill="FFFFFF"/>
        </w:rPr>
        <w:t xml:space="preserve">principles into </w:t>
      </w:r>
      <w:r w:rsidR="00AF747C">
        <w:rPr>
          <w:rFonts w:cs="Arial"/>
          <w:color w:val="0B0C0C"/>
          <w:shd w:val="clear" w:color="auto" w:fill="FFFFFF"/>
        </w:rPr>
        <w:t>the</w:t>
      </w:r>
      <w:r w:rsidR="00AF747C" w:rsidRPr="00156E66">
        <w:rPr>
          <w:rFonts w:cs="Arial"/>
          <w:color w:val="0B0C0C"/>
          <w:shd w:val="clear" w:color="auto" w:fill="FFFFFF"/>
        </w:rPr>
        <w:t xml:space="preserve"> advertising, </w:t>
      </w:r>
      <w:r w:rsidR="00753088" w:rsidRPr="00156E66">
        <w:rPr>
          <w:rFonts w:cs="Arial"/>
          <w:color w:val="0B0C0C"/>
          <w:shd w:val="clear" w:color="auto" w:fill="FFFFFF"/>
        </w:rPr>
        <w:t>selection,</w:t>
      </w:r>
      <w:r w:rsidR="00AF747C" w:rsidRPr="00156E66">
        <w:rPr>
          <w:rFonts w:cs="Arial"/>
          <w:color w:val="0B0C0C"/>
          <w:shd w:val="clear" w:color="auto" w:fill="FFFFFF"/>
        </w:rPr>
        <w:t xml:space="preserve"> and progression processes for all roles across </w:t>
      </w:r>
      <w:r w:rsidR="00AF747C">
        <w:rPr>
          <w:rFonts w:cs="Arial"/>
          <w:color w:val="0B0C0C"/>
          <w:shd w:val="clear" w:color="auto" w:fill="FFFFFF"/>
        </w:rPr>
        <w:t>our</w:t>
      </w:r>
      <w:r w:rsidR="00AF747C" w:rsidRPr="00156E66">
        <w:rPr>
          <w:rFonts w:cs="Arial"/>
          <w:color w:val="0B0C0C"/>
          <w:shd w:val="clear" w:color="auto" w:fill="FFFFFF"/>
        </w:rPr>
        <w:t xml:space="preserve"> </w:t>
      </w:r>
      <w:r w:rsidR="00AF747C">
        <w:rPr>
          <w:rFonts w:cs="Arial"/>
          <w:color w:val="0B0C0C"/>
          <w:shd w:val="clear" w:color="auto" w:fill="FFFFFF"/>
        </w:rPr>
        <w:t>organisation.</w:t>
      </w:r>
      <w:r w:rsidR="00994428">
        <w:rPr>
          <w:rFonts w:cs="Arial"/>
          <w:color w:val="0B0C0C"/>
          <w:shd w:val="clear" w:color="auto" w:fill="FFFFFF"/>
        </w:rPr>
        <w:t xml:space="preserve"> </w:t>
      </w:r>
      <w:r>
        <w:t xml:space="preserve">Our </w:t>
      </w:r>
      <w:r w:rsidR="0042148E">
        <w:t xml:space="preserve">People Services </w:t>
      </w:r>
      <w:r w:rsidR="004B64B4">
        <w:t>t</w:t>
      </w:r>
      <w:r w:rsidR="0042148E">
        <w:t xml:space="preserve">eam </w:t>
      </w:r>
      <w:r>
        <w:t xml:space="preserve">continually monitor recruitment channel activity to ensure they are inclusive, and we make every effort to ensure our recruitment literature contains gender neutral language. Diversity &amp; </w:t>
      </w:r>
      <w:r w:rsidR="00AF747C">
        <w:t>Inclusion</w:t>
      </w:r>
      <w:r>
        <w:t xml:space="preserve"> </w:t>
      </w:r>
      <w:r w:rsidR="00630A0E">
        <w:t xml:space="preserve">and </w:t>
      </w:r>
      <w:r w:rsidR="002547B8">
        <w:t>B</w:t>
      </w:r>
      <w:r w:rsidR="00630A0E">
        <w:t xml:space="preserve">eing </w:t>
      </w:r>
      <w:r w:rsidR="002547B8">
        <w:t>a</w:t>
      </w:r>
      <w:r w:rsidR="00630A0E">
        <w:t xml:space="preserve"> Good Ally </w:t>
      </w:r>
      <w:r>
        <w:t xml:space="preserve">training is provided for all </w:t>
      </w:r>
      <w:r w:rsidR="00630A0E">
        <w:t xml:space="preserve">colleagues including </w:t>
      </w:r>
      <w:r>
        <w:t xml:space="preserve">recruiting managers and this emphasises the need for a gender balance of applicants and progression within the organisation (including flexible and agile working arrangements). Whenever we can we </w:t>
      </w:r>
      <w:r w:rsidR="00BB05B2">
        <w:t xml:space="preserve">have gender balance and ensure </w:t>
      </w:r>
      <w:r>
        <w:t xml:space="preserve">female </w:t>
      </w:r>
      <w:r w:rsidR="00E27837">
        <w:t>representation in</w:t>
      </w:r>
      <w:r>
        <w:t xml:space="preserve"> our recruitment selection panels</w:t>
      </w:r>
      <w:r w:rsidR="007D08CA">
        <w:t>.</w:t>
      </w:r>
    </w:p>
    <w:p w14:paraId="2E915855" w14:textId="284DA062" w:rsidR="00E345CD" w:rsidRDefault="00E345CD" w:rsidP="00994428">
      <w:pPr>
        <w:shd w:val="clear" w:color="auto" w:fill="FFFFFF"/>
        <w:spacing w:before="300" w:after="300"/>
        <w:rPr>
          <w:rFonts w:cs="Arial"/>
          <w:color w:val="0B0C0C"/>
          <w:shd w:val="clear" w:color="auto" w:fill="FFFFFF"/>
        </w:rPr>
      </w:pPr>
      <w:r w:rsidRPr="00156E66">
        <w:rPr>
          <w:rFonts w:cs="Arial"/>
          <w:color w:val="0B0C0C"/>
          <w:shd w:val="clear" w:color="auto" w:fill="FFFFFF"/>
        </w:rPr>
        <w:t xml:space="preserve">Encouraging and increasing gender diversity through our recruitment and talent acquisition processes is a priority for </w:t>
      </w:r>
      <w:r>
        <w:rPr>
          <w:rFonts w:cs="Arial"/>
          <w:color w:val="0B0C0C"/>
          <w:shd w:val="clear" w:color="auto" w:fill="FFFFFF"/>
        </w:rPr>
        <w:t xml:space="preserve">ONR, with the goal of reducing and </w:t>
      </w:r>
      <w:r w:rsidR="00FE3501">
        <w:rPr>
          <w:rFonts w:cs="Arial"/>
          <w:color w:val="0B0C0C"/>
          <w:shd w:val="clear" w:color="auto" w:fill="FFFFFF"/>
        </w:rPr>
        <w:t>closing</w:t>
      </w:r>
      <w:r>
        <w:rPr>
          <w:rFonts w:cs="Arial"/>
          <w:color w:val="0B0C0C"/>
          <w:shd w:val="clear" w:color="auto" w:fill="FFFFFF"/>
        </w:rPr>
        <w:t xml:space="preserve"> the gender pay gap. </w:t>
      </w:r>
      <w:r>
        <w:rPr>
          <w:rFonts w:cs="Arial"/>
          <w:color w:val="0B0C0C"/>
          <w:lang w:eastAsia="en-GB"/>
        </w:rPr>
        <w:t>O</w:t>
      </w:r>
      <w:r w:rsidRPr="00FF0C5A">
        <w:rPr>
          <w:rFonts w:cs="Arial"/>
          <w:color w:val="0B0C0C"/>
          <w:shd w:val="clear" w:color="auto" w:fill="FFFFFF"/>
        </w:rPr>
        <w:t>ne of our main aim</w:t>
      </w:r>
      <w:r w:rsidRPr="001F087B">
        <w:rPr>
          <w:rFonts w:cs="Arial"/>
          <w:color w:val="0B0C0C"/>
          <w:shd w:val="clear" w:color="auto" w:fill="FFFFFF"/>
        </w:rPr>
        <w:t>s</w:t>
      </w:r>
      <w:r w:rsidRPr="00FF0C5A">
        <w:rPr>
          <w:rFonts w:cs="Arial"/>
          <w:color w:val="0B0C0C"/>
          <w:shd w:val="clear" w:color="auto" w:fill="FFFFFF"/>
        </w:rPr>
        <w:t xml:space="preserve"> is to inspire and attract a diverse range of individuals into </w:t>
      </w:r>
      <w:r>
        <w:rPr>
          <w:rFonts w:cs="Arial"/>
          <w:color w:val="0B0C0C"/>
          <w:shd w:val="clear" w:color="auto" w:fill="FFFFFF"/>
        </w:rPr>
        <w:t>ONR</w:t>
      </w:r>
      <w:r w:rsidRPr="00FF0C5A">
        <w:rPr>
          <w:rFonts w:cs="Arial"/>
          <w:color w:val="0B0C0C"/>
          <w:shd w:val="clear" w:color="auto" w:fill="FFFFFF"/>
        </w:rPr>
        <w:t xml:space="preserve"> and increase the number of people recruited and employed from </w:t>
      </w:r>
      <w:r w:rsidR="00C4525B">
        <w:rPr>
          <w:rFonts w:cs="Arial"/>
          <w:color w:val="0B0C0C"/>
          <w:shd w:val="clear" w:color="auto" w:fill="FFFFFF"/>
        </w:rPr>
        <w:lastRenderedPageBreak/>
        <w:t>u</w:t>
      </w:r>
      <w:r w:rsidRPr="00FF0C5A">
        <w:rPr>
          <w:rFonts w:cs="Arial"/>
          <w:color w:val="0B0C0C"/>
          <w:shd w:val="clear" w:color="auto" w:fill="FFFFFF"/>
        </w:rPr>
        <w:t>nder</w:t>
      </w:r>
      <w:r>
        <w:rPr>
          <w:rFonts w:cs="Arial"/>
          <w:color w:val="0B0C0C"/>
          <w:shd w:val="clear" w:color="auto" w:fill="FFFFFF"/>
        </w:rPr>
        <w:t>-</w:t>
      </w:r>
      <w:r w:rsidRPr="00FF0C5A">
        <w:rPr>
          <w:rFonts w:cs="Arial"/>
          <w:color w:val="0B0C0C"/>
          <w:shd w:val="clear" w:color="auto" w:fill="FFFFFF"/>
        </w:rPr>
        <w:t xml:space="preserve">represented groups, specifically women, </w:t>
      </w:r>
      <w:r>
        <w:rPr>
          <w:rFonts w:cs="Arial"/>
          <w:color w:val="0B0C0C"/>
          <w:shd w:val="clear" w:color="auto" w:fill="FFFFFF"/>
        </w:rPr>
        <w:t xml:space="preserve">people from </w:t>
      </w:r>
      <w:r w:rsidRPr="00FF0C5A">
        <w:rPr>
          <w:rFonts w:cs="Arial"/>
          <w:color w:val="0B0C0C"/>
          <w:shd w:val="clear" w:color="auto" w:fill="FFFFFF"/>
        </w:rPr>
        <w:t>ethnic minorit</w:t>
      </w:r>
      <w:r>
        <w:rPr>
          <w:rFonts w:cs="Arial"/>
          <w:color w:val="0B0C0C"/>
          <w:shd w:val="clear" w:color="auto" w:fill="FFFFFF"/>
        </w:rPr>
        <w:t>y backgrounds</w:t>
      </w:r>
      <w:r w:rsidRPr="00FF0C5A">
        <w:rPr>
          <w:rFonts w:cs="Arial"/>
          <w:color w:val="0B0C0C"/>
          <w:shd w:val="clear" w:color="auto" w:fill="FFFFFF"/>
        </w:rPr>
        <w:t xml:space="preserve">, </w:t>
      </w:r>
      <w:r>
        <w:rPr>
          <w:rFonts w:cs="Arial"/>
          <w:color w:val="0B0C0C"/>
          <w:shd w:val="clear" w:color="auto" w:fill="FFFFFF"/>
        </w:rPr>
        <w:t xml:space="preserve">members of the </w:t>
      </w:r>
      <w:r w:rsidRPr="00FF0C5A">
        <w:rPr>
          <w:rFonts w:cs="Arial"/>
          <w:color w:val="0B0C0C"/>
          <w:shd w:val="clear" w:color="auto" w:fill="FFFFFF"/>
        </w:rPr>
        <w:t>LGBTQ+</w:t>
      </w:r>
      <w:r>
        <w:rPr>
          <w:rFonts w:cs="Arial"/>
          <w:color w:val="0B0C0C"/>
          <w:shd w:val="clear" w:color="auto" w:fill="FFFFFF"/>
        </w:rPr>
        <w:t xml:space="preserve"> community</w:t>
      </w:r>
      <w:r w:rsidRPr="00FF0C5A">
        <w:rPr>
          <w:rFonts w:cs="Arial"/>
          <w:color w:val="0B0C0C"/>
          <w:shd w:val="clear" w:color="auto" w:fill="FFFFFF"/>
        </w:rPr>
        <w:t xml:space="preserve"> and </w:t>
      </w:r>
      <w:r w:rsidR="00ED189D">
        <w:rPr>
          <w:rFonts w:cs="Arial"/>
          <w:color w:val="0B0C0C"/>
          <w:shd w:val="clear" w:color="auto" w:fill="FFFFFF"/>
        </w:rPr>
        <w:t xml:space="preserve">disabled </w:t>
      </w:r>
      <w:r>
        <w:rPr>
          <w:rFonts w:cs="Arial"/>
          <w:color w:val="0B0C0C"/>
          <w:shd w:val="clear" w:color="auto" w:fill="FFFFFF"/>
        </w:rPr>
        <w:t>people</w:t>
      </w:r>
      <w:r w:rsidR="00ED189D">
        <w:rPr>
          <w:rFonts w:cs="Arial"/>
          <w:color w:val="0B0C0C"/>
          <w:shd w:val="clear" w:color="auto" w:fill="FFFFFF"/>
        </w:rPr>
        <w:t>.</w:t>
      </w:r>
      <w:r>
        <w:rPr>
          <w:rFonts w:cs="Arial"/>
          <w:color w:val="0B0C0C"/>
          <w:shd w:val="clear" w:color="auto" w:fill="FFFFFF"/>
        </w:rPr>
        <w:t xml:space="preserve"> </w:t>
      </w:r>
    </w:p>
    <w:p w14:paraId="372AB325" w14:textId="375F7BF1" w:rsidR="00FA7D52" w:rsidRDefault="00530B41" w:rsidP="00D67E94">
      <w:pPr>
        <w:shd w:val="clear" w:color="auto" w:fill="FFFFFF"/>
        <w:spacing w:before="300" w:after="300"/>
      </w:pPr>
      <w:r w:rsidRPr="00D85BE1">
        <w:rPr>
          <w:rFonts w:cs="Arial"/>
        </w:rPr>
        <w:t xml:space="preserve">While we have made improvements in </w:t>
      </w:r>
      <w:r w:rsidR="008E572A">
        <w:rPr>
          <w:rFonts w:cs="Arial"/>
        </w:rPr>
        <w:t>the</w:t>
      </w:r>
      <w:r w:rsidR="008E572A" w:rsidRPr="00D85BE1">
        <w:rPr>
          <w:rFonts w:cs="Arial"/>
        </w:rPr>
        <w:t xml:space="preserve"> </w:t>
      </w:r>
      <w:r w:rsidRPr="00D85BE1">
        <w:rPr>
          <w:rFonts w:cs="Arial"/>
        </w:rPr>
        <w:t xml:space="preserve">diversity of </w:t>
      </w:r>
      <w:r w:rsidR="008E572A">
        <w:rPr>
          <w:rFonts w:cs="Arial"/>
        </w:rPr>
        <w:t xml:space="preserve">our </w:t>
      </w:r>
      <w:r w:rsidRPr="00D85BE1">
        <w:rPr>
          <w:rFonts w:cs="Arial"/>
        </w:rPr>
        <w:t xml:space="preserve">recruitment </w:t>
      </w:r>
      <w:r w:rsidR="00587BE6">
        <w:rPr>
          <w:rFonts w:cs="Arial"/>
        </w:rPr>
        <w:t xml:space="preserve">that have led </w:t>
      </w:r>
      <w:r w:rsidR="008E572A">
        <w:rPr>
          <w:rFonts w:cs="Arial"/>
        </w:rPr>
        <w:t xml:space="preserve">to </w:t>
      </w:r>
      <w:r w:rsidRPr="00D85BE1">
        <w:rPr>
          <w:rFonts w:cs="Arial"/>
        </w:rPr>
        <w:t xml:space="preserve">positive results, we also acknowledge that we need to support work to promote diversity across STEM subjects. </w:t>
      </w:r>
      <w:r w:rsidR="00BB50A0">
        <w:t>Consistent with the experience reported by many other organisations</w:t>
      </w:r>
      <w:r w:rsidR="00151414">
        <w:t xml:space="preserve"> across the nucle</w:t>
      </w:r>
      <w:r w:rsidR="00E62F75">
        <w:t>a</w:t>
      </w:r>
      <w:r w:rsidR="00151414">
        <w:t>r sector</w:t>
      </w:r>
      <w:r w:rsidR="00BB50A0">
        <w:t xml:space="preserve">, </w:t>
      </w:r>
      <w:r w:rsidR="00E35A74">
        <w:t xml:space="preserve">our </w:t>
      </w:r>
      <w:r w:rsidR="00BB50A0">
        <w:t>aggregate overall mean and median gender pay gaps reflect legacy structural arrangements</w:t>
      </w:r>
      <w:r w:rsidR="002A1CEE">
        <w:t xml:space="preserve">. There </w:t>
      </w:r>
      <w:r w:rsidR="00BB50A0">
        <w:t xml:space="preserve">continues to be a shortage across the UK of young and experienced females working in the fields of science, technology, </w:t>
      </w:r>
      <w:r w:rsidR="00753088">
        <w:t>engineering,</w:t>
      </w:r>
      <w:r w:rsidR="00BB50A0">
        <w:t xml:space="preserve"> and mathematics (STEM). Although </w:t>
      </w:r>
      <w:r w:rsidR="00BB50A0" w:rsidRPr="008077FD">
        <w:t>3</w:t>
      </w:r>
      <w:r w:rsidR="00462032" w:rsidRPr="008077FD">
        <w:t>7</w:t>
      </w:r>
      <w:r w:rsidR="00BB50A0">
        <w:t xml:space="preserve">% of </w:t>
      </w:r>
      <w:r w:rsidR="00462032">
        <w:t>ONR’s employees</w:t>
      </w:r>
      <w:r w:rsidR="006A7C4A">
        <w:t xml:space="preserve"> are </w:t>
      </w:r>
      <w:r w:rsidR="008077FD">
        <w:t>women</w:t>
      </w:r>
      <w:r w:rsidR="00E62F75">
        <w:t>,</w:t>
      </w:r>
      <w:r w:rsidR="00BB50A0">
        <w:t xml:space="preserve"> of these just over </w:t>
      </w:r>
      <w:r w:rsidR="00462032" w:rsidRPr="008077FD">
        <w:t>6</w:t>
      </w:r>
      <w:r w:rsidR="008077FD" w:rsidRPr="008077FD">
        <w:t>1</w:t>
      </w:r>
      <w:r w:rsidR="00BB50A0" w:rsidRPr="00AC5BED">
        <w:rPr>
          <w:b/>
          <w:bCs/>
        </w:rPr>
        <w:t>%</w:t>
      </w:r>
      <w:r w:rsidR="00BB50A0">
        <w:t xml:space="preserve"> work in our </w:t>
      </w:r>
      <w:r w:rsidR="00462032">
        <w:t xml:space="preserve">Corporate </w:t>
      </w:r>
      <w:r w:rsidR="008F4BC7">
        <w:t>Services</w:t>
      </w:r>
      <w:r w:rsidR="00462032">
        <w:t xml:space="preserve"> and </w:t>
      </w:r>
      <w:r w:rsidR="00E62F75">
        <w:t xml:space="preserve">Divisional Delivery Support </w:t>
      </w:r>
      <w:r w:rsidR="00B00D3A">
        <w:t>areas. We</w:t>
      </w:r>
      <w:r w:rsidR="00BB50A0">
        <w:t xml:space="preserve"> make </w:t>
      </w:r>
      <w:r w:rsidR="00B00D3A">
        <w:t xml:space="preserve">determined </w:t>
      </w:r>
      <w:r w:rsidR="00BB50A0">
        <w:t>efforts to attract, retain and develop women, particularly through our apprenticeship and graduate training schemes as well as our talent programmes</w:t>
      </w:r>
      <w:r w:rsidR="00314828">
        <w:t xml:space="preserve"> and </w:t>
      </w:r>
      <w:r w:rsidR="006C0F56">
        <w:t>to</w:t>
      </w:r>
      <w:r w:rsidR="00314828">
        <w:t xml:space="preserve"> promote opportunities within our regulatory roles</w:t>
      </w:r>
      <w:r w:rsidR="00BB50A0">
        <w:t xml:space="preserve">. </w:t>
      </w:r>
    </w:p>
    <w:p w14:paraId="49EF7D6C" w14:textId="0AC8315E" w:rsidR="009D24F6" w:rsidRDefault="00BB50A0" w:rsidP="00940BE9">
      <w:pPr>
        <w:rPr>
          <w:rFonts w:cs="Arial"/>
          <w:b/>
        </w:rPr>
      </w:pPr>
      <w:r>
        <w:t xml:space="preserve">Our </w:t>
      </w:r>
      <w:r w:rsidR="00635345">
        <w:t xml:space="preserve">People </w:t>
      </w:r>
      <w:r w:rsidR="00ED189D">
        <w:t>S</w:t>
      </w:r>
      <w:r w:rsidR="00635345">
        <w:t>trategy</w:t>
      </w:r>
      <w:r>
        <w:t xml:space="preserve"> has evolved over time and will continue to do so, consequently, much of the progress we have made with our action plans has yet to be fully reflected in both our overall mean and median gender pay gaps. Whilst we have come a long way</w:t>
      </w:r>
      <w:r w:rsidR="00855136">
        <w:t>,</w:t>
      </w:r>
      <w:r>
        <w:t xml:space="preserve"> our progress has been steady rather than </w:t>
      </w:r>
      <w:r w:rsidR="001B5E15">
        <w:t>remarkable</w:t>
      </w:r>
      <w:r w:rsidR="00EF2A3B">
        <w:t xml:space="preserve">. </w:t>
      </w:r>
      <w:r>
        <w:t>We continue to be committed to the actions we have implemented which are designed to create a more diverse organisation as well as driving down our gender pay gap</w:t>
      </w:r>
      <w:r w:rsidR="00A032BE">
        <w:t>.</w:t>
      </w:r>
    </w:p>
    <w:p w14:paraId="1C76994B" w14:textId="77777777" w:rsidR="001F087B" w:rsidRDefault="001F087B" w:rsidP="00940BE9">
      <w:pPr>
        <w:rPr>
          <w:rFonts w:cs="Arial"/>
          <w:b/>
        </w:rPr>
      </w:pPr>
    </w:p>
    <w:p w14:paraId="5FEF278F" w14:textId="320C48E5" w:rsidR="00940BE9" w:rsidRPr="008519A2" w:rsidRDefault="0097415B" w:rsidP="00940BE9">
      <w:pPr>
        <w:rPr>
          <w:rFonts w:cs="Arial"/>
          <w:b/>
        </w:rPr>
      </w:pPr>
      <w:r>
        <w:rPr>
          <w:rFonts w:cs="Arial"/>
          <w:b/>
        </w:rPr>
        <w:t xml:space="preserve">Analysis of the </w:t>
      </w:r>
      <w:r w:rsidR="003F67DF">
        <w:rPr>
          <w:rFonts w:cs="Arial"/>
          <w:b/>
        </w:rPr>
        <w:t>pay gap</w:t>
      </w:r>
    </w:p>
    <w:p w14:paraId="5FEF2790" w14:textId="77777777" w:rsidR="00940BE9" w:rsidRPr="008519A2" w:rsidRDefault="00940BE9" w:rsidP="00940BE9">
      <w:pPr>
        <w:rPr>
          <w:rFonts w:cs="Arial"/>
        </w:rPr>
      </w:pPr>
    </w:p>
    <w:p w14:paraId="5FEF2793" w14:textId="217B45BC" w:rsidR="00940BE9" w:rsidRPr="008519A2" w:rsidRDefault="00940BE9" w:rsidP="00940BE9">
      <w:pPr>
        <w:rPr>
          <w:rFonts w:cs="Arial"/>
        </w:rPr>
      </w:pPr>
      <w:r w:rsidRPr="008519A2">
        <w:rPr>
          <w:rFonts w:cs="Arial"/>
        </w:rPr>
        <w:t>ONR’s workforce profile by grading level is shown below</w:t>
      </w:r>
      <w:r w:rsidR="00377AAA">
        <w:rPr>
          <w:rFonts w:cs="Arial"/>
        </w:rPr>
        <w:t>.</w:t>
      </w:r>
    </w:p>
    <w:p w14:paraId="1C1AD1FB" w14:textId="77777777" w:rsidR="00B15911" w:rsidRDefault="00B15911" w:rsidP="009858F8">
      <w:pPr>
        <w:rPr>
          <w:rFonts w:cs="Arial"/>
          <w:b/>
        </w:rPr>
      </w:pPr>
    </w:p>
    <w:p w14:paraId="5FEF2795" w14:textId="6AFE3777" w:rsidR="009858F8" w:rsidRPr="008519A2" w:rsidRDefault="001262E5" w:rsidP="009858F8">
      <w:pPr>
        <w:rPr>
          <w:rFonts w:cs="Arial"/>
          <w:b/>
        </w:rPr>
      </w:pPr>
      <w:r>
        <w:rPr>
          <w:rFonts w:cs="Arial"/>
          <w:b/>
        </w:rPr>
        <w:t xml:space="preserve">Distribution of </w:t>
      </w:r>
      <w:r w:rsidR="00DB6A48">
        <w:rPr>
          <w:rFonts w:cs="Arial"/>
          <w:b/>
        </w:rPr>
        <w:t>m</w:t>
      </w:r>
      <w:r w:rsidR="009858F8" w:rsidRPr="008519A2">
        <w:rPr>
          <w:rFonts w:cs="Arial"/>
          <w:b/>
        </w:rPr>
        <w:t>en and women employed at each g</w:t>
      </w:r>
      <w:r w:rsidR="00EA5C74" w:rsidRPr="008519A2">
        <w:rPr>
          <w:rFonts w:cs="Arial"/>
          <w:b/>
        </w:rPr>
        <w:t xml:space="preserve">rading level as </w:t>
      </w:r>
      <w:r w:rsidR="00D2589D" w:rsidRPr="008519A2">
        <w:rPr>
          <w:rFonts w:cs="Arial"/>
          <w:b/>
        </w:rPr>
        <w:t>of</w:t>
      </w:r>
      <w:r w:rsidR="00EA5C74" w:rsidRPr="008519A2">
        <w:rPr>
          <w:rFonts w:cs="Arial"/>
          <w:b/>
        </w:rPr>
        <w:t xml:space="preserve"> 31 March 202</w:t>
      </w:r>
      <w:r w:rsidR="00942CA8">
        <w:rPr>
          <w:rFonts w:cs="Arial"/>
          <w:b/>
        </w:rPr>
        <w:t>3</w:t>
      </w:r>
    </w:p>
    <w:p w14:paraId="5FEF27D4" w14:textId="77777777" w:rsidR="007B172D" w:rsidRPr="008519A2" w:rsidRDefault="007B172D" w:rsidP="00940BE9">
      <w:pPr>
        <w:rPr>
          <w:rFonts w:cs="Arial"/>
        </w:rPr>
      </w:pPr>
    </w:p>
    <w:p w14:paraId="73998BA2" w14:textId="44DCDDA1" w:rsidR="004B5D04" w:rsidRDefault="00940BE9" w:rsidP="004B5D04">
      <w:pPr>
        <w:rPr>
          <w:rFonts w:cs="Arial"/>
        </w:rPr>
      </w:pPr>
      <w:r w:rsidRPr="00254433">
        <w:rPr>
          <w:rFonts w:cs="Arial"/>
        </w:rPr>
        <w:t>Overall, ONR employs a higher percen</w:t>
      </w:r>
      <w:r w:rsidR="00C349B5" w:rsidRPr="00254433">
        <w:rPr>
          <w:rFonts w:cs="Arial"/>
        </w:rPr>
        <w:t>tage of men (6</w:t>
      </w:r>
      <w:r w:rsidR="00B06EDB" w:rsidRPr="00254433">
        <w:rPr>
          <w:rFonts w:cs="Arial"/>
        </w:rPr>
        <w:t>3</w:t>
      </w:r>
      <w:r w:rsidR="00C349B5" w:rsidRPr="00254433">
        <w:rPr>
          <w:rFonts w:cs="Arial"/>
        </w:rPr>
        <w:t>%) than women (3</w:t>
      </w:r>
      <w:r w:rsidR="00B06EDB" w:rsidRPr="00254433">
        <w:rPr>
          <w:rFonts w:cs="Arial"/>
        </w:rPr>
        <w:t>7</w:t>
      </w:r>
      <w:r w:rsidRPr="00254433">
        <w:rPr>
          <w:rFonts w:cs="Arial"/>
        </w:rPr>
        <w:t>%).</w:t>
      </w:r>
      <w:r w:rsidR="00D676D9" w:rsidRPr="00254433">
        <w:rPr>
          <w:rFonts w:cs="Arial"/>
        </w:rPr>
        <w:t xml:space="preserve"> </w:t>
      </w:r>
      <w:r w:rsidR="004B5D04" w:rsidRPr="00254433">
        <w:rPr>
          <w:rFonts w:cs="Arial"/>
        </w:rPr>
        <w:t>In</w:t>
      </w:r>
      <w:r w:rsidR="004B5D04">
        <w:rPr>
          <w:rFonts w:cs="Arial"/>
        </w:rPr>
        <w:t xml:space="preserve"> essence 78% of ONR’s male workforce are in </w:t>
      </w:r>
      <w:r w:rsidR="004E24E3">
        <w:rPr>
          <w:rFonts w:cs="Arial"/>
        </w:rPr>
        <w:t xml:space="preserve">regulatory technical roles </w:t>
      </w:r>
      <w:r w:rsidR="004B5D04">
        <w:rPr>
          <w:rFonts w:cs="Arial"/>
        </w:rPr>
        <w:t xml:space="preserve">with the associated </w:t>
      </w:r>
      <w:r w:rsidR="00314828">
        <w:rPr>
          <w:rFonts w:cs="Arial"/>
        </w:rPr>
        <w:t xml:space="preserve">higher </w:t>
      </w:r>
      <w:r w:rsidR="004B5D04">
        <w:rPr>
          <w:rFonts w:cs="Arial"/>
        </w:rPr>
        <w:t xml:space="preserve">pay scales and only 7% of ONR’s male workforce are in a </w:t>
      </w:r>
      <w:r w:rsidR="00937117">
        <w:rPr>
          <w:rFonts w:cs="Arial"/>
        </w:rPr>
        <w:t>Divisional</w:t>
      </w:r>
      <w:r w:rsidR="004E24E3">
        <w:rPr>
          <w:rFonts w:cs="Arial"/>
        </w:rPr>
        <w:t xml:space="preserve"> Delivery Support </w:t>
      </w:r>
      <w:r w:rsidR="007F55FA">
        <w:rPr>
          <w:rFonts w:cs="Arial"/>
        </w:rPr>
        <w:t xml:space="preserve">(DDS) </w:t>
      </w:r>
      <w:r w:rsidR="00937117">
        <w:rPr>
          <w:rFonts w:cs="Arial"/>
        </w:rPr>
        <w:t>role</w:t>
      </w:r>
      <w:r w:rsidR="00B56DEB">
        <w:rPr>
          <w:rFonts w:cs="Arial"/>
        </w:rPr>
        <w:t xml:space="preserve">. </w:t>
      </w:r>
      <w:r w:rsidR="004B5D04">
        <w:rPr>
          <w:rFonts w:cs="Arial"/>
        </w:rPr>
        <w:t xml:space="preserve">ONR’s female workforce are split across DDS, </w:t>
      </w:r>
      <w:r w:rsidR="00A447F6">
        <w:rPr>
          <w:rFonts w:cs="Arial"/>
        </w:rPr>
        <w:t>regulatory technical a</w:t>
      </w:r>
      <w:r w:rsidR="004B5D04">
        <w:rPr>
          <w:rFonts w:cs="Arial"/>
        </w:rPr>
        <w:t xml:space="preserve">nd Corporate </w:t>
      </w:r>
      <w:r w:rsidR="00A447F6">
        <w:rPr>
          <w:rFonts w:cs="Arial"/>
        </w:rPr>
        <w:t xml:space="preserve">Service roles </w:t>
      </w:r>
      <w:r w:rsidR="004B5D04">
        <w:rPr>
          <w:rFonts w:cs="Arial"/>
        </w:rPr>
        <w:t>and their associated pay scales.</w:t>
      </w:r>
    </w:p>
    <w:p w14:paraId="55507ABB" w14:textId="77777777" w:rsidR="004B5D04" w:rsidRDefault="004B5D04" w:rsidP="00940BE9">
      <w:pPr>
        <w:rPr>
          <w:rFonts w:cs="Arial"/>
          <w:highlight w:val="yellow"/>
        </w:rPr>
      </w:pPr>
    </w:p>
    <w:p w14:paraId="5FEF27D7" w14:textId="7BB9E981" w:rsidR="008D6223" w:rsidRPr="008519A2" w:rsidRDefault="00940BE9" w:rsidP="00940BE9">
      <w:pPr>
        <w:rPr>
          <w:rFonts w:cs="Arial"/>
          <w:color w:val="000000" w:themeColor="text1"/>
        </w:rPr>
      </w:pPr>
      <w:r w:rsidRPr="00254433">
        <w:rPr>
          <w:rFonts w:cs="Arial"/>
        </w:rPr>
        <w:t xml:space="preserve">The proportion of men employed </w:t>
      </w:r>
      <w:r w:rsidR="00830F5A" w:rsidRPr="00254433">
        <w:rPr>
          <w:rFonts w:cs="Arial"/>
        </w:rPr>
        <w:t xml:space="preserve">in higher grades </w:t>
      </w:r>
      <w:r w:rsidRPr="00254433">
        <w:rPr>
          <w:rFonts w:cs="Arial"/>
        </w:rPr>
        <w:t xml:space="preserve">is significantly greater </w:t>
      </w:r>
      <w:r w:rsidR="005F2385" w:rsidRPr="00254433">
        <w:rPr>
          <w:rFonts w:cs="Arial"/>
        </w:rPr>
        <w:t xml:space="preserve">at </w:t>
      </w:r>
      <w:r w:rsidR="00586955" w:rsidRPr="00254433">
        <w:rPr>
          <w:rFonts w:cs="Arial"/>
        </w:rPr>
        <w:t>74</w:t>
      </w:r>
      <w:r w:rsidRPr="00254433">
        <w:rPr>
          <w:rFonts w:cs="Arial"/>
          <w:color w:val="000000" w:themeColor="text1"/>
        </w:rPr>
        <w:t>%</w:t>
      </w:r>
      <w:r w:rsidRPr="00254433">
        <w:rPr>
          <w:rFonts w:cs="Arial"/>
          <w:color w:val="FF0000"/>
        </w:rPr>
        <w:t xml:space="preserve"> </w:t>
      </w:r>
      <w:r w:rsidR="005F2385" w:rsidRPr="00254433">
        <w:rPr>
          <w:rFonts w:cs="Arial"/>
          <w:color w:val="000000" w:themeColor="text1"/>
        </w:rPr>
        <w:t>within the</w:t>
      </w:r>
      <w:r w:rsidR="00773328" w:rsidRPr="00254433">
        <w:rPr>
          <w:rFonts w:cs="Arial"/>
          <w:color w:val="000000" w:themeColor="text1"/>
        </w:rPr>
        <w:t xml:space="preserve"> </w:t>
      </w:r>
      <w:r w:rsidR="005F2385" w:rsidRPr="00254433">
        <w:rPr>
          <w:rFonts w:cs="Arial"/>
          <w:color w:val="000000" w:themeColor="text1"/>
        </w:rPr>
        <w:t xml:space="preserve">senior </w:t>
      </w:r>
      <w:r w:rsidR="006A7BA7" w:rsidRPr="00254433">
        <w:rPr>
          <w:rFonts w:cs="Arial"/>
          <w:color w:val="000000" w:themeColor="text1"/>
        </w:rPr>
        <w:t xml:space="preserve">grades (Bands </w:t>
      </w:r>
      <w:r w:rsidR="00773328" w:rsidRPr="00254433">
        <w:rPr>
          <w:rFonts w:cs="Arial"/>
          <w:color w:val="000000" w:themeColor="text1"/>
        </w:rPr>
        <w:t>1</w:t>
      </w:r>
      <w:r w:rsidR="00BC237A" w:rsidRPr="00254433">
        <w:rPr>
          <w:rFonts w:cs="Arial"/>
        </w:rPr>
        <w:t>–</w:t>
      </w:r>
      <w:r w:rsidR="00773328" w:rsidRPr="00254433">
        <w:rPr>
          <w:rFonts w:cs="Arial"/>
          <w:color w:val="000000" w:themeColor="text1"/>
        </w:rPr>
        <w:t>3</w:t>
      </w:r>
      <w:r w:rsidR="006A7BA7" w:rsidRPr="00254433">
        <w:rPr>
          <w:rFonts w:cs="Arial"/>
          <w:color w:val="000000" w:themeColor="text1"/>
        </w:rPr>
        <w:t>)</w:t>
      </w:r>
      <w:r w:rsidR="00F037F6" w:rsidRPr="007D2540">
        <w:rPr>
          <w:rFonts w:cs="Arial"/>
        </w:rPr>
        <w:t>.</w:t>
      </w:r>
    </w:p>
    <w:p w14:paraId="5FEF27E0" w14:textId="77777777" w:rsidR="008D6223" w:rsidRDefault="008D6223" w:rsidP="00940BE9">
      <w:pPr>
        <w:rPr>
          <w:rFonts w:cs="Arial"/>
        </w:rPr>
      </w:pPr>
    </w:p>
    <w:tbl>
      <w:tblPr>
        <w:tblpPr w:leftFromText="180" w:rightFromText="180" w:vertAnchor="text" w:horzAnchor="margin" w:tblpXSpec="center" w:tblpY="229"/>
        <w:tblW w:w="5698" w:type="pct"/>
        <w:tblLook w:val="04A0" w:firstRow="1" w:lastRow="0" w:firstColumn="1" w:lastColumn="0" w:noHBand="0" w:noVBand="1"/>
      </w:tblPr>
      <w:tblGrid>
        <w:gridCol w:w="1504"/>
        <w:gridCol w:w="909"/>
        <w:gridCol w:w="908"/>
        <w:gridCol w:w="908"/>
        <w:gridCol w:w="908"/>
        <w:gridCol w:w="908"/>
        <w:gridCol w:w="908"/>
        <w:gridCol w:w="908"/>
        <w:gridCol w:w="908"/>
        <w:gridCol w:w="908"/>
        <w:gridCol w:w="908"/>
      </w:tblGrid>
      <w:tr w:rsidR="00D01DAB" w:rsidRPr="008519A2" w14:paraId="0B99EE0D" w14:textId="77777777" w:rsidTr="00F31CA2">
        <w:trPr>
          <w:cantSplit/>
          <w:trHeight w:val="1550"/>
        </w:trPr>
        <w:tc>
          <w:tcPr>
            <w:tcW w:w="710" w:type="pct"/>
            <w:tcBorders>
              <w:top w:val="single" w:sz="4" w:space="0" w:color="auto"/>
              <w:left w:val="single" w:sz="4" w:space="0" w:color="auto"/>
              <w:bottom w:val="single" w:sz="4" w:space="0" w:color="auto"/>
              <w:right w:val="single" w:sz="4" w:space="0" w:color="auto"/>
            </w:tcBorders>
            <w:shd w:val="clear" w:color="D9E1F2" w:fill="D9E1F2"/>
            <w:hideMark/>
          </w:tcPr>
          <w:p w14:paraId="537A0EDA" w14:textId="77777777" w:rsidR="00D01DAB" w:rsidRPr="008519A2" w:rsidRDefault="00D01DAB" w:rsidP="00F31CA2">
            <w:pPr>
              <w:jc w:val="center"/>
              <w:rPr>
                <w:rFonts w:cs="Arial"/>
                <w:b/>
                <w:bCs/>
                <w:color w:val="000000"/>
                <w:lang w:eastAsia="en-GB"/>
              </w:rPr>
            </w:pPr>
            <w:r w:rsidRPr="008519A2">
              <w:rPr>
                <w:rFonts w:cs="Arial"/>
                <w:b/>
                <w:bCs/>
                <w:color w:val="000000"/>
                <w:lang w:eastAsia="en-GB"/>
              </w:rPr>
              <w:t xml:space="preserve">ONR </w:t>
            </w:r>
            <w:r>
              <w:rPr>
                <w:rFonts w:cs="Arial"/>
                <w:b/>
                <w:bCs/>
                <w:color w:val="000000"/>
                <w:lang w:eastAsia="en-GB"/>
              </w:rPr>
              <w:t>e</w:t>
            </w:r>
            <w:r w:rsidRPr="008519A2">
              <w:rPr>
                <w:rFonts w:cs="Arial"/>
                <w:b/>
                <w:bCs/>
                <w:color w:val="000000"/>
                <w:lang w:eastAsia="en-GB"/>
              </w:rPr>
              <w:t>mployees by gender and grade 202</w:t>
            </w:r>
            <w:r>
              <w:rPr>
                <w:rFonts w:cs="Arial"/>
                <w:b/>
                <w:bCs/>
                <w:color w:val="000000"/>
                <w:lang w:eastAsia="en-GB"/>
              </w:rPr>
              <w:t>2/23</w:t>
            </w:r>
          </w:p>
        </w:tc>
        <w:tc>
          <w:tcPr>
            <w:tcW w:w="429" w:type="pct"/>
            <w:tcBorders>
              <w:top w:val="single" w:sz="4" w:space="0" w:color="auto"/>
              <w:left w:val="nil"/>
              <w:bottom w:val="single" w:sz="4" w:space="0" w:color="auto"/>
              <w:right w:val="single" w:sz="4" w:space="0" w:color="auto"/>
            </w:tcBorders>
            <w:shd w:val="clear" w:color="D9E1F2" w:fill="D9E1F2"/>
            <w:noWrap/>
            <w:textDirection w:val="tbRl"/>
            <w:vAlign w:val="bottom"/>
            <w:hideMark/>
          </w:tcPr>
          <w:p w14:paraId="0C98A3A8" w14:textId="77777777" w:rsidR="00D01DAB" w:rsidRPr="008519A2" w:rsidRDefault="00D01DAB" w:rsidP="00F31CA2">
            <w:pPr>
              <w:ind w:left="113" w:right="113"/>
              <w:jc w:val="center"/>
              <w:rPr>
                <w:rFonts w:cs="Arial"/>
                <w:b/>
                <w:bCs/>
                <w:color w:val="000000"/>
                <w:lang w:eastAsia="en-GB"/>
              </w:rPr>
            </w:pPr>
            <w:r w:rsidRPr="008519A2">
              <w:rPr>
                <w:rFonts w:cs="Arial"/>
                <w:b/>
                <w:bCs/>
                <w:color w:val="000000"/>
                <w:lang w:eastAsia="en-GB"/>
              </w:rPr>
              <w:t xml:space="preserve">Band </w:t>
            </w:r>
            <w:r>
              <w:rPr>
                <w:rFonts w:cs="Arial"/>
                <w:b/>
                <w:bCs/>
                <w:color w:val="000000"/>
                <w:lang w:eastAsia="en-GB"/>
              </w:rPr>
              <w:t>1</w:t>
            </w:r>
          </w:p>
        </w:tc>
        <w:tc>
          <w:tcPr>
            <w:tcW w:w="429" w:type="pct"/>
            <w:tcBorders>
              <w:top w:val="single" w:sz="4" w:space="0" w:color="auto"/>
              <w:left w:val="single" w:sz="4" w:space="0" w:color="auto"/>
              <w:bottom w:val="single" w:sz="4" w:space="0" w:color="auto"/>
              <w:right w:val="single" w:sz="4" w:space="0" w:color="auto"/>
            </w:tcBorders>
            <w:shd w:val="clear" w:color="D9E1F2" w:fill="D9E1F2"/>
            <w:textDirection w:val="tbRl"/>
            <w:vAlign w:val="bottom"/>
          </w:tcPr>
          <w:p w14:paraId="56CB0B11" w14:textId="77777777" w:rsidR="00D01DAB" w:rsidRPr="008519A2" w:rsidRDefault="00D01DAB" w:rsidP="00F31CA2">
            <w:pPr>
              <w:ind w:left="113" w:right="113"/>
              <w:jc w:val="center"/>
              <w:rPr>
                <w:rFonts w:cs="Arial"/>
                <w:b/>
                <w:bCs/>
                <w:color w:val="000000"/>
                <w:lang w:eastAsia="en-GB"/>
              </w:rPr>
            </w:pPr>
            <w:r w:rsidRPr="008519A2">
              <w:rPr>
                <w:rFonts w:cs="Arial"/>
                <w:b/>
                <w:bCs/>
                <w:color w:val="000000"/>
                <w:lang w:eastAsia="en-GB"/>
              </w:rPr>
              <w:t xml:space="preserve">Band </w:t>
            </w:r>
            <w:r>
              <w:rPr>
                <w:rFonts w:cs="Arial"/>
                <w:b/>
                <w:bCs/>
                <w:color w:val="000000"/>
                <w:lang w:eastAsia="en-GB"/>
              </w:rPr>
              <w:t>2</w:t>
            </w:r>
          </w:p>
        </w:tc>
        <w:tc>
          <w:tcPr>
            <w:tcW w:w="429" w:type="pct"/>
            <w:tcBorders>
              <w:top w:val="single" w:sz="4" w:space="0" w:color="auto"/>
              <w:left w:val="single" w:sz="4" w:space="0" w:color="auto"/>
              <w:bottom w:val="single" w:sz="4" w:space="0" w:color="auto"/>
              <w:right w:val="single" w:sz="4" w:space="0" w:color="auto"/>
            </w:tcBorders>
            <w:shd w:val="clear" w:color="D9E1F2" w:fill="D9E1F2"/>
            <w:textDirection w:val="tbRl"/>
            <w:vAlign w:val="bottom"/>
          </w:tcPr>
          <w:p w14:paraId="46747D5E" w14:textId="77777777" w:rsidR="00D01DAB" w:rsidRPr="008519A2" w:rsidRDefault="00D01DAB" w:rsidP="00F31CA2">
            <w:pPr>
              <w:ind w:left="113" w:right="113"/>
              <w:jc w:val="center"/>
              <w:rPr>
                <w:rFonts w:cs="Arial"/>
                <w:b/>
                <w:bCs/>
                <w:color w:val="000000"/>
                <w:lang w:eastAsia="en-GB"/>
              </w:rPr>
            </w:pPr>
            <w:r w:rsidRPr="008519A2">
              <w:rPr>
                <w:rFonts w:cs="Arial"/>
                <w:b/>
                <w:bCs/>
                <w:color w:val="000000"/>
                <w:lang w:eastAsia="en-GB"/>
              </w:rPr>
              <w:t xml:space="preserve">Band </w:t>
            </w:r>
            <w:r>
              <w:rPr>
                <w:rFonts w:cs="Arial"/>
                <w:b/>
                <w:bCs/>
                <w:color w:val="000000"/>
                <w:lang w:eastAsia="en-GB"/>
              </w:rPr>
              <w:t>3</w:t>
            </w:r>
          </w:p>
        </w:tc>
        <w:tc>
          <w:tcPr>
            <w:tcW w:w="429" w:type="pct"/>
            <w:tcBorders>
              <w:top w:val="single" w:sz="4" w:space="0" w:color="auto"/>
              <w:left w:val="single" w:sz="4" w:space="0" w:color="auto"/>
              <w:bottom w:val="single" w:sz="4" w:space="0" w:color="auto"/>
              <w:right w:val="single" w:sz="4" w:space="0" w:color="auto"/>
            </w:tcBorders>
            <w:shd w:val="clear" w:color="D9E1F2" w:fill="D9E1F2"/>
            <w:textDirection w:val="tbRl"/>
            <w:vAlign w:val="bottom"/>
          </w:tcPr>
          <w:p w14:paraId="7DFA5217" w14:textId="77777777" w:rsidR="00D01DAB" w:rsidRPr="008519A2" w:rsidRDefault="00D01DAB" w:rsidP="00F31CA2">
            <w:pPr>
              <w:ind w:left="113" w:right="113"/>
              <w:jc w:val="center"/>
              <w:rPr>
                <w:rFonts w:cs="Arial"/>
                <w:b/>
                <w:bCs/>
                <w:color w:val="000000"/>
                <w:lang w:eastAsia="en-GB"/>
              </w:rPr>
            </w:pPr>
            <w:r w:rsidRPr="008519A2">
              <w:rPr>
                <w:rFonts w:cs="Arial"/>
                <w:b/>
                <w:bCs/>
                <w:color w:val="000000"/>
                <w:lang w:eastAsia="en-GB"/>
              </w:rPr>
              <w:t xml:space="preserve">Band </w:t>
            </w:r>
            <w:r>
              <w:rPr>
                <w:rFonts w:cs="Arial"/>
                <w:b/>
                <w:bCs/>
                <w:color w:val="000000"/>
                <w:lang w:eastAsia="en-GB"/>
              </w:rPr>
              <w:t>4</w:t>
            </w:r>
          </w:p>
        </w:tc>
        <w:tc>
          <w:tcPr>
            <w:tcW w:w="429" w:type="pct"/>
            <w:tcBorders>
              <w:top w:val="single" w:sz="4" w:space="0" w:color="auto"/>
              <w:left w:val="single" w:sz="4" w:space="0" w:color="auto"/>
              <w:bottom w:val="single" w:sz="4" w:space="0" w:color="auto"/>
              <w:right w:val="single" w:sz="4" w:space="0" w:color="auto"/>
            </w:tcBorders>
            <w:shd w:val="clear" w:color="D9E1F2" w:fill="D9E1F2"/>
            <w:textDirection w:val="tbRl"/>
            <w:vAlign w:val="bottom"/>
          </w:tcPr>
          <w:p w14:paraId="072C3F7C" w14:textId="77777777" w:rsidR="00D01DAB" w:rsidRPr="008519A2" w:rsidRDefault="00D01DAB" w:rsidP="00F31CA2">
            <w:pPr>
              <w:ind w:left="113" w:right="113"/>
              <w:jc w:val="center"/>
              <w:rPr>
                <w:rFonts w:cs="Arial"/>
                <w:b/>
                <w:bCs/>
                <w:color w:val="000000"/>
                <w:lang w:eastAsia="en-GB"/>
              </w:rPr>
            </w:pPr>
            <w:r w:rsidRPr="008519A2">
              <w:rPr>
                <w:rFonts w:cs="Arial"/>
                <w:b/>
                <w:bCs/>
                <w:color w:val="000000"/>
                <w:lang w:eastAsia="en-GB"/>
              </w:rPr>
              <w:t xml:space="preserve">Band </w:t>
            </w:r>
            <w:r>
              <w:rPr>
                <w:rFonts w:cs="Arial"/>
                <w:b/>
                <w:bCs/>
                <w:color w:val="000000"/>
                <w:lang w:eastAsia="en-GB"/>
              </w:rPr>
              <w:t>5</w:t>
            </w:r>
          </w:p>
        </w:tc>
        <w:tc>
          <w:tcPr>
            <w:tcW w:w="429" w:type="pct"/>
            <w:tcBorders>
              <w:top w:val="single" w:sz="4" w:space="0" w:color="auto"/>
              <w:left w:val="single" w:sz="4" w:space="0" w:color="auto"/>
              <w:bottom w:val="single" w:sz="4" w:space="0" w:color="auto"/>
              <w:right w:val="single" w:sz="4" w:space="0" w:color="auto"/>
            </w:tcBorders>
            <w:shd w:val="clear" w:color="D9E1F2" w:fill="D9E1F2"/>
            <w:textDirection w:val="tbRl"/>
            <w:vAlign w:val="bottom"/>
          </w:tcPr>
          <w:p w14:paraId="478C26BA" w14:textId="77777777" w:rsidR="00D01DAB" w:rsidRPr="008519A2" w:rsidRDefault="00D01DAB" w:rsidP="00F31CA2">
            <w:pPr>
              <w:ind w:left="113" w:right="113"/>
              <w:jc w:val="center"/>
              <w:rPr>
                <w:rFonts w:cs="Arial"/>
                <w:b/>
                <w:bCs/>
                <w:color w:val="000000"/>
                <w:lang w:eastAsia="en-GB"/>
              </w:rPr>
            </w:pPr>
            <w:r w:rsidRPr="008519A2">
              <w:rPr>
                <w:rFonts w:cs="Arial"/>
                <w:b/>
                <w:bCs/>
                <w:color w:val="000000"/>
                <w:lang w:eastAsia="en-GB"/>
              </w:rPr>
              <w:t xml:space="preserve">Band </w:t>
            </w:r>
            <w:r>
              <w:rPr>
                <w:rFonts w:cs="Arial"/>
                <w:b/>
                <w:bCs/>
                <w:color w:val="000000"/>
                <w:lang w:eastAsia="en-GB"/>
              </w:rPr>
              <w:t>6</w:t>
            </w:r>
          </w:p>
        </w:tc>
        <w:tc>
          <w:tcPr>
            <w:tcW w:w="429" w:type="pct"/>
            <w:tcBorders>
              <w:top w:val="single" w:sz="4" w:space="0" w:color="auto"/>
              <w:left w:val="single" w:sz="4" w:space="0" w:color="auto"/>
              <w:bottom w:val="single" w:sz="4" w:space="0" w:color="auto"/>
              <w:right w:val="single" w:sz="4" w:space="0" w:color="auto"/>
            </w:tcBorders>
            <w:shd w:val="clear" w:color="D9E1F2" w:fill="D9E1F2"/>
            <w:noWrap/>
            <w:textDirection w:val="tbRl"/>
            <w:vAlign w:val="bottom"/>
            <w:hideMark/>
          </w:tcPr>
          <w:p w14:paraId="66B68DA0" w14:textId="77777777" w:rsidR="00D01DAB" w:rsidRPr="008519A2" w:rsidRDefault="00D01DAB" w:rsidP="00F31CA2">
            <w:pPr>
              <w:ind w:left="113" w:right="113"/>
              <w:jc w:val="center"/>
              <w:rPr>
                <w:rFonts w:cs="Arial"/>
                <w:b/>
                <w:bCs/>
                <w:color w:val="000000"/>
                <w:lang w:eastAsia="en-GB"/>
              </w:rPr>
            </w:pPr>
            <w:r w:rsidRPr="008519A2">
              <w:rPr>
                <w:rFonts w:cs="Arial"/>
                <w:b/>
                <w:bCs/>
                <w:color w:val="000000"/>
                <w:lang w:eastAsia="en-GB"/>
              </w:rPr>
              <w:t>SCS 1</w:t>
            </w:r>
          </w:p>
        </w:tc>
        <w:tc>
          <w:tcPr>
            <w:tcW w:w="429" w:type="pct"/>
            <w:tcBorders>
              <w:top w:val="single" w:sz="4" w:space="0" w:color="auto"/>
              <w:left w:val="nil"/>
              <w:bottom w:val="single" w:sz="4" w:space="0" w:color="auto"/>
              <w:right w:val="single" w:sz="4" w:space="0" w:color="auto"/>
            </w:tcBorders>
            <w:shd w:val="clear" w:color="D9E1F2" w:fill="D9E1F2"/>
            <w:noWrap/>
            <w:textDirection w:val="tbRl"/>
            <w:vAlign w:val="bottom"/>
            <w:hideMark/>
          </w:tcPr>
          <w:p w14:paraId="04642E16" w14:textId="77777777" w:rsidR="00D01DAB" w:rsidRPr="008519A2" w:rsidRDefault="00D01DAB" w:rsidP="00F31CA2">
            <w:pPr>
              <w:ind w:left="113" w:right="113"/>
              <w:jc w:val="center"/>
              <w:rPr>
                <w:rFonts w:cs="Arial"/>
                <w:b/>
                <w:bCs/>
                <w:color w:val="000000"/>
                <w:lang w:eastAsia="en-GB"/>
              </w:rPr>
            </w:pPr>
            <w:r w:rsidRPr="008519A2">
              <w:rPr>
                <w:rFonts w:cs="Arial"/>
                <w:b/>
                <w:bCs/>
                <w:color w:val="000000"/>
                <w:lang w:eastAsia="en-GB"/>
              </w:rPr>
              <w:t>SCS 2</w:t>
            </w:r>
          </w:p>
        </w:tc>
        <w:tc>
          <w:tcPr>
            <w:tcW w:w="429" w:type="pct"/>
            <w:tcBorders>
              <w:top w:val="single" w:sz="4" w:space="0" w:color="auto"/>
              <w:left w:val="nil"/>
              <w:bottom w:val="single" w:sz="4" w:space="0" w:color="auto"/>
              <w:right w:val="single" w:sz="4" w:space="0" w:color="auto"/>
            </w:tcBorders>
            <w:shd w:val="clear" w:color="D9E1F2" w:fill="D9E1F2"/>
            <w:textDirection w:val="tbRl"/>
            <w:hideMark/>
          </w:tcPr>
          <w:p w14:paraId="1248B83E" w14:textId="77777777" w:rsidR="00D01DAB" w:rsidRPr="008519A2" w:rsidRDefault="00D01DAB" w:rsidP="00F31CA2">
            <w:pPr>
              <w:ind w:left="113" w:right="113"/>
              <w:jc w:val="center"/>
              <w:rPr>
                <w:rFonts w:cs="Arial"/>
                <w:b/>
                <w:bCs/>
                <w:color w:val="000000"/>
                <w:lang w:eastAsia="en-GB"/>
              </w:rPr>
            </w:pPr>
            <w:r>
              <w:rPr>
                <w:rFonts w:cs="Arial"/>
                <w:b/>
                <w:bCs/>
                <w:color w:val="000000"/>
                <w:lang w:eastAsia="en-GB"/>
              </w:rPr>
              <w:t>Non-Executives</w:t>
            </w:r>
          </w:p>
        </w:tc>
        <w:tc>
          <w:tcPr>
            <w:tcW w:w="429" w:type="pct"/>
            <w:tcBorders>
              <w:top w:val="single" w:sz="4" w:space="0" w:color="auto"/>
              <w:left w:val="nil"/>
              <w:bottom w:val="single" w:sz="4" w:space="0" w:color="auto"/>
              <w:right w:val="single" w:sz="4" w:space="0" w:color="auto"/>
            </w:tcBorders>
            <w:shd w:val="clear" w:color="D9E1F2" w:fill="D9E1F2"/>
            <w:noWrap/>
            <w:textDirection w:val="tbRl"/>
            <w:vAlign w:val="bottom"/>
            <w:hideMark/>
          </w:tcPr>
          <w:p w14:paraId="0AD0E97C" w14:textId="77777777" w:rsidR="00D01DAB" w:rsidRPr="008519A2" w:rsidRDefault="00D01DAB" w:rsidP="00F31CA2">
            <w:pPr>
              <w:ind w:left="113" w:right="113"/>
              <w:jc w:val="center"/>
              <w:rPr>
                <w:rFonts w:cs="Arial"/>
                <w:b/>
                <w:bCs/>
                <w:color w:val="000000"/>
                <w:lang w:eastAsia="en-GB"/>
              </w:rPr>
            </w:pPr>
            <w:r w:rsidRPr="008519A2">
              <w:rPr>
                <w:rFonts w:cs="Arial"/>
                <w:b/>
                <w:bCs/>
                <w:color w:val="000000"/>
                <w:lang w:eastAsia="en-GB"/>
              </w:rPr>
              <w:t>Total</w:t>
            </w:r>
          </w:p>
        </w:tc>
      </w:tr>
      <w:tr w:rsidR="00D01DAB" w:rsidRPr="008519A2" w14:paraId="5EF319F6" w14:textId="77777777" w:rsidTr="00F31CA2">
        <w:trPr>
          <w:trHeight w:val="327"/>
        </w:trPr>
        <w:tc>
          <w:tcPr>
            <w:tcW w:w="710" w:type="pct"/>
            <w:tcBorders>
              <w:top w:val="nil"/>
              <w:left w:val="single" w:sz="4" w:space="0" w:color="auto"/>
              <w:bottom w:val="single" w:sz="4" w:space="0" w:color="auto"/>
              <w:right w:val="single" w:sz="4" w:space="0" w:color="auto"/>
            </w:tcBorders>
            <w:shd w:val="clear" w:color="auto" w:fill="auto"/>
            <w:noWrap/>
            <w:vAlign w:val="bottom"/>
            <w:hideMark/>
          </w:tcPr>
          <w:p w14:paraId="2B4E1E73" w14:textId="77777777" w:rsidR="00D01DAB" w:rsidRPr="008519A2" w:rsidRDefault="00D01DAB" w:rsidP="00F31CA2">
            <w:pPr>
              <w:rPr>
                <w:rFonts w:cs="Arial"/>
                <w:lang w:eastAsia="en-GB"/>
              </w:rPr>
            </w:pPr>
            <w:r w:rsidRPr="008519A2">
              <w:rPr>
                <w:rFonts w:cs="Arial"/>
                <w:lang w:eastAsia="en-GB"/>
              </w:rPr>
              <w:t>Female</w:t>
            </w:r>
          </w:p>
        </w:tc>
        <w:tc>
          <w:tcPr>
            <w:tcW w:w="429" w:type="pct"/>
            <w:tcBorders>
              <w:top w:val="single" w:sz="4" w:space="0" w:color="auto"/>
              <w:left w:val="single" w:sz="4" w:space="0" w:color="auto"/>
              <w:bottom w:val="single" w:sz="4" w:space="0" w:color="auto"/>
              <w:right w:val="single" w:sz="4" w:space="0" w:color="auto"/>
            </w:tcBorders>
            <w:shd w:val="clear" w:color="auto" w:fill="auto"/>
            <w:noWrap/>
          </w:tcPr>
          <w:p w14:paraId="6EF2DE51" w14:textId="77777777" w:rsidR="00D01DAB" w:rsidRPr="008519A2" w:rsidRDefault="00D01DAB" w:rsidP="00F31CA2">
            <w:pPr>
              <w:jc w:val="right"/>
              <w:rPr>
                <w:rFonts w:cs="Arial"/>
                <w:lang w:eastAsia="en-GB"/>
              </w:rPr>
            </w:pPr>
            <w:r>
              <w:rPr>
                <w:rFonts w:cs="Arial"/>
                <w:color w:val="000000"/>
              </w:rPr>
              <w:t>11</w:t>
            </w:r>
          </w:p>
        </w:tc>
        <w:tc>
          <w:tcPr>
            <w:tcW w:w="429" w:type="pct"/>
            <w:tcBorders>
              <w:top w:val="single" w:sz="4" w:space="0" w:color="auto"/>
              <w:left w:val="nil"/>
              <w:bottom w:val="single" w:sz="4" w:space="0" w:color="auto"/>
              <w:right w:val="single" w:sz="4" w:space="0" w:color="auto"/>
            </w:tcBorders>
            <w:shd w:val="clear" w:color="auto" w:fill="auto"/>
          </w:tcPr>
          <w:p w14:paraId="7647C0A2" w14:textId="77777777" w:rsidR="00D01DAB" w:rsidRDefault="00D01DAB" w:rsidP="00F31CA2">
            <w:pPr>
              <w:jc w:val="right"/>
              <w:rPr>
                <w:rFonts w:cs="Arial"/>
                <w:lang w:eastAsia="en-GB"/>
              </w:rPr>
            </w:pPr>
            <w:r>
              <w:rPr>
                <w:rFonts w:cs="Arial"/>
                <w:color w:val="000000"/>
              </w:rPr>
              <w:t>47</w:t>
            </w:r>
          </w:p>
        </w:tc>
        <w:tc>
          <w:tcPr>
            <w:tcW w:w="429" w:type="pct"/>
            <w:tcBorders>
              <w:top w:val="single" w:sz="4" w:space="0" w:color="auto"/>
              <w:left w:val="nil"/>
              <w:bottom w:val="single" w:sz="4" w:space="0" w:color="auto"/>
              <w:right w:val="single" w:sz="4" w:space="0" w:color="auto"/>
            </w:tcBorders>
            <w:shd w:val="clear" w:color="auto" w:fill="auto"/>
          </w:tcPr>
          <w:p w14:paraId="39B606C1" w14:textId="77777777" w:rsidR="00D01DAB" w:rsidRDefault="00D01DAB" w:rsidP="00F31CA2">
            <w:pPr>
              <w:jc w:val="right"/>
              <w:rPr>
                <w:rFonts w:cs="Arial"/>
                <w:lang w:eastAsia="en-GB"/>
              </w:rPr>
            </w:pPr>
            <w:r>
              <w:rPr>
                <w:rFonts w:cs="Arial"/>
                <w:color w:val="000000"/>
              </w:rPr>
              <w:t>67</w:t>
            </w:r>
          </w:p>
        </w:tc>
        <w:tc>
          <w:tcPr>
            <w:tcW w:w="429" w:type="pct"/>
            <w:tcBorders>
              <w:top w:val="single" w:sz="4" w:space="0" w:color="auto"/>
              <w:left w:val="nil"/>
              <w:bottom w:val="single" w:sz="4" w:space="0" w:color="auto"/>
              <w:right w:val="single" w:sz="4" w:space="0" w:color="auto"/>
            </w:tcBorders>
            <w:shd w:val="clear" w:color="auto" w:fill="auto"/>
          </w:tcPr>
          <w:p w14:paraId="172DF65A" w14:textId="77777777" w:rsidR="00D01DAB" w:rsidRDefault="00D01DAB" w:rsidP="00F31CA2">
            <w:pPr>
              <w:jc w:val="right"/>
              <w:rPr>
                <w:rFonts w:cs="Arial"/>
                <w:lang w:eastAsia="en-GB"/>
              </w:rPr>
            </w:pPr>
            <w:r>
              <w:rPr>
                <w:rFonts w:cs="Arial"/>
                <w:color w:val="000000"/>
              </w:rPr>
              <w:t>35</w:t>
            </w:r>
          </w:p>
        </w:tc>
        <w:tc>
          <w:tcPr>
            <w:tcW w:w="429" w:type="pct"/>
            <w:tcBorders>
              <w:top w:val="single" w:sz="4" w:space="0" w:color="auto"/>
              <w:left w:val="nil"/>
              <w:bottom w:val="single" w:sz="4" w:space="0" w:color="auto"/>
              <w:right w:val="single" w:sz="4" w:space="0" w:color="auto"/>
            </w:tcBorders>
            <w:shd w:val="clear" w:color="auto" w:fill="auto"/>
          </w:tcPr>
          <w:p w14:paraId="5950A52C" w14:textId="77777777" w:rsidR="00D01DAB" w:rsidRDefault="00D01DAB" w:rsidP="00F31CA2">
            <w:pPr>
              <w:jc w:val="right"/>
              <w:rPr>
                <w:rFonts w:cs="Arial"/>
                <w:lang w:eastAsia="en-GB"/>
              </w:rPr>
            </w:pPr>
            <w:r>
              <w:rPr>
                <w:rFonts w:cs="Arial"/>
                <w:color w:val="000000"/>
              </w:rPr>
              <w:t>45</w:t>
            </w:r>
          </w:p>
        </w:tc>
        <w:tc>
          <w:tcPr>
            <w:tcW w:w="429" w:type="pct"/>
            <w:tcBorders>
              <w:top w:val="single" w:sz="4" w:space="0" w:color="auto"/>
              <w:left w:val="nil"/>
              <w:bottom w:val="single" w:sz="4" w:space="0" w:color="auto"/>
              <w:right w:val="single" w:sz="4" w:space="0" w:color="auto"/>
            </w:tcBorders>
            <w:shd w:val="clear" w:color="auto" w:fill="auto"/>
          </w:tcPr>
          <w:p w14:paraId="05DD77F5" w14:textId="77777777" w:rsidR="00D01DAB" w:rsidRDefault="00D01DAB" w:rsidP="00F31CA2">
            <w:pPr>
              <w:jc w:val="right"/>
              <w:rPr>
                <w:rFonts w:cs="Arial"/>
                <w:lang w:eastAsia="en-GB"/>
              </w:rPr>
            </w:pPr>
            <w:r>
              <w:rPr>
                <w:rFonts w:cs="Arial"/>
                <w:color w:val="000000"/>
              </w:rPr>
              <w:t>32</w:t>
            </w:r>
          </w:p>
        </w:tc>
        <w:tc>
          <w:tcPr>
            <w:tcW w:w="429" w:type="pct"/>
            <w:tcBorders>
              <w:top w:val="single" w:sz="4" w:space="0" w:color="auto"/>
              <w:left w:val="nil"/>
              <w:bottom w:val="single" w:sz="4" w:space="0" w:color="auto"/>
              <w:right w:val="single" w:sz="4" w:space="0" w:color="auto"/>
            </w:tcBorders>
            <w:shd w:val="clear" w:color="auto" w:fill="auto"/>
            <w:noWrap/>
          </w:tcPr>
          <w:p w14:paraId="1C4FA5DB" w14:textId="77777777" w:rsidR="00D01DAB" w:rsidRPr="008519A2" w:rsidRDefault="00D01DAB" w:rsidP="00F31CA2">
            <w:pPr>
              <w:jc w:val="right"/>
              <w:rPr>
                <w:rFonts w:cs="Arial"/>
                <w:lang w:eastAsia="en-GB"/>
              </w:rPr>
            </w:pPr>
            <w:r>
              <w:rPr>
                <w:rFonts w:cs="Arial"/>
                <w:color w:val="000000"/>
              </w:rPr>
              <w:t>1</w:t>
            </w:r>
          </w:p>
        </w:tc>
        <w:tc>
          <w:tcPr>
            <w:tcW w:w="429" w:type="pct"/>
            <w:tcBorders>
              <w:top w:val="single" w:sz="4" w:space="0" w:color="auto"/>
              <w:left w:val="nil"/>
              <w:bottom w:val="single" w:sz="4" w:space="0" w:color="auto"/>
              <w:right w:val="single" w:sz="4" w:space="0" w:color="auto"/>
            </w:tcBorders>
            <w:shd w:val="clear" w:color="auto" w:fill="auto"/>
            <w:noWrap/>
          </w:tcPr>
          <w:p w14:paraId="369A90B6" w14:textId="77777777" w:rsidR="00D01DAB" w:rsidRPr="008519A2" w:rsidRDefault="00D01DAB" w:rsidP="00F31CA2">
            <w:pPr>
              <w:jc w:val="right"/>
              <w:rPr>
                <w:rFonts w:cs="Arial"/>
                <w:lang w:eastAsia="en-GB"/>
              </w:rPr>
            </w:pPr>
            <w:r>
              <w:rPr>
                <w:rFonts w:cs="Arial"/>
                <w:color w:val="000000"/>
              </w:rPr>
              <w:t>1</w:t>
            </w:r>
          </w:p>
        </w:tc>
        <w:tc>
          <w:tcPr>
            <w:tcW w:w="429" w:type="pct"/>
            <w:tcBorders>
              <w:top w:val="single" w:sz="4" w:space="0" w:color="auto"/>
              <w:left w:val="nil"/>
              <w:bottom w:val="single" w:sz="4" w:space="0" w:color="auto"/>
              <w:right w:val="single" w:sz="4" w:space="0" w:color="auto"/>
            </w:tcBorders>
            <w:shd w:val="clear" w:color="auto" w:fill="auto"/>
            <w:noWrap/>
          </w:tcPr>
          <w:p w14:paraId="62AE5AE6" w14:textId="77777777" w:rsidR="00D01DAB" w:rsidRPr="008519A2" w:rsidRDefault="00D01DAB" w:rsidP="00F31CA2">
            <w:pPr>
              <w:jc w:val="right"/>
              <w:rPr>
                <w:rFonts w:cs="Arial"/>
                <w:lang w:eastAsia="en-GB"/>
              </w:rPr>
            </w:pPr>
            <w:r>
              <w:rPr>
                <w:rFonts w:cs="Arial"/>
                <w:color w:val="000000"/>
              </w:rPr>
              <w:t>5</w:t>
            </w:r>
          </w:p>
        </w:tc>
        <w:tc>
          <w:tcPr>
            <w:tcW w:w="429" w:type="pct"/>
            <w:tcBorders>
              <w:top w:val="single" w:sz="4" w:space="0" w:color="auto"/>
              <w:left w:val="nil"/>
              <w:bottom w:val="single" w:sz="4" w:space="0" w:color="auto"/>
              <w:right w:val="single" w:sz="4" w:space="0" w:color="auto"/>
            </w:tcBorders>
            <w:shd w:val="clear" w:color="auto" w:fill="auto"/>
            <w:noWrap/>
          </w:tcPr>
          <w:p w14:paraId="55E22004" w14:textId="77777777" w:rsidR="00D01DAB" w:rsidRPr="008519A2" w:rsidRDefault="00D01DAB" w:rsidP="00F31CA2">
            <w:pPr>
              <w:jc w:val="right"/>
              <w:rPr>
                <w:rFonts w:cs="Arial"/>
                <w:lang w:eastAsia="en-GB"/>
              </w:rPr>
            </w:pPr>
            <w:r>
              <w:rPr>
                <w:rFonts w:cs="Arial"/>
                <w:color w:val="000000"/>
              </w:rPr>
              <w:t>244</w:t>
            </w:r>
          </w:p>
        </w:tc>
      </w:tr>
      <w:tr w:rsidR="00D01DAB" w:rsidRPr="008519A2" w14:paraId="4E4AC049" w14:textId="77777777" w:rsidTr="00F31CA2">
        <w:trPr>
          <w:trHeight w:val="327"/>
        </w:trPr>
        <w:tc>
          <w:tcPr>
            <w:tcW w:w="710" w:type="pct"/>
            <w:tcBorders>
              <w:top w:val="nil"/>
              <w:left w:val="single" w:sz="4" w:space="0" w:color="auto"/>
              <w:bottom w:val="single" w:sz="4" w:space="0" w:color="auto"/>
              <w:right w:val="single" w:sz="4" w:space="0" w:color="auto"/>
            </w:tcBorders>
            <w:shd w:val="clear" w:color="auto" w:fill="auto"/>
            <w:noWrap/>
            <w:vAlign w:val="bottom"/>
            <w:hideMark/>
          </w:tcPr>
          <w:p w14:paraId="2F37CA69" w14:textId="77777777" w:rsidR="00D01DAB" w:rsidRPr="008519A2" w:rsidRDefault="00D01DAB" w:rsidP="00F31CA2">
            <w:pPr>
              <w:rPr>
                <w:rFonts w:cs="Arial"/>
                <w:lang w:eastAsia="en-GB"/>
              </w:rPr>
            </w:pPr>
            <w:r w:rsidRPr="008519A2">
              <w:rPr>
                <w:rFonts w:cs="Arial"/>
                <w:lang w:eastAsia="en-GB"/>
              </w:rPr>
              <w:t>Male</w:t>
            </w:r>
          </w:p>
        </w:tc>
        <w:tc>
          <w:tcPr>
            <w:tcW w:w="429" w:type="pct"/>
            <w:tcBorders>
              <w:top w:val="nil"/>
              <w:left w:val="single" w:sz="4" w:space="0" w:color="auto"/>
              <w:bottom w:val="single" w:sz="4" w:space="0" w:color="auto"/>
              <w:right w:val="single" w:sz="4" w:space="0" w:color="auto"/>
            </w:tcBorders>
            <w:shd w:val="clear" w:color="auto" w:fill="auto"/>
            <w:noWrap/>
          </w:tcPr>
          <w:p w14:paraId="0A5CE208" w14:textId="77777777" w:rsidR="00D01DAB" w:rsidRPr="008519A2" w:rsidRDefault="00D01DAB" w:rsidP="00F31CA2">
            <w:pPr>
              <w:jc w:val="right"/>
              <w:rPr>
                <w:rFonts w:cs="Arial"/>
                <w:lang w:eastAsia="en-GB"/>
              </w:rPr>
            </w:pPr>
            <w:r>
              <w:rPr>
                <w:rFonts w:cs="Arial"/>
                <w:color w:val="000000"/>
              </w:rPr>
              <w:t>33</w:t>
            </w:r>
          </w:p>
        </w:tc>
        <w:tc>
          <w:tcPr>
            <w:tcW w:w="429" w:type="pct"/>
            <w:tcBorders>
              <w:top w:val="nil"/>
              <w:left w:val="nil"/>
              <w:bottom w:val="single" w:sz="4" w:space="0" w:color="auto"/>
              <w:right w:val="single" w:sz="4" w:space="0" w:color="auto"/>
            </w:tcBorders>
            <w:shd w:val="clear" w:color="auto" w:fill="auto"/>
          </w:tcPr>
          <w:p w14:paraId="2858161D" w14:textId="77777777" w:rsidR="00D01DAB" w:rsidRDefault="00D01DAB" w:rsidP="00F31CA2">
            <w:pPr>
              <w:jc w:val="right"/>
              <w:rPr>
                <w:rFonts w:cs="Arial"/>
                <w:lang w:eastAsia="en-GB"/>
              </w:rPr>
            </w:pPr>
            <w:r>
              <w:rPr>
                <w:rFonts w:cs="Arial"/>
                <w:color w:val="000000"/>
              </w:rPr>
              <w:t>165</w:t>
            </w:r>
          </w:p>
        </w:tc>
        <w:tc>
          <w:tcPr>
            <w:tcW w:w="429" w:type="pct"/>
            <w:tcBorders>
              <w:top w:val="nil"/>
              <w:left w:val="nil"/>
              <w:bottom w:val="single" w:sz="4" w:space="0" w:color="auto"/>
              <w:right w:val="single" w:sz="4" w:space="0" w:color="auto"/>
            </w:tcBorders>
            <w:shd w:val="clear" w:color="auto" w:fill="auto"/>
          </w:tcPr>
          <w:p w14:paraId="56551BC5" w14:textId="77777777" w:rsidR="00D01DAB" w:rsidRDefault="00D01DAB" w:rsidP="00F31CA2">
            <w:pPr>
              <w:jc w:val="right"/>
              <w:rPr>
                <w:rFonts w:cs="Arial"/>
                <w:lang w:eastAsia="en-GB"/>
              </w:rPr>
            </w:pPr>
            <w:r>
              <w:rPr>
                <w:rFonts w:cs="Arial"/>
                <w:color w:val="000000"/>
              </w:rPr>
              <w:t>159</w:t>
            </w:r>
          </w:p>
        </w:tc>
        <w:tc>
          <w:tcPr>
            <w:tcW w:w="429" w:type="pct"/>
            <w:tcBorders>
              <w:top w:val="nil"/>
              <w:left w:val="nil"/>
              <w:bottom w:val="single" w:sz="4" w:space="0" w:color="auto"/>
              <w:right w:val="single" w:sz="4" w:space="0" w:color="auto"/>
            </w:tcBorders>
            <w:shd w:val="clear" w:color="auto" w:fill="auto"/>
          </w:tcPr>
          <w:p w14:paraId="1A17281D" w14:textId="77777777" w:rsidR="00D01DAB" w:rsidRDefault="00D01DAB" w:rsidP="00F31CA2">
            <w:pPr>
              <w:jc w:val="right"/>
              <w:rPr>
                <w:rFonts w:cs="Arial"/>
                <w:lang w:eastAsia="en-GB"/>
              </w:rPr>
            </w:pPr>
            <w:r>
              <w:rPr>
                <w:rFonts w:cs="Arial"/>
                <w:color w:val="000000"/>
              </w:rPr>
              <w:t>16</w:t>
            </w:r>
          </w:p>
        </w:tc>
        <w:tc>
          <w:tcPr>
            <w:tcW w:w="429" w:type="pct"/>
            <w:tcBorders>
              <w:top w:val="nil"/>
              <w:left w:val="nil"/>
              <w:bottom w:val="single" w:sz="4" w:space="0" w:color="auto"/>
              <w:right w:val="single" w:sz="4" w:space="0" w:color="auto"/>
            </w:tcBorders>
            <w:shd w:val="clear" w:color="auto" w:fill="auto"/>
          </w:tcPr>
          <w:p w14:paraId="056AA852" w14:textId="77777777" w:rsidR="00D01DAB" w:rsidRDefault="00D01DAB" w:rsidP="00F31CA2">
            <w:pPr>
              <w:jc w:val="right"/>
              <w:rPr>
                <w:rFonts w:cs="Arial"/>
                <w:lang w:eastAsia="en-GB"/>
              </w:rPr>
            </w:pPr>
            <w:r>
              <w:rPr>
                <w:rFonts w:cs="Arial"/>
                <w:color w:val="000000"/>
              </w:rPr>
              <w:t>24</w:t>
            </w:r>
          </w:p>
        </w:tc>
        <w:tc>
          <w:tcPr>
            <w:tcW w:w="429" w:type="pct"/>
            <w:tcBorders>
              <w:top w:val="nil"/>
              <w:left w:val="nil"/>
              <w:bottom w:val="single" w:sz="4" w:space="0" w:color="auto"/>
              <w:right w:val="single" w:sz="4" w:space="0" w:color="auto"/>
            </w:tcBorders>
            <w:shd w:val="clear" w:color="auto" w:fill="auto"/>
          </w:tcPr>
          <w:p w14:paraId="67C805B6" w14:textId="77777777" w:rsidR="00D01DAB" w:rsidRDefault="00D01DAB" w:rsidP="00F31CA2">
            <w:pPr>
              <w:jc w:val="right"/>
              <w:rPr>
                <w:rFonts w:cs="Arial"/>
                <w:lang w:eastAsia="en-GB"/>
              </w:rPr>
            </w:pPr>
            <w:r>
              <w:rPr>
                <w:rFonts w:cs="Arial"/>
                <w:color w:val="000000"/>
              </w:rPr>
              <w:t>16</w:t>
            </w:r>
          </w:p>
        </w:tc>
        <w:tc>
          <w:tcPr>
            <w:tcW w:w="429" w:type="pct"/>
            <w:tcBorders>
              <w:top w:val="nil"/>
              <w:left w:val="nil"/>
              <w:bottom w:val="single" w:sz="4" w:space="0" w:color="auto"/>
              <w:right w:val="single" w:sz="4" w:space="0" w:color="auto"/>
            </w:tcBorders>
            <w:shd w:val="clear" w:color="auto" w:fill="auto"/>
            <w:noWrap/>
          </w:tcPr>
          <w:p w14:paraId="7F901298" w14:textId="77777777" w:rsidR="00D01DAB" w:rsidRPr="008519A2" w:rsidRDefault="00D01DAB" w:rsidP="00F31CA2">
            <w:pPr>
              <w:jc w:val="right"/>
              <w:rPr>
                <w:rFonts w:cs="Arial"/>
                <w:lang w:eastAsia="en-GB"/>
              </w:rPr>
            </w:pPr>
            <w:r>
              <w:rPr>
                <w:rFonts w:cs="Arial"/>
                <w:color w:val="000000"/>
              </w:rPr>
              <w:t>7</w:t>
            </w:r>
          </w:p>
        </w:tc>
        <w:tc>
          <w:tcPr>
            <w:tcW w:w="429" w:type="pct"/>
            <w:tcBorders>
              <w:top w:val="nil"/>
              <w:left w:val="nil"/>
              <w:bottom w:val="single" w:sz="4" w:space="0" w:color="auto"/>
              <w:right w:val="single" w:sz="4" w:space="0" w:color="auto"/>
            </w:tcBorders>
            <w:shd w:val="clear" w:color="auto" w:fill="auto"/>
            <w:noWrap/>
          </w:tcPr>
          <w:p w14:paraId="55265E9C" w14:textId="77777777" w:rsidR="00D01DAB" w:rsidRPr="008519A2" w:rsidRDefault="00D01DAB" w:rsidP="00F31CA2">
            <w:pPr>
              <w:jc w:val="right"/>
              <w:rPr>
                <w:rFonts w:cs="Arial"/>
                <w:lang w:eastAsia="en-GB"/>
              </w:rPr>
            </w:pPr>
            <w:r>
              <w:rPr>
                <w:rFonts w:cs="Arial"/>
                <w:color w:val="000000"/>
              </w:rPr>
              <w:t>2</w:t>
            </w:r>
          </w:p>
        </w:tc>
        <w:tc>
          <w:tcPr>
            <w:tcW w:w="429" w:type="pct"/>
            <w:tcBorders>
              <w:top w:val="nil"/>
              <w:left w:val="nil"/>
              <w:bottom w:val="single" w:sz="4" w:space="0" w:color="auto"/>
              <w:right w:val="single" w:sz="4" w:space="0" w:color="auto"/>
            </w:tcBorders>
            <w:shd w:val="clear" w:color="auto" w:fill="auto"/>
            <w:noWrap/>
          </w:tcPr>
          <w:p w14:paraId="3C085738" w14:textId="77777777" w:rsidR="00D01DAB" w:rsidRPr="008519A2" w:rsidRDefault="00D01DAB" w:rsidP="00F31CA2">
            <w:pPr>
              <w:jc w:val="right"/>
              <w:rPr>
                <w:rFonts w:cs="Arial"/>
                <w:lang w:eastAsia="en-GB"/>
              </w:rPr>
            </w:pPr>
            <w:r>
              <w:rPr>
                <w:rFonts w:cs="Arial"/>
                <w:color w:val="000000"/>
              </w:rPr>
              <w:t>2</w:t>
            </w:r>
          </w:p>
        </w:tc>
        <w:tc>
          <w:tcPr>
            <w:tcW w:w="429" w:type="pct"/>
            <w:tcBorders>
              <w:top w:val="nil"/>
              <w:left w:val="nil"/>
              <w:bottom w:val="single" w:sz="4" w:space="0" w:color="auto"/>
              <w:right w:val="single" w:sz="4" w:space="0" w:color="auto"/>
            </w:tcBorders>
            <w:shd w:val="clear" w:color="auto" w:fill="auto"/>
            <w:noWrap/>
          </w:tcPr>
          <w:p w14:paraId="2706E34D" w14:textId="77777777" w:rsidR="00D01DAB" w:rsidRPr="008519A2" w:rsidRDefault="00D01DAB" w:rsidP="00F31CA2">
            <w:pPr>
              <w:jc w:val="right"/>
              <w:rPr>
                <w:rFonts w:cs="Arial"/>
                <w:lang w:eastAsia="en-GB"/>
              </w:rPr>
            </w:pPr>
            <w:r>
              <w:rPr>
                <w:rFonts w:cs="Arial"/>
                <w:color w:val="000000"/>
              </w:rPr>
              <w:t>424</w:t>
            </w:r>
          </w:p>
        </w:tc>
      </w:tr>
      <w:tr w:rsidR="00D01DAB" w:rsidRPr="008519A2" w14:paraId="3D433ECC" w14:textId="77777777" w:rsidTr="00F31CA2">
        <w:trPr>
          <w:trHeight w:val="327"/>
        </w:trPr>
        <w:tc>
          <w:tcPr>
            <w:tcW w:w="710" w:type="pct"/>
            <w:tcBorders>
              <w:top w:val="nil"/>
              <w:left w:val="single" w:sz="4" w:space="0" w:color="auto"/>
              <w:bottom w:val="single" w:sz="4" w:space="0" w:color="auto"/>
              <w:right w:val="single" w:sz="4" w:space="0" w:color="auto"/>
            </w:tcBorders>
            <w:shd w:val="clear" w:color="D9E1F2" w:fill="D9E1F2"/>
            <w:noWrap/>
            <w:vAlign w:val="bottom"/>
            <w:hideMark/>
          </w:tcPr>
          <w:p w14:paraId="24BF9D05" w14:textId="77777777" w:rsidR="00D01DAB" w:rsidRPr="008519A2" w:rsidRDefault="00D01DAB" w:rsidP="00F31CA2">
            <w:pPr>
              <w:rPr>
                <w:rFonts w:cs="Arial"/>
                <w:b/>
                <w:bCs/>
                <w:color w:val="000000"/>
                <w:lang w:eastAsia="en-GB"/>
              </w:rPr>
            </w:pPr>
            <w:r w:rsidRPr="008519A2">
              <w:rPr>
                <w:rFonts w:cs="Arial"/>
                <w:b/>
                <w:bCs/>
                <w:color w:val="000000"/>
                <w:lang w:eastAsia="en-GB"/>
              </w:rPr>
              <w:t>Total</w:t>
            </w:r>
          </w:p>
        </w:tc>
        <w:tc>
          <w:tcPr>
            <w:tcW w:w="429" w:type="pct"/>
            <w:tcBorders>
              <w:top w:val="nil"/>
              <w:left w:val="single" w:sz="4" w:space="0" w:color="auto"/>
              <w:bottom w:val="single" w:sz="4" w:space="0" w:color="auto"/>
              <w:right w:val="single" w:sz="4" w:space="0" w:color="auto"/>
            </w:tcBorders>
            <w:shd w:val="clear" w:color="auto" w:fill="auto"/>
            <w:noWrap/>
          </w:tcPr>
          <w:p w14:paraId="65F77CE4" w14:textId="77777777" w:rsidR="00D01DAB" w:rsidRPr="008519A2" w:rsidRDefault="00D01DAB" w:rsidP="00F31CA2">
            <w:pPr>
              <w:jc w:val="right"/>
              <w:rPr>
                <w:rFonts w:cs="Arial"/>
                <w:b/>
                <w:bCs/>
                <w:color w:val="000000"/>
                <w:lang w:eastAsia="en-GB"/>
              </w:rPr>
            </w:pPr>
            <w:r>
              <w:rPr>
                <w:rFonts w:cs="Arial"/>
                <w:color w:val="000000"/>
              </w:rPr>
              <w:t>44</w:t>
            </w:r>
          </w:p>
        </w:tc>
        <w:tc>
          <w:tcPr>
            <w:tcW w:w="429" w:type="pct"/>
            <w:tcBorders>
              <w:top w:val="nil"/>
              <w:left w:val="nil"/>
              <w:bottom w:val="single" w:sz="4" w:space="0" w:color="auto"/>
              <w:right w:val="single" w:sz="4" w:space="0" w:color="auto"/>
            </w:tcBorders>
            <w:shd w:val="clear" w:color="auto" w:fill="auto"/>
          </w:tcPr>
          <w:p w14:paraId="627F19E2" w14:textId="77777777" w:rsidR="00D01DAB" w:rsidRDefault="00D01DAB" w:rsidP="00F31CA2">
            <w:pPr>
              <w:jc w:val="right"/>
              <w:rPr>
                <w:rFonts w:cs="Arial"/>
                <w:b/>
                <w:bCs/>
                <w:color w:val="000000"/>
                <w:lang w:eastAsia="en-GB"/>
              </w:rPr>
            </w:pPr>
            <w:r>
              <w:rPr>
                <w:rFonts w:cs="Arial"/>
                <w:color w:val="000000"/>
              </w:rPr>
              <w:t>212</w:t>
            </w:r>
          </w:p>
        </w:tc>
        <w:tc>
          <w:tcPr>
            <w:tcW w:w="429" w:type="pct"/>
            <w:tcBorders>
              <w:top w:val="nil"/>
              <w:left w:val="nil"/>
              <w:bottom w:val="single" w:sz="4" w:space="0" w:color="auto"/>
              <w:right w:val="single" w:sz="4" w:space="0" w:color="auto"/>
            </w:tcBorders>
            <w:shd w:val="clear" w:color="auto" w:fill="auto"/>
          </w:tcPr>
          <w:p w14:paraId="4110D1E3" w14:textId="77777777" w:rsidR="00D01DAB" w:rsidRDefault="00D01DAB" w:rsidP="00F31CA2">
            <w:pPr>
              <w:jc w:val="right"/>
              <w:rPr>
                <w:rFonts w:cs="Arial"/>
                <w:b/>
                <w:bCs/>
                <w:color w:val="000000"/>
                <w:lang w:eastAsia="en-GB"/>
              </w:rPr>
            </w:pPr>
            <w:r>
              <w:rPr>
                <w:rFonts w:cs="Arial"/>
                <w:color w:val="000000"/>
              </w:rPr>
              <w:t>226</w:t>
            </w:r>
          </w:p>
        </w:tc>
        <w:tc>
          <w:tcPr>
            <w:tcW w:w="429" w:type="pct"/>
            <w:tcBorders>
              <w:top w:val="nil"/>
              <w:left w:val="nil"/>
              <w:bottom w:val="single" w:sz="4" w:space="0" w:color="auto"/>
              <w:right w:val="single" w:sz="4" w:space="0" w:color="auto"/>
            </w:tcBorders>
            <w:shd w:val="clear" w:color="auto" w:fill="auto"/>
          </w:tcPr>
          <w:p w14:paraId="3D50C2B0" w14:textId="77777777" w:rsidR="00D01DAB" w:rsidRDefault="00D01DAB" w:rsidP="00F31CA2">
            <w:pPr>
              <w:jc w:val="right"/>
              <w:rPr>
                <w:rFonts w:cs="Arial"/>
                <w:b/>
                <w:bCs/>
                <w:color w:val="000000"/>
                <w:lang w:eastAsia="en-GB"/>
              </w:rPr>
            </w:pPr>
            <w:r>
              <w:rPr>
                <w:rFonts w:cs="Arial"/>
                <w:color w:val="000000"/>
              </w:rPr>
              <w:t>51</w:t>
            </w:r>
          </w:p>
        </w:tc>
        <w:tc>
          <w:tcPr>
            <w:tcW w:w="429" w:type="pct"/>
            <w:tcBorders>
              <w:top w:val="nil"/>
              <w:left w:val="nil"/>
              <w:bottom w:val="single" w:sz="4" w:space="0" w:color="auto"/>
              <w:right w:val="single" w:sz="4" w:space="0" w:color="auto"/>
            </w:tcBorders>
            <w:shd w:val="clear" w:color="auto" w:fill="auto"/>
          </w:tcPr>
          <w:p w14:paraId="5E49AFE1" w14:textId="77777777" w:rsidR="00D01DAB" w:rsidRDefault="00D01DAB" w:rsidP="00F31CA2">
            <w:pPr>
              <w:jc w:val="right"/>
              <w:rPr>
                <w:rFonts w:cs="Arial"/>
                <w:b/>
                <w:bCs/>
                <w:color w:val="000000"/>
                <w:lang w:eastAsia="en-GB"/>
              </w:rPr>
            </w:pPr>
            <w:r>
              <w:rPr>
                <w:rFonts w:cs="Arial"/>
                <w:color w:val="000000"/>
              </w:rPr>
              <w:t>69</w:t>
            </w:r>
          </w:p>
        </w:tc>
        <w:tc>
          <w:tcPr>
            <w:tcW w:w="429" w:type="pct"/>
            <w:tcBorders>
              <w:top w:val="nil"/>
              <w:left w:val="nil"/>
              <w:bottom w:val="single" w:sz="4" w:space="0" w:color="auto"/>
              <w:right w:val="single" w:sz="4" w:space="0" w:color="auto"/>
            </w:tcBorders>
            <w:shd w:val="clear" w:color="auto" w:fill="auto"/>
          </w:tcPr>
          <w:p w14:paraId="4BED31B0" w14:textId="77777777" w:rsidR="00D01DAB" w:rsidRDefault="00D01DAB" w:rsidP="00F31CA2">
            <w:pPr>
              <w:jc w:val="right"/>
              <w:rPr>
                <w:rFonts w:cs="Arial"/>
                <w:b/>
                <w:bCs/>
                <w:color w:val="000000"/>
                <w:lang w:eastAsia="en-GB"/>
              </w:rPr>
            </w:pPr>
            <w:r>
              <w:rPr>
                <w:rFonts w:cs="Arial"/>
                <w:color w:val="000000"/>
              </w:rPr>
              <w:t>48</w:t>
            </w:r>
          </w:p>
        </w:tc>
        <w:tc>
          <w:tcPr>
            <w:tcW w:w="429" w:type="pct"/>
            <w:tcBorders>
              <w:top w:val="nil"/>
              <w:left w:val="nil"/>
              <w:bottom w:val="single" w:sz="4" w:space="0" w:color="auto"/>
              <w:right w:val="single" w:sz="4" w:space="0" w:color="auto"/>
            </w:tcBorders>
            <w:shd w:val="clear" w:color="auto" w:fill="auto"/>
            <w:noWrap/>
          </w:tcPr>
          <w:p w14:paraId="65981CCE" w14:textId="77777777" w:rsidR="00D01DAB" w:rsidRPr="008519A2" w:rsidRDefault="00D01DAB" w:rsidP="00F31CA2">
            <w:pPr>
              <w:jc w:val="right"/>
              <w:rPr>
                <w:rFonts w:cs="Arial"/>
                <w:b/>
                <w:bCs/>
                <w:color w:val="000000"/>
                <w:lang w:eastAsia="en-GB"/>
              </w:rPr>
            </w:pPr>
            <w:r>
              <w:rPr>
                <w:rFonts w:cs="Arial"/>
                <w:color w:val="000000"/>
              </w:rPr>
              <w:t>8</w:t>
            </w:r>
          </w:p>
        </w:tc>
        <w:tc>
          <w:tcPr>
            <w:tcW w:w="429" w:type="pct"/>
            <w:tcBorders>
              <w:top w:val="nil"/>
              <w:left w:val="nil"/>
              <w:bottom w:val="single" w:sz="4" w:space="0" w:color="auto"/>
              <w:right w:val="single" w:sz="4" w:space="0" w:color="auto"/>
            </w:tcBorders>
            <w:shd w:val="clear" w:color="auto" w:fill="auto"/>
            <w:noWrap/>
          </w:tcPr>
          <w:p w14:paraId="1795EBF2" w14:textId="77777777" w:rsidR="00D01DAB" w:rsidRPr="008519A2" w:rsidRDefault="00D01DAB" w:rsidP="00F31CA2">
            <w:pPr>
              <w:jc w:val="right"/>
              <w:rPr>
                <w:rFonts w:cs="Arial"/>
                <w:b/>
                <w:bCs/>
                <w:color w:val="000000"/>
                <w:lang w:eastAsia="en-GB"/>
              </w:rPr>
            </w:pPr>
            <w:r>
              <w:rPr>
                <w:rFonts w:cs="Arial"/>
                <w:color w:val="000000"/>
              </w:rPr>
              <w:t>7</w:t>
            </w:r>
          </w:p>
        </w:tc>
        <w:tc>
          <w:tcPr>
            <w:tcW w:w="429" w:type="pct"/>
            <w:tcBorders>
              <w:top w:val="nil"/>
              <w:left w:val="nil"/>
              <w:bottom w:val="single" w:sz="4" w:space="0" w:color="auto"/>
              <w:right w:val="single" w:sz="4" w:space="0" w:color="auto"/>
            </w:tcBorders>
            <w:shd w:val="clear" w:color="auto" w:fill="auto"/>
            <w:noWrap/>
          </w:tcPr>
          <w:p w14:paraId="6D8965F9" w14:textId="77777777" w:rsidR="00D01DAB" w:rsidRPr="008519A2" w:rsidRDefault="00D01DAB" w:rsidP="00F31CA2">
            <w:pPr>
              <w:jc w:val="right"/>
              <w:rPr>
                <w:rFonts w:cs="Arial"/>
                <w:b/>
                <w:bCs/>
                <w:color w:val="000000"/>
                <w:lang w:eastAsia="en-GB"/>
              </w:rPr>
            </w:pPr>
            <w:r>
              <w:rPr>
                <w:rFonts w:cs="Arial"/>
                <w:color w:val="000000"/>
              </w:rPr>
              <w:t>7</w:t>
            </w:r>
          </w:p>
        </w:tc>
        <w:tc>
          <w:tcPr>
            <w:tcW w:w="429" w:type="pct"/>
            <w:tcBorders>
              <w:top w:val="nil"/>
              <w:left w:val="nil"/>
              <w:bottom w:val="single" w:sz="4" w:space="0" w:color="auto"/>
              <w:right w:val="single" w:sz="4" w:space="0" w:color="auto"/>
            </w:tcBorders>
            <w:shd w:val="clear" w:color="auto" w:fill="auto"/>
            <w:noWrap/>
          </w:tcPr>
          <w:p w14:paraId="4B19F11A" w14:textId="77777777" w:rsidR="00D01DAB" w:rsidRPr="008519A2" w:rsidRDefault="00D01DAB" w:rsidP="00F31CA2">
            <w:pPr>
              <w:jc w:val="right"/>
              <w:rPr>
                <w:rFonts w:cs="Arial"/>
                <w:b/>
                <w:bCs/>
                <w:color w:val="000000"/>
                <w:lang w:eastAsia="en-GB"/>
              </w:rPr>
            </w:pPr>
            <w:r>
              <w:rPr>
                <w:rFonts w:cs="Arial"/>
                <w:color w:val="000000"/>
              </w:rPr>
              <w:t>668</w:t>
            </w:r>
          </w:p>
        </w:tc>
      </w:tr>
      <w:tr w:rsidR="00D01DAB" w:rsidRPr="008519A2" w14:paraId="673FFF2E" w14:textId="77777777" w:rsidTr="00346656">
        <w:trPr>
          <w:trHeight w:val="327"/>
        </w:trPr>
        <w:tc>
          <w:tcPr>
            <w:tcW w:w="710" w:type="pct"/>
            <w:tcBorders>
              <w:top w:val="nil"/>
              <w:left w:val="single" w:sz="4" w:space="0" w:color="auto"/>
              <w:bottom w:val="single" w:sz="4" w:space="0" w:color="auto"/>
              <w:right w:val="single" w:sz="4" w:space="0" w:color="auto"/>
            </w:tcBorders>
            <w:shd w:val="clear" w:color="D9E1F2" w:fill="D9E1F2"/>
            <w:noWrap/>
            <w:vAlign w:val="center"/>
            <w:hideMark/>
          </w:tcPr>
          <w:p w14:paraId="57CCF578" w14:textId="77777777" w:rsidR="00D01DAB" w:rsidRPr="008519A2" w:rsidRDefault="00D01DAB" w:rsidP="00F31CA2">
            <w:pPr>
              <w:jc w:val="center"/>
              <w:rPr>
                <w:rFonts w:cs="Arial"/>
                <w:b/>
                <w:bCs/>
                <w:color w:val="000000"/>
                <w:lang w:eastAsia="en-GB"/>
              </w:rPr>
            </w:pPr>
            <w:r w:rsidRPr="008519A2">
              <w:rPr>
                <w:rFonts w:cs="Arial"/>
                <w:b/>
                <w:bCs/>
                <w:color w:val="000000"/>
                <w:lang w:eastAsia="en-GB"/>
              </w:rPr>
              <w:t>% Female</w:t>
            </w:r>
          </w:p>
        </w:tc>
        <w:tc>
          <w:tcPr>
            <w:tcW w:w="429" w:type="pct"/>
            <w:tcBorders>
              <w:top w:val="nil"/>
              <w:left w:val="single" w:sz="4" w:space="0" w:color="auto"/>
              <w:bottom w:val="single" w:sz="4" w:space="0" w:color="auto"/>
              <w:right w:val="single" w:sz="4" w:space="0" w:color="auto"/>
            </w:tcBorders>
            <w:shd w:val="clear" w:color="auto" w:fill="auto"/>
            <w:noWrap/>
          </w:tcPr>
          <w:p w14:paraId="6CF1E2DE" w14:textId="77777777" w:rsidR="00D01DAB" w:rsidRPr="0004016F" w:rsidRDefault="00D01DAB" w:rsidP="00F31CA2">
            <w:pPr>
              <w:jc w:val="center"/>
              <w:rPr>
                <w:rFonts w:cs="Arial"/>
                <w:color w:val="000000"/>
                <w:lang w:eastAsia="en-GB"/>
              </w:rPr>
            </w:pPr>
            <w:r w:rsidRPr="0004016F">
              <w:rPr>
                <w:rFonts w:cs="Arial"/>
                <w:b/>
                <w:bCs/>
                <w:color w:val="000000"/>
              </w:rPr>
              <w:t>25.0%</w:t>
            </w:r>
          </w:p>
        </w:tc>
        <w:tc>
          <w:tcPr>
            <w:tcW w:w="429" w:type="pct"/>
            <w:tcBorders>
              <w:top w:val="nil"/>
              <w:left w:val="nil"/>
              <w:bottom w:val="single" w:sz="4" w:space="0" w:color="auto"/>
              <w:right w:val="single" w:sz="4" w:space="0" w:color="auto"/>
            </w:tcBorders>
            <w:shd w:val="clear" w:color="auto" w:fill="auto"/>
          </w:tcPr>
          <w:p w14:paraId="16995C88" w14:textId="77777777" w:rsidR="00D01DAB" w:rsidRPr="0004016F" w:rsidRDefault="00D01DAB" w:rsidP="00F31CA2">
            <w:pPr>
              <w:jc w:val="center"/>
              <w:rPr>
                <w:rFonts w:cs="Arial"/>
                <w:color w:val="000000"/>
                <w:lang w:eastAsia="en-GB"/>
              </w:rPr>
            </w:pPr>
            <w:r w:rsidRPr="0004016F">
              <w:rPr>
                <w:rFonts w:cs="Arial"/>
                <w:b/>
                <w:bCs/>
                <w:color w:val="000000"/>
              </w:rPr>
              <w:t>22.2%</w:t>
            </w:r>
          </w:p>
        </w:tc>
        <w:tc>
          <w:tcPr>
            <w:tcW w:w="429" w:type="pct"/>
            <w:tcBorders>
              <w:top w:val="nil"/>
              <w:left w:val="nil"/>
              <w:bottom w:val="single" w:sz="4" w:space="0" w:color="auto"/>
              <w:right w:val="single" w:sz="4" w:space="0" w:color="auto"/>
            </w:tcBorders>
            <w:shd w:val="clear" w:color="auto" w:fill="auto"/>
          </w:tcPr>
          <w:p w14:paraId="147F86E1" w14:textId="77777777" w:rsidR="00D01DAB" w:rsidRPr="0004016F" w:rsidRDefault="00D01DAB" w:rsidP="00F31CA2">
            <w:pPr>
              <w:jc w:val="center"/>
              <w:rPr>
                <w:rFonts w:cs="Arial"/>
                <w:color w:val="000000"/>
                <w:lang w:eastAsia="en-GB"/>
              </w:rPr>
            </w:pPr>
            <w:r w:rsidRPr="0004016F">
              <w:rPr>
                <w:rFonts w:cs="Arial"/>
                <w:b/>
                <w:bCs/>
                <w:color w:val="000000"/>
              </w:rPr>
              <w:t>29.6%</w:t>
            </w:r>
          </w:p>
        </w:tc>
        <w:tc>
          <w:tcPr>
            <w:tcW w:w="429" w:type="pct"/>
            <w:tcBorders>
              <w:top w:val="nil"/>
              <w:left w:val="nil"/>
              <w:bottom w:val="single" w:sz="4" w:space="0" w:color="auto"/>
              <w:right w:val="single" w:sz="4" w:space="0" w:color="auto"/>
            </w:tcBorders>
            <w:shd w:val="clear" w:color="auto" w:fill="auto"/>
          </w:tcPr>
          <w:p w14:paraId="7B66256D" w14:textId="77777777" w:rsidR="00D01DAB" w:rsidRPr="0004016F" w:rsidRDefault="00D01DAB" w:rsidP="00F31CA2">
            <w:pPr>
              <w:jc w:val="center"/>
              <w:rPr>
                <w:rFonts w:cs="Arial"/>
                <w:color w:val="000000"/>
                <w:lang w:eastAsia="en-GB"/>
              </w:rPr>
            </w:pPr>
            <w:r w:rsidRPr="0004016F">
              <w:rPr>
                <w:rFonts w:cs="Arial"/>
                <w:b/>
                <w:bCs/>
                <w:color w:val="000000"/>
              </w:rPr>
              <w:t>68.6%</w:t>
            </w:r>
          </w:p>
        </w:tc>
        <w:tc>
          <w:tcPr>
            <w:tcW w:w="429" w:type="pct"/>
            <w:tcBorders>
              <w:top w:val="nil"/>
              <w:left w:val="nil"/>
              <w:bottom w:val="single" w:sz="4" w:space="0" w:color="auto"/>
              <w:right w:val="single" w:sz="4" w:space="0" w:color="auto"/>
            </w:tcBorders>
            <w:shd w:val="clear" w:color="auto" w:fill="auto"/>
          </w:tcPr>
          <w:p w14:paraId="18B6AF93" w14:textId="77777777" w:rsidR="00D01DAB" w:rsidRPr="0004016F" w:rsidRDefault="00D01DAB" w:rsidP="00F31CA2">
            <w:pPr>
              <w:jc w:val="center"/>
              <w:rPr>
                <w:rFonts w:cs="Arial"/>
                <w:color w:val="000000"/>
                <w:lang w:eastAsia="en-GB"/>
              </w:rPr>
            </w:pPr>
            <w:r w:rsidRPr="0004016F">
              <w:rPr>
                <w:rFonts w:cs="Arial"/>
                <w:b/>
                <w:bCs/>
                <w:color w:val="000000"/>
              </w:rPr>
              <w:t>65.2%</w:t>
            </w:r>
          </w:p>
        </w:tc>
        <w:tc>
          <w:tcPr>
            <w:tcW w:w="429" w:type="pct"/>
            <w:tcBorders>
              <w:top w:val="nil"/>
              <w:left w:val="nil"/>
              <w:bottom w:val="single" w:sz="4" w:space="0" w:color="auto"/>
              <w:right w:val="single" w:sz="4" w:space="0" w:color="auto"/>
            </w:tcBorders>
            <w:shd w:val="clear" w:color="auto" w:fill="auto"/>
          </w:tcPr>
          <w:p w14:paraId="337A6050" w14:textId="77777777" w:rsidR="00D01DAB" w:rsidRPr="0004016F" w:rsidRDefault="00D01DAB" w:rsidP="00F31CA2">
            <w:pPr>
              <w:jc w:val="center"/>
              <w:rPr>
                <w:rFonts w:cs="Arial"/>
                <w:color w:val="000000"/>
                <w:lang w:eastAsia="en-GB"/>
              </w:rPr>
            </w:pPr>
            <w:r w:rsidRPr="0004016F">
              <w:rPr>
                <w:rFonts w:cs="Arial"/>
                <w:b/>
                <w:bCs/>
                <w:color w:val="000000"/>
              </w:rPr>
              <w:t>66.7%</w:t>
            </w:r>
          </w:p>
        </w:tc>
        <w:tc>
          <w:tcPr>
            <w:tcW w:w="429" w:type="pct"/>
            <w:tcBorders>
              <w:top w:val="nil"/>
              <w:left w:val="nil"/>
              <w:bottom w:val="single" w:sz="4" w:space="0" w:color="auto"/>
              <w:right w:val="single" w:sz="4" w:space="0" w:color="auto"/>
            </w:tcBorders>
            <w:shd w:val="clear" w:color="auto" w:fill="auto"/>
            <w:noWrap/>
          </w:tcPr>
          <w:p w14:paraId="78CDA298" w14:textId="77777777" w:rsidR="00D01DAB" w:rsidRPr="0004016F" w:rsidRDefault="00D01DAB" w:rsidP="00F31CA2">
            <w:pPr>
              <w:jc w:val="center"/>
              <w:rPr>
                <w:rFonts w:cs="Arial"/>
                <w:color w:val="000000"/>
                <w:lang w:eastAsia="en-GB"/>
              </w:rPr>
            </w:pPr>
            <w:r w:rsidRPr="0004016F">
              <w:rPr>
                <w:rFonts w:cs="Arial"/>
                <w:b/>
                <w:bCs/>
                <w:color w:val="000000"/>
              </w:rPr>
              <w:t>12.5%</w:t>
            </w:r>
          </w:p>
        </w:tc>
        <w:tc>
          <w:tcPr>
            <w:tcW w:w="429" w:type="pct"/>
            <w:tcBorders>
              <w:top w:val="nil"/>
              <w:left w:val="nil"/>
              <w:bottom w:val="single" w:sz="4" w:space="0" w:color="auto"/>
              <w:right w:val="single" w:sz="4" w:space="0" w:color="auto"/>
            </w:tcBorders>
            <w:shd w:val="clear" w:color="auto" w:fill="auto"/>
            <w:noWrap/>
          </w:tcPr>
          <w:p w14:paraId="03E390A4" w14:textId="77777777" w:rsidR="00D01DAB" w:rsidRPr="0004016F" w:rsidRDefault="00D01DAB" w:rsidP="00F31CA2">
            <w:pPr>
              <w:jc w:val="center"/>
              <w:rPr>
                <w:rFonts w:cs="Arial"/>
                <w:color w:val="000000"/>
                <w:lang w:eastAsia="en-GB"/>
              </w:rPr>
            </w:pPr>
            <w:r w:rsidRPr="0004016F">
              <w:rPr>
                <w:rFonts w:cs="Arial"/>
                <w:b/>
                <w:bCs/>
                <w:color w:val="000000"/>
              </w:rPr>
              <w:t>14.3%</w:t>
            </w:r>
          </w:p>
        </w:tc>
        <w:tc>
          <w:tcPr>
            <w:tcW w:w="429" w:type="pct"/>
            <w:tcBorders>
              <w:top w:val="nil"/>
              <w:left w:val="nil"/>
              <w:bottom w:val="single" w:sz="4" w:space="0" w:color="auto"/>
              <w:right w:val="single" w:sz="4" w:space="0" w:color="auto"/>
            </w:tcBorders>
            <w:shd w:val="clear" w:color="auto" w:fill="auto"/>
            <w:noWrap/>
          </w:tcPr>
          <w:p w14:paraId="4C309AF3" w14:textId="77777777" w:rsidR="00D01DAB" w:rsidRPr="0004016F" w:rsidRDefault="00D01DAB" w:rsidP="00F31CA2">
            <w:pPr>
              <w:jc w:val="center"/>
              <w:rPr>
                <w:rFonts w:cs="Arial"/>
                <w:color w:val="000000"/>
                <w:lang w:eastAsia="en-GB"/>
              </w:rPr>
            </w:pPr>
            <w:r w:rsidRPr="0004016F">
              <w:rPr>
                <w:rFonts w:cs="Arial"/>
                <w:b/>
                <w:bCs/>
                <w:color w:val="000000"/>
              </w:rPr>
              <w:t>71.4%</w:t>
            </w:r>
          </w:p>
        </w:tc>
        <w:tc>
          <w:tcPr>
            <w:tcW w:w="429" w:type="pct"/>
            <w:tcBorders>
              <w:top w:val="nil"/>
              <w:left w:val="nil"/>
              <w:bottom w:val="single" w:sz="4" w:space="0" w:color="auto"/>
              <w:right w:val="single" w:sz="4" w:space="0" w:color="auto"/>
            </w:tcBorders>
            <w:shd w:val="clear" w:color="auto" w:fill="auto"/>
            <w:noWrap/>
          </w:tcPr>
          <w:p w14:paraId="7FB53F07" w14:textId="77777777" w:rsidR="00D01DAB" w:rsidRPr="0004016F" w:rsidRDefault="00D01DAB" w:rsidP="00F31CA2">
            <w:pPr>
              <w:jc w:val="center"/>
              <w:rPr>
                <w:rFonts w:cs="Arial"/>
                <w:color w:val="000000"/>
                <w:lang w:eastAsia="en-GB"/>
              </w:rPr>
            </w:pPr>
            <w:r w:rsidRPr="0004016F">
              <w:rPr>
                <w:rFonts w:cs="Arial"/>
                <w:b/>
                <w:bCs/>
                <w:color w:val="000000"/>
              </w:rPr>
              <w:t>36.5%</w:t>
            </w:r>
          </w:p>
        </w:tc>
      </w:tr>
    </w:tbl>
    <w:p w14:paraId="64361D51" w14:textId="77777777" w:rsidR="00310D60" w:rsidRDefault="00310D60" w:rsidP="00D26031">
      <w:pPr>
        <w:jc w:val="center"/>
        <w:rPr>
          <w:rFonts w:cs="Arial"/>
          <w:b/>
        </w:rPr>
      </w:pPr>
    </w:p>
    <w:p w14:paraId="5FEF27E1" w14:textId="7FE4AB33" w:rsidR="008D6223" w:rsidRPr="008519A2" w:rsidRDefault="007D26A8" w:rsidP="007D26A8">
      <w:pPr>
        <w:rPr>
          <w:rFonts w:cs="Arial"/>
          <w:b/>
        </w:rPr>
      </w:pPr>
      <w:r>
        <w:rPr>
          <w:rFonts w:cs="Arial"/>
          <w:b/>
        </w:rPr>
        <w:t>M</w:t>
      </w:r>
      <w:r w:rsidR="00D26031" w:rsidRPr="008519A2">
        <w:rPr>
          <w:rFonts w:cs="Arial"/>
          <w:b/>
        </w:rPr>
        <w:t>ean gender pay gap at each grading level</w:t>
      </w:r>
    </w:p>
    <w:p w14:paraId="7564CAE1" w14:textId="77777777" w:rsidR="00735227" w:rsidRPr="008519A2" w:rsidRDefault="00735227" w:rsidP="00735227">
      <w:pPr>
        <w:rPr>
          <w:rFonts w:cs="Arial"/>
          <w:b/>
        </w:rPr>
      </w:pPr>
    </w:p>
    <w:tbl>
      <w:tblPr>
        <w:tblW w:w="5566" w:type="pct"/>
        <w:jc w:val="center"/>
        <w:tblLook w:val="04A0" w:firstRow="1" w:lastRow="0" w:firstColumn="1" w:lastColumn="0" w:noHBand="0" w:noVBand="1"/>
      </w:tblPr>
      <w:tblGrid>
        <w:gridCol w:w="2635"/>
        <w:gridCol w:w="963"/>
        <w:gridCol w:w="964"/>
        <w:gridCol w:w="964"/>
        <w:gridCol w:w="964"/>
        <w:gridCol w:w="964"/>
        <w:gridCol w:w="964"/>
        <w:gridCol w:w="964"/>
        <w:gridCol w:w="957"/>
      </w:tblGrid>
      <w:tr w:rsidR="00735227" w:rsidRPr="008519A2" w14:paraId="250B1383" w14:textId="77777777" w:rsidTr="00F31CA2">
        <w:trPr>
          <w:cantSplit/>
          <w:trHeight w:val="1142"/>
          <w:jc w:val="center"/>
        </w:trPr>
        <w:tc>
          <w:tcPr>
            <w:tcW w:w="1275" w:type="pct"/>
            <w:tcBorders>
              <w:top w:val="single" w:sz="4" w:space="0" w:color="auto"/>
              <w:left w:val="single" w:sz="4" w:space="0" w:color="auto"/>
              <w:bottom w:val="single" w:sz="4" w:space="0" w:color="auto"/>
              <w:right w:val="single" w:sz="4" w:space="0" w:color="auto"/>
            </w:tcBorders>
            <w:shd w:val="clear" w:color="D9E1F2" w:fill="D9E1F2"/>
            <w:hideMark/>
          </w:tcPr>
          <w:p w14:paraId="36C81F56" w14:textId="77777777" w:rsidR="00735227" w:rsidRPr="008519A2" w:rsidRDefault="00735227" w:rsidP="00F31CA2">
            <w:pPr>
              <w:jc w:val="center"/>
              <w:rPr>
                <w:rFonts w:cs="Arial"/>
                <w:b/>
                <w:bCs/>
                <w:color w:val="000000"/>
                <w:lang w:eastAsia="en-GB"/>
              </w:rPr>
            </w:pPr>
            <w:r w:rsidRPr="008519A2">
              <w:rPr>
                <w:rFonts w:cs="Arial"/>
                <w:b/>
                <w:bCs/>
                <w:color w:val="000000"/>
                <w:lang w:eastAsia="en-GB"/>
              </w:rPr>
              <w:t>ONR 202</w:t>
            </w:r>
            <w:r>
              <w:rPr>
                <w:rFonts w:cs="Arial"/>
                <w:b/>
                <w:bCs/>
                <w:color w:val="000000"/>
                <w:lang w:eastAsia="en-GB"/>
              </w:rPr>
              <w:t>2/23</w:t>
            </w:r>
            <w:r w:rsidRPr="008519A2">
              <w:rPr>
                <w:rFonts w:cs="Arial"/>
                <w:b/>
                <w:bCs/>
                <w:color w:val="000000"/>
                <w:lang w:eastAsia="en-GB"/>
              </w:rPr>
              <w:br/>
            </w:r>
            <w:r>
              <w:rPr>
                <w:rFonts w:cs="Arial"/>
                <w:b/>
                <w:bCs/>
                <w:color w:val="000000"/>
                <w:lang w:eastAsia="en-GB"/>
              </w:rPr>
              <w:t>m</w:t>
            </w:r>
            <w:r w:rsidRPr="008519A2">
              <w:rPr>
                <w:rFonts w:cs="Arial"/>
                <w:b/>
                <w:bCs/>
                <w:color w:val="000000"/>
                <w:lang w:eastAsia="en-GB"/>
              </w:rPr>
              <w:t>ean gender pay gap calculation</w:t>
            </w:r>
          </w:p>
        </w:tc>
        <w:tc>
          <w:tcPr>
            <w:tcW w:w="466" w:type="pct"/>
            <w:tcBorders>
              <w:top w:val="single" w:sz="4" w:space="0" w:color="auto"/>
              <w:left w:val="nil"/>
              <w:bottom w:val="single" w:sz="4" w:space="0" w:color="auto"/>
              <w:right w:val="single" w:sz="4" w:space="0" w:color="auto"/>
            </w:tcBorders>
            <w:shd w:val="clear" w:color="D9E1F2" w:fill="D9E1F2"/>
            <w:textDirection w:val="tbRl"/>
          </w:tcPr>
          <w:p w14:paraId="3666FAFD" w14:textId="77777777" w:rsidR="00735227" w:rsidRPr="008519A2" w:rsidRDefault="00735227" w:rsidP="00F31CA2">
            <w:pPr>
              <w:ind w:left="113" w:right="113"/>
              <w:jc w:val="center"/>
              <w:rPr>
                <w:rFonts w:cs="Arial"/>
                <w:b/>
                <w:bCs/>
                <w:color w:val="000000"/>
                <w:lang w:eastAsia="en-GB"/>
              </w:rPr>
            </w:pPr>
          </w:p>
          <w:p w14:paraId="27B78019" w14:textId="77777777" w:rsidR="00735227" w:rsidRPr="008519A2" w:rsidRDefault="00735227" w:rsidP="00F31CA2">
            <w:pPr>
              <w:ind w:left="113" w:right="113"/>
              <w:jc w:val="center"/>
              <w:rPr>
                <w:rFonts w:cs="Arial"/>
                <w:b/>
                <w:bCs/>
                <w:color w:val="000000"/>
                <w:lang w:eastAsia="en-GB"/>
              </w:rPr>
            </w:pPr>
            <w:r w:rsidRPr="008519A2">
              <w:rPr>
                <w:rFonts w:cs="Arial"/>
                <w:b/>
                <w:bCs/>
                <w:color w:val="000000"/>
                <w:lang w:eastAsia="en-GB"/>
              </w:rPr>
              <w:t xml:space="preserve">Band </w:t>
            </w:r>
            <w:r>
              <w:rPr>
                <w:rFonts w:cs="Arial"/>
                <w:b/>
                <w:bCs/>
                <w:color w:val="000000"/>
                <w:lang w:eastAsia="en-GB"/>
              </w:rPr>
              <w:t>1</w:t>
            </w:r>
          </w:p>
        </w:tc>
        <w:tc>
          <w:tcPr>
            <w:tcW w:w="466" w:type="pct"/>
            <w:tcBorders>
              <w:top w:val="single" w:sz="4" w:space="0" w:color="auto"/>
              <w:left w:val="single" w:sz="4" w:space="0" w:color="auto"/>
              <w:bottom w:val="single" w:sz="4" w:space="0" w:color="auto"/>
              <w:right w:val="single" w:sz="4" w:space="0" w:color="auto"/>
            </w:tcBorders>
            <w:shd w:val="clear" w:color="D9E1F2" w:fill="D9E1F2"/>
            <w:textDirection w:val="tbRl"/>
          </w:tcPr>
          <w:p w14:paraId="45B9FDCC" w14:textId="77777777" w:rsidR="00735227" w:rsidRPr="008519A2" w:rsidRDefault="00735227" w:rsidP="00F31CA2">
            <w:pPr>
              <w:ind w:left="113" w:right="113"/>
              <w:jc w:val="center"/>
              <w:rPr>
                <w:rFonts w:cs="Arial"/>
                <w:b/>
                <w:bCs/>
                <w:color w:val="000000"/>
                <w:lang w:eastAsia="en-GB"/>
              </w:rPr>
            </w:pPr>
          </w:p>
          <w:p w14:paraId="0B4A563A" w14:textId="77777777" w:rsidR="00735227" w:rsidRPr="008519A2" w:rsidRDefault="00735227" w:rsidP="00F31CA2">
            <w:pPr>
              <w:ind w:left="113" w:right="113"/>
              <w:jc w:val="center"/>
              <w:rPr>
                <w:rFonts w:cs="Arial"/>
                <w:b/>
                <w:bCs/>
                <w:color w:val="000000"/>
                <w:lang w:eastAsia="en-GB"/>
              </w:rPr>
            </w:pPr>
            <w:r w:rsidRPr="008519A2">
              <w:rPr>
                <w:rFonts w:cs="Arial"/>
                <w:b/>
                <w:bCs/>
                <w:color w:val="000000"/>
                <w:lang w:eastAsia="en-GB"/>
              </w:rPr>
              <w:t xml:space="preserve">Band </w:t>
            </w:r>
            <w:r>
              <w:rPr>
                <w:rFonts w:cs="Arial"/>
                <w:b/>
                <w:bCs/>
                <w:color w:val="000000"/>
                <w:lang w:eastAsia="en-GB"/>
              </w:rPr>
              <w:t>2</w:t>
            </w:r>
          </w:p>
        </w:tc>
        <w:tc>
          <w:tcPr>
            <w:tcW w:w="466" w:type="pct"/>
            <w:tcBorders>
              <w:top w:val="single" w:sz="4" w:space="0" w:color="auto"/>
              <w:left w:val="single" w:sz="4" w:space="0" w:color="auto"/>
              <w:bottom w:val="single" w:sz="4" w:space="0" w:color="auto"/>
              <w:right w:val="single" w:sz="4" w:space="0" w:color="auto"/>
            </w:tcBorders>
            <w:shd w:val="clear" w:color="D9E1F2" w:fill="D9E1F2"/>
            <w:textDirection w:val="tbRl"/>
          </w:tcPr>
          <w:p w14:paraId="3DDA9DC0" w14:textId="77777777" w:rsidR="00735227" w:rsidRPr="008519A2" w:rsidRDefault="00735227" w:rsidP="00F31CA2">
            <w:pPr>
              <w:ind w:left="113" w:right="113"/>
              <w:jc w:val="center"/>
              <w:rPr>
                <w:rFonts w:cs="Arial"/>
                <w:b/>
                <w:bCs/>
                <w:color w:val="000000"/>
                <w:lang w:eastAsia="en-GB"/>
              </w:rPr>
            </w:pPr>
          </w:p>
          <w:p w14:paraId="06E2AED0" w14:textId="77777777" w:rsidR="00735227" w:rsidRPr="008519A2" w:rsidRDefault="00735227" w:rsidP="00F31CA2">
            <w:pPr>
              <w:ind w:left="113" w:right="113"/>
              <w:jc w:val="center"/>
              <w:rPr>
                <w:rFonts w:cs="Arial"/>
                <w:b/>
                <w:bCs/>
                <w:color w:val="000000"/>
                <w:lang w:eastAsia="en-GB"/>
              </w:rPr>
            </w:pPr>
            <w:r w:rsidRPr="008519A2">
              <w:rPr>
                <w:rFonts w:cs="Arial"/>
                <w:b/>
                <w:bCs/>
                <w:color w:val="000000"/>
                <w:lang w:eastAsia="en-GB"/>
              </w:rPr>
              <w:t xml:space="preserve">Band </w:t>
            </w:r>
            <w:r>
              <w:rPr>
                <w:rFonts w:cs="Arial"/>
                <w:b/>
                <w:bCs/>
                <w:color w:val="000000"/>
                <w:lang w:eastAsia="en-GB"/>
              </w:rPr>
              <w:t>3</w:t>
            </w:r>
          </w:p>
        </w:tc>
        <w:tc>
          <w:tcPr>
            <w:tcW w:w="466" w:type="pct"/>
            <w:tcBorders>
              <w:top w:val="single" w:sz="4" w:space="0" w:color="auto"/>
              <w:left w:val="single" w:sz="4" w:space="0" w:color="auto"/>
              <w:bottom w:val="single" w:sz="4" w:space="0" w:color="auto"/>
              <w:right w:val="single" w:sz="4" w:space="0" w:color="auto"/>
            </w:tcBorders>
            <w:shd w:val="clear" w:color="D9E1F2" w:fill="D9E1F2"/>
            <w:textDirection w:val="tbRl"/>
          </w:tcPr>
          <w:p w14:paraId="41590FCB" w14:textId="77777777" w:rsidR="00735227" w:rsidRPr="008519A2" w:rsidRDefault="00735227" w:rsidP="00F31CA2">
            <w:pPr>
              <w:ind w:left="113" w:right="113"/>
              <w:jc w:val="center"/>
              <w:rPr>
                <w:rFonts w:cs="Arial"/>
                <w:b/>
                <w:bCs/>
                <w:color w:val="000000"/>
                <w:lang w:eastAsia="en-GB"/>
              </w:rPr>
            </w:pPr>
          </w:p>
          <w:p w14:paraId="10BFBB5C" w14:textId="77777777" w:rsidR="00735227" w:rsidRPr="008519A2" w:rsidRDefault="00735227" w:rsidP="00F31CA2">
            <w:pPr>
              <w:ind w:left="113" w:right="113"/>
              <w:jc w:val="center"/>
              <w:rPr>
                <w:rFonts w:cs="Arial"/>
                <w:b/>
                <w:bCs/>
                <w:color w:val="000000"/>
                <w:lang w:eastAsia="en-GB"/>
              </w:rPr>
            </w:pPr>
            <w:r w:rsidRPr="008519A2">
              <w:rPr>
                <w:rFonts w:cs="Arial"/>
                <w:b/>
                <w:bCs/>
                <w:color w:val="000000"/>
                <w:lang w:eastAsia="en-GB"/>
              </w:rPr>
              <w:t xml:space="preserve">Band </w:t>
            </w:r>
            <w:r>
              <w:rPr>
                <w:rFonts w:cs="Arial"/>
                <w:b/>
                <w:bCs/>
                <w:color w:val="000000"/>
                <w:lang w:eastAsia="en-GB"/>
              </w:rPr>
              <w:t>4</w:t>
            </w:r>
          </w:p>
        </w:tc>
        <w:tc>
          <w:tcPr>
            <w:tcW w:w="466" w:type="pct"/>
            <w:tcBorders>
              <w:top w:val="single" w:sz="4" w:space="0" w:color="auto"/>
              <w:left w:val="single" w:sz="4" w:space="0" w:color="auto"/>
              <w:bottom w:val="single" w:sz="4" w:space="0" w:color="auto"/>
              <w:right w:val="single" w:sz="4" w:space="0" w:color="auto"/>
            </w:tcBorders>
            <w:shd w:val="clear" w:color="D9E1F2" w:fill="D9E1F2"/>
            <w:textDirection w:val="tbRl"/>
          </w:tcPr>
          <w:p w14:paraId="26837F61" w14:textId="77777777" w:rsidR="00735227" w:rsidRPr="008519A2" w:rsidRDefault="00735227" w:rsidP="00F31CA2">
            <w:pPr>
              <w:ind w:left="113" w:right="113"/>
              <w:jc w:val="center"/>
              <w:rPr>
                <w:rFonts w:cs="Arial"/>
                <w:b/>
                <w:bCs/>
                <w:color w:val="000000"/>
                <w:lang w:eastAsia="en-GB"/>
              </w:rPr>
            </w:pPr>
          </w:p>
          <w:p w14:paraId="1DBA869B" w14:textId="77777777" w:rsidR="00735227" w:rsidRPr="008519A2" w:rsidRDefault="00735227" w:rsidP="00F31CA2">
            <w:pPr>
              <w:ind w:left="113" w:right="113"/>
              <w:jc w:val="center"/>
              <w:rPr>
                <w:rFonts w:cs="Arial"/>
                <w:b/>
                <w:bCs/>
                <w:color w:val="000000"/>
                <w:lang w:eastAsia="en-GB"/>
              </w:rPr>
            </w:pPr>
            <w:r w:rsidRPr="008519A2">
              <w:rPr>
                <w:rFonts w:cs="Arial"/>
                <w:b/>
                <w:bCs/>
                <w:color w:val="000000"/>
                <w:lang w:eastAsia="en-GB"/>
              </w:rPr>
              <w:t xml:space="preserve">Band </w:t>
            </w:r>
            <w:r>
              <w:rPr>
                <w:rFonts w:cs="Arial"/>
                <w:b/>
                <w:bCs/>
                <w:color w:val="000000"/>
                <w:lang w:eastAsia="en-GB"/>
              </w:rPr>
              <w:t>5</w:t>
            </w:r>
          </w:p>
        </w:tc>
        <w:tc>
          <w:tcPr>
            <w:tcW w:w="466" w:type="pct"/>
            <w:tcBorders>
              <w:top w:val="single" w:sz="4" w:space="0" w:color="auto"/>
              <w:left w:val="single" w:sz="4" w:space="0" w:color="auto"/>
              <w:bottom w:val="single" w:sz="4" w:space="0" w:color="auto"/>
              <w:right w:val="single" w:sz="4" w:space="0" w:color="auto"/>
            </w:tcBorders>
            <w:shd w:val="clear" w:color="D9E1F2" w:fill="D9E1F2"/>
            <w:textDirection w:val="tbRl"/>
          </w:tcPr>
          <w:p w14:paraId="17CA9E09" w14:textId="77777777" w:rsidR="00735227" w:rsidRPr="008519A2" w:rsidRDefault="00735227" w:rsidP="00F31CA2">
            <w:pPr>
              <w:ind w:left="113" w:right="113"/>
              <w:jc w:val="center"/>
              <w:rPr>
                <w:rFonts w:cs="Arial"/>
                <w:b/>
                <w:bCs/>
                <w:color w:val="000000"/>
                <w:lang w:eastAsia="en-GB"/>
              </w:rPr>
            </w:pPr>
          </w:p>
          <w:p w14:paraId="531D7BD0" w14:textId="77777777" w:rsidR="00735227" w:rsidRPr="008519A2" w:rsidRDefault="00735227" w:rsidP="00F31CA2">
            <w:pPr>
              <w:ind w:left="113" w:right="113"/>
              <w:jc w:val="center"/>
              <w:rPr>
                <w:rFonts w:cs="Arial"/>
                <w:b/>
                <w:bCs/>
                <w:color w:val="000000"/>
                <w:lang w:eastAsia="en-GB"/>
              </w:rPr>
            </w:pPr>
            <w:r w:rsidRPr="008519A2">
              <w:rPr>
                <w:rFonts w:cs="Arial"/>
                <w:b/>
                <w:bCs/>
                <w:color w:val="000000"/>
                <w:lang w:eastAsia="en-GB"/>
              </w:rPr>
              <w:t xml:space="preserve">Band </w:t>
            </w:r>
            <w:r>
              <w:rPr>
                <w:rFonts w:cs="Arial"/>
                <w:b/>
                <w:bCs/>
                <w:color w:val="000000"/>
                <w:lang w:eastAsia="en-GB"/>
              </w:rPr>
              <w:t>6</w:t>
            </w:r>
          </w:p>
        </w:tc>
        <w:tc>
          <w:tcPr>
            <w:tcW w:w="466" w:type="pct"/>
            <w:tcBorders>
              <w:top w:val="single" w:sz="4" w:space="0" w:color="auto"/>
              <w:left w:val="single" w:sz="4" w:space="0" w:color="auto"/>
              <w:bottom w:val="single" w:sz="4" w:space="0" w:color="auto"/>
              <w:right w:val="single" w:sz="4" w:space="0" w:color="auto"/>
            </w:tcBorders>
            <w:shd w:val="clear" w:color="D9E1F2" w:fill="D9E1F2"/>
            <w:noWrap/>
            <w:textDirection w:val="tbRl"/>
            <w:hideMark/>
          </w:tcPr>
          <w:p w14:paraId="2D23AB69" w14:textId="77777777" w:rsidR="00735227" w:rsidRPr="008519A2" w:rsidRDefault="00735227" w:rsidP="00F31CA2">
            <w:pPr>
              <w:ind w:left="113" w:right="113"/>
              <w:jc w:val="center"/>
              <w:rPr>
                <w:rFonts w:cs="Arial"/>
                <w:b/>
                <w:bCs/>
                <w:color w:val="000000"/>
                <w:lang w:eastAsia="en-GB"/>
              </w:rPr>
            </w:pPr>
          </w:p>
          <w:p w14:paraId="4C73B49C" w14:textId="77777777" w:rsidR="00735227" w:rsidRPr="008519A2" w:rsidRDefault="00735227" w:rsidP="00F31CA2">
            <w:pPr>
              <w:ind w:left="113" w:right="113"/>
              <w:jc w:val="center"/>
              <w:rPr>
                <w:rFonts w:cs="Arial"/>
                <w:b/>
                <w:bCs/>
                <w:color w:val="000000"/>
                <w:lang w:eastAsia="en-GB"/>
              </w:rPr>
            </w:pPr>
            <w:r w:rsidRPr="008519A2">
              <w:rPr>
                <w:rFonts w:cs="Arial"/>
                <w:b/>
                <w:bCs/>
                <w:color w:val="000000"/>
                <w:lang w:eastAsia="en-GB"/>
              </w:rPr>
              <w:t>SCS 1</w:t>
            </w:r>
          </w:p>
        </w:tc>
        <w:tc>
          <w:tcPr>
            <w:tcW w:w="463" w:type="pct"/>
            <w:tcBorders>
              <w:top w:val="single" w:sz="4" w:space="0" w:color="auto"/>
              <w:left w:val="nil"/>
              <w:bottom w:val="single" w:sz="4" w:space="0" w:color="auto"/>
              <w:right w:val="single" w:sz="4" w:space="0" w:color="auto"/>
            </w:tcBorders>
            <w:shd w:val="clear" w:color="D9E1F2" w:fill="D9E1F2"/>
            <w:noWrap/>
            <w:textDirection w:val="tbRl"/>
            <w:hideMark/>
          </w:tcPr>
          <w:p w14:paraId="0DE499DE" w14:textId="77777777" w:rsidR="00735227" w:rsidRPr="008519A2" w:rsidRDefault="00735227" w:rsidP="00F31CA2">
            <w:pPr>
              <w:ind w:left="113" w:right="113"/>
              <w:jc w:val="center"/>
              <w:rPr>
                <w:rFonts w:cs="Arial"/>
                <w:b/>
                <w:bCs/>
                <w:color w:val="000000"/>
                <w:lang w:eastAsia="en-GB"/>
              </w:rPr>
            </w:pPr>
          </w:p>
          <w:p w14:paraId="15EFA148" w14:textId="77777777" w:rsidR="00735227" w:rsidRPr="008519A2" w:rsidRDefault="00735227" w:rsidP="00F31CA2">
            <w:pPr>
              <w:ind w:left="113" w:right="113"/>
              <w:jc w:val="center"/>
              <w:rPr>
                <w:rFonts w:cs="Arial"/>
                <w:b/>
                <w:bCs/>
                <w:color w:val="000000"/>
                <w:lang w:eastAsia="en-GB"/>
              </w:rPr>
            </w:pPr>
            <w:r w:rsidRPr="008519A2">
              <w:rPr>
                <w:rFonts w:cs="Arial"/>
                <w:b/>
                <w:bCs/>
                <w:color w:val="000000"/>
                <w:lang w:eastAsia="en-GB"/>
              </w:rPr>
              <w:t>ONR</w:t>
            </w:r>
          </w:p>
        </w:tc>
      </w:tr>
      <w:tr w:rsidR="00735227" w:rsidRPr="008519A2" w14:paraId="6ED34B51" w14:textId="77777777" w:rsidTr="00F31CA2">
        <w:trPr>
          <w:trHeight w:val="675"/>
          <w:jc w:val="center"/>
        </w:trPr>
        <w:tc>
          <w:tcPr>
            <w:tcW w:w="1275" w:type="pct"/>
            <w:tcBorders>
              <w:top w:val="nil"/>
              <w:left w:val="single" w:sz="4" w:space="0" w:color="auto"/>
              <w:bottom w:val="single" w:sz="4" w:space="0" w:color="auto"/>
              <w:right w:val="single" w:sz="4" w:space="0" w:color="auto"/>
            </w:tcBorders>
            <w:shd w:val="clear" w:color="auto" w:fill="auto"/>
            <w:hideMark/>
          </w:tcPr>
          <w:p w14:paraId="34F83F97" w14:textId="77777777" w:rsidR="00735227" w:rsidRPr="008519A2" w:rsidRDefault="00735227" w:rsidP="00F31CA2">
            <w:pPr>
              <w:rPr>
                <w:rFonts w:cs="Arial"/>
                <w:lang w:eastAsia="en-GB"/>
              </w:rPr>
            </w:pPr>
            <w:r w:rsidRPr="008519A2">
              <w:rPr>
                <w:rFonts w:cs="Arial"/>
                <w:lang w:eastAsia="en-GB"/>
              </w:rPr>
              <w:t xml:space="preserve">Hourly pay rates of </w:t>
            </w:r>
            <w:r>
              <w:rPr>
                <w:rFonts w:cs="Arial"/>
                <w:lang w:eastAsia="en-GB"/>
              </w:rPr>
              <w:t>men</w:t>
            </w:r>
            <w:r w:rsidRPr="008519A2">
              <w:rPr>
                <w:rFonts w:cs="Arial"/>
                <w:lang w:eastAsia="en-GB"/>
              </w:rPr>
              <w:t xml:space="preserve"> divided by number of </w:t>
            </w:r>
            <w:r>
              <w:rPr>
                <w:rFonts w:cs="Arial"/>
                <w:lang w:eastAsia="en-GB"/>
              </w:rPr>
              <w:t>men (A)</w:t>
            </w:r>
          </w:p>
        </w:tc>
        <w:tc>
          <w:tcPr>
            <w:tcW w:w="466" w:type="pct"/>
            <w:tcBorders>
              <w:top w:val="single" w:sz="4" w:space="0" w:color="auto"/>
              <w:left w:val="nil"/>
              <w:bottom w:val="single" w:sz="4" w:space="0" w:color="auto"/>
              <w:right w:val="single" w:sz="4" w:space="0" w:color="auto"/>
            </w:tcBorders>
          </w:tcPr>
          <w:p w14:paraId="32AC43C5" w14:textId="77777777" w:rsidR="00735227" w:rsidRPr="00CA0A68" w:rsidRDefault="00735227" w:rsidP="00F31CA2">
            <w:r w:rsidRPr="00774496">
              <w:t>£55.77</w:t>
            </w:r>
          </w:p>
        </w:tc>
        <w:tc>
          <w:tcPr>
            <w:tcW w:w="466" w:type="pct"/>
            <w:tcBorders>
              <w:top w:val="single" w:sz="4" w:space="0" w:color="auto"/>
              <w:left w:val="single" w:sz="4" w:space="0" w:color="auto"/>
              <w:bottom w:val="single" w:sz="4" w:space="0" w:color="auto"/>
              <w:right w:val="single" w:sz="4" w:space="0" w:color="auto"/>
            </w:tcBorders>
          </w:tcPr>
          <w:p w14:paraId="15B0B416" w14:textId="77777777" w:rsidR="00735227" w:rsidRPr="00CA0A68" w:rsidRDefault="00735227" w:rsidP="00F31CA2">
            <w:r w:rsidRPr="00774496">
              <w:t>£51.50</w:t>
            </w:r>
          </w:p>
        </w:tc>
        <w:tc>
          <w:tcPr>
            <w:tcW w:w="466" w:type="pct"/>
            <w:tcBorders>
              <w:top w:val="single" w:sz="4" w:space="0" w:color="auto"/>
              <w:left w:val="single" w:sz="4" w:space="0" w:color="auto"/>
              <w:bottom w:val="single" w:sz="4" w:space="0" w:color="auto"/>
              <w:right w:val="single" w:sz="4" w:space="0" w:color="auto"/>
            </w:tcBorders>
          </w:tcPr>
          <w:p w14:paraId="36F96977" w14:textId="77777777" w:rsidR="00735227" w:rsidRPr="00CA0A68" w:rsidRDefault="00735227" w:rsidP="00F31CA2">
            <w:r w:rsidRPr="00774496">
              <w:t>£39.53</w:t>
            </w:r>
          </w:p>
        </w:tc>
        <w:tc>
          <w:tcPr>
            <w:tcW w:w="466" w:type="pct"/>
            <w:tcBorders>
              <w:top w:val="single" w:sz="4" w:space="0" w:color="auto"/>
              <w:left w:val="single" w:sz="4" w:space="0" w:color="auto"/>
              <w:bottom w:val="single" w:sz="4" w:space="0" w:color="auto"/>
              <w:right w:val="single" w:sz="4" w:space="0" w:color="auto"/>
            </w:tcBorders>
          </w:tcPr>
          <w:p w14:paraId="194FB9EC" w14:textId="77777777" w:rsidR="00735227" w:rsidRPr="00CA0A68" w:rsidRDefault="00735227" w:rsidP="00F31CA2">
            <w:r w:rsidRPr="00774496">
              <w:t>£23.53</w:t>
            </w:r>
          </w:p>
        </w:tc>
        <w:tc>
          <w:tcPr>
            <w:tcW w:w="466" w:type="pct"/>
            <w:tcBorders>
              <w:top w:val="single" w:sz="4" w:space="0" w:color="auto"/>
              <w:left w:val="single" w:sz="4" w:space="0" w:color="auto"/>
              <w:bottom w:val="single" w:sz="4" w:space="0" w:color="auto"/>
              <w:right w:val="single" w:sz="4" w:space="0" w:color="auto"/>
            </w:tcBorders>
          </w:tcPr>
          <w:p w14:paraId="229C5559" w14:textId="77777777" w:rsidR="00735227" w:rsidRPr="00CA0A68" w:rsidRDefault="00735227" w:rsidP="00F31CA2">
            <w:r w:rsidRPr="00774496">
              <w:t>£18.13</w:t>
            </w:r>
          </w:p>
        </w:tc>
        <w:tc>
          <w:tcPr>
            <w:tcW w:w="466" w:type="pct"/>
            <w:tcBorders>
              <w:top w:val="single" w:sz="4" w:space="0" w:color="auto"/>
              <w:left w:val="single" w:sz="4" w:space="0" w:color="auto"/>
              <w:bottom w:val="single" w:sz="4" w:space="0" w:color="auto"/>
              <w:right w:val="single" w:sz="4" w:space="0" w:color="auto"/>
            </w:tcBorders>
          </w:tcPr>
          <w:p w14:paraId="6282FD2A" w14:textId="77777777" w:rsidR="00735227" w:rsidRPr="00CA0A68" w:rsidRDefault="00735227" w:rsidP="00F31CA2">
            <w:r w:rsidRPr="00774496">
              <w:t>£14.39</w:t>
            </w:r>
          </w:p>
        </w:tc>
        <w:tc>
          <w:tcPr>
            <w:tcW w:w="466" w:type="pct"/>
            <w:tcBorders>
              <w:top w:val="single" w:sz="4" w:space="0" w:color="auto"/>
              <w:left w:val="single" w:sz="4" w:space="0" w:color="auto"/>
              <w:bottom w:val="single" w:sz="4" w:space="0" w:color="auto"/>
              <w:right w:val="single" w:sz="4" w:space="0" w:color="auto"/>
            </w:tcBorders>
            <w:shd w:val="clear" w:color="auto" w:fill="auto"/>
            <w:noWrap/>
          </w:tcPr>
          <w:p w14:paraId="5637192F" w14:textId="77777777" w:rsidR="00735227" w:rsidRPr="008519A2" w:rsidRDefault="00735227" w:rsidP="00F31CA2">
            <w:pPr>
              <w:rPr>
                <w:rFonts w:cs="Arial"/>
                <w:lang w:eastAsia="en-GB"/>
              </w:rPr>
            </w:pPr>
            <w:r w:rsidRPr="00774496">
              <w:t>£58.40</w:t>
            </w:r>
          </w:p>
        </w:tc>
        <w:tc>
          <w:tcPr>
            <w:tcW w:w="463" w:type="pct"/>
            <w:tcBorders>
              <w:top w:val="nil"/>
              <w:left w:val="nil"/>
              <w:bottom w:val="single" w:sz="4" w:space="0" w:color="auto"/>
              <w:right w:val="single" w:sz="4" w:space="0" w:color="auto"/>
            </w:tcBorders>
            <w:shd w:val="clear" w:color="auto" w:fill="auto"/>
            <w:noWrap/>
          </w:tcPr>
          <w:p w14:paraId="1ACE139E" w14:textId="77777777" w:rsidR="00735227" w:rsidRPr="008519A2" w:rsidRDefault="00735227" w:rsidP="00F31CA2">
            <w:pPr>
              <w:rPr>
                <w:rFonts w:cs="Arial"/>
                <w:lang w:eastAsia="en-GB"/>
              </w:rPr>
            </w:pPr>
            <w:r w:rsidRPr="00FF1F5D">
              <w:t>£43.26</w:t>
            </w:r>
          </w:p>
        </w:tc>
      </w:tr>
      <w:tr w:rsidR="00735227" w:rsidRPr="008519A2" w14:paraId="36C243DE" w14:textId="77777777" w:rsidTr="00F31CA2">
        <w:trPr>
          <w:trHeight w:val="675"/>
          <w:jc w:val="center"/>
        </w:trPr>
        <w:tc>
          <w:tcPr>
            <w:tcW w:w="1275" w:type="pct"/>
            <w:tcBorders>
              <w:top w:val="nil"/>
              <w:left w:val="single" w:sz="4" w:space="0" w:color="auto"/>
              <w:bottom w:val="single" w:sz="4" w:space="0" w:color="auto"/>
              <w:right w:val="single" w:sz="4" w:space="0" w:color="auto"/>
            </w:tcBorders>
            <w:shd w:val="clear" w:color="auto" w:fill="auto"/>
            <w:hideMark/>
          </w:tcPr>
          <w:p w14:paraId="3AFD6819" w14:textId="77777777" w:rsidR="00735227" w:rsidRPr="008519A2" w:rsidRDefault="00735227" w:rsidP="00F31CA2">
            <w:pPr>
              <w:rPr>
                <w:rFonts w:cs="Arial"/>
                <w:lang w:eastAsia="en-GB"/>
              </w:rPr>
            </w:pPr>
            <w:r w:rsidRPr="008519A2">
              <w:rPr>
                <w:rFonts w:cs="Arial"/>
                <w:lang w:eastAsia="en-GB"/>
              </w:rPr>
              <w:t xml:space="preserve">Hourly pay rates of </w:t>
            </w:r>
            <w:r>
              <w:rPr>
                <w:rFonts w:cs="Arial"/>
                <w:lang w:eastAsia="en-GB"/>
              </w:rPr>
              <w:t>women</w:t>
            </w:r>
            <w:r w:rsidRPr="008519A2">
              <w:rPr>
                <w:rFonts w:cs="Arial"/>
                <w:lang w:eastAsia="en-GB"/>
              </w:rPr>
              <w:t xml:space="preserve"> divided by number of </w:t>
            </w:r>
            <w:r>
              <w:rPr>
                <w:rFonts w:cs="Arial"/>
                <w:lang w:eastAsia="en-GB"/>
              </w:rPr>
              <w:t>women (B)</w:t>
            </w:r>
          </w:p>
        </w:tc>
        <w:tc>
          <w:tcPr>
            <w:tcW w:w="466" w:type="pct"/>
            <w:tcBorders>
              <w:top w:val="single" w:sz="4" w:space="0" w:color="auto"/>
              <w:left w:val="nil"/>
              <w:bottom w:val="single" w:sz="4" w:space="0" w:color="auto"/>
              <w:right w:val="single" w:sz="4" w:space="0" w:color="auto"/>
            </w:tcBorders>
          </w:tcPr>
          <w:p w14:paraId="268F62B9" w14:textId="77777777" w:rsidR="00735227" w:rsidRPr="00134C68" w:rsidRDefault="00735227" w:rsidP="00F31CA2">
            <w:r w:rsidRPr="00774496">
              <w:t>£48.70</w:t>
            </w:r>
          </w:p>
        </w:tc>
        <w:tc>
          <w:tcPr>
            <w:tcW w:w="466" w:type="pct"/>
            <w:tcBorders>
              <w:top w:val="single" w:sz="4" w:space="0" w:color="auto"/>
              <w:left w:val="single" w:sz="4" w:space="0" w:color="auto"/>
              <w:bottom w:val="single" w:sz="4" w:space="0" w:color="auto"/>
              <w:right w:val="single" w:sz="4" w:space="0" w:color="auto"/>
            </w:tcBorders>
          </w:tcPr>
          <w:p w14:paraId="65CB0C4D" w14:textId="77777777" w:rsidR="00735227" w:rsidRPr="00134C68" w:rsidRDefault="00735227" w:rsidP="00F31CA2">
            <w:r w:rsidRPr="00774496">
              <w:t>£44.31</w:t>
            </w:r>
          </w:p>
        </w:tc>
        <w:tc>
          <w:tcPr>
            <w:tcW w:w="466" w:type="pct"/>
            <w:tcBorders>
              <w:top w:val="single" w:sz="4" w:space="0" w:color="auto"/>
              <w:left w:val="single" w:sz="4" w:space="0" w:color="auto"/>
              <w:bottom w:val="single" w:sz="4" w:space="0" w:color="auto"/>
              <w:right w:val="single" w:sz="4" w:space="0" w:color="auto"/>
            </w:tcBorders>
          </w:tcPr>
          <w:p w14:paraId="39A3CF8C" w14:textId="77777777" w:rsidR="00735227" w:rsidRPr="00134C68" w:rsidRDefault="00735227" w:rsidP="00F31CA2">
            <w:r w:rsidRPr="00774496">
              <w:t>£36.94</w:t>
            </w:r>
          </w:p>
        </w:tc>
        <w:tc>
          <w:tcPr>
            <w:tcW w:w="466" w:type="pct"/>
            <w:tcBorders>
              <w:top w:val="single" w:sz="4" w:space="0" w:color="auto"/>
              <w:left w:val="single" w:sz="4" w:space="0" w:color="auto"/>
              <w:bottom w:val="single" w:sz="4" w:space="0" w:color="auto"/>
              <w:right w:val="single" w:sz="4" w:space="0" w:color="auto"/>
            </w:tcBorders>
          </w:tcPr>
          <w:p w14:paraId="5C5E0513" w14:textId="77777777" w:rsidR="00735227" w:rsidRPr="00134C68" w:rsidRDefault="00735227" w:rsidP="00F31CA2">
            <w:r w:rsidRPr="00774496">
              <w:t>£22.72</w:t>
            </w:r>
          </w:p>
        </w:tc>
        <w:tc>
          <w:tcPr>
            <w:tcW w:w="466" w:type="pct"/>
            <w:tcBorders>
              <w:top w:val="single" w:sz="4" w:space="0" w:color="auto"/>
              <w:left w:val="single" w:sz="4" w:space="0" w:color="auto"/>
              <w:bottom w:val="single" w:sz="4" w:space="0" w:color="auto"/>
              <w:right w:val="single" w:sz="4" w:space="0" w:color="auto"/>
            </w:tcBorders>
          </w:tcPr>
          <w:p w14:paraId="1DF5943A" w14:textId="77777777" w:rsidR="00735227" w:rsidRPr="00134C68" w:rsidRDefault="00735227" w:rsidP="00F31CA2">
            <w:r w:rsidRPr="00774496">
              <w:t>£18.99</w:t>
            </w:r>
          </w:p>
        </w:tc>
        <w:tc>
          <w:tcPr>
            <w:tcW w:w="466" w:type="pct"/>
            <w:tcBorders>
              <w:top w:val="single" w:sz="4" w:space="0" w:color="auto"/>
              <w:left w:val="single" w:sz="4" w:space="0" w:color="auto"/>
              <w:bottom w:val="single" w:sz="4" w:space="0" w:color="auto"/>
              <w:right w:val="single" w:sz="4" w:space="0" w:color="auto"/>
            </w:tcBorders>
          </w:tcPr>
          <w:p w14:paraId="7144453E" w14:textId="77777777" w:rsidR="00735227" w:rsidRPr="00134C68" w:rsidRDefault="00735227" w:rsidP="00F31CA2">
            <w:r w:rsidRPr="00774496">
              <w:t>£14.45</w:t>
            </w:r>
          </w:p>
        </w:tc>
        <w:tc>
          <w:tcPr>
            <w:tcW w:w="466" w:type="pct"/>
            <w:tcBorders>
              <w:top w:val="single" w:sz="4" w:space="0" w:color="auto"/>
              <w:left w:val="single" w:sz="4" w:space="0" w:color="auto"/>
              <w:bottom w:val="single" w:sz="4" w:space="0" w:color="auto"/>
              <w:right w:val="single" w:sz="4" w:space="0" w:color="auto"/>
            </w:tcBorders>
            <w:shd w:val="clear" w:color="auto" w:fill="auto"/>
            <w:noWrap/>
          </w:tcPr>
          <w:p w14:paraId="632142FF" w14:textId="77777777" w:rsidR="00735227" w:rsidRPr="008519A2" w:rsidRDefault="00735227" w:rsidP="00F31CA2">
            <w:pPr>
              <w:rPr>
                <w:rFonts w:cs="Arial"/>
                <w:lang w:eastAsia="en-GB"/>
              </w:rPr>
            </w:pPr>
            <w:r w:rsidRPr="00774496">
              <w:t>£59.75</w:t>
            </w:r>
          </w:p>
        </w:tc>
        <w:tc>
          <w:tcPr>
            <w:tcW w:w="463" w:type="pct"/>
            <w:tcBorders>
              <w:top w:val="nil"/>
              <w:left w:val="nil"/>
              <w:bottom w:val="single" w:sz="4" w:space="0" w:color="auto"/>
              <w:right w:val="single" w:sz="4" w:space="0" w:color="auto"/>
            </w:tcBorders>
            <w:shd w:val="clear" w:color="auto" w:fill="auto"/>
            <w:noWrap/>
          </w:tcPr>
          <w:p w14:paraId="0E142AFF" w14:textId="77777777" w:rsidR="00735227" w:rsidRPr="008519A2" w:rsidRDefault="00735227" w:rsidP="00F31CA2">
            <w:pPr>
              <w:rPr>
                <w:rFonts w:cs="Arial"/>
                <w:lang w:eastAsia="en-GB"/>
              </w:rPr>
            </w:pPr>
            <w:r w:rsidRPr="00FF1F5D">
              <w:t>£31.46</w:t>
            </w:r>
          </w:p>
        </w:tc>
      </w:tr>
      <w:tr w:rsidR="00735227" w:rsidRPr="008519A2" w14:paraId="1F94F80D" w14:textId="77777777" w:rsidTr="00F31CA2">
        <w:trPr>
          <w:trHeight w:val="353"/>
          <w:jc w:val="center"/>
        </w:trPr>
        <w:tc>
          <w:tcPr>
            <w:tcW w:w="1275" w:type="pct"/>
            <w:tcBorders>
              <w:top w:val="nil"/>
              <w:left w:val="single" w:sz="4" w:space="0" w:color="auto"/>
              <w:bottom w:val="single" w:sz="4" w:space="0" w:color="auto"/>
              <w:right w:val="single" w:sz="4" w:space="0" w:color="auto"/>
            </w:tcBorders>
            <w:shd w:val="clear" w:color="auto" w:fill="auto"/>
            <w:noWrap/>
            <w:vAlign w:val="bottom"/>
            <w:hideMark/>
          </w:tcPr>
          <w:p w14:paraId="55B25D36" w14:textId="77777777" w:rsidR="00735227" w:rsidRPr="008519A2" w:rsidRDefault="00735227" w:rsidP="00F31CA2">
            <w:pPr>
              <w:rPr>
                <w:rFonts w:cs="Arial"/>
                <w:lang w:eastAsia="en-GB"/>
              </w:rPr>
            </w:pPr>
            <w:r w:rsidRPr="008519A2">
              <w:rPr>
                <w:rFonts w:cs="Arial"/>
                <w:lang w:eastAsia="en-GB"/>
              </w:rPr>
              <w:t>Formula (A-B)/A x 100</w:t>
            </w:r>
          </w:p>
        </w:tc>
        <w:tc>
          <w:tcPr>
            <w:tcW w:w="466" w:type="pct"/>
            <w:tcBorders>
              <w:top w:val="single" w:sz="4" w:space="0" w:color="auto"/>
              <w:left w:val="nil"/>
              <w:bottom w:val="single" w:sz="4" w:space="0" w:color="auto"/>
              <w:right w:val="single" w:sz="4" w:space="0" w:color="auto"/>
            </w:tcBorders>
          </w:tcPr>
          <w:p w14:paraId="36AEB7FC" w14:textId="77777777" w:rsidR="00735227" w:rsidRPr="007A3362" w:rsidRDefault="00735227" w:rsidP="00F31CA2">
            <w:pPr>
              <w:jc w:val="center"/>
            </w:pPr>
            <w:r w:rsidRPr="00774496">
              <w:t>12.7%</w:t>
            </w:r>
          </w:p>
        </w:tc>
        <w:tc>
          <w:tcPr>
            <w:tcW w:w="466" w:type="pct"/>
            <w:tcBorders>
              <w:top w:val="single" w:sz="4" w:space="0" w:color="auto"/>
              <w:left w:val="single" w:sz="4" w:space="0" w:color="auto"/>
              <w:bottom w:val="single" w:sz="4" w:space="0" w:color="auto"/>
              <w:right w:val="single" w:sz="4" w:space="0" w:color="auto"/>
            </w:tcBorders>
          </w:tcPr>
          <w:p w14:paraId="67D51071" w14:textId="77777777" w:rsidR="00735227" w:rsidRPr="007A3362" w:rsidRDefault="00735227" w:rsidP="00F31CA2">
            <w:pPr>
              <w:jc w:val="center"/>
            </w:pPr>
            <w:r w:rsidRPr="00774496">
              <w:t>14.0%</w:t>
            </w:r>
          </w:p>
        </w:tc>
        <w:tc>
          <w:tcPr>
            <w:tcW w:w="466" w:type="pct"/>
            <w:tcBorders>
              <w:top w:val="single" w:sz="4" w:space="0" w:color="auto"/>
              <w:left w:val="single" w:sz="4" w:space="0" w:color="auto"/>
              <w:bottom w:val="single" w:sz="4" w:space="0" w:color="auto"/>
              <w:right w:val="single" w:sz="4" w:space="0" w:color="auto"/>
            </w:tcBorders>
          </w:tcPr>
          <w:p w14:paraId="73E4AD58" w14:textId="77777777" w:rsidR="00735227" w:rsidRPr="007A3362" w:rsidRDefault="00735227" w:rsidP="00F31CA2">
            <w:pPr>
              <w:jc w:val="center"/>
            </w:pPr>
            <w:r w:rsidRPr="00774496">
              <w:t>6.5%</w:t>
            </w:r>
          </w:p>
        </w:tc>
        <w:tc>
          <w:tcPr>
            <w:tcW w:w="466" w:type="pct"/>
            <w:tcBorders>
              <w:top w:val="single" w:sz="4" w:space="0" w:color="auto"/>
              <w:left w:val="single" w:sz="4" w:space="0" w:color="auto"/>
              <w:bottom w:val="single" w:sz="4" w:space="0" w:color="auto"/>
              <w:right w:val="single" w:sz="4" w:space="0" w:color="auto"/>
            </w:tcBorders>
          </w:tcPr>
          <w:p w14:paraId="26DAF132" w14:textId="77777777" w:rsidR="00735227" w:rsidRPr="007A3362" w:rsidRDefault="00735227" w:rsidP="00F31CA2">
            <w:pPr>
              <w:jc w:val="center"/>
            </w:pPr>
            <w:r w:rsidRPr="00774496">
              <w:t>3.4%</w:t>
            </w:r>
          </w:p>
        </w:tc>
        <w:tc>
          <w:tcPr>
            <w:tcW w:w="466" w:type="pct"/>
            <w:tcBorders>
              <w:top w:val="single" w:sz="4" w:space="0" w:color="auto"/>
              <w:left w:val="single" w:sz="4" w:space="0" w:color="auto"/>
              <w:bottom w:val="single" w:sz="4" w:space="0" w:color="auto"/>
              <w:right w:val="single" w:sz="4" w:space="0" w:color="auto"/>
            </w:tcBorders>
          </w:tcPr>
          <w:p w14:paraId="3863D81E" w14:textId="77777777" w:rsidR="00735227" w:rsidRPr="007A3362" w:rsidRDefault="00735227" w:rsidP="00F31CA2">
            <w:pPr>
              <w:jc w:val="center"/>
            </w:pPr>
            <w:r w:rsidRPr="00774496">
              <w:t>-4.7%</w:t>
            </w:r>
          </w:p>
        </w:tc>
        <w:tc>
          <w:tcPr>
            <w:tcW w:w="466" w:type="pct"/>
            <w:tcBorders>
              <w:top w:val="single" w:sz="4" w:space="0" w:color="auto"/>
              <w:left w:val="single" w:sz="4" w:space="0" w:color="auto"/>
              <w:bottom w:val="single" w:sz="4" w:space="0" w:color="auto"/>
              <w:right w:val="single" w:sz="4" w:space="0" w:color="auto"/>
            </w:tcBorders>
          </w:tcPr>
          <w:p w14:paraId="6966BF47" w14:textId="77777777" w:rsidR="00735227" w:rsidRPr="007A3362" w:rsidRDefault="00735227" w:rsidP="00F31CA2">
            <w:pPr>
              <w:jc w:val="center"/>
            </w:pPr>
            <w:r w:rsidRPr="00774496">
              <w:t>-0.5%</w:t>
            </w:r>
          </w:p>
        </w:tc>
        <w:tc>
          <w:tcPr>
            <w:tcW w:w="466" w:type="pct"/>
            <w:tcBorders>
              <w:top w:val="single" w:sz="4" w:space="0" w:color="auto"/>
              <w:left w:val="single" w:sz="4" w:space="0" w:color="auto"/>
              <w:bottom w:val="single" w:sz="4" w:space="0" w:color="auto"/>
              <w:right w:val="single" w:sz="4" w:space="0" w:color="auto"/>
            </w:tcBorders>
            <w:shd w:val="clear" w:color="auto" w:fill="auto"/>
            <w:noWrap/>
          </w:tcPr>
          <w:p w14:paraId="25C4F278" w14:textId="77777777" w:rsidR="00735227" w:rsidRPr="008519A2" w:rsidRDefault="00735227" w:rsidP="00F31CA2">
            <w:pPr>
              <w:jc w:val="center"/>
              <w:rPr>
                <w:rFonts w:cs="Arial"/>
                <w:b/>
                <w:bCs/>
                <w:color w:val="000000"/>
                <w:lang w:eastAsia="en-GB"/>
              </w:rPr>
            </w:pPr>
            <w:r w:rsidRPr="00774496">
              <w:t>-2.3%</w:t>
            </w:r>
          </w:p>
        </w:tc>
        <w:tc>
          <w:tcPr>
            <w:tcW w:w="463" w:type="pct"/>
            <w:tcBorders>
              <w:top w:val="nil"/>
              <w:left w:val="nil"/>
              <w:bottom w:val="single" w:sz="4" w:space="0" w:color="auto"/>
              <w:right w:val="single" w:sz="4" w:space="0" w:color="auto"/>
            </w:tcBorders>
            <w:shd w:val="clear" w:color="auto" w:fill="auto"/>
            <w:noWrap/>
          </w:tcPr>
          <w:p w14:paraId="0F9699BF" w14:textId="77777777" w:rsidR="00735227" w:rsidRPr="008519A2" w:rsidRDefault="00735227" w:rsidP="00F31CA2">
            <w:pPr>
              <w:jc w:val="center"/>
              <w:rPr>
                <w:rFonts w:cs="Arial"/>
                <w:b/>
                <w:bCs/>
                <w:color w:val="000000"/>
                <w:lang w:eastAsia="en-GB"/>
              </w:rPr>
            </w:pPr>
            <w:r w:rsidRPr="00FF1F5D">
              <w:t>27.3%</w:t>
            </w:r>
          </w:p>
        </w:tc>
      </w:tr>
    </w:tbl>
    <w:p w14:paraId="0B4AE7A0" w14:textId="77777777" w:rsidR="00285A16" w:rsidRDefault="00285A16" w:rsidP="00024E7B">
      <w:pPr>
        <w:rPr>
          <w:rFonts w:cs="Arial"/>
          <w:b/>
        </w:rPr>
      </w:pPr>
    </w:p>
    <w:p w14:paraId="00B4032D" w14:textId="5B5B116A" w:rsidR="005D4CA1" w:rsidRDefault="00940BE9" w:rsidP="005D4CA1">
      <w:pPr>
        <w:rPr>
          <w:rFonts w:cs="Arial"/>
          <w:b/>
          <w:bCs/>
          <w:color w:val="000000" w:themeColor="text1"/>
        </w:rPr>
      </w:pPr>
      <w:r w:rsidRPr="00C77EC2">
        <w:rPr>
          <w:rFonts w:cs="Arial"/>
          <w:b/>
          <w:bCs/>
          <w:color w:val="000000" w:themeColor="text1"/>
        </w:rPr>
        <w:t xml:space="preserve">Note: columns showing results for SCS </w:t>
      </w:r>
      <w:r w:rsidR="00077764" w:rsidRPr="00C77EC2">
        <w:rPr>
          <w:rFonts w:cs="Arial"/>
          <w:b/>
          <w:bCs/>
          <w:color w:val="000000" w:themeColor="text1"/>
        </w:rPr>
        <w:t>2,</w:t>
      </w:r>
      <w:r w:rsidRPr="00C77EC2">
        <w:rPr>
          <w:rFonts w:cs="Arial"/>
          <w:b/>
          <w:bCs/>
          <w:color w:val="000000" w:themeColor="text1"/>
        </w:rPr>
        <w:t xml:space="preserve"> and Non-Executive</w:t>
      </w:r>
      <w:r w:rsidR="00C77EC2" w:rsidRPr="00C77EC2">
        <w:rPr>
          <w:rFonts w:cs="Arial"/>
          <w:b/>
          <w:bCs/>
          <w:color w:val="000000" w:themeColor="text1"/>
        </w:rPr>
        <w:t>s</w:t>
      </w:r>
      <w:r w:rsidRPr="00C77EC2">
        <w:rPr>
          <w:rFonts w:cs="Arial"/>
          <w:b/>
          <w:bCs/>
          <w:color w:val="000000" w:themeColor="text1"/>
        </w:rPr>
        <w:t xml:space="preserve"> have been excluded due to identifiable data.</w:t>
      </w:r>
      <w:r w:rsidR="00D676D9">
        <w:rPr>
          <w:rFonts w:cs="Arial"/>
          <w:b/>
          <w:bCs/>
          <w:color w:val="000000" w:themeColor="text1"/>
        </w:rPr>
        <w:t xml:space="preserve"> </w:t>
      </w:r>
      <w:r w:rsidRPr="00C77EC2">
        <w:rPr>
          <w:rFonts w:cs="Arial"/>
          <w:b/>
          <w:bCs/>
          <w:color w:val="000000" w:themeColor="text1"/>
        </w:rPr>
        <w:t>The data is included in the ONR total results</w:t>
      </w:r>
      <w:r w:rsidR="00573EE1" w:rsidRPr="00C77EC2">
        <w:rPr>
          <w:rFonts w:cs="Arial"/>
          <w:b/>
          <w:bCs/>
          <w:color w:val="000000" w:themeColor="text1"/>
        </w:rPr>
        <w:t xml:space="preserve"> </w:t>
      </w:r>
    </w:p>
    <w:p w14:paraId="5CEF0FCB" w14:textId="77777777" w:rsidR="003F1F06" w:rsidRDefault="003F1F06" w:rsidP="005D4CA1">
      <w:pPr>
        <w:rPr>
          <w:rFonts w:cs="Arial"/>
          <w:b/>
          <w:bCs/>
          <w:color w:val="000000" w:themeColor="text1"/>
        </w:rPr>
      </w:pPr>
    </w:p>
    <w:p w14:paraId="783B011C" w14:textId="77777777" w:rsidR="009262FF" w:rsidRDefault="005F344A" w:rsidP="005D4CA1">
      <w:pPr>
        <w:rPr>
          <w:rFonts w:cs="Arial"/>
        </w:rPr>
      </w:pPr>
      <w:r w:rsidRPr="00D85BE1">
        <w:rPr>
          <w:rFonts w:cs="Arial"/>
        </w:rPr>
        <w:t xml:space="preserve">The gender pay gap is different to equal pay, which is the legal requirement that men and women are paid equally for doing the same job under the Equality Act 2010. </w:t>
      </w:r>
    </w:p>
    <w:p w14:paraId="31AF14DE" w14:textId="77777777" w:rsidR="009262FF" w:rsidRDefault="009262FF" w:rsidP="005D4CA1">
      <w:pPr>
        <w:rPr>
          <w:rFonts w:cs="Arial"/>
        </w:rPr>
      </w:pPr>
    </w:p>
    <w:p w14:paraId="329E17D5" w14:textId="141158AB" w:rsidR="00B0672F" w:rsidRDefault="00C96D17" w:rsidP="00BF48EC">
      <w:pPr>
        <w:rPr>
          <w:rFonts w:cs="Arial"/>
        </w:rPr>
      </w:pPr>
      <w:r w:rsidRPr="001F087B">
        <w:rPr>
          <w:rFonts w:cs="Arial"/>
        </w:rPr>
        <w:t>We are confident that our current gender pay gap does not reflect an equal pay issue.</w:t>
      </w:r>
    </w:p>
    <w:p w14:paraId="3ACC3762" w14:textId="6D5A16CA" w:rsidR="00B0672F" w:rsidRPr="00F7653C" w:rsidRDefault="00911662" w:rsidP="00503D62">
      <w:pPr>
        <w:rPr>
          <w:rFonts w:cs="Arial"/>
          <w:color w:val="000000" w:themeColor="text1"/>
        </w:rPr>
      </w:pPr>
      <w:r w:rsidRPr="00F7653C">
        <w:rPr>
          <w:color w:val="000000" w:themeColor="text1"/>
        </w:rPr>
        <w:t>We have a</w:t>
      </w:r>
      <w:r w:rsidR="00D4249E" w:rsidRPr="00F7653C">
        <w:rPr>
          <w:color w:val="000000" w:themeColor="text1"/>
        </w:rPr>
        <w:t xml:space="preserve"> well-established pay </w:t>
      </w:r>
      <w:r w:rsidR="00617511" w:rsidRPr="00F7653C">
        <w:rPr>
          <w:color w:val="000000" w:themeColor="text1"/>
        </w:rPr>
        <w:t>structure,</w:t>
      </w:r>
      <w:r w:rsidR="00D4249E" w:rsidRPr="00F7653C">
        <w:rPr>
          <w:color w:val="000000" w:themeColor="text1"/>
        </w:rPr>
        <w:t xml:space="preserve"> and </w:t>
      </w:r>
      <w:r w:rsidR="008C32FA" w:rsidRPr="00F7653C">
        <w:rPr>
          <w:color w:val="000000" w:themeColor="text1"/>
        </w:rPr>
        <w:t xml:space="preserve">we believe it is a </w:t>
      </w:r>
      <w:r w:rsidR="00B0672F" w:rsidRPr="00F7653C">
        <w:rPr>
          <w:color w:val="000000" w:themeColor="text1"/>
        </w:rPr>
        <w:t xml:space="preserve">legacy position, reflecting the dominance </w:t>
      </w:r>
      <w:r w:rsidR="00617511" w:rsidRPr="00F7653C">
        <w:rPr>
          <w:color w:val="000000" w:themeColor="text1"/>
        </w:rPr>
        <w:t xml:space="preserve">of </w:t>
      </w:r>
      <w:r w:rsidR="00617511" w:rsidRPr="00F7653C">
        <w:rPr>
          <w:rFonts w:cs="Arial"/>
          <w:color w:val="000000" w:themeColor="text1"/>
        </w:rPr>
        <w:t>men</w:t>
      </w:r>
      <w:r w:rsidR="00D62947" w:rsidRPr="00F7653C">
        <w:rPr>
          <w:rFonts w:cs="Arial"/>
          <w:color w:val="000000" w:themeColor="text1"/>
        </w:rPr>
        <w:t xml:space="preserve"> in regulatory technical roles </w:t>
      </w:r>
      <w:r w:rsidR="00503D62" w:rsidRPr="00F7653C">
        <w:rPr>
          <w:rFonts w:cs="Arial"/>
          <w:color w:val="000000" w:themeColor="text1"/>
        </w:rPr>
        <w:t xml:space="preserve">in higher grades </w:t>
      </w:r>
      <w:r w:rsidR="00D62947" w:rsidRPr="00F7653C">
        <w:rPr>
          <w:rFonts w:cs="Arial"/>
          <w:color w:val="000000" w:themeColor="text1"/>
        </w:rPr>
        <w:t>towards the top of the pay scales, which attract a premium rate of pay</w:t>
      </w:r>
      <w:r w:rsidR="00503D62" w:rsidRPr="00F7653C">
        <w:rPr>
          <w:rFonts w:cs="Arial"/>
          <w:color w:val="000000" w:themeColor="text1"/>
        </w:rPr>
        <w:t xml:space="preserve"> and </w:t>
      </w:r>
      <w:r w:rsidR="00B0672F" w:rsidRPr="00F7653C">
        <w:rPr>
          <w:color w:val="000000" w:themeColor="text1"/>
        </w:rPr>
        <w:t>the continuing challenge in wider society to encourage more women to pursue STEM subjects and qualifications.</w:t>
      </w:r>
    </w:p>
    <w:p w14:paraId="73C837FD" w14:textId="77777777" w:rsidR="00012A6C" w:rsidRPr="00854EA9" w:rsidRDefault="00012A6C" w:rsidP="005D4CA1">
      <w:pPr>
        <w:rPr>
          <w:rFonts w:cs="Arial"/>
          <w:color w:val="FF0000"/>
        </w:rPr>
      </w:pPr>
    </w:p>
    <w:p w14:paraId="5FEF2810" w14:textId="782A744C" w:rsidR="00E85C0F" w:rsidRDefault="00B7495E" w:rsidP="005D4CA1">
      <w:pPr>
        <w:rPr>
          <w:rFonts w:cs="Arial"/>
          <w:lang w:eastAsia="en-GB"/>
        </w:rPr>
      </w:pPr>
      <w:r>
        <w:rPr>
          <w:rFonts w:cs="Arial"/>
        </w:rPr>
        <w:t>This</w:t>
      </w:r>
      <w:r w:rsidR="006E2E16">
        <w:rPr>
          <w:rFonts w:cs="Arial"/>
        </w:rPr>
        <w:t xml:space="preserve"> is </w:t>
      </w:r>
      <w:r w:rsidR="00870BFD">
        <w:rPr>
          <w:rFonts w:cs="Arial"/>
        </w:rPr>
        <w:t xml:space="preserve">more </w:t>
      </w:r>
      <w:r w:rsidR="006E2E16">
        <w:rPr>
          <w:rFonts w:cs="Arial"/>
        </w:rPr>
        <w:t xml:space="preserve">around the distribution of our </w:t>
      </w:r>
      <w:r w:rsidR="00617511">
        <w:rPr>
          <w:rFonts w:cs="Arial"/>
        </w:rPr>
        <w:t>gender,</w:t>
      </w:r>
      <w:r w:rsidR="006E2E16">
        <w:rPr>
          <w:rFonts w:cs="Arial"/>
        </w:rPr>
        <w:t xml:space="preserve"> </w:t>
      </w:r>
      <w:r w:rsidR="004C4DC7">
        <w:rPr>
          <w:rFonts w:cs="Arial"/>
        </w:rPr>
        <w:t xml:space="preserve">and </w:t>
      </w:r>
      <w:r w:rsidR="000362DA">
        <w:rPr>
          <w:rFonts w:cs="Arial"/>
        </w:rPr>
        <w:t xml:space="preserve">we </w:t>
      </w:r>
      <w:r w:rsidR="00E85C0F" w:rsidRPr="001F087B">
        <w:rPr>
          <w:rFonts w:cs="Arial"/>
          <w:lang w:eastAsia="en-GB"/>
        </w:rPr>
        <w:t>remain committed to improving our</w:t>
      </w:r>
      <w:r w:rsidR="00E85C0F" w:rsidRPr="00D85BE1">
        <w:rPr>
          <w:rFonts w:cs="Arial"/>
          <w:lang w:eastAsia="en-GB"/>
        </w:rPr>
        <w:t xml:space="preserve"> diversity at all levels and, as an inclusive employer, to address the issues highlighted through our gender pay analysis.</w:t>
      </w:r>
    </w:p>
    <w:p w14:paraId="11A7AD13" w14:textId="77777777" w:rsidR="003F1F06" w:rsidRPr="005D4CA1" w:rsidRDefault="003F1F06" w:rsidP="005D4CA1">
      <w:pPr>
        <w:rPr>
          <w:rFonts w:cs="Arial"/>
          <w:b/>
          <w:bCs/>
          <w:color w:val="000000" w:themeColor="text1"/>
        </w:rPr>
      </w:pPr>
    </w:p>
    <w:p w14:paraId="4A76F4B1" w14:textId="61500546" w:rsidR="00461814" w:rsidRPr="00F7653C" w:rsidRDefault="005544FF" w:rsidP="004A0788">
      <w:pPr>
        <w:rPr>
          <w:rFonts w:cs="Arial"/>
          <w:color w:val="000000" w:themeColor="text1"/>
        </w:rPr>
      </w:pPr>
      <w:r w:rsidRPr="00F7653C">
        <w:rPr>
          <w:color w:val="000000" w:themeColor="text1"/>
        </w:rPr>
        <w:t xml:space="preserve">First and foremost, we remain committed to tackling this at all levels and </w:t>
      </w:r>
      <w:r w:rsidR="00A75343" w:rsidRPr="00F7653C">
        <w:rPr>
          <w:color w:val="000000" w:themeColor="text1"/>
        </w:rPr>
        <w:t>w</w:t>
      </w:r>
      <w:r w:rsidRPr="00F7653C">
        <w:rPr>
          <w:color w:val="000000" w:themeColor="text1"/>
        </w:rPr>
        <w:t>e’re following best practice in this area through actions that are proven to address the gender pay gap over time</w:t>
      </w:r>
      <w:r w:rsidR="00A75343" w:rsidRPr="00F7653C">
        <w:rPr>
          <w:color w:val="000000" w:themeColor="text1"/>
        </w:rPr>
        <w:t>.</w:t>
      </w:r>
      <w:r w:rsidR="004A0788" w:rsidRPr="00F7653C">
        <w:rPr>
          <w:color w:val="000000" w:themeColor="text1"/>
        </w:rPr>
        <w:t xml:space="preserve"> </w:t>
      </w:r>
      <w:r w:rsidR="000A46A0" w:rsidRPr="00F7653C">
        <w:rPr>
          <w:rFonts w:cs="Arial"/>
          <w:color w:val="000000" w:themeColor="text1"/>
        </w:rPr>
        <w:t xml:space="preserve">Addressing this gender imbalance for </w:t>
      </w:r>
      <w:r w:rsidR="008534E4" w:rsidRPr="00F7653C">
        <w:rPr>
          <w:rFonts w:cs="Arial"/>
          <w:color w:val="000000" w:themeColor="text1"/>
        </w:rPr>
        <w:t xml:space="preserve">regulatory </w:t>
      </w:r>
      <w:r w:rsidR="000A46A0" w:rsidRPr="00F7653C">
        <w:rPr>
          <w:rFonts w:cs="Arial"/>
          <w:color w:val="000000" w:themeColor="text1"/>
        </w:rPr>
        <w:t xml:space="preserve">technical roles is the key to making a substantial change to the gender pay gap. </w:t>
      </w:r>
    </w:p>
    <w:p w14:paraId="250A37AF" w14:textId="77777777" w:rsidR="00461814" w:rsidRPr="00F7653C" w:rsidRDefault="00461814" w:rsidP="004A0788">
      <w:pPr>
        <w:rPr>
          <w:rFonts w:cs="Arial"/>
          <w:color w:val="000000" w:themeColor="text1"/>
        </w:rPr>
      </w:pPr>
    </w:p>
    <w:p w14:paraId="7D5D74B3" w14:textId="2E143C59" w:rsidR="00385B8A" w:rsidRPr="00F7653C" w:rsidRDefault="00EA0442" w:rsidP="00461814">
      <w:pPr>
        <w:rPr>
          <w:rFonts w:cs="Arial"/>
          <w:color w:val="000000" w:themeColor="text1"/>
          <w:lang w:eastAsia="en-GB"/>
        </w:rPr>
      </w:pPr>
      <w:r w:rsidRPr="00F7653C">
        <w:rPr>
          <w:color w:val="000000" w:themeColor="text1"/>
        </w:rPr>
        <w:t xml:space="preserve">We continue to develop all our </w:t>
      </w:r>
      <w:r w:rsidR="00461814" w:rsidRPr="00F7653C">
        <w:rPr>
          <w:color w:val="000000" w:themeColor="text1"/>
        </w:rPr>
        <w:t>staff</w:t>
      </w:r>
      <w:r w:rsidRPr="00F7653C">
        <w:rPr>
          <w:color w:val="000000" w:themeColor="text1"/>
        </w:rPr>
        <w:t xml:space="preserve"> in their role, which over time should positively impact our pay gap as more women progress into higher paid roles alongside men.</w:t>
      </w:r>
      <w:r w:rsidR="00461814" w:rsidRPr="00F7653C">
        <w:rPr>
          <w:color w:val="000000" w:themeColor="text1"/>
        </w:rPr>
        <w:t xml:space="preserve"> </w:t>
      </w:r>
      <w:r w:rsidR="00247409" w:rsidRPr="00F7653C">
        <w:rPr>
          <w:rFonts w:cs="Arial"/>
          <w:color w:val="000000" w:themeColor="text1"/>
        </w:rPr>
        <w:t>The work we are undertaking to support the progression of women is starting to have an impact</w:t>
      </w:r>
      <w:r w:rsidR="00282259" w:rsidRPr="00F7653C">
        <w:rPr>
          <w:rFonts w:cs="Arial"/>
          <w:color w:val="000000" w:themeColor="text1"/>
        </w:rPr>
        <w:t>,</w:t>
      </w:r>
      <w:r w:rsidR="00F80975" w:rsidRPr="00F7653C">
        <w:rPr>
          <w:rFonts w:cs="Arial"/>
          <w:color w:val="000000" w:themeColor="text1"/>
        </w:rPr>
        <w:t xml:space="preserve"> and we</w:t>
      </w:r>
      <w:r w:rsidR="002F0007" w:rsidRPr="00F7653C">
        <w:rPr>
          <w:color w:val="000000" w:themeColor="text1"/>
        </w:rPr>
        <w:t xml:space="preserve"> are pleased to see positive results in terms of female recruitment and career progression within ONR.</w:t>
      </w:r>
      <w:r w:rsidR="00385B8A" w:rsidRPr="00F7653C">
        <w:rPr>
          <w:color w:val="000000" w:themeColor="text1"/>
        </w:rPr>
        <w:t xml:space="preserve"> 42% </w:t>
      </w:r>
      <w:r w:rsidR="005F51EA" w:rsidRPr="00F7653C">
        <w:rPr>
          <w:color w:val="000000" w:themeColor="text1"/>
        </w:rPr>
        <w:t>of women were</w:t>
      </w:r>
      <w:r w:rsidR="00980D05" w:rsidRPr="00F7653C">
        <w:rPr>
          <w:color w:val="000000" w:themeColor="text1"/>
        </w:rPr>
        <w:t xml:space="preserve"> promoted</w:t>
      </w:r>
      <w:r w:rsidR="005F51EA" w:rsidRPr="00F7653C">
        <w:rPr>
          <w:color w:val="000000" w:themeColor="text1"/>
        </w:rPr>
        <w:t xml:space="preserve"> </w:t>
      </w:r>
      <w:r w:rsidR="001F0E87" w:rsidRPr="00F7653C">
        <w:rPr>
          <w:color w:val="000000" w:themeColor="text1"/>
        </w:rPr>
        <w:t>during 2022/23</w:t>
      </w:r>
      <w:r w:rsidR="002E3EEA" w:rsidRPr="00F7653C">
        <w:rPr>
          <w:color w:val="000000" w:themeColor="text1"/>
        </w:rPr>
        <w:t>,</w:t>
      </w:r>
      <w:r w:rsidR="001F0E87" w:rsidRPr="00F7653C">
        <w:rPr>
          <w:color w:val="000000" w:themeColor="text1"/>
        </w:rPr>
        <w:t xml:space="preserve"> </w:t>
      </w:r>
      <w:r w:rsidR="002E3EEA" w:rsidRPr="00F7653C">
        <w:rPr>
          <w:color w:val="000000" w:themeColor="text1"/>
        </w:rPr>
        <w:t>which is f</w:t>
      </w:r>
      <w:r w:rsidR="00385B8A" w:rsidRPr="00F7653C">
        <w:rPr>
          <w:rFonts w:cs="Arial"/>
          <w:color w:val="000000" w:themeColor="text1"/>
          <w:lang w:eastAsia="en-GB"/>
        </w:rPr>
        <w:t>avourable when compared with 3</w:t>
      </w:r>
      <w:r w:rsidR="00860CFC" w:rsidRPr="00F7653C">
        <w:rPr>
          <w:rFonts w:cs="Arial"/>
          <w:color w:val="000000" w:themeColor="text1"/>
          <w:lang w:eastAsia="en-GB"/>
        </w:rPr>
        <w:t>7</w:t>
      </w:r>
      <w:r w:rsidR="00385B8A" w:rsidRPr="00F7653C">
        <w:rPr>
          <w:rFonts w:cs="Arial"/>
          <w:color w:val="000000" w:themeColor="text1"/>
          <w:lang w:eastAsia="en-GB"/>
        </w:rPr>
        <w:t xml:space="preserve">% ONR’s overall female workforce, indicating women are over-represented in promotion with a grade change. </w:t>
      </w:r>
    </w:p>
    <w:p w14:paraId="0552F822" w14:textId="77777777" w:rsidR="00385B8A" w:rsidRPr="00F7653C" w:rsidRDefault="00385B8A" w:rsidP="00385B8A">
      <w:pPr>
        <w:rPr>
          <w:rFonts w:cs="Arial"/>
          <w:color w:val="000000" w:themeColor="text1"/>
        </w:rPr>
      </w:pPr>
    </w:p>
    <w:p w14:paraId="36A9E4CA" w14:textId="214FA08D" w:rsidR="00467420" w:rsidRPr="00F7653C" w:rsidRDefault="00385B8A" w:rsidP="008527F7">
      <w:pPr>
        <w:rPr>
          <w:color w:val="000000" w:themeColor="text1"/>
        </w:rPr>
      </w:pPr>
      <w:r w:rsidRPr="00F7653C">
        <w:rPr>
          <w:rFonts w:cs="Arial"/>
          <w:color w:val="000000" w:themeColor="text1"/>
        </w:rPr>
        <w:t>Looking at this by role type</w:t>
      </w:r>
      <w:r w:rsidR="0082229D" w:rsidRPr="00F7653C">
        <w:rPr>
          <w:rFonts w:cs="Arial"/>
          <w:color w:val="000000" w:themeColor="text1"/>
        </w:rPr>
        <w:t xml:space="preserve">, </w:t>
      </w:r>
      <w:r w:rsidRPr="00F7653C">
        <w:rPr>
          <w:rFonts w:cs="Arial"/>
          <w:color w:val="000000" w:themeColor="text1"/>
        </w:rPr>
        <w:t xml:space="preserve">35% of </w:t>
      </w:r>
      <w:r w:rsidRPr="00F7653C">
        <w:rPr>
          <w:rFonts w:cs="Arial"/>
          <w:color w:val="000000" w:themeColor="text1"/>
          <w:lang w:eastAsia="en-GB"/>
        </w:rPr>
        <w:t>grade changes due to promotion for</w:t>
      </w:r>
      <w:r w:rsidR="0069139E" w:rsidRPr="00F7653C">
        <w:rPr>
          <w:rFonts w:cs="Arial"/>
          <w:color w:val="000000" w:themeColor="text1"/>
          <w:lang w:eastAsia="en-GB"/>
        </w:rPr>
        <w:t xml:space="preserve"> regulatory </w:t>
      </w:r>
      <w:r w:rsidR="00BD04A7" w:rsidRPr="00F7653C">
        <w:rPr>
          <w:rFonts w:cs="Arial"/>
          <w:color w:val="000000" w:themeColor="text1"/>
          <w:lang w:eastAsia="en-GB"/>
        </w:rPr>
        <w:t xml:space="preserve">technical </w:t>
      </w:r>
      <w:r w:rsidRPr="00F7653C">
        <w:rPr>
          <w:rFonts w:cs="Arial"/>
          <w:color w:val="000000" w:themeColor="text1"/>
          <w:lang w:eastAsia="en-GB"/>
        </w:rPr>
        <w:t xml:space="preserve">role types were </w:t>
      </w:r>
      <w:r w:rsidR="00BD04A7" w:rsidRPr="00F7653C">
        <w:rPr>
          <w:rFonts w:cs="Arial"/>
          <w:color w:val="000000" w:themeColor="text1"/>
          <w:lang w:eastAsia="en-GB"/>
        </w:rPr>
        <w:t>women.</w:t>
      </w:r>
      <w:r w:rsidRPr="00F7653C">
        <w:rPr>
          <w:rFonts w:cs="Arial"/>
          <w:color w:val="000000" w:themeColor="text1"/>
          <w:lang w:eastAsia="en-GB"/>
        </w:rPr>
        <w:t xml:space="preserve"> Again, </w:t>
      </w:r>
      <w:r w:rsidR="007E16AD" w:rsidRPr="00F7653C">
        <w:rPr>
          <w:rFonts w:cs="Arial"/>
          <w:color w:val="000000" w:themeColor="text1"/>
          <w:lang w:eastAsia="en-GB"/>
        </w:rPr>
        <w:t xml:space="preserve">this is </w:t>
      </w:r>
      <w:r w:rsidRPr="00F7653C">
        <w:rPr>
          <w:rFonts w:cs="Arial"/>
          <w:color w:val="000000" w:themeColor="text1"/>
          <w:lang w:eastAsia="en-GB"/>
        </w:rPr>
        <w:t xml:space="preserve">favourable when compared with available internal talent pipeline </w:t>
      </w:r>
      <w:r w:rsidR="00EA5539" w:rsidRPr="00F7653C">
        <w:rPr>
          <w:rFonts w:cs="Arial"/>
          <w:color w:val="000000" w:themeColor="text1"/>
          <w:lang w:eastAsia="en-GB"/>
        </w:rPr>
        <w:t>against ONR’s f</w:t>
      </w:r>
      <w:r w:rsidRPr="00F7653C">
        <w:rPr>
          <w:rFonts w:cs="Arial"/>
          <w:color w:val="000000" w:themeColor="text1"/>
          <w:lang w:eastAsia="en-GB"/>
        </w:rPr>
        <w:t xml:space="preserve">emale headcount </w:t>
      </w:r>
      <w:r w:rsidR="005C5A8A" w:rsidRPr="00F7653C">
        <w:rPr>
          <w:rFonts w:cs="Arial"/>
          <w:color w:val="000000" w:themeColor="text1"/>
          <w:lang w:eastAsia="en-GB"/>
        </w:rPr>
        <w:t xml:space="preserve">of </w:t>
      </w:r>
      <w:r w:rsidRPr="00F7653C">
        <w:rPr>
          <w:rFonts w:cs="Arial"/>
          <w:color w:val="000000" w:themeColor="text1"/>
          <w:lang w:eastAsia="en-GB"/>
        </w:rPr>
        <w:t>22%.</w:t>
      </w:r>
    </w:p>
    <w:p w14:paraId="5FEF281A" w14:textId="77777777" w:rsidR="00D26031" w:rsidRPr="008519A2" w:rsidRDefault="00D26031" w:rsidP="00940BE9">
      <w:pPr>
        <w:rPr>
          <w:rFonts w:cs="Arial"/>
          <w:color w:val="000000" w:themeColor="text1"/>
        </w:rPr>
      </w:pPr>
    </w:p>
    <w:p w14:paraId="5FEF281B" w14:textId="7A78D5A4" w:rsidR="00641527" w:rsidRDefault="00944FE1" w:rsidP="00940BE9">
      <w:pPr>
        <w:rPr>
          <w:rFonts w:cs="Arial"/>
          <w:color w:val="000000" w:themeColor="text1"/>
        </w:rPr>
      </w:pPr>
      <w:r>
        <w:rPr>
          <w:rFonts w:cs="Arial"/>
          <w:color w:val="000000" w:themeColor="text1"/>
        </w:rPr>
        <w:lastRenderedPageBreak/>
        <w:t>More w</w:t>
      </w:r>
      <w:r w:rsidR="00940BE9" w:rsidRPr="008519A2">
        <w:rPr>
          <w:rFonts w:cs="Arial"/>
          <w:color w:val="000000" w:themeColor="text1"/>
        </w:rPr>
        <w:t xml:space="preserve">omen are </w:t>
      </w:r>
      <w:r w:rsidR="006C0F56" w:rsidRPr="008519A2">
        <w:rPr>
          <w:rFonts w:cs="Arial"/>
          <w:color w:val="000000" w:themeColor="text1"/>
        </w:rPr>
        <w:t>employed</w:t>
      </w:r>
      <w:r w:rsidR="00940BE9" w:rsidRPr="008519A2">
        <w:rPr>
          <w:rFonts w:cs="Arial"/>
          <w:color w:val="000000" w:themeColor="text1"/>
        </w:rPr>
        <w:t xml:space="preserve"> in ONR’s lower paid bands (Bands 5</w:t>
      </w:r>
      <w:r w:rsidR="00641527" w:rsidRPr="008519A2">
        <w:rPr>
          <w:rFonts w:cs="Arial"/>
          <w:color w:val="000000" w:themeColor="text1"/>
        </w:rPr>
        <w:t xml:space="preserve"> and 6</w:t>
      </w:r>
      <w:r w:rsidR="00940BE9" w:rsidRPr="008519A2">
        <w:rPr>
          <w:rFonts w:cs="Arial"/>
          <w:color w:val="000000" w:themeColor="text1"/>
        </w:rPr>
        <w:t xml:space="preserve">), where there </w:t>
      </w:r>
      <w:r w:rsidR="00690267" w:rsidRPr="008519A2">
        <w:rPr>
          <w:rFonts w:cs="Arial"/>
          <w:color w:val="000000" w:themeColor="text1"/>
        </w:rPr>
        <w:t>is a mix</w:t>
      </w:r>
      <w:r w:rsidR="00940BE9" w:rsidRPr="008519A2">
        <w:rPr>
          <w:rFonts w:cs="Arial"/>
          <w:color w:val="000000" w:themeColor="text1"/>
        </w:rPr>
        <w:t xml:space="preserve"> of corporate and operational support roles</w:t>
      </w:r>
      <w:r w:rsidR="00690267" w:rsidRPr="008519A2">
        <w:rPr>
          <w:rFonts w:cs="Arial"/>
          <w:color w:val="000000" w:themeColor="text1"/>
        </w:rPr>
        <w:t>.</w:t>
      </w:r>
    </w:p>
    <w:p w14:paraId="115AC98A" w14:textId="77777777" w:rsidR="00A017CD" w:rsidRDefault="00A017CD" w:rsidP="00940BE9">
      <w:pPr>
        <w:rPr>
          <w:rFonts w:cs="Arial"/>
          <w:b/>
          <w:color w:val="000000" w:themeColor="text1"/>
        </w:rPr>
      </w:pPr>
    </w:p>
    <w:tbl>
      <w:tblPr>
        <w:tblpPr w:leftFromText="180" w:rightFromText="180" w:vertAnchor="text" w:horzAnchor="margin" w:tblpXSpec="center" w:tblpY="481"/>
        <w:tblW w:w="10997" w:type="dxa"/>
        <w:tblLayout w:type="fixed"/>
        <w:tblLook w:val="04A0" w:firstRow="1" w:lastRow="0" w:firstColumn="1" w:lastColumn="0" w:noHBand="0" w:noVBand="1"/>
      </w:tblPr>
      <w:tblGrid>
        <w:gridCol w:w="2595"/>
        <w:gridCol w:w="1050"/>
        <w:gridCol w:w="1050"/>
        <w:gridCol w:w="1050"/>
        <w:gridCol w:w="1050"/>
        <w:gridCol w:w="1050"/>
        <w:gridCol w:w="1050"/>
        <w:gridCol w:w="1051"/>
        <w:gridCol w:w="1051"/>
      </w:tblGrid>
      <w:tr w:rsidR="009C14CB" w:rsidRPr="008519A2" w14:paraId="073031C9" w14:textId="77777777" w:rsidTr="00F31CA2">
        <w:trPr>
          <w:cantSplit/>
          <w:trHeight w:val="1379"/>
        </w:trPr>
        <w:tc>
          <w:tcPr>
            <w:tcW w:w="2595" w:type="dxa"/>
            <w:tcBorders>
              <w:top w:val="single" w:sz="4" w:space="0" w:color="auto"/>
              <w:left w:val="single" w:sz="4" w:space="0" w:color="auto"/>
              <w:bottom w:val="single" w:sz="4" w:space="0" w:color="auto"/>
              <w:right w:val="single" w:sz="4" w:space="0" w:color="auto"/>
            </w:tcBorders>
            <w:shd w:val="clear" w:color="000000" w:fill="D9E1F2"/>
            <w:hideMark/>
          </w:tcPr>
          <w:p w14:paraId="3F6230B6" w14:textId="77777777" w:rsidR="009C14CB" w:rsidRPr="008519A2" w:rsidRDefault="009C14CB" w:rsidP="00F31CA2">
            <w:pPr>
              <w:rPr>
                <w:rFonts w:cs="Arial"/>
                <w:b/>
                <w:bCs/>
                <w:lang w:eastAsia="en-GB"/>
              </w:rPr>
            </w:pPr>
            <w:r w:rsidRPr="008519A2">
              <w:rPr>
                <w:rFonts w:cs="Arial"/>
                <w:b/>
                <w:bCs/>
                <w:lang w:eastAsia="en-GB"/>
              </w:rPr>
              <w:t>ONR 20</w:t>
            </w:r>
            <w:r>
              <w:rPr>
                <w:rFonts w:cs="Arial"/>
                <w:b/>
                <w:bCs/>
                <w:lang w:eastAsia="en-GB"/>
              </w:rPr>
              <w:t>23</w:t>
            </w:r>
            <w:r w:rsidRPr="008519A2">
              <w:rPr>
                <w:rFonts w:cs="Arial"/>
                <w:b/>
                <w:bCs/>
                <w:lang w:eastAsia="en-GB"/>
              </w:rPr>
              <w:t xml:space="preserve"> </w:t>
            </w:r>
            <w:r>
              <w:rPr>
                <w:rFonts w:cs="Arial"/>
                <w:b/>
                <w:bCs/>
                <w:lang w:eastAsia="en-GB"/>
              </w:rPr>
              <w:t>m</w:t>
            </w:r>
            <w:r w:rsidRPr="008519A2">
              <w:rPr>
                <w:rFonts w:cs="Arial"/>
                <w:b/>
                <w:bCs/>
                <w:lang w:eastAsia="en-GB"/>
              </w:rPr>
              <w:t>edian hourly rate</w:t>
            </w:r>
          </w:p>
        </w:tc>
        <w:tc>
          <w:tcPr>
            <w:tcW w:w="1050" w:type="dxa"/>
            <w:tcBorders>
              <w:top w:val="single" w:sz="4" w:space="0" w:color="auto"/>
              <w:left w:val="nil"/>
              <w:bottom w:val="single" w:sz="4" w:space="0" w:color="auto"/>
              <w:right w:val="single" w:sz="4" w:space="0" w:color="auto"/>
            </w:tcBorders>
            <w:shd w:val="clear" w:color="000000" w:fill="D9E1F2"/>
            <w:textDirection w:val="tbRl"/>
            <w:vAlign w:val="bottom"/>
          </w:tcPr>
          <w:p w14:paraId="34F38133" w14:textId="77777777" w:rsidR="009C14CB" w:rsidRPr="00760A78" w:rsidRDefault="009C14CB" w:rsidP="00F31CA2">
            <w:pPr>
              <w:ind w:left="113" w:right="113"/>
              <w:jc w:val="center"/>
              <w:rPr>
                <w:rFonts w:cs="Arial"/>
                <w:b/>
                <w:bCs/>
                <w:sz w:val="22"/>
                <w:szCs w:val="22"/>
                <w:lang w:eastAsia="en-GB"/>
              </w:rPr>
            </w:pPr>
            <w:r w:rsidRPr="00760A78">
              <w:rPr>
                <w:rFonts w:cs="Arial"/>
                <w:b/>
                <w:bCs/>
                <w:sz w:val="22"/>
                <w:szCs w:val="22"/>
                <w:lang w:eastAsia="en-GB"/>
              </w:rPr>
              <w:t xml:space="preserve">Band </w:t>
            </w:r>
            <w:r>
              <w:rPr>
                <w:rFonts w:cs="Arial"/>
                <w:b/>
                <w:bCs/>
                <w:sz w:val="22"/>
                <w:szCs w:val="22"/>
                <w:lang w:eastAsia="en-GB"/>
              </w:rPr>
              <w:t>1</w:t>
            </w:r>
          </w:p>
        </w:tc>
        <w:tc>
          <w:tcPr>
            <w:tcW w:w="1050" w:type="dxa"/>
            <w:tcBorders>
              <w:top w:val="single" w:sz="4" w:space="0" w:color="auto"/>
              <w:left w:val="single" w:sz="4" w:space="0" w:color="auto"/>
              <w:bottom w:val="single" w:sz="4" w:space="0" w:color="auto"/>
              <w:right w:val="single" w:sz="4" w:space="0" w:color="auto"/>
            </w:tcBorders>
            <w:shd w:val="clear" w:color="000000" w:fill="D9E1F2"/>
            <w:textDirection w:val="tbRl"/>
            <w:vAlign w:val="bottom"/>
          </w:tcPr>
          <w:p w14:paraId="7CB04C27" w14:textId="77777777" w:rsidR="009C14CB" w:rsidRPr="00760A78" w:rsidRDefault="009C14CB" w:rsidP="00F31CA2">
            <w:pPr>
              <w:ind w:left="113" w:right="113"/>
              <w:jc w:val="center"/>
              <w:rPr>
                <w:rFonts w:cs="Arial"/>
                <w:b/>
                <w:bCs/>
                <w:sz w:val="22"/>
                <w:szCs w:val="22"/>
                <w:lang w:eastAsia="en-GB"/>
              </w:rPr>
            </w:pPr>
            <w:r w:rsidRPr="00760A78">
              <w:rPr>
                <w:rFonts w:cs="Arial"/>
                <w:b/>
                <w:bCs/>
                <w:sz w:val="22"/>
                <w:szCs w:val="22"/>
                <w:lang w:eastAsia="en-GB"/>
              </w:rPr>
              <w:t xml:space="preserve">Band </w:t>
            </w:r>
            <w:r>
              <w:rPr>
                <w:rFonts w:cs="Arial"/>
                <w:b/>
                <w:bCs/>
                <w:sz w:val="22"/>
                <w:szCs w:val="22"/>
                <w:lang w:eastAsia="en-GB"/>
              </w:rPr>
              <w:t>2</w:t>
            </w:r>
          </w:p>
        </w:tc>
        <w:tc>
          <w:tcPr>
            <w:tcW w:w="1050" w:type="dxa"/>
            <w:tcBorders>
              <w:top w:val="single" w:sz="4" w:space="0" w:color="auto"/>
              <w:left w:val="single" w:sz="4" w:space="0" w:color="auto"/>
              <w:bottom w:val="single" w:sz="4" w:space="0" w:color="auto"/>
              <w:right w:val="single" w:sz="4" w:space="0" w:color="auto"/>
            </w:tcBorders>
            <w:shd w:val="clear" w:color="000000" w:fill="D9E1F2"/>
            <w:textDirection w:val="tbRl"/>
            <w:vAlign w:val="bottom"/>
          </w:tcPr>
          <w:p w14:paraId="12667114" w14:textId="77777777" w:rsidR="009C14CB" w:rsidRPr="00760A78" w:rsidRDefault="009C14CB" w:rsidP="00F31CA2">
            <w:pPr>
              <w:ind w:left="113" w:right="113"/>
              <w:jc w:val="center"/>
              <w:rPr>
                <w:rFonts w:cs="Arial"/>
                <w:b/>
                <w:bCs/>
                <w:sz w:val="22"/>
                <w:szCs w:val="22"/>
                <w:lang w:eastAsia="en-GB"/>
              </w:rPr>
            </w:pPr>
            <w:r w:rsidRPr="00760A78">
              <w:rPr>
                <w:rFonts w:cs="Arial"/>
                <w:b/>
                <w:bCs/>
                <w:sz w:val="22"/>
                <w:szCs w:val="22"/>
                <w:lang w:eastAsia="en-GB"/>
              </w:rPr>
              <w:t xml:space="preserve">Band </w:t>
            </w:r>
            <w:r>
              <w:rPr>
                <w:rFonts w:cs="Arial"/>
                <w:b/>
                <w:bCs/>
                <w:sz w:val="22"/>
                <w:szCs w:val="22"/>
                <w:lang w:eastAsia="en-GB"/>
              </w:rPr>
              <w:t>3</w:t>
            </w:r>
          </w:p>
        </w:tc>
        <w:tc>
          <w:tcPr>
            <w:tcW w:w="1050" w:type="dxa"/>
            <w:tcBorders>
              <w:top w:val="single" w:sz="4" w:space="0" w:color="auto"/>
              <w:left w:val="single" w:sz="4" w:space="0" w:color="auto"/>
              <w:bottom w:val="single" w:sz="4" w:space="0" w:color="auto"/>
              <w:right w:val="single" w:sz="4" w:space="0" w:color="auto"/>
            </w:tcBorders>
            <w:shd w:val="clear" w:color="000000" w:fill="D9E1F2"/>
            <w:textDirection w:val="tbRl"/>
            <w:vAlign w:val="bottom"/>
          </w:tcPr>
          <w:p w14:paraId="7F0CB7F2" w14:textId="77777777" w:rsidR="009C14CB" w:rsidRPr="00760A78" w:rsidRDefault="009C14CB" w:rsidP="00F31CA2">
            <w:pPr>
              <w:ind w:left="113" w:right="113"/>
              <w:jc w:val="center"/>
              <w:rPr>
                <w:rFonts w:cs="Arial"/>
                <w:b/>
                <w:bCs/>
                <w:sz w:val="22"/>
                <w:szCs w:val="22"/>
                <w:lang w:eastAsia="en-GB"/>
              </w:rPr>
            </w:pPr>
            <w:r w:rsidRPr="00760A78">
              <w:rPr>
                <w:rFonts w:cs="Arial"/>
                <w:b/>
                <w:bCs/>
                <w:sz w:val="22"/>
                <w:szCs w:val="22"/>
                <w:lang w:eastAsia="en-GB"/>
              </w:rPr>
              <w:t xml:space="preserve">Band </w:t>
            </w:r>
            <w:r>
              <w:rPr>
                <w:rFonts w:cs="Arial"/>
                <w:b/>
                <w:bCs/>
                <w:sz w:val="22"/>
                <w:szCs w:val="22"/>
                <w:lang w:eastAsia="en-GB"/>
              </w:rPr>
              <w:t>4</w:t>
            </w:r>
          </w:p>
        </w:tc>
        <w:tc>
          <w:tcPr>
            <w:tcW w:w="1050" w:type="dxa"/>
            <w:tcBorders>
              <w:top w:val="single" w:sz="4" w:space="0" w:color="auto"/>
              <w:left w:val="single" w:sz="4" w:space="0" w:color="auto"/>
              <w:bottom w:val="single" w:sz="4" w:space="0" w:color="auto"/>
              <w:right w:val="single" w:sz="4" w:space="0" w:color="auto"/>
            </w:tcBorders>
            <w:shd w:val="clear" w:color="000000" w:fill="D9E1F2"/>
            <w:textDirection w:val="tbRl"/>
            <w:vAlign w:val="bottom"/>
          </w:tcPr>
          <w:p w14:paraId="25F9BB26" w14:textId="77777777" w:rsidR="009C14CB" w:rsidRPr="00760A78" w:rsidRDefault="009C14CB" w:rsidP="00F31CA2">
            <w:pPr>
              <w:ind w:left="113" w:right="113"/>
              <w:jc w:val="center"/>
              <w:rPr>
                <w:rFonts w:cs="Arial"/>
                <w:b/>
                <w:bCs/>
                <w:sz w:val="22"/>
                <w:szCs w:val="22"/>
                <w:lang w:eastAsia="en-GB"/>
              </w:rPr>
            </w:pPr>
            <w:r w:rsidRPr="00760A78">
              <w:rPr>
                <w:rFonts w:cs="Arial"/>
                <w:b/>
                <w:bCs/>
                <w:sz w:val="22"/>
                <w:szCs w:val="22"/>
                <w:lang w:eastAsia="en-GB"/>
              </w:rPr>
              <w:t>Ban</w:t>
            </w:r>
            <w:r>
              <w:rPr>
                <w:rFonts w:cs="Arial"/>
                <w:b/>
                <w:bCs/>
                <w:sz w:val="22"/>
                <w:szCs w:val="22"/>
                <w:lang w:eastAsia="en-GB"/>
              </w:rPr>
              <w:t>d 5</w:t>
            </w:r>
          </w:p>
        </w:tc>
        <w:tc>
          <w:tcPr>
            <w:tcW w:w="1050" w:type="dxa"/>
            <w:tcBorders>
              <w:top w:val="single" w:sz="4" w:space="0" w:color="auto"/>
              <w:left w:val="single" w:sz="4" w:space="0" w:color="auto"/>
              <w:bottom w:val="single" w:sz="4" w:space="0" w:color="auto"/>
              <w:right w:val="single" w:sz="4" w:space="0" w:color="auto"/>
            </w:tcBorders>
            <w:shd w:val="clear" w:color="000000" w:fill="D9E1F2"/>
            <w:noWrap/>
            <w:textDirection w:val="tbRl"/>
            <w:vAlign w:val="bottom"/>
            <w:hideMark/>
          </w:tcPr>
          <w:p w14:paraId="788D5A92" w14:textId="77777777" w:rsidR="009C14CB" w:rsidRPr="00760A78" w:rsidRDefault="009C14CB" w:rsidP="00F31CA2">
            <w:pPr>
              <w:ind w:left="113" w:right="113"/>
              <w:jc w:val="center"/>
              <w:rPr>
                <w:rFonts w:cs="Arial"/>
                <w:b/>
                <w:bCs/>
                <w:sz w:val="22"/>
                <w:szCs w:val="22"/>
                <w:lang w:eastAsia="en-GB"/>
              </w:rPr>
            </w:pPr>
            <w:r w:rsidRPr="00760A78">
              <w:rPr>
                <w:rFonts w:cs="Arial"/>
                <w:b/>
                <w:bCs/>
                <w:sz w:val="22"/>
                <w:szCs w:val="22"/>
                <w:lang w:eastAsia="en-GB"/>
              </w:rPr>
              <w:t xml:space="preserve">Band </w:t>
            </w:r>
            <w:r>
              <w:rPr>
                <w:rFonts w:cs="Arial"/>
                <w:b/>
                <w:bCs/>
                <w:sz w:val="22"/>
                <w:szCs w:val="22"/>
                <w:lang w:eastAsia="en-GB"/>
              </w:rPr>
              <w:t>6</w:t>
            </w:r>
          </w:p>
        </w:tc>
        <w:tc>
          <w:tcPr>
            <w:tcW w:w="1051" w:type="dxa"/>
            <w:tcBorders>
              <w:top w:val="single" w:sz="4" w:space="0" w:color="auto"/>
              <w:left w:val="single" w:sz="4" w:space="0" w:color="auto"/>
              <w:bottom w:val="single" w:sz="4" w:space="0" w:color="auto"/>
              <w:right w:val="single" w:sz="4" w:space="0" w:color="auto"/>
            </w:tcBorders>
            <w:shd w:val="clear" w:color="000000" w:fill="D9E1F2"/>
            <w:noWrap/>
            <w:textDirection w:val="tbRl"/>
            <w:vAlign w:val="bottom"/>
            <w:hideMark/>
          </w:tcPr>
          <w:p w14:paraId="61D894F7" w14:textId="77777777" w:rsidR="009C14CB" w:rsidRPr="00760A78" w:rsidRDefault="009C14CB" w:rsidP="00F31CA2">
            <w:pPr>
              <w:ind w:left="113" w:right="113"/>
              <w:jc w:val="center"/>
              <w:rPr>
                <w:rFonts w:cs="Arial"/>
                <w:b/>
                <w:bCs/>
                <w:sz w:val="22"/>
                <w:szCs w:val="22"/>
                <w:lang w:eastAsia="en-GB"/>
              </w:rPr>
            </w:pPr>
            <w:r w:rsidRPr="00760A78">
              <w:rPr>
                <w:rFonts w:cs="Arial"/>
                <w:b/>
                <w:bCs/>
                <w:sz w:val="22"/>
                <w:szCs w:val="22"/>
                <w:lang w:eastAsia="en-GB"/>
              </w:rPr>
              <w:t>SCS 1</w:t>
            </w:r>
          </w:p>
        </w:tc>
        <w:tc>
          <w:tcPr>
            <w:tcW w:w="1051" w:type="dxa"/>
            <w:tcBorders>
              <w:top w:val="single" w:sz="4" w:space="0" w:color="auto"/>
              <w:left w:val="single" w:sz="4" w:space="0" w:color="auto"/>
              <w:bottom w:val="single" w:sz="4" w:space="0" w:color="auto"/>
              <w:right w:val="single" w:sz="4" w:space="0" w:color="auto"/>
            </w:tcBorders>
            <w:shd w:val="clear" w:color="000000" w:fill="D9E1F2"/>
            <w:noWrap/>
            <w:textDirection w:val="tbRl"/>
            <w:vAlign w:val="bottom"/>
            <w:hideMark/>
          </w:tcPr>
          <w:p w14:paraId="4CD7A05F" w14:textId="77777777" w:rsidR="009C14CB" w:rsidRPr="008519A2" w:rsidRDefault="009C14CB" w:rsidP="00F31CA2">
            <w:pPr>
              <w:ind w:left="113" w:right="113"/>
              <w:jc w:val="center"/>
              <w:rPr>
                <w:rFonts w:cs="Arial"/>
                <w:b/>
                <w:bCs/>
                <w:lang w:eastAsia="en-GB"/>
              </w:rPr>
            </w:pPr>
            <w:r w:rsidRPr="008519A2">
              <w:rPr>
                <w:rFonts w:cs="Arial"/>
                <w:b/>
                <w:bCs/>
                <w:lang w:eastAsia="en-GB"/>
              </w:rPr>
              <w:t>ONR</w:t>
            </w:r>
          </w:p>
        </w:tc>
      </w:tr>
      <w:tr w:rsidR="009C14CB" w:rsidRPr="00301FFF" w14:paraId="5734CE60" w14:textId="77777777" w:rsidTr="00F31CA2">
        <w:trPr>
          <w:trHeight w:val="391"/>
        </w:trPr>
        <w:tc>
          <w:tcPr>
            <w:tcW w:w="2595" w:type="dxa"/>
            <w:tcBorders>
              <w:top w:val="nil"/>
              <w:left w:val="single" w:sz="4" w:space="0" w:color="auto"/>
              <w:bottom w:val="single" w:sz="4" w:space="0" w:color="auto"/>
              <w:right w:val="single" w:sz="4" w:space="0" w:color="auto"/>
            </w:tcBorders>
            <w:shd w:val="clear" w:color="auto" w:fill="auto"/>
            <w:noWrap/>
            <w:vAlign w:val="bottom"/>
            <w:hideMark/>
          </w:tcPr>
          <w:p w14:paraId="5EF29441" w14:textId="77777777" w:rsidR="009C14CB" w:rsidRPr="008519A2" w:rsidRDefault="009C14CB" w:rsidP="00F31CA2">
            <w:pPr>
              <w:rPr>
                <w:rFonts w:cs="Arial"/>
                <w:lang w:eastAsia="en-GB"/>
              </w:rPr>
            </w:pPr>
            <w:r w:rsidRPr="008519A2">
              <w:rPr>
                <w:rFonts w:cs="Arial"/>
                <w:lang w:eastAsia="en-GB"/>
              </w:rPr>
              <w:t xml:space="preserve">Median hourly rate of </w:t>
            </w:r>
            <w:r>
              <w:rPr>
                <w:rFonts w:cs="Arial"/>
                <w:lang w:eastAsia="en-GB"/>
              </w:rPr>
              <w:t>men (A)</w:t>
            </w:r>
          </w:p>
        </w:tc>
        <w:tc>
          <w:tcPr>
            <w:tcW w:w="1050" w:type="dxa"/>
            <w:tcBorders>
              <w:top w:val="single" w:sz="4" w:space="0" w:color="auto"/>
              <w:left w:val="nil"/>
              <w:bottom w:val="single" w:sz="4" w:space="0" w:color="auto"/>
              <w:right w:val="single" w:sz="4" w:space="0" w:color="auto"/>
            </w:tcBorders>
          </w:tcPr>
          <w:p w14:paraId="1B2E7036" w14:textId="77777777" w:rsidR="009C14CB" w:rsidRPr="00301FFF" w:rsidRDefault="009C14CB" w:rsidP="00F31CA2">
            <w:r w:rsidRPr="00981B5B">
              <w:t>£58.19</w:t>
            </w:r>
          </w:p>
        </w:tc>
        <w:tc>
          <w:tcPr>
            <w:tcW w:w="1050" w:type="dxa"/>
            <w:tcBorders>
              <w:top w:val="single" w:sz="4" w:space="0" w:color="auto"/>
              <w:left w:val="single" w:sz="4" w:space="0" w:color="auto"/>
              <w:bottom w:val="single" w:sz="4" w:space="0" w:color="auto"/>
              <w:right w:val="single" w:sz="4" w:space="0" w:color="auto"/>
            </w:tcBorders>
          </w:tcPr>
          <w:p w14:paraId="5F937EFD" w14:textId="77777777" w:rsidR="009C14CB" w:rsidRPr="00301FFF" w:rsidRDefault="009C14CB" w:rsidP="00F31CA2">
            <w:r w:rsidRPr="00981B5B">
              <w:t>£53.79</w:t>
            </w:r>
          </w:p>
        </w:tc>
        <w:tc>
          <w:tcPr>
            <w:tcW w:w="1050" w:type="dxa"/>
            <w:tcBorders>
              <w:top w:val="single" w:sz="4" w:space="0" w:color="auto"/>
              <w:left w:val="single" w:sz="4" w:space="0" w:color="auto"/>
              <w:bottom w:val="single" w:sz="4" w:space="0" w:color="auto"/>
              <w:right w:val="single" w:sz="4" w:space="0" w:color="auto"/>
            </w:tcBorders>
          </w:tcPr>
          <w:p w14:paraId="387B92AB" w14:textId="77777777" w:rsidR="009C14CB" w:rsidRPr="00301FFF" w:rsidRDefault="009C14CB" w:rsidP="00F31CA2">
            <w:r w:rsidRPr="00981B5B">
              <w:t>£42.16</w:t>
            </w:r>
          </w:p>
        </w:tc>
        <w:tc>
          <w:tcPr>
            <w:tcW w:w="1050" w:type="dxa"/>
            <w:tcBorders>
              <w:top w:val="single" w:sz="4" w:space="0" w:color="auto"/>
              <w:left w:val="single" w:sz="4" w:space="0" w:color="auto"/>
              <w:bottom w:val="single" w:sz="4" w:space="0" w:color="auto"/>
              <w:right w:val="single" w:sz="4" w:space="0" w:color="auto"/>
            </w:tcBorders>
          </w:tcPr>
          <w:p w14:paraId="77B66D07" w14:textId="77777777" w:rsidR="009C14CB" w:rsidRPr="00301FFF" w:rsidRDefault="009C14CB" w:rsidP="00F31CA2">
            <w:r w:rsidRPr="00981B5B">
              <w:t>£23.55</w:t>
            </w:r>
          </w:p>
        </w:tc>
        <w:tc>
          <w:tcPr>
            <w:tcW w:w="1050" w:type="dxa"/>
            <w:tcBorders>
              <w:top w:val="single" w:sz="4" w:space="0" w:color="auto"/>
              <w:left w:val="single" w:sz="4" w:space="0" w:color="auto"/>
              <w:bottom w:val="single" w:sz="4" w:space="0" w:color="auto"/>
              <w:right w:val="single" w:sz="4" w:space="0" w:color="auto"/>
            </w:tcBorders>
          </w:tcPr>
          <w:p w14:paraId="2C81AD9D" w14:textId="77777777" w:rsidR="009C14CB" w:rsidRPr="00301FFF" w:rsidRDefault="009C14CB" w:rsidP="00F31CA2">
            <w:r w:rsidRPr="00981B5B">
              <w:t>£18.74</w:t>
            </w:r>
          </w:p>
        </w:tc>
        <w:tc>
          <w:tcPr>
            <w:tcW w:w="1050" w:type="dxa"/>
            <w:tcBorders>
              <w:top w:val="single" w:sz="4" w:space="0" w:color="auto"/>
              <w:left w:val="single" w:sz="4" w:space="0" w:color="auto"/>
              <w:bottom w:val="single" w:sz="4" w:space="0" w:color="auto"/>
              <w:right w:val="single" w:sz="4" w:space="0" w:color="auto"/>
            </w:tcBorders>
            <w:shd w:val="clear" w:color="auto" w:fill="auto"/>
            <w:noWrap/>
          </w:tcPr>
          <w:p w14:paraId="05EE347C" w14:textId="77777777" w:rsidR="009C14CB" w:rsidRPr="00301FFF" w:rsidRDefault="009C14CB" w:rsidP="00F31CA2">
            <w:pPr>
              <w:rPr>
                <w:rFonts w:cs="Arial"/>
                <w:color w:val="000000"/>
                <w:lang w:eastAsia="en-GB"/>
              </w:rPr>
            </w:pPr>
            <w:r w:rsidRPr="00981B5B">
              <w:t>£14.45</w:t>
            </w:r>
          </w:p>
        </w:tc>
        <w:tc>
          <w:tcPr>
            <w:tcW w:w="1051" w:type="dxa"/>
            <w:tcBorders>
              <w:top w:val="single" w:sz="4" w:space="0" w:color="auto"/>
              <w:left w:val="single" w:sz="4" w:space="0" w:color="auto"/>
              <w:bottom w:val="single" w:sz="4" w:space="0" w:color="auto"/>
              <w:right w:val="single" w:sz="4" w:space="0" w:color="auto"/>
            </w:tcBorders>
            <w:shd w:val="clear" w:color="000000" w:fill="FFFFFF"/>
            <w:noWrap/>
          </w:tcPr>
          <w:p w14:paraId="1E60215C" w14:textId="77777777" w:rsidR="009C14CB" w:rsidRPr="00301FFF" w:rsidRDefault="009C14CB" w:rsidP="00F31CA2">
            <w:pPr>
              <w:rPr>
                <w:rFonts w:cs="Arial"/>
                <w:lang w:eastAsia="en-GB"/>
              </w:rPr>
            </w:pPr>
            <w:r w:rsidRPr="00981B5B">
              <w:t>£59.75</w:t>
            </w:r>
          </w:p>
        </w:tc>
        <w:tc>
          <w:tcPr>
            <w:tcW w:w="1051" w:type="dxa"/>
            <w:tcBorders>
              <w:top w:val="single" w:sz="4" w:space="0" w:color="auto"/>
              <w:left w:val="single" w:sz="4" w:space="0" w:color="auto"/>
              <w:bottom w:val="single" w:sz="4" w:space="0" w:color="auto"/>
              <w:right w:val="single" w:sz="4" w:space="0" w:color="auto"/>
            </w:tcBorders>
            <w:shd w:val="clear" w:color="auto" w:fill="auto"/>
            <w:noWrap/>
          </w:tcPr>
          <w:p w14:paraId="68EC959E" w14:textId="77777777" w:rsidR="009C14CB" w:rsidRPr="00301FFF" w:rsidRDefault="009C14CB" w:rsidP="00F31CA2">
            <w:pPr>
              <w:rPr>
                <w:rFonts w:cs="Arial"/>
                <w:lang w:eastAsia="en-GB"/>
              </w:rPr>
            </w:pPr>
            <w:r w:rsidRPr="00574EA0">
              <w:t>£46.70</w:t>
            </w:r>
          </w:p>
        </w:tc>
      </w:tr>
      <w:tr w:rsidR="009C14CB" w:rsidRPr="00301FFF" w14:paraId="0D3E2AFC" w14:textId="77777777" w:rsidTr="00F31CA2">
        <w:trPr>
          <w:trHeight w:val="391"/>
        </w:trPr>
        <w:tc>
          <w:tcPr>
            <w:tcW w:w="2595" w:type="dxa"/>
            <w:tcBorders>
              <w:top w:val="nil"/>
              <w:left w:val="single" w:sz="4" w:space="0" w:color="auto"/>
              <w:bottom w:val="single" w:sz="4" w:space="0" w:color="auto"/>
              <w:right w:val="single" w:sz="4" w:space="0" w:color="auto"/>
            </w:tcBorders>
            <w:shd w:val="clear" w:color="auto" w:fill="auto"/>
            <w:noWrap/>
            <w:vAlign w:val="bottom"/>
            <w:hideMark/>
          </w:tcPr>
          <w:p w14:paraId="1FDE1C02" w14:textId="77777777" w:rsidR="009C14CB" w:rsidRPr="008519A2" w:rsidRDefault="009C14CB" w:rsidP="00F31CA2">
            <w:pPr>
              <w:rPr>
                <w:rFonts w:cs="Arial"/>
                <w:lang w:eastAsia="en-GB"/>
              </w:rPr>
            </w:pPr>
            <w:r>
              <w:rPr>
                <w:rFonts w:cs="Arial"/>
                <w:lang w:eastAsia="en-GB"/>
              </w:rPr>
              <w:t>M</w:t>
            </w:r>
            <w:r w:rsidRPr="008519A2">
              <w:rPr>
                <w:rFonts w:cs="Arial"/>
                <w:lang w:eastAsia="en-GB"/>
              </w:rPr>
              <w:t xml:space="preserve">edian hourly rate of </w:t>
            </w:r>
            <w:r>
              <w:rPr>
                <w:rFonts w:cs="Arial"/>
                <w:lang w:eastAsia="en-GB"/>
              </w:rPr>
              <w:t>women (B)</w:t>
            </w:r>
          </w:p>
        </w:tc>
        <w:tc>
          <w:tcPr>
            <w:tcW w:w="1050" w:type="dxa"/>
            <w:tcBorders>
              <w:top w:val="single" w:sz="4" w:space="0" w:color="auto"/>
              <w:left w:val="nil"/>
              <w:bottom w:val="single" w:sz="4" w:space="0" w:color="auto"/>
              <w:right w:val="single" w:sz="4" w:space="0" w:color="auto"/>
            </w:tcBorders>
          </w:tcPr>
          <w:p w14:paraId="26E5381E" w14:textId="77777777" w:rsidR="009C14CB" w:rsidRPr="00301FFF" w:rsidRDefault="009C14CB" w:rsidP="00F31CA2">
            <w:r w:rsidRPr="00981B5B">
              <w:t>£47.92</w:t>
            </w:r>
          </w:p>
        </w:tc>
        <w:tc>
          <w:tcPr>
            <w:tcW w:w="1050" w:type="dxa"/>
            <w:tcBorders>
              <w:top w:val="single" w:sz="4" w:space="0" w:color="auto"/>
              <w:left w:val="single" w:sz="4" w:space="0" w:color="auto"/>
              <w:bottom w:val="single" w:sz="4" w:space="0" w:color="auto"/>
              <w:right w:val="single" w:sz="4" w:space="0" w:color="auto"/>
            </w:tcBorders>
            <w:shd w:val="clear" w:color="000000" w:fill="FFFFFF"/>
          </w:tcPr>
          <w:p w14:paraId="42A6A400" w14:textId="77777777" w:rsidR="009C14CB" w:rsidRPr="00301FFF" w:rsidRDefault="009C14CB" w:rsidP="00F31CA2">
            <w:r w:rsidRPr="00981B5B">
              <w:t>£43.86</w:t>
            </w:r>
          </w:p>
        </w:tc>
        <w:tc>
          <w:tcPr>
            <w:tcW w:w="1050" w:type="dxa"/>
            <w:tcBorders>
              <w:top w:val="single" w:sz="4" w:space="0" w:color="auto"/>
              <w:left w:val="single" w:sz="4" w:space="0" w:color="auto"/>
              <w:bottom w:val="single" w:sz="4" w:space="0" w:color="auto"/>
              <w:right w:val="single" w:sz="4" w:space="0" w:color="auto"/>
            </w:tcBorders>
            <w:shd w:val="clear" w:color="000000" w:fill="FFFFFF"/>
          </w:tcPr>
          <w:p w14:paraId="0DEE6A52" w14:textId="77777777" w:rsidR="009C14CB" w:rsidRPr="00301FFF" w:rsidRDefault="009C14CB" w:rsidP="00F31CA2">
            <w:r w:rsidRPr="00981B5B">
              <w:t>£33.70</w:t>
            </w:r>
          </w:p>
        </w:tc>
        <w:tc>
          <w:tcPr>
            <w:tcW w:w="1050" w:type="dxa"/>
            <w:tcBorders>
              <w:top w:val="single" w:sz="4" w:space="0" w:color="auto"/>
              <w:left w:val="single" w:sz="4" w:space="0" w:color="auto"/>
              <w:bottom w:val="single" w:sz="4" w:space="0" w:color="auto"/>
              <w:right w:val="single" w:sz="4" w:space="0" w:color="auto"/>
            </w:tcBorders>
            <w:shd w:val="clear" w:color="000000" w:fill="FFFFFF"/>
          </w:tcPr>
          <w:p w14:paraId="0E7188DC" w14:textId="77777777" w:rsidR="009C14CB" w:rsidRPr="00301FFF" w:rsidRDefault="009C14CB" w:rsidP="00F31CA2">
            <w:r w:rsidRPr="00981B5B">
              <w:t>£22.33</w:t>
            </w:r>
          </w:p>
        </w:tc>
        <w:tc>
          <w:tcPr>
            <w:tcW w:w="1050" w:type="dxa"/>
            <w:tcBorders>
              <w:top w:val="single" w:sz="4" w:space="0" w:color="auto"/>
              <w:left w:val="single" w:sz="4" w:space="0" w:color="auto"/>
              <w:bottom w:val="single" w:sz="4" w:space="0" w:color="auto"/>
              <w:right w:val="single" w:sz="4" w:space="0" w:color="auto"/>
            </w:tcBorders>
            <w:shd w:val="clear" w:color="000000" w:fill="FFFFFF"/>
          </w:tcPr>
          <w:p w14:paraId="349C14D3" w14:textId="77777777" w:rsidR="009C14CB" w:rsidRPr="00301FFF" w:rsidRDefault="009C14CB" w:rsidP="00F31CA2">
            <w:r w:rsidRPr="00981B5B">
              <w:t>£19.33</w:t>
            </w:r>
          </w:p>
        </w:tc>
        <w:tc>
          <w:tcPr>
            <w:tcW w:w="1050" w:type="dxa"/>
            <w:tcBorders>
              <w:top w:val="single" w:sz="4" w:space="0" w:color="auto"/>
              <w:left w:val="single" w:sz="4" w:space="0" w:color="auto"/>
              <w:bottom w:val="single" w:sz="4" w:space="0" w:color="auto"/>
              <w:right w:val="single" w:sz="4" w:space="0" w:color="auto"/>
            </w:tcBorders>
            <w:shd w:val="clear" w:color="000000" w:fill="FFFFFF"/>
            <w:noWrap/>
          </w:tcPr>
          <w:p w14:paraId="62D79F44" w14:textId="77777777" w:rsidR="009C14CB" w:rsidRPr="00301FFF" w:rsidRDefault="009C14CB" w:rsidP="00F31CA2">
            <w:pPr>
              <w:rPr>
                <w:rFonts w:cs="Arial"/>
                <w:color w:val="000000"/>
                <w:lang w:eastAsia="en-GB"/>
              </w:rPr>
            </w:pPr>
            <w:r w:rsidRPr="00981B5B">
              <w:t>£14.98</w:t>
            </w:r>
          </w:p>
        </w:tc>
        <w:tc>
          <w:tcPr>
            <w:tcW w:w="1051" w:type="dxa"/>
            <w:tcBorders>
              <w:top w:val="single" w:sz="4" w:space="0" w:color="auto"/>
              <w:left w:val="single" w:sz="4" w:space="0" w:color="auto"/>
              <w:bottom w:val="single" w:sz="4" w:space="0" w:color="auto"/>
              <w:right w:val="single" w:sz="4" w:space="0" w:color="auto"/>
            </w:tcBorders>
            <w:shd w:val="clear" w:color="000000" w:fill="FFFFFF"/>
            <w:noWrap/>
          </w:tcPr>
          <w:p w14:paraId="0505F1E3" w14:textId="77777777" w:rsidR="009C14CB" w:rsidRPr="00301FFF" w:rsidRDefault="009C14CB" w:rsidP="00F31CA2">
            <w:pPr>
              <w:rPr>
                <w:rFonts w:cs="Arial"/>
                <w:lang w:eastAsia="en-GB"/>
              </w:rPr>
            </w:pPr>
            <w:r w:rsidRPr="00981B5B">
              <w:t>£59.75</w:t>
            </w:r>
          </w:p>
        </w:tc>
        <w:tc>
          <w:tcPr>
            <w:tcW w:w="1051" w:type="dxa"/>
            <w:tcBorders>
              <w:top w:val="single" w:sz="4" w:space="0" w:color="auto"/>
              <w:left w:val="single" w:sz="4" w:space="0" w:color="auto"/>
              <w:bottom w:val="single" w:sz="4" w:space="0" w:color="auto"/>
              <w:right w:val="single" w:sz="4" w:space="0" w:color="auto"/>
            </w:tcBorders>
            <w:shd w:val="clear" w:color="auto" w:fill="auto"/>
            <w:noWrap/>
          </w:tcPr>
          <w:p w14:paraId="501D4072" w14:textId="77777777" w:rsidR="009C14CB" w:rsidRPr="00301FFF" w:rsidRDefault="009C14CB" w:rsidP="00F31CA2">
            <w:pPr>
              <w:rPr>
                <w:rFonts w:cs="Arial"/>
                <w:lang w:eastAsia="en-GB"/>
              </w:rPr>
            </w:pPr>
            <w:r w:rsidRPr="00574EA0">
              <w:t>£28.97</w:t>
            </w:r>
          </w:p>
        </w:tc>
      </w:tr>
      <w:tr w:rsidR="009C14CB" w:rsidRPr="00301FFF" w14:paraId="1C3B7DDA" w14:textId="77777777" w:rsidTr="00F31CA2">
        <w:trPr>
          <w:trHeight w:val="391"/>
        </w:trPr>
        <w:tc>
          <w:tcPr>
            <w:tcW w:w="2595" w:type="dxa"/>
            <w:tcBorders>
              <w:top w:val="nil"/>
              <w:left w:val="single" w:sz="4" w:space="0" w:color="auto"/>
              <w:bottom w:val="single" w:sz="4" w:space="0" w:color="auto"/>
              <w:right w:val="single" w:sz="4" w:space="0" w:color="auto"/>
            </w:tcBorders>
            <w:shd w:val="clear" w:color="auto" w:fill="auto"/>
            <w:noWrap/>
            <w:vAlign w:val="bottom"/>
            <w:hideMark/>
          </w:tcPr>
          <w:p w14:paraId="2503C9A9" w14:textId="77777777" w:rsidR="009C14CB" w:rsidRPr="008519A2" w:rsidRDefault="009C14CB" w:rsidP="00F31CA2">
            <w:pPr>
              <w:rPr>
                <w:rFonts w:cs="Arial"/>
                <w:b/>
                <w:bCs/>
                <w:lang w:eastAsia="en-GB"/>
              </w:rPr>
            </w:pPr>
            <w:r w:rsidRPr="008519A2">
              <w:rPr>
                <w:rFonts w:cs="Arial"/>
                <w:b/>
                <w:bCs/>
                <w:lang w:eastAsia="en-GB"/>
              </w:rPr>
              <w:t>Formula (A - B) / (A) x 100</w:t>
            </w:r>
          </w:p>
        </w:tc>
        <w:tc>
          <w:tcPr>
            <w:tcW w:w="1050" w:type="dxa"/>
            <w:tcBorders>
              <w:top w:val="single" w:sz="4" w:space="0" w:color="auto"/>
              <w:left w:val="nil"/>
              <w:bottom w:val="single" w:sz="4" w:space="0" w:color="auto"/>
              <w:right w:val="single" w:sz="4" w:space="0" w:color="auto"/>
            </w:tcBorders>
          </w:tcPr>
          <w:p w14:paraId="1D5C1025" w14:textId="77777777" w:rsidR="009C14CB" w:rsidRPr="00301FFF" w:rsidRDefault="009C14CB" w:rsidP="00F31CA2">
            <w:r w:rsidRPr="00981B5B">
              <w:t>17.65%</w:t>
            </w:r>
          </w:p>
        </w:tc>
        <w:tc>
          <w:tcPr>
            <w:tcW w:w="1050" w:type="dxa"/>
            <w:tcBorders>
              <w:top w:val="single" w:sz="4" w:space="0" w:color="auto"/>
              <w:left w:val="single" w:sz="4" w:space="0" w:color="auto"/>
              <w:bottom w:val="single" w:sz="4" w:space="0" w:color="auto"/>
              <w:right w:val="single" w:sz="4" w:space="0" w:color="auto"/>
            </w:tcBorders>
          </w:tcPr>
          <w:p w14:paraId="6FE4144F" w14:textId="77777777" w:rsidR="009C14CB" w:rsidRPr="00301FFF" w:rsidRDefault="009C14CB" w:rsidP="00F31CA2">
            <w:r w:rsidRPr="00981B5B">
              <w:t>18.47%</w:t>
            </w:r>
          </w:p>
        </w:tc>
        <w:tc>
          <w:tcPr>
            <w:tcW w:w="1050" w:type="dxa"/>
            <w:tcBorders>
              <w:top w:val="single" w:sz="4" w:space="0" w:color="auto"/>
              <w:left w:val="single" w:sz="4" w:space="0" w:color="auto"/>
              <w:bottom w:val="single" w:sz="4" w:space="0" w:color="auto"/>
              <w:right w:val="single" w:sz="4" w:space="0" w:color="auto"/>
            </w:tcBorders>
          </w:tcPr>
          <w:p w14:paraId="1BEC15BC" w14:textId="77777777" w:rsidR="009C14CB" w:rsidRPr="00301FFF" w:rsidRDefault="009C14CB" w:rsidP="00F31CA2">
            <w:r w:rsidRPr="00981B5B">
              <w:t>20.06%</w:t>
            </w:r>
          </w:p>
        </w:tc>
        <w:tc>
          <w:tcPr>
            <w:tcW w:w="1050" w:type="dxa"/>
            <w:tcBorders>
              <w:top w:val="single" w:sz="4" w:space="0" w:color="auto"/>
              <w:left w:val="single" w:sz="4" w:space="0" w:color="auto"/>
              <w:bottom w:val="single" w:sz="4" w:space="0" w:color="auto"/>
              <w:right w:val="single" w:sz="4" w:space="0" w:color="auto"/>
            </w:tcBorders>
          </w:tcPr>
          <w:p w14:paraId="4B0A8AAA" w14:textId="77777777" w:rsidR="009C14CB" w:rsidRPr="00301FFF" w:rsidRDefault="009C14CB" w:rsidP="00F31CA2">
            <w:r w:rsidRPr="00981B5B">
              <w:t>5.16%</w:t>
            </w:r>
          </w:p>
        </w:tc>
        <w:tc>
          <w:tcPr>
            <w:tcW w:w="1050" w:type="dxa"/>
            <w:tcBorders>
              <w:top w:val="single" w:sz="4" w:space="0" w:color="auto"/>
              <w:left w:val="single" w:sz="4" w:space="0" w:color="auto"/>
              <w:bottom w:val="single" w:sz="4" w:space="0" w:color="auto"/>
              <w:right w:val="single" w:sz="4" w:space="0" w:color="auto"/>
            </w:tcBorders>
          </w:tcPr>
          <w:p w14:paraId="6E766C87" w14:textId="77777777" w:rsidR="009C14CB" w:rsidRPr="00301FFF" w:rsidRDefault="009C14CB" w:rsidP="00F31CA2">
            <w:r w:rsidRPr="00981B5B">
              <w:t>-3.11%</w:t>
            </w:r>
          </w:p>
        </w:tc>
        <w:tc>
          <w:tcPr>
            <w:tcW w:w="1050" w:type="dxa"/>
            <w:tcBorders>
              <w:top w:val="single" w:sz="4" w:space="0" w:color="auto"/>
              <w:left w:val="single" w:sz="4" w:space="0" w:color="auto"/>
              <w:bottom w:val="single" w:sz="4" w:space="0" w:color="auto"/>
              <w:right w:val="single" w:sz="4" w:space="0" w:color="auto"/>
            </w:tcBorders>
            <w:shd w:val="clear" w:color="auto" w:fill="auto"/>
            <w:noWrap/>
          </w:tcPr>
          <w:p w14:paraId="502E6FE7" w14:textId="77777777" w:rsidR="009C14CB" w:rsidRPr="00301FFF" w:rsidRDefault="009C14CB" w:rsidP="00F31CA2">
            <w:pPr>
              <w:rPr>
                <w:rFonts w:cs="Arial"/>
                <w:lang w:eastAsia="en-GB"/>
              </w:rPr>
            </w:pPr>
            <w:r w:rsidRPr="00981B5B">
              <w:t>-3.66%</w:t>
            </w:r>
          </w:p>
        </w:tc>
        <w:tc>
          <w:tcPr>
            <w:tcW w:w="1051" w:type="dxa"/>
            <w:tcBorders>
              <w:top w:val="single" w:sz="4" w:space="0" w:color="auto"/>
              <w:left w:val="single" w:sz="4" w:space="0" w:color="auto"/>
              <w:bottom w:val="single" w:sz="4" w:space="0" w:color="auto"/>
              <w:right w:val="single" w:sz="4" w:space="0" w:color="auto"/>
            </w:tcBorders>
            <w:shd w:val="clear" w:color="auto" w:fill="auto"/>
            <w:noWrap/>
          </w:tcPr>
          <w:p w14:paraId="2087CA4F" w14:textId="77777777" w:rsidR="009C14CB" w:rsidRPr="00301FFF" w:rsidRDefault="009C14CB" w:rsidP="00F31CA2">
            <w:pPr>
              <w:rPr>
                <w:rFonts w:cs="Arial"/>
                <w:lang w:eastAsia="en-GB"/>
              </w:rPr>
            </w:pPr>
            <w:r w:rsidRPr="00981B5B">
              <w:t>0.00%</w:t>
            </w:r>
          </w:p>
        </w:tc>
        <w:tc>
          <w:tcPr>
            <w:tcW w:w="1051" w:type="dxa"/>
            <w:tcBorders>
              <w:top w:val="single" w:sz="4" w:space="0" w:color="auto"/>
              <w:left w:val="single" w:sz="4" w:space="0" w:color="auto"/>
              <w:bottom w:val="single" w:sz="4" w:space="0" w:color="auto"/>
              <w:right w:val="single" w:sz="4" w:space="0" w:color="auto"/>
            </w:tcBorders>
            <w:shd w:val="clear" w:color="auto" w:fill="auto"/>
            <w:noWrap/>
          </w:tcPr>
          <w:p w14:paraId="146906ED" w14:textId="77777777" w:rsidR="009C14CB" w:rsidRPr="00301FFF" w:rsidRDefault="009C14CB" w:rsidP="00F31CA2">
            <w:pPr>
              <w:rPr>
                <w:rFonts w:cs="Arial"/>
                <w:lang w:eastAsia="en-GB"/>
              </w:rPr>
            </w:pPr>
            <w:r w:rsidRPr="00574EA0">
              <w:t>37.96%</w:t>
            </w:r>
          </w:p>
        </w:tc>
      </w:tr>
    </w:tbl>
    <w:p w14:paraId="2395E583" w14:textId="3BD2E325" w:rsidR="00536890" w:rsidRPr="008519A2" w:rsidRDefault="00900346" w:rsidP="00536890">
      <w:pPr>
        <w:rPr>
          <w:rFonts w:cs="Arial"/>
          <w:color w:val="000000" w:themeColor="text1"/>
        </w:rPr>
      </w:pPr>
      <w:r>
        <w:rPr>
          <w:rFonts w:cs="Arial"/>
          <w:b/>
          <w:color w:val="000000" w:themeColor="text1"/>
        </w:rPr>
        <w:t>M</w:t>
      </w:r>
      <w:r w:rsidR="00536890" w:rsidRPr="008519A2">
        <w:rPr>
          <w:rFonts w:cs="Arial"/>
          <w:b/>
          <w:color w:val="000000" w:themeColor="text1"/>
        </w:rPr>
        <w:t>edian gender pay gap at each grading level</w:t>
      </w:r>
    </w:p>
    <w:p w14:paraId="6EAFC416" w14:textId="77777777" w:rsidR="00310D60" w:rsidRDefault="00310D60" w:rsidP="0061683E">
      <w:pPr>
        <w:rPr>
          <w:rFonts w:cs="Arial"/>
          <w:b/>
          <w:color w:val="000000" w:themeColor="text1"/>
        </w:rPr>
      </w:pPr>
    </w:p>
    <w:p w14:paraId="4D0077A2" w14:textId="77777777" w:rsidR="00634718" w:rsidRDefault="00634718" w:rsidP="0061683E">
      <w:pPr>
        <w:rPr>
          <w:rFonts w:cs="Arial"/>
          <w:b/>
          <w:color w:val="000000" w:themeColor="text1"/>
        </w:rPr>
      </w:pPr>
    </w:p>
    <w:p w14:paraId="5FEF284D" w14:textId="2FCA28E2" w:rsidR="00940BE9" w:rsidRPr="00301FFF" w:rsidRDefault="00940BE9" w:rsidP="00940BE9">
      <w:pPr>
        <w:rPr>
          <w:rFonts w:cs="Arial"/>
          <w:b/>
          <w:bCs/>
          <w:color w:val="000000"/>
        </w:rPr>
      </w:pPr>
      <w:r w:rsidRPr="00301FFF">
        <w:rPr>
          <w:rFonts w:cs="Arial"/>
          <w:b/>
          <w:bCs/>
          <w:color w:val="000000"/>
        </w:rPr>
        <w:t xml:space="preserve">Note: columns showing results for SCS </w:t>
      </w:r>
      <w:r w:rsidR="00FD28D1" w:rsidRPr="00301FFF">
        <w:rPr>
          <w:rFonts w:cs="Arial"/>
          <w:b/>
          <w:bCs/>
          <w:color w:val="000000"/>
        </w:rPr>
        <w:t>2</w:t>
      </w:r>
      <w:r w:rsidR="00234281">
        <w:rPr>
          <w:rFonts w:cs="Arial"/>
          <w:b/>
          <w:bCs/>
          <w:color w:val="000000"/>
        </w:rPr>
        <w:t xml:space="preserve"> (and Non-Executives)</w:t>
      </w:r>
      <w:r w:rsidR="00FD28D1" w:rsidRPr="00301FFF">
        <w:rPr>
          <w:rFonts w:cs="Arial"/>
          <w:b/>
          <w:bCs/>
          <w:color w:val="000000"/>
        </w:rPr>
        <w:t xml:space="preserve"> </w:t>
      </w:r>
      <w:r w:rsidRPr="00301FFF">
        <w:rPr>
          <w:rFonts w:cs="Arial"/>
          <w:b/>
          <w:bCs/>
          <w:color w:val="000000"/>
        </w:rPr>
        <w:t>have been excluded due to identifiable data.</w:t>
      </w:r>
      <w:r w:rsidR="00D676D9">
        <w:rPr>
          <w:rFonts w:cs="Arial"/>
          <w:b/>
          <w:bCs/>
          <w:color w:val="000000"/>
        </w:rPr>
        <w:t xml:space="preserve"> </w:t>
      </w:r>
      <w:r w:rsidRPr="00301FFF">
        <w:rPr>
          <w:rFonts w:cs="Arial"/>
          <w:b/>
          <w:bCs/>
          <w:color w:val="000000"/>
        </w:rPr>
        <w:t>The data is included in the ONR total results.</w:t>
      </w:r>
      <w:r w:rsidR="00BE3673" w:rsidRPr="00301FFF">
        <w:rPr>
          <w:rFonts w:cs="Arial"/>
          <w:b/>
          <w:bCs/>
          <w:color w:val="000000"/>
        </w:rPr>
        <w:t xml:space="preserve"> </w:t>
      </w:r>
    </w:p>
    <w:p w14:paraId="5FEF284E" w14:textId="77777777" w:rsidR="00BF513F" w:rsidRPr="008519A2" w:rsidRDefault="00BF513F" w:rsidP="00940BE9">
      <w:pPr>
        <w:rPr>
          <w:rFonts w:cs="Arial"/>
          <w:color w:val="000000"/>
        </w:rPr>
      </w:pPr>
    </w:p>
    <w:p w14:paraId="2A495203" w14:textId="532DC670" w:rsidR="00906F74" w:rsidRDefault="00940BE9" w:rsidP="00940BE9">
      <w:pPr>
        <w:rPr>
          <w:rFonts w:cs="Arial"/>
        </w:rPr>
      </w:pPr>
      <w:r w:rsidRPr="008519A2">
        <w:rPr>
          <w:rFonts w:cs="Arial"/>
        </w:rPr>
        <w:t>The overall median ge</w:t>
      </w:r>
      <w:r w:rsidR="00BE3673" w:rsidRPr="008519A2">
        <w:rPr>
          <w:rFonts w:cs="Arial"/>
        </w:rPr>
        <w:t xml:space="preserve">nder pay gap </w:t>
      </w:r>
      <w:r w:rsidR="00906F74" w:rsidRPr="00875321">
        <w:rPr>
          <w:rFonts w:cs="Arial"/>
        </w:rPr>
        <w:t>remains</w:t>
      </w:r>
      <w:r w:rsidR="00613AA6" w:rsidRPr="00875321">
        <w:rPr>
          <w:rFonts w:cs="Arial"/>
        </w:rPr>
        <w:t xml:space="preserve"> </w:t>
      </w:r>
      <w:r w:rsidR="00BE3673" w:rsidRPr="00875321">
        <w:rPr>
          <w:rFonts w:cs="Arial"/>
        </w:rPr>
        <w:t xml:space="preserve">significant at </w:t>
      </w:r>
      <w:r w:rsidR="00847E65">
        <w:rPr>
          <w:rFonts w:cs="Arial"/>
        </w:rPr>
        <w:t>37.9%.</w:t>
      </w:r>
      <w:r w:rsidR="00AB7399">
        <w:rPr>
          <w:rFonts w:cs="Arial"/>
        </w:rPr>
        <w:t xml:space="preserve"> </w:t>
      </w:r>
      <w:r w:rsidR="004F754C" w:rsidRPr="00875321">
        <w:rPr>
          <w:rFonts w:cs="Arial"/>
        </w:rPr>
        <w:t>T</w:t>
      </w:r>
      <w:r w:rsidR="00CA523A" w:rsidRPr="00875321">
        <w:rPr>
          <w:rFonts w:cs="Arial"/>
        </w:rPr>
        <w:t>he</w:t>
      </w:r>
      <w:r w:rsidRPr="00875321">
        <w:rPr>
          <w:rFonts w:cs="Arial"/>
        </w:rPr>
        <w:t xml:space="preserve"> gap </w:t>
      </w:r>
      <w:bookmarkStart w:id="0" w:name="_Hlk151719376"/>
      <w:r w:rsidRPr="00875321">
        <w:rPr>
          <w:rFonts w:cs="Arial"/>
        </w:rPr>
        <w:t xml:space="preserve">at </w:t>
      </w:r>
      <w:r w:rsidR="00E85DC4" w:rsidRPr="00875321">
        <w:rPr>
          <w:rFonts w:cs="Arial"/>
        </w:rPr>
        <w:t xml:space="preserve">the higher grades reflects </w:t>
      </w:r>
      <w:r w:rsidR="00690267" w:rsidRPr="00875321">
        <w:rPr>
          <w:rFonts w:cs="Arial"/>
        </w:rPr>
        <w:t>the greater</w:t>
      </w:r>
      <w:r w:rsidR="003E4063" w:rsidRPr="00875321">
        <w:rPr>
          <w:rFonts w:cs="Arial"/>
        </w:rPr>
        <w:t xml:space="preserve"> </w:t>
      </w:r>
      <w:r w:rsidR="00906F74" w:rsidRPr="00875321">
        <w:rPr>
          <w:rFonts w:cs="Arial"/>
        </w:rPr>
        <w:t>distribution</w:t>
      </w:r>
      <w:r w:rsidR="003E4063" w:rsidRPr="00875321">
        <w:rPr>
          <w:rFonts w:cs="Arial"/>
        </w:rPr>
        <w:t xml:space="preserve"> of men </w:t>
      </w:r>
      <w:r w:rsidR="00906F74" w:rsidRPr="00875321">
        <w:rPr>
          <w:rFonts w:cs="Arial"/>
        </w:rPr>
        <w:t xml:space="preserve">in </w:t>
      </w:r>
      <w:r w:rsidR="00945031">
        <w:rPr>
          <w:rFonts w:cs="Arial"/>
        </w:rPr>
        <w:t xml:space="preserve">regulatory </w:t>
      </w:r>
      <w:r w:rsidR="00906F74" w:rsidRPr="00875321">
        <w:rPr>
          <w:rFonts w:cs="Arial"/>
        </w:rPr>
        <w:t xml:space="preserve">technical roles </w:t>
      </w:r>
      <w:r w:rsidR="003E4063" w:rsidRPr="00875321">
        <w:rPr>
          <w:rFonts w:cs="Arial"/>
        </w:rPr>
        <w:t>towards the top of the pay scales, which attract a premium rate</w:t>
      </w:r>
      <w:r w:rsidR="00906F74" w:rsidRPr="00875321">
        <w:rPr>
          <w:rFonts w:cs="Arial"/>
        </w:rPr>
        <w:t xml:space="preserve"> of pay</w:t>
      </w:r>
      <w:bookmarkEnd w:id="0"/>
      <w:r w:rsidR="00906F74" w:rsidRPr="00875321">
        <w:rPr>
          <w:rFonts w:cs="Arial"/>
        </w:rPr>
        <w:t xml:space="preserve">, </w:t>
      </w:r>
      <w:r w:rsidR="00F375A4">
        <w:rPr>
          <w:rFonts w:cs="Arial"/>
        </w:rPr>
        <w:t>as is the case across</w:t>
      </w:r>
      <w:r w:rsidR="00906F74" w:rsidRPr="00875321">
        <w:rPr>
          <w:rFonts w:cs="Arial"/>
        </w:rPr>
        <w:t xml:space="preserve"> this sector. Progress towards narrowing the gap has been made through competency-based pay progression</w:t>
      </w:r>
      <w:r w:rsidR="00DB0C4A">
        <w:rPr>
          <w:rFonts w:cs="Arial"/>
        </w:rPr>
        <w:t>,</w:t>
      </w:r>
      <w:r w:rsidR="00906F74" w:rsidRPr="00875321">
        <w:rPr>
          <w:rFonts w:cs="Arial"/>
        </w:rPr>
        <w:t xml:space="preserve"> which enables colleagues at the lower</w:t>
      </w:r>
      <w:r w:rsidR="00DB0C4A">
        <w:rPr>
          <w:rFonts w:cs="Arial"/>
        </w:rPr>
        <w:t xml:space="preserve"> </w:t>
      </w:r>
      <w:r w:rsidR="00906F74" w:rsidRPr="00875321">
        <w:rPr>
          <w:rFonts w:cs="Arial"/>
        </w:rPr>
        <w:t>end of the pay scale to be recognised for their attainment.</w:t>
      </w:r>
    </w:p>
    <w:p w14:paraId="5FEF284F" w14:textId="29437DB3" w:rsidR="00940BE9" w:rsidRPr="008519A2" w:rsidRDefault="00906F74" w:rsidP="00940BE9">
      <w:pPr>
        <w:rPr>
          <w:rFonts w:cs="Arial"/>
        </w:rPr>
      </w:pPr>
      <w:r>
        <w:rPr>
          <w:rFonts w:cs="Arial"/>
        </w:rPr>
        <w:t xml:space="preserve"> </w:t>
      </w:r>
    </w:p>
    <w:p w14:paraId="5FEF2855" w14:textId="50711DD0" w:rsidR="00940BE9" w:rsidRPr="008519A2" w:rsidRDefault="00181D98" w:rsidP="00940BE9">
      <w:pPr>
        <w:rPr>
          <w:rFonts w:cs="Arial"/>
        </w:rPr>
      </w:pPr>
      <w:r w:rsidRPr="008519A2">
        <w:rPr>
          <w:rFonts w:cs="Arial"/>
        </w:rPr>
        <w:t>The workforce profile across all our roles and bands is shown below</w:t>
      </w:r>
      <w:r w:rsidR="00BC70C9">
        <w:rPr>
          <w:rFonts w:cs="Arial"/>
        </w:rPr>
        <w:t>.</w:t>
      </w:r>
    </w:p>
    <w:p w14:paraId="164D98BD" w14:textId="39E9487A" w:rsidR="00301FFF" w:rsidRDefault="00301FFF" w:rsidP="003E4063">
      <w:pPr>
        <w:jc w:val="center"/>
        <w:rPr>
          <w:rFonts w:cs="Arial"/>
          <w:b/>
        </w:rPr>
      </w:pPr>
    </w:p>
    <w:p w14:paraId="5FEF2857" w14:textId="3F24C4B4" w:rsidR="00E720BD" w:rsidRPr="008519A2" w:rsidRDefault="0087144F" w:rsidP="00F332DC">
      <w:pPr>
        <w:rPr>
          <w:rFonts w:cs="Arial"/>
          <w:b/>
        </w:rPr>
      </w:pPr>
      <w:r>
        <w:rPr>
          <w:rFonts w:cs="Arial"/>
          <w:b/>
        </w:rPr>
        <w:t>Workforce Analysis</w:t>
      </w:r>
      <w:r w:rsidR="00696011" w:rsidRPr="008519A2">
        <w:rPr>
          <w:rFonts w:cs="Arial"/>
          <w:b/>
        </w:rPr>
        <w:t xml:space="preserve"> as </w:t>
      </w:r>
      <w:r w:rsidR="00D2589D" w:rsidRPr="008519A2">
        <w:rPr>
          <w:rFonts w:cs="Arial"/>
          <w:b/>
        </w:rPr>
        <w:t>of</w:t>
      </w:r>
      <w:r w:rsidR="00696011" w:rsidRPr="008519A2">
        <w:rPr>
          <w:rFonts w:cs="Arial"/>
          <w:b/>
        </w:rPr>
        <w:t xml:space="preserve"> 31 March 202</w:t>
      </w:r>
      <w:r w:rsidR="00DB35A6">
        <w:rPr>
          <w:rFonts w:cs="Arial"/>
          <w:b/>
        </w:rPr>
        <w:t>3</w:t>
      </w:r>
    </w:p>
    <w:p w14:paraId="5FEF2858" w14:textId="77777777" w:rsidR="00E720BD" w:rsidRDefault="00E720BD" w:rsidP="00940BE9">
      <w:pPr>
        <w:rPr>
          <w:rFonts w:cs="Arial"/>
        </w:rPr>
      </w:pPr>
    </w:p>
    <w:tbl>
      <w:tblPr>
        <w:tblW w:w="5000" w:type="pct"/>
        <w:tblLayout w:type="fixed"/>
        <w:tblLook w:val="04A0" w:firstRow="1" w:lastRow="0" w:firstColumn="1" w:lastColumn="0" w:noHBand="0" w:noVBand="1"/>
      </w:tblPr>
      <w:tblGrid>
        <w:gridCol w:w="1825"/>
        <w:gridCol w:w="1588"/>
        <w:gridCol w:w="1915"/>
        <w:gridCol w:w="1482"/>
        <w:gridCol w:w="1627"/>
        <w:gridCol w:w="851"/>
      </w:tblGrid>
      <w:tr w:rsidR="00281ABD" w:rsidRPr="008519A2" w14:paraId="0ABA5050" w14:textId="77777777" w:rsidTr="00E53ABF">
        <w:trPr>
          <w:trHeight w:val="901"/>
        </w:trPr>
        <w:tc>
          <w:tcPr>
            <w:tcW w:w="982" w:type="pct"/>
            <w:tcBorders>
              <w:top w:val="single" w:sz="4" w:space="0" w:color="auto"/>
              <w:left w:val="single" w:sz="4" w:space="0" w:color="auto"/>
              <w:bottom w:val="single" w:sz="4" w:space="0" w:color="auto"/>
              <w:right w:val="single" w:sz="4" w:space="0" w:color="auto"/>
            </w:tcBorders>
            <w:shd w:val="clear" w:color="000000" w:fill="DCE6F1"/>
            <w:vAlign w:val="center"/>
            <w:hideMark/>
          </w:tcPr>
          <w:p w14:paraId="57C2BBE8" w14:textId="77777777" w:rsidR="00281ABD" w:rsidRPr="008519A2" w:rsidRDefault="00281ABD" w:rsidP="00F31CA2">
            <w:pPr>
              <w:jc w:val="center"/>
              <w:rPr>
                <w:rFonts w:cs="Arial"/>
                <w:color w:val="000000"/>
                <w:lang w:eastAsia="en-GB"/>
              </w:rPr>
            </w:pPr>
          </w:p>
        </w:tc>
        <w:tc>
          <w:tcPr>
            <w:tcW w:w="855" w:type="pct"/>
            <w:tcBorders>
              <w:top w:val="single" w:sz="4" w:space="0" w:color="auto"/>
              <w:left w:val="nil"/>
              <w:bottom w:val="single" w:sz="4" w:space="0" w:color="auto"/>
              <w:right w:val="single" w:sz="4" w:space="0" w:color="auto"/>
            </w:tcBorders>
            <w:shd w:val="clear" w:color="000000" w:fill="DCE6F1"/>
            <w:vAlign w:val="center"/>
            <w:hideMark/>
          </w:tcPr>
          <w:p w14:paraId="64AF95BC" w14:textId="77777777" w:rsidR="00281ABD" w:rsidRDefault="00281ABD" w:rsidP="00F31CA2">
            <w:pPr>
              <w:jc w:val="center"/>
              <w:rPr>
                <w:rFonts w:cs="Arial"/>
                <w:color w:val="000000"/>
                <w:lang w:eastAsia="en-GB"/>
              </w:rPr>
            </w:pPr>
            <w:r>
              <w:rPr>
                <w:rFonts w:cs="Arial"/>
                <w:color w:val="000000"/>
                <w:lang w:eastAsia="en-GB"/>
              </w:rPr>
              <w:t>S</w:t>
            </w:r>
            <w:r w:rsidRPr="008519A2">
              <w:rPr>
                <w:rFonts w:cs="Arial"/>
                <w:color w:val="000000"/>
                <w:lang w:eastAsia="en-GB"/>
              </w:rPr>
              <w:t>upport</w:t>
            </w:r>
            <w:r>
              <w:rPr>
                <w:rFonts w:cs="Arial"/>
                <w:color w:val="000000"/>
                <w:lang w:eastAsia="en-GB"/>
              </w:rPr>
              <w:t xml:space="preserve"> roles</w:t>
            </w:r>
            <w:r w:rsidRPr="008519A2">
              <w:rPr>
                <w:rFonts w:cs="Arial"/>
                <w:color w:val="000000"/>
                <w:lang w:eastAsia="en-GB"/>
              </w:rPr>
              <w:t xml:space="preserve"> </w:t>
            </w:r>
          </w:p>
          <w:p w14:paraId="3F104110" w14:textId="77777777" w:rsidR="00281ABD" w:rsidRPr="008519A2" w:rsidRDefault="00281ABD" w:rsidP="00F31CA2">
            <w:pPr>
              <w:jc w:val="center"/>
              <w:rPr>
                <w:rFonts w:cs="Arial"/>
                <w:color w:val="000000"/>
                <w:lang w:eastAsia="en-GB"/>
              </w:rPr>
            </w:pPr>
            <w:r>
              <w:rPr>
                <w:rFonts w:cs="Arial"/>
                <w:color w:val="000000"/>
                <w:lang w:eastAsia="en-GB"/>
              </w:rPr>
              <w:t>(men)</w:t>
            </w:r>
          </w:p>
        </w:tc>
        <w:tc>
          <w:tcPr>
            <w:tcW w:w="1031" w:type="pct"/>
            <w:tcBorders>
              <w:top w:val="single" w:sz="4" w:space="0" w:color="auto"/>
              <w:left w:val="nil"/>
              <w:bottom w:val="single" w:sz="4" w:space="0" w:color="auto"/>
              <w:right w:val="single" w:sz="4" w:space="0" w:color="auto"/>
            </w:tcBorders>
            <w:shd w:val="clear" w:color="000000" w:fill="DCE6F1"/>
            <w:vAlign w:val="center"/>
            <w:hideMark/>
          </w:tcPr>
          <w:p w14:paraId="6D9CCEA3" w14:textId="77777777" w:rsidR="00281ABD" w:rsidRDefault="00281ABD" w:rsidP="00F31CA2">
            <w:pPr>
              <w:jc w:val="center"/>
              <w:rPr>
                <w:rFonts w:cs="Arial"/>
                <w:color w:val="000000"/>
                <w:lang w:eastAsia="en-GB"/>
              </w:rPr>
            </w:pPr>
            <w:r>
              <w:rPr>
                <w:rFonts w:cs="Arial"/>
                <w:color w:val="000000"/>
                <w:lang w:eastAsia="en-GB"/>
              </w:rPr>
              <w:t>S</w:t>
            </w:r>
            <w:r w:rsidRPr="008519A2">
              <w:rPr>
                <w:rFonts w:cs="Arial"/>
                <w:color w:val="000000"/>
                <w:lang w:eastAsia="en-GB"/>
              </w:rPr>
              <w:t>upport</w:t>
            </w:r>
            <w:r>
              <w:rPr>
                <w:rFonts w:cs="Arial"/>
                <w:color w:val="000000"/>
                <w:lang w:eastAsia="en-GB"/>
              </w:rPr>
              <w:t xml:space="preserve"> roles</w:t>
            </w:r>
            <w:r w:rsidRPr="008519A2">
              <w:rPr>
                <w:rFonts w:cs="Arial"/>
                <w:color w:val="000000"/>
                <w:lang w:eastAsia="en-GB"/>
              </w:rPr>
              <w:t xml:space="preserve"> </w:t>
            </w:r>
          </w:p>
          <w:p w14:paraId="33B03C86" w14:textId="77777777" w:rsidR="00281ABD" w:rsidRPr="008519A2" w:rsidRDefault="00281ABD" w:rsidP="00F31CA2">
            <w:pPr>
              <w:jc w:val="center"/>
              <w:rPr>
                <w:rFonts w:cs="Arial"/>
                <w:color w:val="000000"/>
                <w:lang w:eastAsia="en-GB"/>
              </w:rPr>
            </w:pPr>
            <w:r>
              <w:rPr>
                <w:rFonts w:cs="Arial"/>
                <w:color w:val="000000"/>
                <w:lang w:eastAsia="en-GB"/>
              </w:rPr>
              <w:t>(women)</w:t>
            </w:r>
          </w:p>
        </w:tc>
        <w:tc>
          <w:tcPr>
            <w:tcW w:w="798" w:type="pct"/>
            <w:tcBorders>
              <w:top w:val="single" w:sz="4" w:space="0" w:color="auto"/>
              <w:left w:val="nil"/>
              <w:bottom w:val="single" w:sz="4" w:space="0" w:color="auto"/>
              <w:right w:val="single" w:sz="4" w:space="0" w:color="auto"/>
            </w:tcBorders>
            <w:shd w:val="clear" w:color="000000" w:fill="DCE6F1"/>
            <w:vAlign w:val="center"/>
            <w:hideMark/>
          </w:tcPr>
          <w:p w14:paraId="0B0EBD85" w14:textId="77777777" w:rsidR="00281ABD" w:rsidRPr="008519A2" w:rsidRDefault="00281ABD" w:rsidP="00F31CA2">
            <w:pPr>
              <w:jc w:val="center"/>
              <w:rPr>
                <w:rFonts w:cs="Arial"/>
                <w:color w:val="000000"/>
                <w:lang w:eastAsia="en-GB"/>
              </w:rPr>
            </w:pPr>
            <w:r w:rsidRPr="008519A2">
              <w:rPr>
                <w:rFonts w:cs="Arial"/>
                <w:color w:val="000000"/>
                <w:lang w:eastAsia="en-GB"/>
              </w:rPr>
              <w:t xml:space="preserve">Technical </w:t>
            </w:r>
            <w:r>
              <w:rPr>
                <w:rFonts w:cs="Arial"/>
                <w:color w:val="000000"/>
                <w:lang w:eastAsia="en-GB"/>
              </w:rPr>
              <w:t>s</w:t>
            </w:r>
            <w:r w:rsidRPr="008519A2">
              <w:rPr>
                <w:rFonts w:cs="Arial"/>
                <w:color w:val="000000"/>
                <w:lang w:eastAsia="en-GB"/>
              </w:rPr>
              <w:t xml:space="preserve">pecialists </w:t>
            </w:r>
            <w:r>
              <w:rPr>
                <w:rFonts w:cs="Arial"/>
                <w:color w:val="000000"/>
                <w:lang w:eastAsia="en-GB"/>
              </w:rPr>
              <w:t>(men)</w:t>
            </w:r>
          </w:p>
        </w:tc>
        <w:tc>
          <w:tcPr>
            <w:tcW w:w="876" w:type="pct"/>
            <w:tcBorders>
              <w:top w:val="single" w:sz="4" w:space="0" w:color="auto"/>
              <w:left w:val="nil"/>
              <w:bottom w:val="single" w:sz="4" w:space="0" w:color="auto"/>
              <w:right w:val="single" w:sz="4" w:space="0" w:color="auto"/>
            </w:tcBorders>
            <w:shd w:val="clear" w:color="000000" w:fill="DCE6F1"/>
            <w:vAlign w:val="center"/>
            <w:hideMark/>
          </w:tcPr>
          <w:p w14:paraId="4F894CD1" w14:textId="77777777" w:rsidR="00281ABD" w:rsidRPr="008519A2" w:rsidRDefault="00281ABD" w:rsidP="00F31CA2">
            <w:pPr>
              <w:jc w:val="center"/>
              <w:rPr>
                <w:rFonts w:cs="Arial"/>
                <w:color w:val="000000"/>
                <w:lang w:eastAsia="en-GB"/>
              </w:rPr>
            </w:pPr>
            <w:r w:rsidRPr="008519A2">
              <w:rPr>
                <w:rFonts w:cs="Arial"/>
                <w:color w:val="000000"/>
                <w:lang w:eastAsia="en-GB"/>
              </w:rPr>
              <w:t xml:space="preserve">Technical </w:t>
            </w:r>
            <w:r>
              <w:rPr>
                <w:rFonts w:cs="Arial"/>
                <w:color w:val="000000"/>
                <w:lang w:eastAsia="en-GB"/>
              </w:rPr>
              <w:t>s</w:t>
            </w:r>
            <w:r w:rsidRPr="008519A2">
              <w:rPr>
                <w:rFonts w:cs="Arial"/>
                <w:color w:val="000000"/>
                <w:lang w:eastAsia="en-GB"/>
              </w:rPr>
              <w:t xml:space="preserve">pecialists </w:t>
            </w:r>
            <w:r>
              <w:rPr>
                <w:rFonts w:cs="Arial"/>
                <w:color w:val="000000"/>
                <w:lang w:eastAsia="en-GB"/>
              </w:rPr>
              <w:t>(women)</w:t>
            </w:r>
          </w:p>
        </w:tc>
        <w:tc>
          <w:tcPr>
            <w:tcW w:w="458" w:type="pct"/>
            <w:tcBorders>
              <w:top w:val="single" w:sz="4" w:space="0" w:color="auto"/>
              <w:left w:val="nil"/>
              <w:bottom w:val="single" w:sz="4" w:space="0" w:color="auto"/>
              <w:right w:val="single" w:sz="4" w:space="0" w:color="auto"/>
            </w:tcBorders>
            <w:shd w:val="clear" w:color="000000" w:fill="DCE6F1"/>
            <w:vAlign w:val="center"/>
            <w:hideMark/>
          </w:tcPr>
          <w:p w14:paraId="6154BBED" w14:textId="77777777" w:rsidR="00281ABD" w:rsidRPr="008519A2" w:rsidRDefault="00281ABD" w:rsidP="00F31CA2">
            <w:pPr>
              <w:jc w:val="center"/>
              <w:rPr>
                <w:rFonts w:cs="Arial"/>
                <w:color w:val="000000"/>
                <w:lang w:eastAsia="en-GB"/>
              </w:rPr>
            </w:pPr>
            <w:r>
              <w:rPr>
                <w:rFonts w:cs="Arial"/>
                <w:color w:val="000000"/>
                <w:lang w:eastAsia="en-GB"/>
              </w:rPr>
              <w:t>T</w:t>
            </w:r>
            <w:r w:rsidRPr="008519A2">
              <w:rPr>
                <w:rFonts w:cs="Arial"/>
                <w:color w:val="000000"/>
                <w:lang w:eastAsia="en-GB"/>
              </w:rPr>
              <w:t>otal</w:t>
            </w:r>
          </w:p>
        </w:tc>
      </w:tr>
      <w:tr w:rsidR="00281ABD" w:rsidRPr="008519A2" w14:paraId="52B7F2A2" w14:textId="77777777" w:rsidTr="00E53ABF">
        <w:trPr>
          <w:trHeight w:val="300"/>
        </w:trPr>
        <w:tc>
          <w:tcPr>
            <w:tcW w:w="982" w:type="pct"/>
            <w:tcBorders>
              <w:top w:val="nil"/>
              <w:left w:val="single" w:sz="4" w:space="0" w:color="auto"/>
              <w:bottom w:val="single" w:sz="4" w:space="0" w:color="auto"/>
              <w:right w:val="single" w:sz="4" w:space="0" w:color="auto"/>
            </w:tcBorders>
            <w:shd w:val="clear" w:color="auto" w:fill="auto"/>
            <w:noWrap/>
            <w:vAlign w:val="center"/>
            <w:hideMark/>
          </w:tcPr>
          <w:p w14:paraId="28A7BF0B" w14:textId="77777777" w:rsidR="00281ABD" w:rsidRPr="008519A2" w:rsidRDefault="00281ABD" w:rsidP="00F31CA2">
            <w:pPr>
              <w:jc w:val="center"/>
              <w:rPr>
                <w:rFonts w:cs="Arial"/>
                <w:color w:val="000000"/>
                <w:lang w:eastAsia="en-GB"/>
              </w:rPr>
            </w:pPr>
            <w:r w:rsidRPr="008519A2">
              <w:rPr>
                <w:rFonts w:cs="Arial"/>
                <w:color w:val="000000"/>
                <w:lang w:eastAsia="en-GB"/>
              </w:rPr>
              <w:t>Band 6</w:t>
            </w:r>
          </w:p>
        </w:tc>
        <w:tc>
          <w:tcPr>
            <w:tcW w:w="855" w:type="pct"/>
            <w:tcBorders>
              <w:top w:val="nil"/>
              <w:left w:val="nil"/>
              <w:bottom w:val="single" w:sz="4" w:space="0" w:color="auto"/>
              <w:right w:val="single" w:sz="4" w:space="0" w:color="auto"/>
            </w:tcBorders>
            <w:shd w:val="clear" w:color="auto" w:fill="auto"/>
            <w:noWrap/>
          </w:tcPr>
          <w:p w14:paraId="4658C264" w14:textId="77777777" w:rsidR="00281ABD" w:rsidRPr="008519A2" w:rsidRDefault="00281ABD" w:rsidP="00F31CA2">
            <w:pPr>
              <w:jc w:val="center"/>
              <w:rPr>
                <w:rFonts w:cs="Arial"/>
                <w:color w:val="000000"/>
                <w:lang w:eastAsia="en-GB"/>
              </w:rPr>
            </w:pPr>
            <w:r w:rsidRPr="007145B9">
              <w:t>15</w:t>
            </w:r>
          </w:p>
        </w:tc>
        <w:tc>
          <w:tcPr>
            <w:tcW w:w="1031" w:type="pct"/>
            <w:tcBorders>
              <w:top w:val="nil"/>
              <w:left w:val="nil"/>
              <w:bottom w:val="single" w:sz="4" w:space="0" w:color="auto"/>
              <w:right w:val="single" w:sz="4" w:space="0" w:color="auto"/>
            </w:tcBorders>
            <w:shd w:val="clear" w:color="auto" w:fill="auto"/>
            <w:noWrap/>
          </w:tcPr>
          <w:p w14:paraId="56265569" w14:textId="77777777" w:rsidR="00281ABD" w:rsidRPr="008519A2" w:rsidRDefault="00281ABD" w:rsidP="00F31CA2">
            <w:pPr>
              <w:jc w:val="center"/>
              <w:rPr>
                <w:rFonts w:cs="Arial"/>
                <w:color w:val="000000"/>
                <w:lang w:eastAsia="en-GB"/>
              </w:rPr>
            </w:pPr>
            <w:r w:rsidRPr="007145B9">
              <w:t>32</w:t>
            </w:r>
          </w:p>
        </w:tc>
        <w:tc>
          <w:tcPr>
            <w:tcW w:w="798" w:type="pct"/>
            <w:tcBorders>
              <w:top w:val="nil"/>
              <w:left w:val="nil"/>
              <w:bottom w:val="single" w:sz="4" w:space="0" w:color="auto"/>
              <w:right w:val="single" w:sz="4" w:space="0" w:color="auto"/>
            </w:tcBorders>
            <w:shd w:val="clear" w:color="auto" w:fill="auto"/>
            <w:noWrap/>
          </w:tcPr>
          <w:p w14:paraId="17A78A3E" w14:textId="77777777" w:rsidR="00281ABD" w:rsidRPr="008519A2" w:rsidRDefault="00281ABD" w:rsidP="00F31CA2">
            <w:pPr>
              <w:jc w:val="center"/>
              <w:rPr>
                <w:rFonts w:cs="Arial"/>
                <w:color w:val="000000"/>
                <w:lang w:eastAsia="en-GB"/>
              </w:rPr>
            </w:pPr>
            <w:r w:rsidRPr="007145B9">
              <w:t>0</w:t>
            </w:r>
          </w:p>
        </w:tc>
        <w:tc>
          <w:tcPr>
            <w:tcW w:w="876" w:type="pct"/>
            <w:tcBorders>
              <w:top w:val="nil"/>
              <w:left w:val="nil"/>
              <w:bottom w:val="single" w:sz="4" w:space="0" w:color="auto"/>
              <w:right w:val="single" w:sz="4" w:space="0" w:color="auto"/>
            </w:tcBorders>
            <w:shd w:val="clear" w:color="auto" w:fill="auto"/>
            <w:noWrap/>
          </w:tcPr>
          <w:p w14:paraId="116F31FC" w14:textId="77777777" w:rsidR="00281ABD" w:rsidRPr="008519A2" w:rsidRDefault="00281ABD" w:rsidP="00F31CA2">
            <w:pPr>
              <w:jc w:val="center"/>
              <w:rPr>
                <w:rFonts w:cs="Arial"/>
                <w:color w:val="000000"/>
                <w:lang w:eastAsia="en-GB"/>
              </w:rPr>
            </w:pPr>
            <w:r w:rsidRPr="007145B9">
              <w:t>0</w:t>
            </w:r>
          </w:p>
        </w:tc>
        <w:tc>
          <w:tcPr>
            <w:tcW w:w="458" w:type="pct"/>
            <w:tcBorders>
              <w:top w:val="nil"/>
              <w:left w:val="nil"/>
              <w:bottom w:val="single" w:sz="4" w:space="0" w:color="auto"/>
              <w:right w:val="single" w:sz="4" w:space="0" w:color="auto"/>
            </w:tcBorders>
            <w:shd w:val="clear" w:color="auto" w:fill="auto"/>
            <w:noWrap/>
          </w:tcPr>
          <w:p w14:paraId="71DD52A2" w14:textId="77777777" w:rsidR="00281ABD" w:rsidRPr="008519A2" w:rsidRDefault="00281ABD" w:rsidP="00F31CA2">
            <w:pPr>
              <w:jc w:val="center"/>
              <w:rPr>
                <w:rFonts w:cs="Arial"/>
                <w:color w:val="000000"/>
                <w:lang w:eastAsia="en-GB"/>
              </w:rPr>
            </w:pPr>
            <w:r w:rsidRPr="007145B9">
              <w:t>47</w:t>
            </w:r>
          </w:p>
        </w:tc>
      </w:tr>
      <w:tr w:rsidR="00281ABD" w:rsidRPr="008519A2" w14:paraId="258566EE" w14:textId="77777777" w:rsidTr="00E53ABF">
        <w:trPr>
          <w:trHeight w:val="300"/>
        </w:trPr>
        <w:tc>
          <w:tcPr>
            <w:tcW w:w="982" w:type="pct"/>
            <w:tcBorders>
              <w:top w:val="nil"/>
              <w:left w:val="single" w:sz="4" w:space="0" w:color="auto"/>
              <w:bottom w:val="single" w:sz="4" w:space="0" w:color="auto"/>
              <w:right w:val="single" w:sz="4" w:space="0" w:color="auto"/>
            </w:tcBorders>
            <w:shd w:val="clear" w:color="auto" w:fill="auto"/>
            <w:noWrap/>
            <w:vAlign w:val="center"/>
            <w:hideMark/>
          </w:tcPr>
          <w:p w14:paraId="75E40C56" w14:textId="77777777" w:rsidR="00281ABD" w:rsidRPr="008519A2" w:rsidRDefault="00281ABD" w:rsidP="00F31CA2">
            <w:pPr>
              <w:jc w:val="center"/>
              <w:rPr>
                <w:rFonts w:cs="Arial"/>
                <w:color w:val="000000"/>
                <w:lang w:eastAsia="en-GB"/>
              </w:rPr>
            </w:pPr>
            <w:r w:rsidRPr="008519A2">
              <w:rPr>
                <w:rFonts w:cs="Arial"/>
                <w:color w:val="000000"/>
                <w:lang w:eastAsia="en-GB"/>
              </w:rPr>
              <w:t>Band 5</w:t>
            </w:r>
          </w:p>
        </w:tc>
        <w:tc>
          <w:tcPr>
            <w:tcW w:w="855" w:type="pct"/>
            <w:tcBorders>
              <w:top w:val="nil"/>
              <w:left w:val="nil"/>
              <w:bottom w:val="single" w:sz="4" w:space="0" w:color="auto"/>
              <w:right w:val="single" w:sz="4" w:space="0" w:color="auto"/>
            </w:tcBorders>
            <w:shd w:val="clear" w:color="auto" w:fill="auto"/>
            <w:noWrap/>
          </w:tcPr>
          <w:p w14:paraId="48BA3721" w14:textId="77777777" w:rsidR="00281ABD" w:rsidRPr="008519A2" w:rsidRDefault="00281ABD" w:rsidP="00F31CA2">
            <w:pPr>
              <w:jc w:val="center"/>
              <w:rPr>
                <w:rFonts w:cs="Arial"/>
                <w:color w:val="000000"/>
                <w:lang w:eastAsia="en-GB"/>
              </w:rPr>
            </w:pPr>
            <w:r w:rsidRPr="007145B9">
              <w:t>25</w:t>
            </w:r>
          </w:p>
        </w:tc>
        <w:tc>
          <w:tcPr>
            <w:tcW w:w="1031" w:type="pct"/>
            <w:tcBorders>
              <w:top w:val="nil"/>
              <w:left w:val="nil"/>
              <w:bottom w:val="single" w:sz="4" w:space="0" w:color="auto"/>
              <w:right w:val="single" w:sz="4" w:space="0" w:color="auto"/>
            </w:tcBorders>
            <w:shd w:val="clear" w:color="auto" w:fill="auto"/>
            <w:noWrap/>
          </w:tcPr>
          <w:p w14:paraId="2AE1B871" w14:textId="77777777" w:rsidR="00281ABD" w:rsidRPr="008519A2" w:rsidRDefault="00281ABD" w:rsidP="00F31CA2">
            <w:pPr>
              <w:jc w:val="center"/>
              <w:rPr>
                <w:rFonts w:cs="Arial"/>
                <w:color w:val="000000"/>
                <w:lang w:eastAsia="en-GB"/>
              </w:rPr>
            </w:pPr>
            <w:r w:rsidRPr="007145B9">
              <w:t>45</w:t>
            </w:r>
          </w:p>
        </w:tc>
        <w:tc>
          <w:tcPr>
            <w:tcW w:w="798" w:type="pct"/>
            <w:tcBorders>
              <w:top w:val="nil"/>
              <w:left w:val="nil"/>
              <w:bottom w:val="single" w:sz="4" w:space="0" w:color="auto"/>
              <w:right w:val="single" w:sz="4" w:space="0" w:color="auto"/>
            </w:tcBorders>
            <w:shd w:val="clear" w:color="auto" w:fill="auto"/>
            <w:noWrap/>
          </w:tcPr>
          <w:p w14:paraId="306D9D85" w14:textId="77777777" w:rsidR="00281ABD" w:rsidRPr="008519A2" w:rsidRDefault="00281ABD" w:rsidP="00F31CA2">
            <w:pPr>
              <w:jc w:val="center"/>
              <w:rPr>
                <w:rFonts w:cs="Arial"/>
                <w:color w:val="000000"/>
                <w:lang w:eastAsia="en-GB"/>
              </w:rPr>
            </w:pPr>
            <w:r w:rsidRPr="007145B9">
              <w:t>0</w:t>
            </w:r>
          </w:p>
        </w:tc>
        <w:tc>
          <w:tcPr>
            <w:tcW w:w="876" w:type="pct"/>
            <w:tcBorders>
              <w:top w:val="nil"/>
              <w:left w:val="nil"/>
              <w:bottom w:val="single" w:sz="4" w:space="0" w:color="auto"/>
              <w:right w:val="single" w:sz="4" w:space="0" w:color="auto"/>
            </w:tcBorders>
            <w:shd w:val="clear" w:color="auto" w:fill="auto"/>
            <w:noWrap/>
          </w:tcPr>
          <w:p w14:paraId="7840C251" w14:textId="77777777" w:rsidR="00281ABD" w:rsidRPr="008519A2" w:rsidRDefault="00281ABD" w:rsidP="00F31CA2">
            <w:pPr>
              <w:jc w:val="center"/>
              <w:rPr>
                <w:rFonts w:cs="Arial"/>
                <w:color w:val="000000"/>
                <w:lang w:eastAsia="en-GB"/>
              </w:rPr>
            </w:pPr>
            <w:r w:rsidRPr="007145B9">
              <w:t>0</w:t>
            </w:r>
          </w:p>
        </w:tc>
        <w:tc>
          <w:tcPr>
            <w:tcW w:w="458" w:type="pct"/>
            <w:tcBorders>
              <w:top w:val="nil"/>
              <w:left w:val="nil"/>
              <w:bottom w:val="single" w:sz="4" w:space="0" w:color="auto"/>
              <w:right w:val="single" w:sz="4" w:space="0" w:color="auto"/>
            </w:tcBorders>
            <w:shd w:val="clear" w:color="auto" w:fill="auto"/>
            <w:noWrap/>
          </w:tcPr>
          <w:p w14:paraId="676B96CF" w14:textId="77777777" w:rsidR="00281ABD" w:rsidRPr="008519A2" w:rsidRDefault="00281ABD" w:rsidP="00F31CA2">
            <w:pPr>
              <w:jc w:val="center"/>
              <w:rPr>
                <w:rFonts w:cs="Arial"/>
                <w:color w:val="000000"/>
                <w:lang w:eastAsia="en-GB"/>
              </w:rPr>
            </w:pPr>
            <w:r w:rsidRPr="007145B9">
              <w:t>70</w:t>
            </w:r>
          </w:p>
        </w:tc>
      </w:tr>
      <w:tr w:rsidR="00281ABD" w:rsidRPr="008519A2" w14:paraId="68B1CED1" w14:textId="77777777" w:rsidTr="00E53ABF">
        <w:trPr>
          <w:trHeight w:val="300"/>
        </w:trPr>
        <w:tc>
          <w:tcPr>
            <w:tcW w:w="982" w:type="pct"/>
            <w:tcBorders>
              <w:top w:val="nil"/>
              <w:left w:val="single" w:sz="4" w:space="0" w:color="auto"/>
              <w:bottom w:val="single" w:sz="4" w:space="0" w:color="auto"/>
              <w:right w:val="single" w:sz="4" w:space="0" w:color="auto"/>
            </w:tcBorders>
            <w:shd w:val="clear" w:color="auto" w:fill="auto"/>
            <w:noWrap/>
            <w:vAlign w:val="center"/>
            <w:hideMark/>
          </w:tcPr>
          <w:p w14:paraId="09CA893D" w14:textId="77777777" w:rsidR="00281ABD" w:rsidRPr="008519A2" w:rsidRDefault="00281ABD" w:rsidP="00F31CA2">
            <w:pPr>
              <w:jc w:val="center"/>
              <w:rPr>
                <w:rFonts w:cs="Arial"/>
                <w:color w:val="000000"/>
                <w:lang w:eastAsia="en-GB"/>
              </w:rPr>
            </w:pPr>
            <w:r w:rsidRPr="008519A2">
              <w:rPr>
                <w:rFonts w:cs="Arial"/>
                <w:color w:val="000000"/>
                <w:lang w:eastAsia="en-GB"/>
              </w:rPr>
              <w:t>Band 4</w:t>
            </w:r>
          </w:p>
        </w:tc>
        <w:tc>
          <w:tcPr>
            <w:tcW w:w="855" w:type="pct"/>
            <w:tcBorders>
              <w:top w:val="nil"/>
              <w:left w:val="nil"/>
              <w:bottom w:val="single" w:sz="4" w:space="0" w:color="auto"/>
              <w:right w:val="single" w:sz="4" w:space="0" w:color="auto"/>
            </w:tcBorders>
            <w:shd w:val="clear" w:color="auto" w:fill="auto"/>
            <w:noWrap/>
          </w:tcPr>
          <w:p w14:paraId="39FF954B" w14:textId="77777777" w:rsidR="00281ABD" w:rsidRPr="008519A2" w:rsidRDefault="00281ABD" w:rsidP="00F31CA2">
            <w:pPr>
              <w:jc w:val="center"/>
              <w:rPr>
                <w:rFonts w:cs="Arial"/>
                <w:color w:val="000000"/>
                <w:lang w:eastAsia="en-GB"/>
              </w:rPr>
            </w:pPr>
            <w:r w:rsidRPr="007145B9">
              <w:t>9</w:t>
            </w:r>
          </w:p>
        </w:tc>
        <w:tc>
          <w:tcPr>
            <w:tcW w:w="1031" w:type="pct"/>
            <w:tcBorders>
              <w:top w:val="nil"/>
              <w:left w:val="nil"/>
              <w:bottom w:val="single" w:sz="4" w:space="0" w:color="auto"/>
              <w:right w:val="single" w:sz="4" w:space="0" w:color="auto"/>
            </w:tcBorders>
            <w:shd w:val="clear" w:color="auto" w:fill="auto"/>
            <w:noWrap/>
          </w:tcPr>
          <w:p w14:paraId="1D0F3790" w14:textId="77777777" w:rsidR="00281ABD" w:rsidRPr="008519A2" w:rsidRDefault="00281ABD" w:rsidP="00F31CA2">
            <w:pPr>
              <w:jc w:val="center"/>
              <w:rPr>
                <w:rFonts w:cs="Arial"/>
                <w:color w:val="000000"/>
                <w:lang w:eastAsia="en-GB"/>
              </w:rPr>
            </w:pPr>
            <w:r w:rsidRPr="007145B9">
              <w:t>31</w:t>
            </w:r>
          </w:p>
        </w:tc>
        <w:tc>
          <w:tcPr>
            <w:tcW w:w="798" w:type="pct"/>
            <w:tcBorders>
              <w:top w:val="nil"/>
              <w:left w:val="nil"/>
              <w:bottom w:val="single" w:sz="4" w:space="0" w:color="auto"/>
              <w:right w:val="single" w:sz="4" w:space="0" w:color="auto"/>
            </w:tcBorders>
            <w:shd w:val="clear" w:color="auto" w:fill="auto"/>
            <w:noWrap/>
          </w:tcPr>
          <w:p w14:paraId="6BD35691" w14:textId="77777777" w:rsidR="00281ABD" w:rsidRPr="008519A2" w:rsidRDefault="00281ABD" w:rsidP="00F31CA2">
            <w:pPr>
              <w:jc w:val="center"/>
              <w:rPr>
                <w:rFonts w:cs="Arial"/>
                <w:color w:val="000000"/>
                <w:lang w:eastAsia="en-GB"/>
              </w:rPr>
            </w:pPr>
            <w:r w:rsidRPr="007145B9">
              <w:t>6</w:t>
            </w:r>
          </w:p>
        </w:tc>
        <w:tc>
          <w:tcPr>
            <w:tcW w:w="876" w:type="pct"/>
            <w:tcBorders>
              <w:top w:val="nil"/>
              <w:left w:val="nil"/>
              <w:bottom w:val="single" w:sz="4" w:space="0" w:color="auto"/>
              <w:right w:val="single" w:sz="4" w:space="0" w:color="auto"/>
            </w:tcBorders>
            <w:shd w:val="clear" w:color="auto" w:fill="auto"/>
            <w:noWrap/>
          </w:tcPr>
          <w:p w14:paraId="25ACEEEA" w14:textId="77777777" w:rsidR="00281ABD" w:rsidRPr="008519A2" w:rsidRDefault="00281ABD" w:rsidP="00F31CA2">
            <w:pPr>
              <w:jc w:val="center"/>
              <w:rPr>
                <w:rFonts w:cs="Arial"/>
                <w:color w:val="000000"/>
                <w:lang w:eastAsia="en-GB"/>
              </w:rPr>
            </w:pPr>
            <w:r w:rsidRPr="007145B9">
              <w:t>2</w:t>
            </w:r>
          </w:p>
        </w:tc>
        <w:tc>
          <w:tcPr>
            <w:tcW w:w="458" w:type="pct"/>
            <w:tcBorders>
              <w:top w:val="nil"/>
              <w:left w:val="nil"/>
              <w:bottom w:val="single" w:sz="4" w:space="0" w:color="auto"/>
              <w:right w:val="single" w:sz="4" w:space="0" w:color="auto"/>
            </w:tcBorders>
            <w:shd w:val="clear" w:color="auto" w:fill="auto"/>
            <w:noWrap/>
          </w:tcPr>
          <w:p w14:paraId="765652C2" w14:textId="77777777" w:rsidR="00281ABD" w:rsidRPr="008519A2" w:rsidRDefault="00281ABD" w:rsidP="00F31CA2">
            <w:pPr>
              <w:jc w:val="center"/>
              <w:rPr>
                <w:rFonts w:cs="Arial"/>
                <w:color w:val="000000"/>
                <w:lang w:eastAsia="en-GB"/>
              </w:rPr>
            </w:pPr>
            <w:r w:rsidRPr="007145B9">
              <w:t>48</w:t>
            </w:r>
          </w:p>
        </w:tc>
      </w:tr>
      <w:tr w:rsidR="00281ABD" w:rsidRPr="008519A2" w14:paraId="40768337" w14:textId="77777777" w:rsidTr="00E53ABF">
        <w:trPr>
          <w:trHeight w:val="300"/>
        </w:trPr>
        <w:tc>
          <w:tcPr>
            <w:tcW w:w="982" w:type="pct"/>
            <w:tcBorders>
              <w:top w:val="nil"/>
              <w:left w:val="single" w:sz="4" w:space="0" w:color="auto"/>
              <w:bottom w:val="single" w:sz="4" w:space="0" w:color="auto"/>
              <w:right w:val="single" w:sz="4" w:space="0" w:color="auto"/>
            </w:tcBorders>
            <w:shd w:val="clear" w:color="auto" w:fill="auto"/>
            <w:noWrap/>
            <w:vAlign w:val="center"/>
            <w:hideMark/>
          </w:tcPr>
          <w:p w14:paraId="085808F6" w14:textId="77777777" w:rsidR="00281ABD" w:rsidRPr="008519A2" w:rsidRDefault="00281ABD" w:rsidP="00F31CA2">
            <w:pPr>
              <w:jc w:val="center"/>
              <w:rPr>
                <w:rFonts w:cs="Arial"/>
                <w:color w:val="000000"/>
                <w:lang w:eastAsia="en-GB"/>
              </w:rPr>
            </w:pPr>
            <w:r w:rsidRPr="008519A2">
              <w:rPr>
                <w:rFonts w:cs="Arial"/>
                <w:color w:val="000000"/>
                <w:lang w:eastAsia="en-GB"/>
              </w:rPr>
              <w:t>Band 3</w:t>
            </w:r>
          </w:p>
        </w:tc>
        <w:tc>
          <w:tcPr>
            <w:tcW w:w="855" w:type="pct"/>
            <w:tcBorders>
              <w:top w:val="nil"/>
              <w:left w:val="nil"/>
              <w:bottom w:val="single" w:sz="4" w:space="0" w:color="auto"/>
              <w:right w:val="single" w:sz="4" w:space="0" w:color="auto"/>
            </w:tcBorders>
            <w:shd w:val="clear" w:color="auto" w:fill="auto"/>
            <w:noWrap/>
          </w:tcPr>
          <w:p w14:paraId="345C8176" w14:textId="77777777" w:rsidR="00281ABD" w:rsidRPr="008519A2" w:rsidRDefault="00281ABD" w:rsidP="00F31CA2">
            <w:pPr>
              <w:jc w:val="center"/>
              <w:rPr>
                <w:rFonts w:cs="Arial"/>
                <w:color w:val="000000"/>
                <w:lang w:eastAsia="en-GB"/>
              </w:rPr>
            </w:pPr>
            <w:r w:rsidRPr="007145B9">
              <w:t>26</w:t>
            </w:r>
          </w:p>
        </w:tc>
        <w:tc>
          <w:tcPr>
            <w:tcW w:w="1031" w:type="pct"/>
            <w:tcBorders>
              <w:top w:val="nil"/>
              <w:left w:val="nil"/>
              <w:bottom w:val="single" w:sz="4" w:space="0" w:color="auto"/>
              <w:right w:val="single" w:sz="4" w:space="0" w:color="auto"/>
            </w:tcBorders>
            <w:shd w:val="clear" w:color="auto" w:fill="auto"/>
            <w:noWrap/>
          </w:tcPr>
          <w:p w14:paraId="5BDF5944" w14:textId="77777777" w:rsidR="00281ABD" w:rsidRPr="008519A2" w:rsidRDefault="00281ABD" w:rsidP="00F31CA2">
            <w:pPr>
              <w:jc w:val="center"/>
              <w:rPr>
                <w:rFonts w:cs="Arial"/>
                <w:color w:val="000000"/>
                <w:lang w:eastAsia="en-GB"/>
              </w:rPr>
            </w:pPr>
            <w:r w:rsidRPr="007145B9">
              <w:t>19</w:t>
            </w:r>
          </w:p>
        </w:tc>
        <w:tc>
          <w:tcPr>
            <w:tcW w:w="798" w:type="pct"/>
            <w:tcBorders>
              <w:top w:val="nil"/>
              <w:left w:val="nil"/>
              <w:bottom w:val="single" w:sz="4" w:space="0" w:color="auto"/>
              <w:right w:val="single" w:sz="4" w:space="0" w:color="auto"/>
            </w:tcBorders>
            <w:shd w:val="clear" w:color="auto" w:fill="auto"/>
            <w:noWrap/>
          </w:tcPr>
          <w:p w14:paraId="227077E5" w14:textId="77777777" w:rsidR="00281ABD" w:rsidRPr="008519A2" w:rsidRDefault="00281ABD" w:rsidP="00F31CA2">
            <w:pPr>
              <w:jc w:val="center"/>
              <w:rPr>
                <w:rFonts w:cs="Arial"/>
                <w:color w:val="000000"/>
                <w:lang w:eastAsia="en-GB"/>
              </w:rPr>
            </w:pPr>
            <w:r w:rsidRPr="007145B9">
              <w:t>135</w:t>
            </w:r>
          </w:p>
        </w:tc>
        <w:tc>
          <w:tcPr>
            <w:tcW w:w="876" w:type="pct"/>
            <w:tcBorders>
              <w:top w:val="nil"/>
              <w:left w:val="nil"/>
              <w:bottom w:val="single" w:sz="4" w:space="0" w:color="auto"/>
              <w:right w:val="single" w:sz="4" w:space="0" w:color="auto"/>
            </w:tcBorders>
            <w:shd w:val="clear" w:color="auto" w:fill="auto"/>
            <w:noWrap/>
          </w:tcPr>
          <w:p w14:paraId="4FB45F23" w14:textId="77777777" w:rsidR="00281ABD" w:rsidRPr="008519A2" w:rsidRDefault="00281ABD" w:rsidP="00F31CA2">
            <w:pPr>
              <w:jc w:val="center"/>
              <w:rPr>
                <w:rFonts w:cs="Arial"/>
                <w:color w:val="000000"/>
                <w:lang w:eastAsia="en-GB"/>
              </w:rPr>
            </w:pPr>
            <w:r w:rsidRPr="007145B9">
              <w:t>49</w:t>
            </w:r>
          </w:p>
        </w:tc>
        <w:tc>
          <w:tcPr>
            <w:tcW w:w="458" w:type="pct"/>
            <w:tcBorders>
              <w:top w:val="nil"/>
              <w:left w:val="nil"/>
              <w:bottom w:val="single" w:sz="4" w:space="0" w:color="auto"/>
              <w:right w:val="single" w:sz="4" w:space="0" w:color="auto"/>
            </w:tcBorders>
            <w:shd w:val="clear" w:color="auto" w:fill="auto"/>
            <w:noWrap/>
          </w:tcPr>
          <w:p w14:paraId="55B29E7A" w14:textId="77777777" w:rsidR="00281ABD" w:rsidRPr="008519A2" w:rsidRDefault="00281ABD" w:rsidP="00F31CA2">
            <w:pPr>
              <w:jc w:val="center"/>
              <w:rPr>
                <w:rFonts w:cs="Arial"/>
                <w:color w:val="000000"/>
                <w:lang w:eastAsia="en-GB"/>
              </w:rPr>
            </w:pPr>
            <w:r w:rsidRPr="007145B9">
              <w:t>229</w:t>
            </w:r>
          </w:p>
        </w:tc>
      </w:tr>
      <w:tr w:rsidR="00281ABD" w:rsidRPr="008519A2" w14:paraId="78027523" w14:textId="77777777" w:rsidTr="00E53ABF">
        <w:trPr>
          <w:trHeight w:val="300"/>
        </w:trPr>
        <w:tc>
          <w:tcPr>
            <w:tcW w:w="982" w:type="pct"/>
            <w:tcBorders>
              <w:top w:val="nil"/>
              <w:left w:val="single" w:sz="4" w:space="0" w:color="auto"/>
              <w:bottom w:val="single" w:sz="4" w:space="0" w:color="auto"/>
              <w:right w:val="single" w:sz="4" w:space="0" w:color="auto"/>
            </w:tcBorders>
            <w:shd w:val="clear" w:color="auto" w:fill="auto"/>
            <w:noWrap/>
            <w:vAlign w:val="center"/>
            <w:hideMark/>
          </w:tcPr>
          <w:p w14:paraId="1D94A71B" w14:textId="77777777" w:rsidR="00281ABD" w:rsidRPr="008519A2" w:rsidRDefault="00281ABD" w:rsidP="00F31CA2">
            <w:pPr>
              <w:jc w:val="center"/>
              <w:rPr>
                <w:rFonts w:cs="Arial"/>
                <w:color w:val="000000"/>
                <w:lang w:eastAsia="en-GB"/>
              </w:rPr>
            </w:pPr>
            <w:r w:rsidRPr="008519A2">
              <w:rPr>
                <w:rFonts w:cs="Arial"/>
                <w:color w:val="000000"/>
                <w:lang w:eastAsia="en-GB"/>
              </w:rPr>
              <w:t>Band</w:t>
            </w:r>
            <w:r>
              <w:rPr>
                <w:rFonts w:cs="Arial"/>
                <w:color w:val="000000"/>
                <w:lang w:eastAsia="en-GB"/>
              </w:rPr>
              <w:t xml:space="preserve"> </w:t>
            </w:r>
            <w:r w:rsidRPr="008519A2">
              <w:rPr>
                <w:rFonts w:cs="Arial"/>
                <w:color w:val="000000"/>
                <w:lang w:eastAsia="en-GB"/>
              </w:rPr>
              <w:t>2</w:t>
            </w:r>
          </w:p>
        </w:tc>
        <w:tc>
          <w:tcPr>
            <w:tcW w:w="855" w:type="pct"/>
            <w:tcBorders>
              <w:top w:val="nil"/>
              <w:left w:val="nil"/>
              <w:bottom w:val="single" w:sz="4" w:space="0" w:color="auto"/>
              <w:right w:val="single" w:sz="4" w:space="0" w:color="auto"/>
            </w:tcBorders>
            <w:shd w:val="clear" w:color="auto" w:fill="auto"/>
            <w:noWrap/>
          </w:tcPr>
          <w:p w14:paraId="6ADB6D47" w14:textId="77777777" w:rsidR="00281ABD" w:rsidRPr="008519A2" w:rsidRDefault="00281ABD" w:rsidP="00F31CA2">
            <w:pPr>
              <w:jc w:val="center"/>
              <w:rPr>
                <w:rFonts w:cs="Arial"/>
                <w:color w:val="000000"/>
                <w:lang w:eastAsia="en-GB"/>
              </w:rPr>
            </w:pPr>
            <w:r w:rsidRPr="007145B9">
              <w:t>15</w:t>
            </w:r>
          </w:p>
        </w:tc>
        <w:tc>
          <w:tcPr>
            <w:tcW w:w="1031" w:type="pct"/>
            <w:tcBorders>
              <w:top w:val="nil"/>
              <w:left w:val="nil"/>
              <w:bottom w:val="single" w:sz="4" w:space="0" w:color="auto"/>
              <w:right w:val="single" w:sz="4" w:space="0" w:color="auto"/>
            </w:tcBorders>
            <w:shd w:val="clear" w:color="auto" w:fill="auto"/>
            <w:noWrap/>
          </w:tcPr>
          <w:p w14:paraId="7EFC3F04" w14:textId="77777777" w:rsidR="00281ABD" w:rsidRPr="008519A2" w:rsidRDefault="00281ABD" w:rsidP="00F31CA2">
            <w:pPr>
              <w:jc w:val="center"/>
              <w:rPr>
                <w:rFonts w:cs="Arial"/>
                <w:color w:val="000000"/>
                <w:lang w:eastAsia="en-GB"/>
              </w:rPr>
            </w:pPr>
            <w:r w:rsidRPr="007145B9">
              <w:t>21</w:t>
            </w:r>
          </w:p>
        </w:tc>
        <w:tc>
          <w:tcPr>
            <w:tcW w:w="798" w:type="pct"/>
            <w:tcBorders>
              <w:top w:val="nil"/>
              <w:left w:val="nil"/>
              <w:bottom w:val="single" w:sz="4" w:space="0" w:color="auto"/>
              <w:right w:val="single" w:sz="4" w:space="0" w:color="auto"/>
            </w:tcBorders>
            <w:shd w:val="clear" w:color="auto" w:fill="auto"/>
            <w:noWrap/>
          </w:tcPr>
          <w:p w14:paraId="2E0A70F8" w14:textId="77777777" w:rsidR="00281ABD" w:rsidRPr="008519A2" w:rsidRDefault="00281ABD" w:rsidP="00F31CA2">
            <w:pPr>
              <w:jc w:val="center"/>
              <w:rPr>
                <w:rFonts w:cs="Arial"/>
                <w:color w:val="000000"/>
                <w:lang w:eastAsia="en-GB"/>
              </w:rPr>
            </w:pPr>
            <w:r w:rsidRPr="007145B9">
              <w:t>149</w:t>
            </w:r>
          </w:p>
        </w:tc>
        <w:tc>
          <w:tcPr>
            <w:tcW w:w="876" w:type="pct"/>
            <w:tcBorders>
              <w:top w:val="nil"/>
              <w:left w:val="nil"/>
              <w:bottom w:val="single" w:sz="4" w:space="0" w:color="auto"/>
              <w:right w:val="single" w:sz="4" w:space="0" w:color="auto"/>
            </w:tcBorders>
            <w:shd w:val="clear" w:color="auto" w:fill="auto"/>
            <w:noWrap/>
          </w:tcPr>
          <w:p w14:paraId="619C9EF3" w14:textId="77777777" w:rsidR="00281ABD" w:rsidRPr="008519A2" w:rsidRDefault="00281ABD" w:rsidP="00F31CA2">
            <w:pPr>
              <w:jc w:val="center"/>
              <w:rPr>
                <w:rFonts w:cs="Arial"/>
                <w:color w:val="000000"/>
                <w:lang w:eastAsia="en-GB"/>
              </w:rPr>
            </w:pPr>
            <w:r w:rsidRPr="007145B9">
              <w:t>27</w:t>
            </w:r>
          </w:p>
        </w:tc>
        <w:tc>
          <w:tcPr>
            <w:tcW w:w="458" w:type="pct"/>
            <w:tcBorders>
              <w:top w:val="nil"/>
              <w:left w:val="nil"/>
              <w:bottom w:val="single" w:sz="4" w:space="0" w:color="auto"/>
              <w:right w:val="single" w:sz="4" w:space="0" w:color="auto"/>
            </w:tcBorders>
            <w:shd w:val="clear" w:color="auto" w:fill="auto"/>
            <w:noWrap/>
          </w:tcPr>
          <w:p w14:paraId="508ACDB5" w14:textId="77777777" w:rsidR="00281ABD" w:rsidRPr="008519A2" w:rsidRDefault="00281ABD" w:rsidP="00F31CA2">
            <w:pPr>
              <w:jc w:val="center"/>
              <w:rPr>
                <w:rFonts w:cs="Arial"/>
                <w:color w:val="000000"/>
                <w:lang w:eastAsia="en-GB"/>
              </w:rPr>
            </w:pPr>
            <w:r w:rsidRPr="007145B9">
              <w:t>212</w:t>
            </w:r>
          </w:p>
        </w:tc>
      </w:tr>
      <w:tr w:rsidR="00281ABD" w:rsidRPr="008519A2" w14:paraId="162E13AB" w14:textId="77777777" w:rsidTr="00E53ABF">
        <w:trPr>
          <w:trHeight w:val="300"/>
        </w:trPr>
        <w:tc>
          <w:tcPr>
            <w:tcW w:w="982" w:type="pct"/>
            <w:tcBorders>
              <w:top w:val="nil"/>
              <w:left w:val="single" w:sz="4" w:space="0" w:color="auto"/>
              <w:bottom w:val="single" w:sz="4" w:space="0" w:color="auto"/>
              <w:right w:val="single" w:sz="4" w:space="0" w:color="auto"/>
            </w:tcBorders>
            <w:shd w:val="clear" w:color="auto" w:fill="auto"/>
            <w:noWrap/>
            <w:vAlign w:val="center"/>
            <w:hideMark/>
          </w:tcPr>
          <w:p w14:paraId="1154BE7F" w14:textId="77777777" w:rsidR="00281ABD" w:rsidRPr="008519A2" w:rsidRDefault="00281ABD" w:rsidP="00F31CA2">
            <w:pPr>
              <w:jc w:val="center"/>
              <w:rPr>
                <w:rFonts w:cs="Arial"/>
                <w:color w:val="000000"/>
                <w:lang w:eastAsia="en-GB"/>
              </w:rPr>
            </w:pPr>
            <w:r w:rsidRPr="008519A2">
              <w:rPr>
                <w:rFonts w:cs="Arial"/>
                <w:color w:val="000000"/>
                <w:lang w:eastAsia="en-GB"/>
              </w:rPr>
              <w:t>Band 1</w:t>
            </w:r>
          </w:p>
        </w:tc>
        <w:tc>
          <w:tcPr>
            <w:tcW w:w="855" w:type="pct"/>
            <w:tcBorders>
              <w:top w:val="nil"/>
              <w:left w:val="nil"/>
              <w:bottom w:val="single" w:sz="4" w:space="0" w:color="auto"/>
              <w:right w:val="single" w:sz="4" w:space="0" w:color="auto"/>
            </w:tcBorders>
            <w:shd w:val="clear" w:color="auto" w:fill="auto"/>
            <w:noWrap/>
          </w:tcPr>
          <w:p w14:paraId="7B1CCE7F" w14:textId="77777777" w:rsidR="00281ABD" w:rsidRPr="008519A2" w:rsidRDefault="00281ABD" w:rsidP="00F31CA2">
            <w:pPr>
              <w:jc w:val="center"/>
              <w:rPr>
                <w:rFonts w:cs="Arial"/>
                <w:color w:val="000000"/>
                <w:lang w:eastAsia="en-GB"/>
              </w:rPr>
            </w:pPr>
            <w:r w:rsidRPr="007145B9">
              <w:t>4</w:t>
            </w:r>
          </w:p>
        </w:tc>
        <w:tc>
          <w:tcPr>
            <w:tcW w:w="1031" w:type="pct"/>
            <w:tcBorders>
              <w:top w:val="nil"/>
              <w:left w:val="nil"/>
              <w:bottom w:val="single" w:sz="4" w:space="0" w:color="auto"/>
              <w:right w:val="single" w:sz="4" w:space="0" w:color="auto"/>
            </w:tcBorders>
            <w:shd w:val="clear" w:color="auto" w:fill="auto"/>
            <w:noWrap/>
          </w:tcPr>
          <w:p w14:paraId="1B2ADF77" w14:textId="77777777" w:rsidR="00281ABD" w:rsidRPr="008519A2" w:rsidRDefault="00281ABD" w:rsidP="00F31CA2">
            <w:pPr>
              <w:jc w:val="center"/>
              <w:rPr>
                <w:rFonts w:cs="Arial"/>
                <w:color w:val="000000"/>
                <w:lang w:eastAsia="en-GB"/>
              </w:rPr>
            </w:pPr>
            <w:r w:rsidRPr="007145B9">
              <w:t>8</w:t>
            </w:r>
          </w:p>
        </w:tc>
        <w:tc>
          <w:tcPr>
            <w:tcW w:w="798" w:type="pct"/>
            <w:tcBorders>
              <w:top w:val="nil"/>
              <w:left w:val="nil"/>
              <w:bottom w:val="single" w:sz="4" w:space="0" w:color="auto"/>
              <w:right w:val="single" w:sz="4" w:space="0" w:color="auto"/>
            </w:tcBorders>
            <w:shd w:val="clear" w:color="auto" w:fill="auto"/>
            <w:noWrap/>
          </w:tcPr>
          <w:p w14:paraId="56CB9F7C" w14:textId="77777777" w:rsidR="00281ABD" w:rsidRPr="008519A2" w:rsidRDefault="00281ABD" w:rsidP="00F31CA2">
            <w:pPr>
              <w:jc w:val="center"/>
              <w:rPr>
                <w:rFonts w:cs="Arial"/>
                <w:color w:val="000000"/>
                <w:lang w:eastAsia="en-GB"/>
              </w:rPr>
            </w:pPr>
            <w:r w:rsidRPr="007145B9">
              <w:t>29</w:t>
            </w:r>
          </w:p>
        </w:tc>
        <w:tc>
          <w:tcPr>
            <w:tcW w:w="876" w:type="pct"/>
            <w:tcBorders>
              <w:top w:val="nil"/>
              <w:left w:val="nil"/>
              <w:bottom w:val="single" w:sz="4" w:space="0" w:color="auto"/>
              <w:right w:val="single" w:sz="4" w:space="0" w:color="auto"/>
            </w:tcBorders>
            <w:shd w:val="clear" w:color="auto" w:fill="auto"/>
            <w:noWrap/>
          </w:tcPr>
          <w:p w14:paraId="5CB24E48" w14:textId="77777777" w:rsidR="00281ABD" w:rsidRPr="008519A2" w:rsidRDefault="00281ABD" w:rsidP="00F31CA2">
            <w:pPr>
              <w:jc w:val="center"/>
              <w:rPr>
                <w:rFonts w:cs="Arial"/>
                <w:color w:val="000000"/>
                <w:lang w:eastAsia="en-GB"/>
              </w:rPr>
            </w:pPr>
            <w:r w:rsidRPr="007145B9">
              <w:t>3</w:t>
            </w:r>
          </w:p>
        </w:tc>
        <w:tc>
          <w:tcPr>
            <w:tcW w:w="458" w:type="pct"/>
            <w:tcBorders>
              <w:top w:val="nil"/>
              <w:left w:val="nil"/>
              <w:bottom w:val="single" w:sz="4" w:space="0" w:color="auto"/>
              <w:right w:val="single" w:sz="4" w:space="0" w:color="auto"/>
            </w:tcBorders>
            <w:shd w:val="clear" w:color="auto" w:fill="auto"/>
            <w:noWrap/>
          </w:tcPr>
          <w:p w14:paraId="3F72121F" w14:textId="77777777" w:rsidR="00281ABD" w:rsidRPr="008519A2" w:rsidRDefault="00281ABD" w:rsidP="00F31CA2">
            <w:pPr>
              <w:jc w:val="center"/>
              <w:rPr>
                <w:rFonts w:cs="Arial"/>
                <w:color w:val="000000"/>
                <w:lang w:eastAsia="en-GB"/>
              </w:rPr>
            </w:pPr>
            <w:r w:rsidRPr="007145B9">
              <w:t>44</w:t>
            </w:r>
          </w:p>
        </w:tc>
      </w:tr>
      <w:tr w:rsidR="00281ABD" w:rsidRPr="008519A2" w14:paraId="67C41FB8" w14:textId="77777777" w:rsidTr="00E53ABF">
        <w:trPr>
          <w:trHeight w:val="300"/>
        </w:trPr>
        <w:tc>
          <w:tcPr>
            <w:tcW w:w="982" w:type="pct"/>
            <w:tcBorders>
              <w:top w:val="nil"/>
              <w:left w:val="single" w:sz="4" w:space="0" w:color="auto"/>
              <w:bottom w:val="single" w:sz="4" w:space="0" w:color="auto"/>
              <w:right w:val="single" w:sz="4" w:space="0" w:color="auto"/>
            </w:tcBorders>
            <w:shd w:val="clear" w:color="auto" w:fill="auto"/>
            <w:noWrap/>
            <w:vAlign w:val="center"/>
            <w:hideMark/>
          </w:tcPr>
          <w:p w14:paraId="00B549E3" w14:textId="77777777" w:rsidR="00281ABD" w:rsidRPr="008519A2" w:rsidRDefault="00281ABD" w:rsidP="00F31CA2">
            <w:pPr>
              <w:jc w:val="center"/>
              <w:rPr>
                <w:rFonts w:cs="Arial"/>
                <w:color w:val="000000"/>
                <w:lang w:eastAsia="en-GB"/>
              </w:rPr>
            </w:pPr>
            <w:r w:rsidRPr="008519A2">
              <w:rPr>
                <w:rFonts w:cs="Arial"/>
                <w:color w:val="000000"/>
                <w:lang w:eastAsia="en-GB"/>
              </w:rPr>
              <w:t>SCS1</w:t>
            </w:r>
          </w:p>
        </w:tc>
        <w:tc>
          <w:tcPr>
            <w:tcW w:w="855" w:type="pct"/>
            <w:tcBorders>
              <w:top w:val="nil"/>
              <w:left w:val="nil"/>
              <w:bottom w:val="single" w:sz="4" w:space="0" w:color="auto"/>
              <w:right w:val="single" w:sz="4" w:space="0" w:color="auto"/>
            </w:tcBorders>
            <w:shd w:val="clear" w:color="auto" w:fill="auto"/>
            <w:noWrap/>
          </w:tcPr>
          <w:p w14:paraId="45E036DF" w14:textId="77777777" w:rsidR="00281ABD" w:rsidRPr="008519A2" w:rsidRDefault="00281ABD" w:rsidP="00F31CA2">
            <w:pPr>
              <w:jc w:val="center"/>
              <w:rPr>
                <w:rFonts w:cs="Arial"/>
                <w:color w:val="000000"/>
                <w:lang w:eastAsia="en-GB"/>
              </w:rPr>
            </w:pPr>
            <w:r w:rsidRPr="007145B9">
              <w:t>3</w:t>
            </w:r>
          </w:p>
        </w:tc>
        <w:tc>
          <w:tcPr>
            <w:tcW w:w="1031" w:type="pct"/>
            <w:tcBorders>
              <w:top w:val="nil"/>
              <w:left w:val="nil"/>
              <w:bottom w:val="single" w:sz="4" w:space="0" w:color="auto"/>
              <w:right w:val="single" w:sz="4" w:space="0" w:color="auto"/>
            </w:tcBorders>
            <w:shd w:val="clear" w:color="auto" w:fill="auto"/>
            <w:noWrap/>
          </w:tcPr>
          <w:p w14:paraId="45A5E5B3" w14:textId="77777777" w:rsidR="00281ABD" w:rsidRPr="008519A2" w:rsidRDefault="00281ABD" w:rsidP="00F31CA2">
            <w:pPr>
              <w:jc w:val="center"/>
              <w:rPr>
                <w:rFonts w:cs="Arial"/>
                <w:color w:val="000000"/>
                <w:lang w:eastAsia="en-GB"/>
              </w:rPr>
            </w:pPr>
            <w:r w:rsidRPr="007145B9">
              <w:t>0</w:t>
            </w:r>
          </w:p>
        </w:tc>
        <w:tc>
          <w:tcPr>
            <w:tcW w:w="798" w:type="pct"/>
            <w:tcBorders>
              <w:top w:val="nil"/>
              <w:left w:val="nil"/>
              <w:bottom w:val="single" w:sz="4" w:space="0" w:color="auto"/>
              <w:right w:val="single" w:sz="4" w:space="0" w:color="auto"/>
            </w:tcBorders>
            <w:shd w:val="clear" w:color="auto" w:fill="auto"/>
            <w:noWrap/>
          </w:tcPr>
          <w:p w14:paraId="0869DD6C" w14:textId="4F74EC47" w:rsidR="00281ABD" w:rsidRPr="008519A2" w:rsidRDefault="00D172A7" w:rsidP="00F31CA2">
            <w:pPr>
              <w:jc w:val="center"/>
              <w:rPr>
                <w:rFonts w:cs="Arial"/>
                <w:color w:val="000000"/>
                <w:lang w:eastAsia="en-GB"/>
              </w:rPr>
            </w:pPr>
            <w:r>
              <w:t>4</w:t>
            </w:r>
          </w:p>
        </w:tc>
        <w:tc>
          <w:tcPr>
            <w:tcW w:w="876" w:type="pct"/>
            <w:tcBorders>
              <w:top w:val="nil"/>
              <w:left w:val="nil"/>
              <w:bottom w:val="single" w:sz="4" w:space="0" w:color="auto"/>
              <w:right w:val="single" w:sz="4" w:space="0" w:color="auto"/>
            </w:tcBorders>
            <w:shd w:val="clear" w:color="auto" w:fill="auto"/>
            <w:noWrap/>
          </w:tcPr>
          <w:p w14:paraId="60602018" w14:textId="5399331D" w:rsidR="00281ABD" w:rsidRPr="008519A2" w:rsidRDefault="00D172A7" w:rsidP="00F31CA2">
            <w:pPr>
              <w:jc w:val="center"/>
              <w:rPr>
                <w:rFonts w:cs="Arial"/>
                <w:color w:val="000000"/>
                <w:lang w:eastAsia="en-GB"/>
              </w:rPr>
            </w:pPr>
            <w:r>
              <w:t>1</w:t>
            </w:r>
          </w:p>
        </w:tc>
        <w:tc>
          <w:tcPr>
            <w:tcW w:w="458" w:type="pct"/>
            <w:tcBorders>
              <w:top w:val="nil"/>
              <w:left w:val="nil"/>
              <w:bottom w:val="single" w:sz="4" w:space="0" w:color="auto"/>
              <w:right w:val="single" w:sz="4" w:space="0" w:color="auto"/>
            </w:tcBorders>
            <w:shd w:val="clear" w:color="auto" w:fill="auto"/>
            <w:noWrap/>
          </w:tcPr>
          <w:p w14:paraId="62BC2AD5" w14:textId="77777777" w:rsidR="00281ABD" w:rsidRPr="008519A2" w:rsidRDefault="00281ABD" w:rsidP="00F31CA2">
            <w:pPr>
              <w:jc w:val="center"/>
              <w:rPr>
                <w:rFonts w:cs="Arial"/>
                <w:color w:val="000000"/>
                <w:lang w:eastAsia="en-GB"/>
              </w:rPr>
            </w:pPr>
            <w:r w:rsidRPr="007145B9">
              <w:t>8</w:t>
            </w:r>
          </w:p>
        </w:tc>
      </w:tr>
      <w:tr w:rsidR="00281ABD" w:rsidRPr="008519A2" w14:paraId="5047CECD" w14:textId="77777777" w:rsidTr="00E53ABF">
        <w:trPr>
          <w:trHeight w:val="300"/>
        </w:trPr>
        <w:tc>
          <w:tcPr>
            <w:tcW w:w="982" w:type="pct"/>
            <w:tcBorders>
              <w:top w:val="nil"/>
              <w:left w:val="single" w:sz="4" w:space="0" w:color="auto"/>
              <w:bottom w:val="single" w:sz="4" w:space="0" w:color="auto"/>
              <w:right w:val="single" w:sz="4" w:space="0" w:color="auto"/>
            </w:tcBorders>
            <w:shd w:val="clear" w:color="auto" w:fill="auto"/>
            <w:noWrap/>
            <w:vAlign w:val="center"/>
            <w:hideMark/>
          </w:tcPr>
          <w:p w14:paraId="6A01B6B9" w14:textId="77777777" w:rsidR="00281ABD" w:rsidRPr="008519A2" w:rsidRDefault="00281ABD" w:rsidP="00F31CA2">
            <w:pPr>
              <w:jc w:val="center"/>
              <w:rPr>
                <w:rFonts w:cs="Arial"/>
                <w:color w:val="000000"/>
                <w:lang w:eastAsia="en-GB"/>
              </w:rPr>
            </w:pPr>
            <w:r w:rsidRPr="008519A2">
              <w:rPr>
                <w:rFonts w:cs="Arial"/>
                <w:color w:val="000000"/>
                <w:lang w:eastAsia="en-GB"/>
              </w:rPr>
              <w:t>SCS2</w:t>
            </w:r>
          </w:p>
        </w:tc>
        <w:tc>
          <w:tcPr>
            <w:tcW w:w="855" w:type="pct"/>
            <w:tcBorders>
              <w:top w:val="nil"/>
              <w:left w:val="nil"/>
              <w:bottom w:val="single" w:sz="4" w:space="0" w:color="auto"/>
              <w:right w:val="single" w:sz="4" w:space="0" w:color="auto"/>
            </w:tcBorders>
            <w:shd w:val="clear" w:color="auto" w:fill="auto"/>
            <w:noWrap/>
          </w:tcPr>
          <w:p w14:paraId="5ECBD216" w14:textId="77777777" w:rsidR="00281ABD" w:rsidRPr="008519A2" w:rsidRDefault="00281ABD" w:rsidP="00F31CA2">
            <w:pPr>
              <w:jc w:val="center"/>
              <w:rPr>
                <w:rFonts w:cs="Arial"/>
                <w:color w:val="000000"/>
                <w:lang w:eastAsia="en-GB"/>
              </w:rPr>
            </w:pPr>
            <w:r w:rsidRPr="007145B9">
              <w:t>0</w:t>
            </w:r>
          </w:p>
        </w:tc>
        <w:tc>
          <w:tcPr>
            <w:tcW w:w="1031" w:type="pct"/>
            <w:tcBorders>
              <w:top w:val="nil"/>
              <w:left w:val="nil"/>
              <w:bottom w:val="single" w:sz="4" w:space="0" w:color="auto"/>
              <w:right w:val="single" w:sz="4" w:space="0" w:color="auto"/>
            </w:tcBorders>
            <w:shd w:val="clear" w:color="auto" w:fill="auto"/>
            <w:noWrap/>
          </w:tcPr>
          <w:p w14:paraId="4C479200" w14:textId="77777777" w:rsidR="00281ABD" w:rsidRPr="008519A2" w:rsidRDefault="00281ABD" w:rsidP="00F31CA2">
            <w:pPr>
              <w:jc w:val="center"/>
              <w:rPr>
                <w:rFonts w:cs="Arial"/>
                <w:color w:val="000000"/>
                <w:lang w:eastAsia="en-GB"/>
              </w:rPr>
            </w:pPr>
            <w:r w:rsidRPr="007145B9">
              <w:t>1</w:t>
            </w:r>
          </w:p>
        </w:tc>
        <w:tc>
          <w:tcPr>
            <w:tcW w:w="798" w:type="pct"/>
            <w:tcBorders>
              <w:top w:val="nil"/>
              <w:left w:val="nil"/>
              <w:bottom w:val="single" w:sz="4" w:space="0" w:color="auto"/>
              <w:right w:val="single" w:sz="4" w:space="0" w:color="auto"/>
            </w:tcBorders>
            <w:shd w:val="clear" w:color="auto" w:fill="auto"/>
            <w:noWrap/>
          </w:tcPr>
          <w:p w14:paraId="70B8D513" w14:textId="77777777" w:rsidR="00281ABD" w:rsidRPr="008519A2" w:rsidRDefault="00281ABD" w:rsidP="00F31CA2">
            <w:pPr>
              <w:jc w:val="center"/>
              <w:rPr>
                <w:rFonts w:cs="Arial"/>
                <w:color w:val="000000"/>
                <w:lang w:eastAsia="en-GB"/>
              </w:rPr>
            </w:pPr>
            <w:r w:rsidRPr="007145B9">
              <w:t>2</w:t>
            </w:r>
          </w:p>
        </w:tc>
        <w:tc>
          <w:tcPr>
            <w:tcW w:w="876" w:type="pct"/>
            <w:tcBorders>
              <w:top w:val="nil"/>
              <w:left w:val="nil"/>
              <w:bottom w:val="single" w:sz="4" w:space="0" w:color="auto"/>
              <w:right w:val="single" w:sz="4" w:space="0" w:color="auto"/>
            </w:tcBorders>
            <w:shd w:val="clear" w:color="auto" w:fill="auto"/>
            <w:noWrap/>
          </w:tcPr>
          <w:p w14:paraId="7DD33A40" w14:textId="77777777" w:rsidR="00281ABD" w:rsidRPr="008519A2" w:rsidRDefault="00281ABD" w:rsidP="00F31CA2">
            <w:pPr>
              <w:jc w:val="center"/>
              <w:rPr>
                <w:rFonts w:cs="Arial"/>
                <w:color w:val="000000"/>
                <w:lang w:eastAsia="en-GB"/>
              </w:rPr>
            </w:pPr>
            <w:r w:rsidRPr="007145B9">
              <w:t>0</w:t>
            </w:r>
          </w:p>
        </w:tc>
        <w:tc>
          <w:tcPr>
            <w:tcW w:w="458" w:type="pct"/>
            <w:tcBorders>
              <w:top w:val="nil"/>
              <w:left w:val="nil"/>
              <w:bottom w:val="single" w:sz="4" w:space="0" w:color="auto"/>
              <w:right w:val="single" w:sz="4" w:space="0" w:color="auto"/>
            </w:tcBorders>
            <w:shd w:val="clear" w:color="auto" w:fill="auto"/>
            <w:noWrap/>
          </w:tcPr>
          <w:p w14:paraId="2B6EAF4C" w14:textId="77777777" w:rsidR="00281ABD" w:rsidRPr="008519A2" w:rsidRDefault="00281ABD" w:rsidP="00F31CA2">
            <w:pPr>
              <w:jc w:val="center"/>
              <w:rPr>
                <w:rFonts w:cs="Arial"/>
                <w:color w:val="000000"/>
                <w:lang w:eastAsia="en-GB"/>
              </w:rPr>
            </w:pPr>
            <w:r w:rsidRPr="007145B9">
              <w:t>3</w:t>
            </w:r>
          </w:p>
        </w:tc>
      </w:tr>
      <w:tr w:rsidR="00281ABD" w:rsidRPr="008519A2" w14:paraId="2D7C92AF" w14:textId="77777777" w:rsidTr="00E53ABF">
        <w:trPr>
          <w:trHeight w:val="300"/>
        </w:trPr>
        <w:tc>
          <w:tcPr>
            <w:tcW w:w="982" w:type="pct"/>
            <w:tcBorders>
              <w:top w:val="nil"/>
              <w:left w:val="single" w:sz="4" w:space="0" w:color="auto"/>
              <w:bottom w:val="single" w:sz="4" w:space="0" w:color="auto"/>
              <w:right w:val="single" w:sz="4" w:space="0" w:color="auto"/>
            </w:tcBorders>
            <w:shd w:val="clear" w:color="auto" w:fill="auto"/>
            <w:noWrap/>
            <w:vAlign w:val="center"/>
            <w:hideMark/>
          </w:tcPr>
          <w:p w14:paraId="6DD5604B" w14:textId="77777777" w:rsidR="00281ABD" w:rsidRPr="008519A2" w:rsidRDefault="00281ABD" w:rsidP="00F31CA2">
            <w:pPr>
              <w:jc w:val="center"/>
              <w:rPr>
                <w:rFonts w:cs="Arial"/>
                <w:color w:val="000000"/>
                <w:lang w:eastAsia="en-GB"/>
              </w:rPr>
            </w:pPr>
            <w:r>
              <w:rPr>
                <w:rFonts w:cs="Arial"/>
                <w:color w:val="000000"/>
                <w:lang w:eastAsia="en-GB"/>
              </w:rPr>
              <w:t>T</w:t>
            </w:r>
            <w:r w:rsidRPr="008519A2">
              <w:rPr>
                <w:rFonts w:cs="Arial"/>
                <w:color w:val="000000"/>
                <w:lang w:eastAsia="en-GB"/>
              </w:rPr>
              <w:t>otal</w:t>
            </w:r>
          </w:p>
        </w:tc>
        <w:tc>
          <w:tcPr>
            <w:tcW w:w="855" w:type="pct"/>
            <w:tcBorders>
              <w:top w:val="nil"/>
              <w:left w:val="nil"/>
              <w:bottom w:val="single" w:sz="4" w:space="0" w:color="auto"/>
              <w:right w:val="single" w:sz="4" w:space="0" w:color="auto"/>
            </w:tcBorders>
            <w:shd w:val="clear" w:color="auto" w:fill="auto"/>
            <w:noWrap/>
          </w:tcPr>
          <w:p w14:paraId="2DDC0493" w14:textId="77777777" w:rsidR="00281ABD" w:rsidRPr="008519A2" w:rsidRDefault="00281ABD" w:rsidP="00F31CA2">
            <w:pPr>
              <w:jc w:val="center"/>
              <w:rPr>
                <w:rFonts w:cs="Arial"/>
                <w:color w:val="000000"/>
                <w:lang w:eastAsia="en-GB"/>
              </w:rPr>
            </w:pPr>
            <w:r w:rsidRPr="007145B9">
              <w:t>97</w:t>
            </w:r>
          </w:p>
        </w:tc>
        <w:tc>
          <w:tcPr>
            <w:tcW w:w="1031" w:type="pct"/>
            <w:tcBorders>
              <w:top w:val="nil"/>
              <w:left w:val="nil"/>
              <w:bottom w:val="single" w:sz="4" w:space="0" w:color="auto"/>
              <w:right w:val="single" w:sz="4" w:space="0" w:color="auto"/>
            </w:tcBorders>
            <w:shd w:val="clear" w:color="auto" w:fill="auto"/>
            <w:noWrap/>
          </w:tcPr>
          <w:p w14:paraId="6CA84175" w14:textId="77777777" w:rsidR="00281ABD" w:rsidRPr="008519A2" w:rsidRDefault="00281ABD" w:rsidP="00F31CA2">
            <w:pPr>
              <w:jc w:val="center"/>
              <w:rPr>
                <w:rFonts w:cs="Arial"/>
                <w:color w:val="000000"/>
                <w:lang w:eastAsia="en-GB"/>
              </w:rPr>
            </w:pPr>
            <w:r w:rsidRPr="007145B9">
              <w:t>157</w:t>
            </w:r>
          </w:p>
        </w:tc>
        <w:tc>
          <w:tcPr>
            <w:tcW w:w="798" w:type="pct"/>
            <w:tcBorders>
              <w:top w:val="nil"/>
              <w:left w:val="nil"/>
              <w:bottom w:val="single" w:sz="4" w:space="0" w:color="auto"/>
              <w:right w:val="single" w:sz="4" w:space="0" w:color="auto"/>
            </w:tcBorders>
            <w:shd w:val="clear" w:color="auto" w:fill="auto"/>
            <w:noWrap/>
          </w:tcPr>
          <w:p w14:paraId="0DE41F57" w14:textId="77777777" w:rsidR="00281ABD" w:rsidRPr="008519A2" w:rsidRDefault="00281ABD" w:rsidP="00F31CA2">
            <w:pPr>
              <w:jc w:val="center"/>
              <w:rPr>
                <w:rFonts w:cs="Arial"/>
                <w:color w:val="000000"/>
                <w:lang w:eastAsia="en-GB"/>
              </w:rPr>
            </w:pPr>
            <w:r w:rsidRPr="007145B9">
              <w:t>322</w:t>
            </w:r>
          </w:p>
        </w:tc>
        <w:tc>
          <w:tcPr>
            <w:tcW w:w="876" w:type="pct"/>
            <w:tcBorders>
              <w:top w:val="nil"/>
              <w:left w:val="nil"/>
              <w:bottom w:val="single" w:sz="4" w:space="0" w:color="auto"/>
              <w:right w:val="single" w:sz="4" w:space="0" w:color="auto"/>
            </w:tcBorders>
            <w:shd w:val="clear" w:color="auto" w:fill="auto"/>
            <w:noWrap/>
          </w:tcPr>
          <w:p w14:paraId="03930D93" w14:textId="77777777" w:rsidR="00281ABD" w:rsidRPr="008519A2" w:rsidRDefault="00281ABD" w:rsidP="00F31CA2">
            <w:pPr>
              <w:jc w:val="center"/>
              <w:rPr>
                <w:rFonts w:cs="Arial"/>
                <w:color w:val="000000"/>
                <w:lang w:eastAsia="en-GB"/>
              </w:rPr>
            </w:pPr>
            <w:r w:rsidRPr="007145B9">
              <w:t>85</w:t>
            </w:r>
          </w:p>
        </w:tc>
        <w:tc>
          <w:tcPr>
            <w:tcW w:w="458" w:type="pct"/>
            <w:tcBorders>
              <w:top w:val="nil"/>
              <w:left w:val="nil"/>
              <w:bottom w:val="single" w:sz="4" w:space="0" w:color="auto"/>
              <w:right w:val="single" w:sz="4" w:space="0" w:color="auto"/>
            </w:tcBorders>
            <w:shd w:val="clear" w:color="auto" w:fill="auto"/>
            <w:noWrap/>
          </w:tcPr>
          <w:p w14:paraId="3B7C6006" w14:textId="77777777" w:rsidR="00281ABD" w:rsidRPr="008519A2" w:rsidRDefault="00281ABD" w:rsidP="00F31CA2">
            <w:pPr>
              <w:jc w:val="center"/>
              <w:rPr>
                <w:rFonts w:cs="Arial"/>
                <w:color w:val="000000"/>
                <w:lang w:eastAsia="en-GB"/>
              </w:rPr>
            </w:pPr>
            <w:r w:rsidRPr="007145B9">
              <w:t>661</w:t>
            </w:r>
          </w:p>
        </w:tc>
      </w:tr>
      <w:tr w:rsidR="00281ABD" w:rsidRPr="008519A2" w14:paraId="176B0666" w14:textId="77777777" w:rsidTr="00E53ABF">
        <w:trPr>
          <w:trHeight w:val="300"/>
        </w:trPr>
        <w:tc>
          <w:tcPr>
            <w:tcW w:w="982" w:type="pct"/>
            <w:tcBorders>
              <w:top w:val="nil"/>
              <w:left w:val="single" w:sz="4" w:space="0" w:color="auto"/>
              <w:bottom w:val="single" w:sz="4" w:space="0" w:color="auto"/>
              <w:right w:val="single" w:sz="4" w:space="0" w:color="auto"/>
            </w:tcBorders>
            <w:shd w:val="clear" w:color="auto" w:fill="auto"/>
            <w:noWrap/>
            <w:vAlign w:val="center"/>
            <w:hideMark/>
          </w:tcPr>
          <w:p w14:paraId="1F140883" w14:textId="77777777" w:rsidR="00281ABD" w:rsidRPr="008519A2" w:rsidRDefault="00281ABD" w:rsidP="00F31CA2">
            <w:pPr>
              <w:jc w:val="center"/>
              <w:rPr>
                <w:rFonts w:cs="Arial"/>
                <w:color w:val="000000"/>
                <w:lang w:eastAsia="en-GB"/>
              </w:rPr>
            </w:pPr>
            <w:r>
              <w:rPr>
                <w:rFonts w:cs="Arial"/>
                <w:color w:val="000000"/>
                <w:lang w:eastAsia="en-GB"/>
              </w:rPr>
              <w:t>P</w:t>
            </w:r>
            <w:r w:rsidRPr="008519A2">
              <w:rPr>
                <w:rFonts w:cs="Arial"/>
                <w:color w:val="000000"/>
                <w:lang w:eastAsia="en-GB"/>
              </w:rPr>
              <w:t>ercentage</w:t>
            </w:r>
            <w:r>
              <w:rPr>
                <w:rFonts w:cs="Arial"/>
                <w:color w:val="000000"/>
                <w:lang w:eastAsia="en-GB"/>
              </w:rPr>
              <w:t xml:space="preserve"> of organisation</w:t>
            </w:r>
          </w:p>
        </w:tc>
        <w:tc>
          <w:tcPr>
            <w:tcW w:w="855" w:type="pct"/>
            <w:tcBorders>
              <w:top w:val="nil"/>
              <w:left w:val="nil"/>
              <w:bottom w:val="single" w:sz="4" w:space="0" w:color="auto"/>
              <w:right w:val="single" w:sz="4" w:space="0" w:color="auto"/>
            </w:tcBorders>
            <w:shd w:val="clear" w:color="auto" w:fill="auto"/>
            <w:noWrap/>
          </w:tcPr>
          <w:p w14:paraId="5E974143" w14:textId="77777777" w:rsidR="00281ABD" w:rsidRPr="008519A2" w:rsidRDefault="00281ABD" w:rsidP="00F31CA2">
            <w:pPr>
              <w:jc w:val="center"/>
              <w:rPr>
                <w:rFonts w:cs="Arial"/>
                <w:color w:val="000000"/>
                <w:lang w:eastAsia="en-GB"/>
              </w:rPr>
            </w:pPr>
            <w:r w:rsidRPr="007145B9">
              <w:t>14.67%</w:t>
            </w:r>
          </w:p>
        </w:tc>
        <w:tc>
          <w:tcPr>
            <w:tcW w:w="1031" w:type="pct"/>
            <w:tcBorders>
              <w:top w:val="nil"/>
              <w:left w:val="nil"/>
              <w:bottom w:val="single" w:sz="4" w:space="0" w:color="auto"/>
              <w:right w:val="single" w:sz="4" w:space="0" w:color="auto"/>
            </w:tcBorders>
            <w:shd w:val="clear" w:color="auto" w:fill="auto"/>
            <w:noWrap/>
          </w:tcPr>
          <w:p w14:paraId="6BAF7F9A" w14:textId="77777777" w:rsidR="00281ABD" w:rsidRPr="008519A2" w:rsidRDefault="00281ABD" w:rsidP="00F31CA2">
            <w:pPr>
              <w:jc w:val="center"/>
              <w:rPr>
                <w:rFonts w:cs="Arial"/>
                <w:color w:val="000000"/>
                <w:lang w:eastAsia="en-GB"/>
              </w:rPr>
            </w:pPr>
            <w:r w:rsidRPr="007145B9">
              <w:t>23.75%</w:t>
            </w:r>
          </w:p>
        </w:tc>
        <w:tc>
          <w:tcPr>
            <w:tcW w:w="798" w:type="pct"/>
            <w:tcBorders>
              <w:top w:val="nil"/>
              <w:left w:val="nil"/>
              <w:bottom w:val="single" w:sz="4" w:space="0" w:color="auto"/>
              <w:right w:val="single" w:sz="4" w:space="0" w:color="auto"/>
            </w:tcBorders>
            <w:shd w:val="clear" w:color="auto" w:fill="auto"/>
            <w:noWrap/>
          </w:tcPr>
          <w:p w14:paraId="46BF3619" w14:textId="77777777" w:rsidR="00281ABD" w:rsidRPr="008519A2" w:rsidRDefault="00281ABD" w:rsidP="00F31CA2">
            <w:pPr>
              <w:jc w:val="center"/>
              <w:rPr>
                <w:rFonts w:cs="Arial"/>
                <w:color w:val="000000"/>
                <w:lang w:eastAsia="en-GB"/>
              </w:rPr>
            </w:pPr>
            <w:r w:rsidRPr="007145B9">
              <w:t>48.71%</w:t>
            </w:r>
          </w:p>
        </w:tc>
        <w:tc>
          <w:tcPr>
            <w:tcW w:w="876" w:type="pct"/>
            <w:tcBorders>
              <w:top w:val="nil"/>
              <w:left w:val="nil"/>
              <w:bottom w:val="single" w:sz="4" w:space="0" w:color="auto"/>
              <w:right w:val="single" w:sz="4" w:space="0" w:color="auto"/>
            </w:tcBorders>
            <w:shd w:val="clear" w:color="auto" w:fill="auto"/>
            <w:noWrap/>
          </w:tcPr>
          <w:p w14:paraId="308B405D" w14:textId="77777777" w:rsidR="00281ABD" w:rsidRPr="008519A2" w:rsidRDefault="00281ABD" w:rsidP="00F31CA2">
            <w:pPr>
              <w:jc w:val="center"/>
              <w:rPr>
                <w:rFonts w:cs="Arial"/>
                <w:color w:val="000000"/>
                <w:lang w:eastAsia="en-GB"/>
              </w:rPr>
            </w:pPr>
            <w:r w:rsidRPr="007145B9">
              <w:t>12.87%</w:t>
            </w:r>
          </w:p>
        </w:tc>
        <w:tc>
          <w:tcPr>
            <w:tcW w:w="458" w:type="pct"/>
            <w:tcBorders>
              <w:top w:val="nil"/>
              <w:left w:val="nil"/>
              <w:bottom w:val="single" w:sz="4" w:space="0" w:color="auto"/>
              <w:right w:val="single" w:sz="4" w:space="0" w:color="auto"/>
            </w:tcBorders>
            <w:shd w:val="clear" w:color="auto" w:fill="auto"/>
            <w:noWrap/>
          </w:tcPr>
          <w:p w14:paraId="6930FD1C" w14:textId="674054ED" w:rsidR="00281ABD" w:rsidRPr="008519A2" w:rsidRDefault="00281ABD" w:rsidP="00F31CA2">
            <w:pPr>
              <w:jc w:val="center"/>
              <w:rPr>
                <w:rFonts w:cs="Arial"/>
                <w:color w:val="000000"/>
                <w:lang w:eastAsia="en-GB"/>
              </w:rPr>
            </w:pPr>
            <w:r w:rsidRPr="007145B9">
              <w:t>10</w:t>
            </w:r>
            <w:r w:rsidR="00E53ABF">
              <w:t>0%</w:t>
            </w:r>
          </w:p>
        </w:tc>
      </w:tr>
    </w:tbl>
    <w:p w14:paraId="50EE4523" w14:textId="77777777" w:rsidR="00281ABD" w:rsidRDefault="00281ABD" w:rsidP="00940BE9">
      <w:pPr>
        <w:rPr>
          <w:rFonts w:cs="Arial"/>
        </w:rPr>
      </w:pPr>
    </w:p>
    <w:p w14:paraId="52555749" w14:textId="733BE083" w:rsidR="008F1384" w:rsidRPr="00F7653C" w:rsidRDefault="00391F24" w:rsidP="005F01E0">
      <w:pPr>
        <w:rPr>
          <w:rFonts w:cs="Arial"/>
          <w:color w:val="000000" w:themeColor="text1"/>
        </w:rPr>
      </w:pPr>
      <w:r w:rsidRPr="00F7653C">
        <w:rPr>
          <w:rFonts w:cs="Arial"/>
          <w:color w:val="000000" w:themeColor="text1"/>
        </w:rPr>
        <w:t>The</w:t>
      </w:r>
      <w:r w:rsidR="005F01E0" w:rsidRPr="00F7653C">
        <w:rPr>
          <w:rFonts w:cs="Arial"/>
          <w:color w:val="000000" w:themeColor="text1"/>
        </w:rPr>
        <w:t xml:space="preserve"> representation of female colleagues within corporate and support roles </w:t>
      </w:r>
      <w:r w:rsidR="004F2EE4" w:rsidRPr="00F7653C">
        <w:rPr>
          <w:rFonts w:cs="Arial"/>
          <w:color w:val="000000" w:themeColor="text1"/>
        </w:rPr>
        <w:t>(61%)</w:t>
      </w:r>
      <w:r w:rsidR="005F01E0" w:rsidRPr="00F7653C">
        <w:rPr>
          <w:rFonts w:cs="Arial"/>
          <w:color w:val="000000" w:themeColor="text1"/>
        </w:rPr>
        <w:t xml:space="preserve"> is indicative of having a more gender balanced talent pool to recruit from.</w:t>
      </w:r>
      <w:r w:rsidR="007D3827" w:rsidRPr="00F7653C">
        <w:rPr>
          <w:rFonts w:cs="Arial"/>
          <w:color w:val="000000" w:themeColor="text1"/>
        </w:rPr>
        <w:t xml:space="preserve"> Our inclusive </w:t>
      </w:r>
      <w:r w:rsidR="007D3827" w:rsidRPr="00F7653C">
        <w:rPr>
          <w:rFonts w:cs="Arial"/>
          <w:color w:val="000000" w:themeColor="text1"/>
        </w:rPr>
        <w:lastRenderedPageBreak/>
        <w:t>policies such as hybrid working and Balancing your Hour</w:t>
      </w:r>
      <w:r w:rsidR="000E0FA9" w:rsidRPr="00F7653C">
        <w:rPr>
          <w:rFonts w:cs="Arial"/>
          <w:color w:val="000000" w:themeColor="text1"/>
        </w:rPr>
        <w:t xml:space="preserve">’s policies continue to be valued and highly rated by colleagues regardless of gender as shown </w:t>
      </w:r>
      <w:r w:rsidR="008E5CCE" w:rsidRPr="00F7653C">
        <w:rPr>
          <w:rFonts w:cs="Arial"/>
          <w:color w:val="000000" w:themeColor="text1"/>
        </w:rPr>
        <w:t xml:space="preserve">by our 2022 Staff Survey </w:t>
      </w:r>
      <w:r w:rsidR="00901347" w:rsidRPr="00F7653C">
        <w:rPr>
          <w:rFonts w:cs="Arial"/>
          <w:color w:val="000000" w:themeColor="text1"/>
        </w:rPr>
        <w:t>(</w:t>
      </w:r>
      <w:r w:rsidR="00B20BB9" w:rsidRPr="00F7653C">
        <w:rPr>
          <w:rFonts w:cs="Arial"/>
          <w:color w:val="000000" w:themeColor="text1"/>
        </w:rPr>
        <w:t>94.5%</w:t>
      </w:r>
      <w:r w:rsidR="00901347" w:rsidRPr="00F7653C">
        <w:rPr>
          <w:rFonts w:cs="Arial"/>
          <w:color w:val="000000" w:themeColor="text1"/>
        </w:rPr>
        <w:t xml:space="preserve">). At time of </w:t>
      </w:r>
      <w:r w:rsidR="00617511" w:rsidRPr="00F7653C">
        <w:rPr>
          <w:rFonts w:cs="Arial"/>
          <w:color w:val="000000" w:themeColor="text1"/>
        </w:rPr>
        <w:t>writing,</w:t>
      </w:r>
      <w:r w:rsidR="00901347" w:rsidRPr="00F7653C">
        <w:rPr>
          <w:rFonts w:cs="Arial"/>
          <w:color w:val="000000" w:themeColor="text1"/>
        </w:rPr>
        <w:t xml:space="preserve"> we have </w:t>
      </w:r>
      <w:r w:rsidR="004A52FF" w:rsidRPr="00F7653C">
        <w:rPr>
          <w:rFonts w:cs="Arial"/>
          <w:color w:val="000000" w:themeColor="text1"/>
        </w:rPr>
        <w:t>rec</w:t>
      </w:r>
      <w:r w:rsidR="00294934" w:rsidRPr="00F7653C">
        <w:rPr>
          <w:rFonts w:cs="Arial"/>
          <w:color w:val="000000" w:themeColor="text1"/>
        </w:rPr>
        <w:t xml:space="preserve">ently </w:t>
      </w:r>
      <w:r w:rsidR="00901347" w:rsidRPr="00F7653C">
        <w:rPr>
          <w:rFonts w:cs="Arial"/>
          <w:color w:val="000000" w:themeColor="text1"/>
        </w:rPr>
        <w:t xml:space="preserve">been awarded </w:t>
      </w:r>
      <w:r w:rsidR="00003C83" w:rsidRPr="00F7653C">
        <w:rPr>
          <w:rFonts w:cs="Arial"/>
          <w:color w:val="000000" w:themeColor="text1"/>
        </w:rPr>
        <w:t xml:space="preserve">the Liverpool City </w:t>
      </w:r>
      <w:r w:rsidR="00294934" w:rsidRPr="00F7653C">
        <w:rPr>
          <w:rFonts w:cs="Arial"/>
          <w:color w:val="000000" w:themeColor="text1"/>
        </w:rPr>
        <w:t>R</w:t>
      </w:r>
      <w:r w:rsidR="00003C83" w:rsidRPr="00F7653C">
        <w:rPr>
          <w:rFonts w:cs="Arial"/>
          <w:color w:val="000000" w:themeColor="text1"/>
        </w:rPr>
        <w:t xml:space="preserve">egion </w:t>
      </w:r>
      <w:r w:rsidR="00901347" w:rsidRPr="00F7653C">
        <w:rPr>
          <w:rFonts w:cs="Arial"/>
          <w:color w:val="000000" w:themeColor="text1"/>
        </w:rPr>
        <w:t>F</w:t>
      </w:r>
      <w:r w:rsidR="005D6711" w:rsidRPr="00F7653C">
        <w:rPr>
          <w:rFonts w:cs="Arial"/>
          <w:color w:val="000000" w:themeColor="text1"/>
        </w:rPr>
        <w:t xml:space="preserve">air </w:t>
      </w:r>
      <w:r w:rsidR="00901347" w:rsidRPr="00F7653C">
        <w:rPr>
          <w:rFonts w:cs="Arial"/>
          <w:color w:val="000000" w:themeColor="text1"/>
        </w:rPr>
        <w:t>E</w:t>
      </w:r>
      <w:r w:rsidR="005D6711" w:rsidRPr="00F7653C">
        <w:rPr>
          <w:rFonts w:cs="Arial"/>
          <w:color w:val="000000" w:themeColor="text1"/>
        </w:rPr>
        <w:t xml:space="preserve">mployment </w:t>
      </w:r>
      <w:r w:rsidR="00617511" w:rsidRPr="00F7653C">
        <w:rPr>
          <w:rFonts w:cs="Arial"/>
          <w:color w:val="000000" w:themeColor="text1"/>
        </w:rPr>
        <w:t xml:space="preserve">Charter </w:t>
      </w:r>
      <w:r w:rsidR="00617511" w:rsidRPr="00F7653C">
        <w:rPr>
          <w:rFonts w:cs="Arial"/>
          <w:color w:val="000000" w:themeColor="text1"/>
          <w:shd w:val="clear" w:color="auto" w:fill="FFFFFF"/>
        </w:rPr>
        <w:t>–</w:t>
      </w:r>
      <w:r w:rsidR="00C20100" w:rsidRPr="00F7653C">
        <w:rPr>
          <w:rFonts w:cs="Arial"/>
          <w:color w:val="000000" w:themeColor="text1"/>
          <w:shd w:val="clear" w:color="auto" w:fill="FFFFFF"/>
        </w:rPr>
        <w:t xml:space="preserve"> Aspiring level, following a robust assessment of evidence against four pillars: Healthy, Fair, Inclusive and Just.</w:t>
      </w:r>
      <w:r w:rsidR="00294934" w:rsidRPr="00F7653C">
        <w:rPr>
          <w:rFonts w:cs="Arial"/>
          <w:color w:val="000000" w:themeColor="text1"/>
          <w:shd w:val="clear" w:color="auto" w:fill="FFFFFF"/>
        </w:rPr>
        <w:t xml:space="preserve"> The </w:t>
      </w:r>
      <w:r w:rsidR="00C20100" w:rsidRPr="00F7653C">
        <w:rPr>
          <w:rFonts w:cs="Arial"/>
          <w:color w:val="000000" w:themeColor="text1"/>
          <w:shd w:val="clear" w:color="auto" w:fill="FFFFFF"/>
        </w:rPr>
        <w:t>Charter aims to celebrate good employers and help drive up standards for fairer employment practices</w:t>
      </w:r>
      <w:r w:rsidR="00FD67B2">
        <w:rPr>
          <w:rFonts w:cs="Arial"/>
          <w:color w:val="000000" w:themeColor="text1"/>
          <w:shd w:val="clear" w:color="auto" w:fill="FFFFFF"/>
        </w:rPr>
        <w:t>.</w:t>
      </w:r>
    </w:p>
    <w:p w14:paraId="0CAEECCD" w14:textId="77777777" w:rsidR="008F1384" w:rsidRPr="00F7653C" w:rsidRDefault="008F1384" w:rsidP="005F01E0">
      <w:pPr>
        <w:rPr>
          <w:rFonts w:cs="Arial"/>
          <w:color w:val="000000" w:themeColor="text1"/>
        </w:rPr>
      </w:pPr>
    </w:p>
    <w:p w14:paraId="42A8D621" w14:textId="5B20EF82" w:rsidR="00701873" w:rsidRPr="00F7653C" w:rsidRDefault="00884F8A" w:rsidP="005F01E0">
      <w:pPr>
        <w:rPr>
          <w:rFonts w:cs="Arial"/>
          <w:color w:val="000000" w:themeColor="text1"/>
        </w:rPr>
      </w:pPr>
      <w:r w:rsidRPr="00F7653C">
        <w:rPr>
          <w:rFonts w:cs="Arial"/>
          <w:color w:val="000000" w:themeColor="text1"/>
        </w:rPr>
        <w:t xml:space="preserve">The introduction of ONR values appear </w:t>
      </w:r>
      <w:r w:rsidR="00057384" w:rsidRPr="00F7653C">
        <w:rPr>
          <w:rFonts w:cs="Arial"/>
          <w:color w:val="000000" w:themeColor="text1"/>
        </w:rPr>
        <w:t xml:space="preserve">to have </w:t>
      </w:r>
      <w:r w:rsidR="006615B2" w:rsidRPr="00F7653C">
        <w:rPr>
          <w:rFonts w:cs="Arial"/>
          <w:color w:val="000000" w:themeColor="text1"/>
        </w:rPr>
        <w:t xml:space="preserve">had an impact for underrepresented groups </w:t>
      </w:r>
      <w:r w:rsidR="00A44CA3" w:rsidRPr="00F7653C">
        <w:rPr>
          <w:rFonts w:cs="Arial"/>
          <w:color w:val="000000" w:themeColor="text1"/>
        </w:rPr>
        <w:t xml:space="preserve">and </w:t>
      </w:r>
      <w:r w:rsidR="0085745E" w:rsidRPr="00F7653C">
        <w:rPr>
          <w:rFonts w:cs="Arial"/>
          <w:color w:val="000000" w:themeColor="text1"/>
        </w:rPr>
        <w:t xml:space="preserve">women scored more highly </w:t>
      </w:r>
      <w:r w:rsidR="002B1E89" w:rsidRPr="00F7653C">
        <w:rPr>
          <w:rFonts w:cs="Arial"/>
          <w:color w:val="000000" w:themeColor="text1"/>
        </w:rPr>
        <w:t>at 75.8% than the overall satisfaction rate at 75%</w:t>
      </w:r>
      <w:r w:rsidR="008E0939" w:rsidRPr="00F7653C">
        <w:rPr>
          <w:rFonts w:cs="Arial"/>
          <w:color w:val="000000" w:themeColor="text1"/>
        </w:rPr>
        <w:t>,</w:t>
      </w:r>
      <w:r w:rsidR="002B1E89" w:rsidRPr="00F7653C">
        <w:rPr>
          <w:rFonts w:cs="Arial"/>
          <w:color w:val="000000" w:themeColor="text1"/>
        </w:rPr>
        <w:t xml:space="preserve"> which appears to indicate that </w:t>
      </w:r>
      <w:r w:rsidR="00DF2A9A" w:rsidRPr="00F7653C">
        <w:rPr>
          <w:rFonts w:cs="Arial"/>
          <w:color w:val="000000" w:themeColor="text1"/>
        </w:rPr>
        <w:t>our</w:t>
      </w:r>
      <w:r w:rsidR="002B1E89" w:rsidRPr="00F7653C">
        <w:rPr>
          <w:rFonts w:cs="Arial"/>
          <w:color w:val="000000" w:themeColor="text1"/>
        </w:rPr>
        <w:t xml:space="preserve"> action</w:t>
      </w:r>
      <w:r w:rsidR="00FD67B2">
        <w:rPr>
          <w:rFonts w:cs="Arial"/>
          <w:color w:val="000000" w:themeColor="text1"/>
        </w:rPr>
        <w:t>s</w:t>
      </w:r>
      <w:r w:rsidR="002B1E89" w:rsidRPr="00F7653C">
        <w:rPr>
          <w:rFonts w:cs="Arial"/>
          <w:color w:val="000000" w:themeColor="text1"/>
        </w:rPr>
        <w:t xml:space="preserve"> are having a positive effect.</w:t>
      </w:r>
    </w:p>
    <w:p w14:paraId="3CE009D7" w14:textId="77777777" w:rsidR="00701873" w:rsidRPr="00F7653C" w:rsidRDefault="00701873" w:rsidP="005F01E0">
      <w:pPr>
        <w:rPr>
          <w:rFonts w:cs="Arial"/>
          <w:color w:val="000000" w:themeColor="text1"/>
        </w:rPr>
      </w:pPr>
    </w:p>
    <w:p w14:paraId="0F115ACE" w14:textId="332415A8" w:rsidR="00A115C6" w:rsidRDefault="00A115C6" w:rsidP="00EE6834">
      <w:pPr>
        <w:rPr>
          <w:rFonts w:cs="Arial"/>
        </w:rPr>
      </w:pPr>
      <w:r>
        <w:rPr>
          <w:rFonts w:cs="Arial"/>
        </w:rPr>
        <w:t>Efforts to encourage women into STEM career</w:t>
      </w:r>
      <w:r w:rsidR="008F7876">
        <w:rPr>
          <w:rFonts w:cs="Arial"/>
        </w:rPr>
        <w:t xml:space="preserve">s has </w:t>
      </w:r>
      <w:r w:rsidR="00361E38">
        <w:rPr>
          <w:rFonts w:cs="Arial"/>
        </w:rPr>
        <w:t>focused</w:t>
      </w:r>
      <w:r w:rsidR="008F7876">
        <w:rPr>
          <w:rFonts w:cs="Arial"/>
        </w:rPr>
        <w:t xml:space="preserve"> on promoting girls interests in maths and science</w:t>
      </w:r>
      <w:r w:rsidR="00367C6B">
        <w:rPr>
          <w:rFonts w:cs="Arial"/>
        </w:rPr>
        <w:t xml:space="preserve">. Such efforts </w:t>
      </w:r>
      <w:r w:rsidR="00C000AA">
        <w:rPr>
          <w:rFonts w:cs="Arial"/>
        </w:rPr>
        <w:t>are</w:t>
      </w:r>
      <w:r w:rsidR="00367C6B">
        <w:rPr>
          <w:rFonts w:cs="Arial"/>
        </w:rPr>
        <w:t xml:space="preserve"> paying off with the number of female students choosing core STEM subjects at A-level </w:t>
      </w:r>
      <w:r w:rsidR="00D17E7C">
        <w:rPr>
          <w:rFonts w:cs="Arial"/>
        </w:rPr>
        <w:t xml:space="preserve">starting to rise year on year. In higher education the number of women accepted </w:t>
      </w:r>
      <w:r w:rsidR="008676BF">
        <w:rPr>
          <w:rFonts w:cs="Arial"/>
        </w:rPr>
        <w:t xml:space="preserve">onto full-time STEM graduate courses in the UK increased by 50.1% </w:t>
      </w:r>
      <w:r w:rsidR="00EE6834">
        <w:rPr>
          <w:rFonts w:cs="Arial"/>
        </w:rPr>
        <w:t>between 2011 and 2020</w:t>
      </w:r>
      <w:r w:rsidR="00B422AB">
        <w:rPr>
          <w:rFonts w:cs="Arial"/>
        </w:rPr>
        <w:t xml:space="preserve"> (GOV.UK)</w:t>
      </w:r>
      <w:r w:rsidR="00EE6834">
        <w:rPr>
          <w:rFonts w:cs="Arial"/>
        </w:rPr>
        <w:t>.</w:t>
      </w:r>
    </w:p>
    <w:p w14:paraId="0D4699E3" w14:textId="77777777" w:rsidR="00EE6834" w:rsidRDefault="00EE6834" w:rsidP="00EE6834">
      <w:pPr>
        <w:rPr>
          <w:rFonts w:cs="Arial"/>
        </w:rPr>
      </w:pPr>
    </w:p>
    <w:p w14:paraId="3F9CEDFC" w14:textId="736CC6CE" w:rsidR="00E3517B" w:rsidRPr="00B244BA" w:rsidRDefault="00D50E2A" w:rsidP="008F27C3">
      <w:pPr>
        <w:rPr>
          <w:rFonts w:cs="Arial"/>
        </w:rPr>
      </w:pPr>
      <w:r w:rsidRPr="00B244BA">
        <w:rPr>
          <w:rFonts w:cs="Arial"/>
        </w:rPr>
        <w:t xml:space="preserve">As part of a longer-term strategy, we will continue with our </w:t>
      </w:r>
      <w:r w:rsidR="008F27C3" w:rsidRPr="00B244BA">
        <w:rPr>
          <w:rFonts w:cs="Arial"/>
          <w:color w:val="0B0C0C"/>
          <w:shd w:val="clear" w:color="auto" w:fill="FFFFFF"/>
        </w:rPr>
        <w:t xml:space="preserve">partnerships across the sector working with </w:t>
      </w:r>
      <w:r w:rsidR="00FD67B2">
        <w:rPr>
          <w:rFonts w:cs="Arial"/>
          <w:color w:val="0B0C0C"/>
          <w:shd w:val="clear" w:color="auto" w:fill="FFFFFF"/>
        </w:rPr>
        <w:t>t</w:t>
      </w:r>
      <w:r w:rsidR="008F27C3" w:rsidRPr="00B244BA">
        <w:rPr>
          <w:rFonts w:cs="Arial"/>
          <w:color w:val="0B0C0C"/>
          <w:shd w:val="clear" w:color="auto" w:fill="FFFFFF"/>
        </w:rPr>
        <w:t>he N</w:t>
      </w:r>
      <w:r w:rsidR="00B32238">
        <w:rPr>
          <w:rFonts w:cs="Arial"/>
          <w:color w:val="0B0C0C"/>
          <w:shd w:val="clear" w:color="auto" w:fill="FFFFFF"/>
        </w:rPr>
        <w:t>uclear</w:t>
      </w:r>
      <w:r w:rsidR="008F27C3" w:rsidRPr="00B244BA">
        <w:rPr>
          <w:rFonts w:cs="Arial"/>
          <w:color w:val="0B0C0C"/>
          <w:shd w:val="clear" w:color="auto" w:fill="FFFFFF"/>
        </w:rPr>
        <w:t xml:space="preserve"> Skills Strategy Group (NSSG), to </w:t>
      </w:r>
      <w:r w:rsidR="00B244BA" w:rsidRPr="00B244BA">
        <w:rPr>
          <w:rFonts w:cs="Arial"/>
          <w:color w:val="0B0C0C"/>
          <w:shd w:val="clear" w:color="auto" w:fill="FFFFFF"/>
        </w:rPr>
        <w:t xml:space="preserve">ensure </w:t>
      </w:r>
      <w:r w:rsidRPr="00B244BA">
        <w:rPr>
          <w:rFonts w:cs="Arial"/>
        </w:rPr>
        <w:t xml:space="preserve">we promote opportunities for female students to explore maths and science throughout primary and secondary school and encourage them to pursue career paths in STEM. </w:t>
      </w:r>
      <w:r w:rsidR="00F944A8" w:rsidRPr="00B244BA">
        <w:rPr>
          <w:rFonts w:cs="Arial"/>
        </w:rPr>
        <w:t xml:space="preserve">We are also working to </w:t>
      </w:r>
      <w:r w:rsidRPr="00B244BA">
        <w:rPr>
          <w:rFonts w:cs="Arial"/>
        </w:rPr>
        <w:t>broaden the career routes into our sector with initiatives such as our Nuclear Degree Apprenticeship programme, which is already having an impact.</w:t>
      </w:r>
    </w:p>
    <w:p w14:paraId="730549F4" w14:textId="2CF3050F" w:rsidR="0023114D" w:rsidRPr="00875321" w:rsidRDefault="0023114D" w:rsidP="00940BE9">
      <w:pPr>
        <w:rPr>
          <w:rFonts w:cs="Arial"/>
        </w:rPr>
      </w:pPr>
    </w:p>
    <w:p w14:paraId="1CA9BFFB" w14:textId="4C51098B" w:rsidR="00747DED" w:rsidRPr="00B64BBA" w:rsidRDefault="00333975" w:rsidP="00747DED">
      <w:pPr>
        <w:shd w:val="clear" w:color="auto" w:fill="FFFFFF"/>
        <w:spacing w:after="75"/>
        <w:rPr>
          <w:rFonts w:cs="Arial"/>
          <w:color w:val="0B0C0C"/>
          <w:lang w:eastAsia="en-GB"/>
        </w:rPr>
      </w:pPr>
      <w:r>
        <w:rPr>
          <w:rFonts w:cs="Arial"/>
          <w:color w:val="0B0C0C"/>
          <w:shd w:val="clear" w:color="auto" w:fill="FFFFFF"/>
        </w:rPr>
        <w:t xml:space="preserve">However, while more women are studying STEM subjects that is not translating </w:t>
      </w:r>
      <w:r w:rsidR="008316B9">
        <w:rPr>
          <w:rFonts w:cs="Arial"/>
          <w:color w:val="0B0C0C"/>
          <w:shd w:val="clear" w:color="auto" w:fill="FFFFFF"/>
        </w:rPr>
        <w:t xml:space="preserve">directly </w:t>
      </w:r>
      <w:r>
        <w:rPr>
          <w:rFonts w:cs="Arial"/>
          <w:color w:val="0B0C0C"/>
          <w:shd w:val="clear" w:color="auto" w:fill="FFFFFF"/>
        </w:rPr>
        <w:t xml:space="preserve">into </w:t>
      </w:r>
      <w:r w:rsidR="00AE7E9B">
        <w:rPr>
          <w:rFonts w:cs="Arial"/>
          <w:color w:val="0B0C0C"/>
          <w:shd w:val="clear" w:color="auto" w:fill="FFFFFF"/>
        </w:rPr>
        <w:t xml:space="preserve">women </w:t>
      </w:r>
      <w:r w:rsidR="00157E47">
        <w:rPr>
          <w:rFonts w:cs="Arial"/>
          <w:color w:val="0B0C0C"/>
          <w:shd w:val="clear" w:color="auto" w:fill="FFFFFF"/>
        </w:rPr>
        <w:t xml:space="preserve">pursuing careers in STEM. </w:t>
      </w:r>
      <w:r w:rsidR="00747DED">
        <w:rPr>
          <w:rFonts w:cs="Arial"/>
          <w:color w:val="0B0C0C"/>
          <w:shd w:val="clear" w:color="auto" w:fill="FFFFFF"/>
        </w:rPr>
        <w:t xml:space="preserve">The </w:t>
      </w:r>
      <w:r w:rsidR="004A3957" w:rsidRPr="004A3957">
        <w:rPr>
          <w:rFonts w:cs="Arial"/>
          <w:color w:val="0B0C0C"/>
          <w:shd w:val="clear" w:color="auto" w:fill="FFFFFF"/>
        </w:rPr>
        <w:t xml:space="preserve">Government Equalities Office - </w:t>
      </w:r>
      <w:r w:rsidR="00C066A5" w:rsidRPr="004A3957">
        <w:rPr>
          <w:rFonts w:cs="Arial"/>
          <w:color w:val="0B0C0C"/>
          <w:shd w:val="clear" w:color="auto" w:fill="FFFFFF"/>
        </w:rPr>
        <w:t>Workplace and Gender Equality Research</w:t>
      </w:r>
      <w:r w:rsidR="00C066A5">
        <w:rPr>
          <w:rFonts w:cs="Arial"/>
          <w:color w:val="0B0C0C"/>
          <w:sz w:val="29"/>
          <w:szCs w:val="29"/>
          <w:shd w:val="clear" w:color="auto" w:fill="FFFFFF"/>
        </w:rPr>
        <w:t xml:space="preserve"> </w:t>
      </w:r>
      <w:r w:rsidR="000E1B05" w:rsidRPr="00875321">
        <w:rPr>
          <w:rFonts w:cs="Arial"/>
        </w:rPr>
        <w:t xml:space="preserve">into barriers </w:t>
      </w:r>
      <w:r w:rsidR="00F156E3" w:rsidRPr="00875321">
        <w:rPr>
          <w:rFonts w:cs="Arial"/>
        </w:rPr>
        <w:t>to</w:t>
      </w:r>
      <w:r w:rsidR="00A54C60" w:rsidRPr="00875321">
        <w:rPr>
          <w:rFonts w:cs="Arial"/>
        </w:rPr>
        <w:t xml:space="preserve"> </w:t>
      </w:r>
      <w:r w:rsidR="00F156E3" w:rsidRPr="00875321">
        <w:rPr>
          <w:rFonts w:cs="Arial"/>
        </w:rPr>
        <w:t xml:space="preserve">women’s progression </w:t>
      </w:r>
      <w:r w:rsidR="005F5675" w:rsidRPr="00875321">
        <w:rPr>
          <w:rFonts w:cs="Arial"/>
        </w:rPr>
        <w:t>in the w</w:t>
      </w:r>
      <w:r w:rsidR="00F156E3" w:rsidRPr="00875321">
        <w:rPr>
          <w:rFonts w:cs="Arial"/>
        </w:rPr>
        <w:t>orkplace</w:t>
      </w:r>
      <w:r w:rsidR="005F5675" w:rsidRPr="00875321">
        <w:rPr>
          <w:rFonts w:cs="Arial"/>
        </w:rPr>
        <w:t>,</w:t>
      </w:r>
      <w:r w:rsidR="00F156E3" w:rsidRPr="00875321">
        <w:rPr>
          <w:rFonts w:cs="Arial"/>
        </w:rPr>
        <w:t xml:space="preserve"> </w:t>
      </w:r>
      <w:r w:rsidR="00747DED">
        <w:rPr>
          <w:rFonts w:cs="Arial"/>
        </w:rPr>
        <w:t xml:space="preserve">found that </w:t>
      </w:r>
      <w:r w:rsidR="00747DED" w:rsidRPr="00B64BBA">
        <w:rPr>
          <w:rFonts w:cs="Arial"/>
          <w:color w:val="0B0C0C"/>
          <w:lang w:eastAsia="en-GB"/>
        </w:rPr>
        <w:t xml:space="preserve">women’s progression continues to be held back by barriers such as bias around pay and promotion, difficult workplace cultures, tensions between balancing work with care and a shortage of quality part-time work with a good </w:t>
      </w:r>
      <w:r w:rsidR="00E95C11">
        <w:rPr>
          <w:rFonts w:cs="Arial"/>
          <w:color w:val="0B0C0C"/>
          <w:lang w:eastAsia="en-GB"/>
        </w:rPr>
        <w:t>salary</w:t>
      </w:r>
      <w:r w:rsidR="00747DED" w:rsidRPr="00B64BBA">
        <w:rPr>
          <w:rFonts w:cs="Arial"/>
          <w:color w:val="0B0C0C"/>
          <w:lang w:eastAsia="en-GB"/>
        </w:rPr>
        <w:t xml:space="preserve"> potential</w:t>
      </w:r>
      <w:r w:rsidR="00B122D7">
        <w:rPr>
          <w:rFonts w:cs="Arial"/>
          <w:color w:val="0B0C0C"/>
          <w:lang w:eastAsia="en-GB"/>
        </w:rPr>
        <w:t>.</w:t>
      </w:r>
    </w:p>
    <w:p w14:paraId="75468DA3" w14:textId="3736B562" w:rsidR="00747DED" w:rsidRDefault="00747DED" w:rsidP="00160FFA">
      <w:pPr>
        <w:rPr>
          <w:rFonts w:cs="Arial"/>
        </w:rPr>
      </w:pPr>
    </w:p>
    <w:p w14:paraId="4F06CE18" w14:textId="40345830" w:rsidR="0009340F" w:rsidRDefault="00B73DE9" w:rsidP="00342D91">
      <w:pPr>
        <w:rPr>
          <w:rFonts w:cs="Arial"/>
        </w:rPr>
      </w:pPr>
      <w:r>
        <w:rPr>
          <w:rFonts w:cs="Arial"/>
        </w:rPr>
        <w:t xml:space="preserve">We have considered how we might reduce these </w:t>
      </w:r>
      <w:r w:rsidR="00A0046C" w:rsidRPr="00342D91">
        <w:rPr>
          <w:rFonts w:cs="Arial"/>
        </w:rPr>
        <w:t>barriers</w:t>
      </w:r>
      <w:r w:rsidR="00781028">
        <w:rPr>
          <w:rFonts w:cs="Arial"/>
        </w:rPr>
        <w:t>,</w:t>
      </w:r>
      <w:r w:rsidR="00A0046C" w:rsidRPr="00342D91">
        <w:rPr>
          <w:rFonts w:cs="Arial"/>
        </w:rPr>
        <w:t xml:space="preserve"> </w:t>
      </w:r>
      <w:r w:rsidR="00A042A6">
        <w:rPr>
          <w:rFonts w:cs="Arial"/>
        </w:rPr>
        <w:t xml:space="preserve">and </w:t>
      </w:r>
      <w:r w:rsidR="00826FE0" w:rsidRPr="00342D91">
        <w:rPr>
          <w:rFonts w:cs="Arial"/>
        </w:rPr>
        <w:t xml:space="preserve">hybrid </w:t>
      </w:r>
      <w:r w:rsidR="00077764" w:rsidRPr="00342D91">
        <w:rPr>
          <w:rFonts w:cs="Arial"/>
        </w:rPr>
        <w:t>working,</w:t>
      </w:r>
      <w:r w:rsidR="00977001" w:rsidRPr="00977001">
        <w:rPr>
          <w:rFonts w:cs="Arial"/>
          <w:color w:val="0B0C0C"/>
          <w:lang w:eastAsia="en-GB"/>
        </w:rPr>
        <w:t xml:space="preserve"> </w:t>
      </w:r>
      <w:r w:rsidR="00977001">
        <w:rPr>
          <w:rFonts w:cs="Arial"/>
          <w:color w:val="0B0C0C"/>
          <w:lang w:eastAsia="en-GB"/>
        </w:rPr>
        <w:t xml:space="preserve">and </w:t>
      </w:r>
      <w:r w:rsidR="00977001" w:rsidRPr="00B64BBA">
        <w:rPr>
          <w:rFonts w:cs="Arial"/>
          <w:color w:val="0B0C0C"/>
          <w:lang w:eastAsia="en-GB"/>
        </w:rPr>
        <w:t xml:space="preserve">alternative working patterns are </w:t>
      </w:r>
      <w:r w:rsidR="00FE3DF0" w:rsidRPr="00342D91">
        <w:rPr>
          <w:rFonts w:cs="Arial"/>
        </w:rPr>
        <w:t xml:space="preserve">providing </w:t>
      </w:r>
      <w:r w:rsidR="00F465A5" w:rsidRPr="00342D91">
        <w:rPr>
          <w:rFonts w:cs="Arial"/>
        </w:rPr>
        <w:t>greater flexibility in terms of where and when people work</w:t>
      </w:r>
      <w:r w:rsidR="004A1B68" w:rsidRPr="00342D91">
        <w:rPr>
          <w:rFonts w:cs="Arial"/>
        </w:rPr>
        <w:t>,</w:t>
      </w:r>
      <w:r w:rsidR="00CB4881" w:rsidRPr="00342D91">
        <w:rPr>
          <w:rFonts w:cs="Arial"/>
        </w:rPr>
        <w:t xml:space="preserve"> </w:t>
      </w:r>
      <w:r w:rsidR="009F7BC1" w:rsidRPr="00342D91">
        <w:rPr>
          <w:rFonts w:cs="Arial"/>
        </w:rPr>
        <w:t xml:space="preserve">while </w:t>
      </w:r>
      <w:r w:rsidR="0091329F" w:rsidRPr="00342D91">
        <w:rPr>
          <w:rFonts w:cs="Arial"/>
        </w:rPr>
        <w:t>considering</w:t>
      </w:r>
      <w:r w:rsidR="00CB4881" w:rsidRPr="00342D91">
        <w:rPr>
          <w:rFonts w:cs="Arial"/>
        </w:rPr>
        <w:t xml:space="preserve"> their health and wellbeing. </w:t>
      </w:r>
    </w:p>
    <w:p w14:paraId="263E9E92" w14:textId="77777777" w:rsidR="0009340F" w:rsidRDefault="0009340F" w:rsidP="00342D91">
      <w:pPr>
        <w:rPr>
          <w:rFonts w:cs="Arial"/>
        </w:rPr>
      </w:pPr>
    </w:p>
    <w:p w14:paraId="2072E373" w14:textId="7D9707DE" w:rsidR="007D50CB" w:rsidRPr="00342D91" w:rsidRDefault="007D50CB" w:rsidP="00342D91">
      <w:pPr>
        <w:rPr>
          <w:rFonts w:cs="Arial"/>
        </w:rPr>
      </w:pPr>
      <w:r w:rsidRPr="00342D91">
        <w:rPr>
          <w:rFonts w:cs="Arial"/>
        </w:rPr>
        <w:t>A</w:t>
      </w:r>
      <w:r w:rsidR="000972B0">
        <w:rPr>
          <w:rFonts w:cs="Arial"/>
        </w:rPr>
        <w:t>longside hybrid working, our</w:t>
      </w:r>
      <w:r w:rsidR="00342D91" w:rsidRPr="00342D91">
        <w:rPr>
          <w:rFonts w:cs="Arial"/>
        </w:rPr>
        <w:t xml:space="preserve"> </w:t>
      </w:r>
      <w:r w:rsidRPr="00342D91">
        <w:rPr>
          <w:rFonts w:cs="Arial"/>
        </w:rPr>
        <w:t xml:space="preserve">revised </w:t>
      </w:r>
      <w:r w:rsidR="006407ED">
        <w:rPr>
          <w:rFonts w:cs="Arial"/>
        </w:rPr>
        <w:t xml:space="preserve">and refreshed </w:t>
      </w:r>
      <w:r w:rsidRPr="00342D91">
        <w:rPr>
          <w:rFonts w:cs="Arial"/>
        </w:rPr>
        <w:t>flexible working policy ‘Balancing your Hours</w:t>
      </w:r>
      <w:r w:rsidR="00342D91" w:rsidRPr="00342D91">
        <w:rPr>
          <w:rFonts w:cs="Arial"/>
        </w:rPr>
        <w:t>’ is designed to</w:t>
      </w:r>
      <w:r w:rsidRPr="00342D91">
        <w:rPr>
          <w:rFonts w:cs="Arial"/>
          <w:color w:val="333333"/>
          <w:shd w:val="clear" w:color="auto" w:fill="FFFFFF"/>
        </w:rPr>
        <w:t xml:space="preserve"> enable all staff to achieve a healthier work/life balance </w:t>
      </w:r>
      <w:r w:rsidR="00342D91" w:rsidRPr="00342D91">
        <w:rPr>
          <w:rFonts w:cs="Arial"/>
          <w:color w:val="333333"/>
          <w:shd w:val="clear" w:color="auto" w:fill="FFFFFF"/>
        </w:rPr>
        <w:t xml:space="preserve">and to </w:t>
      </w:r>
      <w:r w:rsidRPr="00342D91">
        <w:rPr>
          <w:rFonts w:cs="Arial"/>
          <w:color w:val="333333"/>
          <w:shd w:val="clear" w:color="auto" w:fill="FFFFFF"/>
        </w:rPr>
        <w:t>make sure that we continue to build a more inclusive culture. </w:t>
      </w:r>
    </w:p>
    <w:p w14:paraId="12F3127B" w14:textId="77777777" w:rsidR="007D50CB" w:rsidRDefault="007D50CB" w:rsidP="00160FFA">
      <w:pPr>
        <w:rPr>
          <w:rFonts w:cs="Arial"/>
        </w:rPr>
      </w:pPr>
    </w:p>
    <w:p w14:paraId="49F93A2B" w14:textId="5930ACC2" w:rsidR="00A53AA6" w:rsidRDefault="00C722E4" w:rsidP="00A53AA6">
      <w:pPr>
        <w:rPr>
          <w:rFonts w:cs="Arial"/>
        </w:rPr>
      </w:pPr>
      <w:r w:rsidRPr="00875321">
        <w:rPr>
          <w:rFonts w:cs="Arial"/>
        </w:rPr>
        <w:t xml:space="preserve">This </w:t>
      </w:r>
      <w:r w:rsidR="007E4ECF" w:rsidRPr="00875321">
        <w:rPr>
          <w:rFonts w:cs="Arial"/>
        </w:rPr>
        <w:t>enables ONR to become a more attractive employer to a broader talent pool of potential applicants who would benefit from the range of flexible options available</w:t>
      </w:r>
      <w:r w:rsidR="008B7ECD">
        <w:rPr>
          <w:rFonts w:cs="Arial"/>
        </w:rPr>
        <w:t>,</w:t>
      </w:r>
      <w:r w:rsidR="007E4ECF" w:rsidRPr="00875321">
        <w:rPr>
          <w:rFonts w:cs="Arial"/>
        </w:rPr>
        <w:t xml:space="preserve"> </w:t>
      </w:r>
      <w:r w:rsidR="008B7ECD">
        <w:rPr>
          <w:rFonts w:cs="Arial"/>
        </w:rPr>
        <w:t>t</w:t>
      </w:r>
      <w:r w:rsidR="007E4ECF" w:rsidRPr="00875321">
        <w:rPr>
          <w:rFonts w:cs="Arial"/>
        </w:rPr>
        <w:t xml:space="preserve">hereby </w:t>
      </w:r>
      <w:r w:rsidR="00245B9F" w:rsidRPr="00875321">
        <w:rPr>
          <w:rFonts w:cs="Arial"/>
        </w:rPr>
        <w:t xml:space="preserve">helping </w:t>
      </w:r>
      <w:r w:rsidR="00AA09DC" w:rsidRPr="00875321">
        <w:rPr>
          <w:rFonts w:cs="Arial"/>
        </w:rPr>
        <w:t xml:space="preserve">us </w:t>
      </w:r>
      <w:r w:rsidR="00101F47" w:rsidRPr="00875321">
        <w:rPr>
          <w:rFonts w:cs="Arial"/>
        </w:rPr>
        <w:t xml:space="preserve">become </w:t>
      </w:r>
      <w:r w:rsidR="00C956AC" w:rsidRPr="00875321">
        <w:rPr>
          <w:rFonts w:cs="Arial"/>
        </w:rPr>
        <w:t xml:space="preserve">more inclusive </w:t>
      </w:r>
      <w:r w:rsidR="00E32350" w:rsidRPr="00875321">
        <w:rPr>
          <w:rFonts w:cs="Arial"/>
        </w:rPr>
        <w:t xml:space="preserve">by </w:t>
      </w:r>
      <w:r w:rsidR="00992B5F" w:rsidRPr="00875321">
        <w:rPr>
          <w:rFonts w:cs="Arial"/>
        </w:rPr>
        <w:t>opening</w:t>
      </w:r>
      <w:r w:rsidR="00101F47" w:rsidRPr="00875321">
        <w:rPr>
          <w:rFonts w:cs="Arial"/>
        </w:rPr>
        <w:t xml:space="preserve"> </w:t>
      </w:r>
      <w:r w:rsidR="00351BBC" w:rsidRPr="00875321">
        <w:rPr>
          <w:rFonts w:cs="Arial"/>
        </w:rPr>
        <w:t>new and</w:t>
      </w:r>
      <w:r w:rsidR="00101F47" w:rsidRPr="00875321">
        <w:rPr>
          <w:rFonts w:cs="Arial"/>
        </w:rPr>
        <w:t xml:space="preserve"> diverse recruitment channels</w:t>
      </w:r>
      <w:r w:rsidR="007E4ECF" w:rsidRPr="00875321">
        <w:rPr>
          <w:rFonts w:cs="Arial"/>
        </w:rPr>
        <w:t>.</w:t>
      </w:r>
      <w:r w:rsidR="00A53AA6" w:rsidRPr="00A53AA6">
        <w:rPr>
          <w:rFonts w:cs="Arial"/>
        </w:rPr>
        <w:t xml:space="preserve"> </w:t>
      </w:r>
      <w:r w:rsidR="00A53AA6" w:rsidRPr="00875321">
        <w:rPr>
          <w:rFonts w:cs="Arial"/>
        </w:rPr>
        <w:t>We believe that opening access to more flexible working arrangements is another key step to ONR attracting and retaining female</w:t>
      </w:r>
      <w:r w:rsidR="00A53AA6">
        <w:rPr>
          <w:rFonts w:cs="Arial"/>
        </w:rPr>
        <w:t xml:space="preserve"> employees</w:t>
      </w:r>
      <w:r w:rsidR="00A53AA6" w:rsidRPr="00875321">
        <w:rPr>
          <w:rFonts w:cs="Arial"/>
        </w:rPr>
        <w:t xml:space="preserve"> and improving gender equality.</w:t>
      </w:r>
      <w:r w:rsidR="008316B9">
        <w:rPr>
          <w:rFonts w:cs="Arial"/>
        </w:rPr>
        <w:t xml:space="preserve"> The technical recruitment outturn for 2022/23 has shown a positive impact with a higher ratio of female starters compared to the two previous years.</w:t>
      </w:r>
    </w:p>
    <w:p w14:paraId="4375CF20" w14:textId="77777777" w:rsidR="00536890" w:rsidRDefault="00536890" w:rsidP="00623438">
      <w:pPr>
        <w:jc w:val="center"/>
        <w:rPr>
          <w:rFonts w:cs="Arial"/>
          <w:b/>
        </w:rPr>
      </w:pPr>
    </w:p>
    <w:p w14:paraId="7520055B" w14:textId="77777777" w:rsidR="00371B66" w:rsidRDefault="00371B66" w:rsidP="00623438">
      <w:pPr>
        <w:jc w:val="center"/>
        <w:rPr>
          <w:rFonts w:cs="Arial"/>
          <w:b/>
        </w:rPr>
      </w:pPr>
    </w:p>
    <w:p w14:paraId="3AA318EB" w14:textId="77777777" w:rsidR="00371B66" w:rsidRDefault="00371B66" w:rsidP="00623438">
      <w:pPr>
        <w:jc w:val="center"/>
        <w:rPr>
          <w:rFonts w:cs="Arial"/>
          <w:b/>
        </w:rPr>
      </w:pPr>
    </w:p>
    <w:p w14:paraId="16824C64" w14:textId="77777777" w:rsidR="00F332DC" w:rsidRDefault="00623438" w:rsidP="00623438">
      <w:pPr>
        <w:jc w:val="center"/>
        <w:rPr>
          <w:rFonts w:cs="Arial"/>
          <w:b/>
        </w:rPr>
      </w:pPr>
      <w:r w:rsidRPr="008519A2">
        <w:rPr>
          <w:rFonts w:cs="Arial"/>
          <w:b/>
        </w:rPr>
        <w:t>T</w:t>
      </w:r>
    </w:p>
    <w:p w14:paraId="229DEF83" w14:textId="77777777" w:rsidR="00F332DC" w:rsidRDefault="00F332DC" w:rsidP="00623438">
      <w:pPr>
        <w:jc w:val="center"/>
        <w:rPr>
          <w:rFonts w:cs="Arial"/>
          <w:b/>
        </w:rPr>
      </w:pPr>
    </w:p>
    <w:p w14:paraId="557CDF19" w14:textId="77777777" w:rsidR="001262E5" w:rsidRDefault="001262E5" w:rsidP="00F332DC">
      <w:pPr>
        <w:rPr>
          <w:rFonts w:cs="Arial"/>
          <w:b/>
        </w:rPr>
      </w:pPr>
    </w:p>
    <w:p w14:paraId="1824E1FC" w14:textId="77777777" w:rsidR="001262E5" w:rsidRDefault="001262E5" w:rsidP="00F332DC">
      <w:pPr>
        <w:rPr>
          <w:rFonts w:cs="Arial"/>
          <w:b/>
        </w:rPr>
      </w:pPr>
    </w:p>
    <w:p w14:paraId="5FEF28AC" w14:textId="3287A07E" w:rsidR="00F170A5" w:rsidRPr="008519A2" w:rsidRDefault="00F332DC" w:rsidP="00F332DC">
      <w:pPr>
        <w:rPr>
          <w:rFonts w:cs="Arial"/>
          <w:b/>
        </w:rPr>
      </w:pPr>
      <w:r>
        <w:rPr>
          <w:rFonts w:cs="Arial"/>
          <w:b/>
        </w:rPr>
        <w:t>New</w:t>
      </w:r>
      <w:r w:rsidR="00623438" w:rsidRPr="008519A2">
        <w:rPr>
          <w:rFonts w:cs="Arial"/>
          <w:b/>
        </w:rPr>
        <w:t xml:space="preserve"> starters over last </w:t>
      </w:r>
      <w:r w:rsidR="00F22B6E">
        <w:rPr>
          <w:rFonts w:cs="Arial"/>
          <w:b/>
        </w:rPr>
        <w:t>three</w:t>
      </w:r>
      <w:r w:rsidR="00623438" w:rsidRPr="008519A2">
        <w:rPr>
          <w:rFonts w:cs="Arial"/>
          <w:b/>
        </w:rPr>
        <w:t xml:space="preserve"> years by specialism</w:t>
      </w:r>
    </w:p>
    <w:p w14:paraId="5BDD882A" w14:textId="77777777" w:rsidR="00A25E10" w:rsidRDefault="00A25E10" w:rsidP="00F51474">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9"/>
        <w:gridCol w:w="724"/>
        <w:gridCol w:w="1127"/>
        <w:gridCol w:w="724"/>
        <w:gridCol w:w="1127"/>
        <w:gridCol w:w="724"/>
        <w:gridCol w:w="1127"/>
      </w:tblGrid>
      <w:tr w:rsidR="000B36B3" w:rsidRPr="00DD60B4" w14:paraId="388B931E" w14:textId="77777777" w:rsidTr="003235C7">
        <w:trPr>
          <w:trHeight w:val="391"/>
          <w:jc w:val="center"/>
        </w:trPr>
        <w:tc>
          <w:tcPr>
            <w:tcW w:w="3609" w:type="dxa"/>
            <w:vMerge w:val="restart"/>
            <w:shd w:val="clear" w:color="auto" w:fill="DBE5F1" w:themeFill="accent1" w:themeFillTint="33"/>
            <w:vAlign w:val="center"/>
          </w:tcPr>
          <w:p w14:paraId="23B29081" w14:textId="77777777" w:rsidR="000B36B3" w:rsidRPr="00346656" w:rsidRDefault="000B36B3" w:rsidP="00F31CA2">
            <w:pPr>
              <w:jc w:val="center"/>
              <w:rPr>
                <w:rFonts w:cs="Arial"/>
                <w:b/>
                <w:bCs/>
                <w:color w:val="000000"/>
              </w:rPr>
            </w:pPr>
            <w:r w:rsidRPr="00346656">
              <w:rPr>
                <w:rFonts w:cs="Arial"/>
                <w:b/>
                <w:bCs/>
                <w:color w:val="000000"/>
              </w:rPr>
              <w:t>New starters</w:t>
            </w:r>
          </w:p>
        </w:tc>
        <w:tc>
          <w:tcPr>
            <w:tcW w:w="1851" w:type="dxa"/>
            <w:gridSpan w:val="2"/>
            <w:shd w:val="clear" w:color="auto" w:fill="DBE5F1" w:themeFill="accent1" w:themeFillTint="33"/>
            <w:vAlign w:val="center"/>
          </w:tcPr>
          <w:p w14:paraId="145E6D8D" w14:textId="0A4B3462" w:rsidR="000B36B3" w:rsidRPr="00346656" w:rsidRDefault="000B36B3" w:rsidP="00F31CA2">
            <w:pPr>
              <w:jc w:val="center"/>
              <w:rPr>
                <w:rFonts w:cs="Arial"/>
                <w:b/>
                <w:bCs/>
                <w:color w:val="000000"/>
              </w:rPr>
            </w:pPr>
            <w:r w:rsidRPr="00346656">
              <w:rPr>
                <w:rFonts w:cs="Arial"/>
                <w:b/>
                <w:bCs/>
                <w:color w:val="000000"/>
              </w:rPr>
              <w:t>20</w:t>
            </w:r>
            <w:r w:rsidR="00D35830" w:rsidRPr="00346656">
              <w:rPr>
                <w:rFonts w:cs="Arial"/>
                <w:b/>
                <w:bCs/>
                <w:color w:val="000000"/>
              </w:rPr>
              <w:t>20</w:t>
            </w:r>
            <w:r w:rsidR="004C3A4D" w:rsidRPr="00346656">
              <w:rPr>
                <w:rFonts w:cs="Arial"/>
                <w:b/>
                <w:bCs/>
                <w:color w:val="000000"/>
              </w:rPr>
              <w:t>/21</w:t>
            </w:r>
          </w:p>
        </w:tc>
        <w:tc>
          <w:tcPr>
            <w:tcW w:w="1851" w:type="dxa"/>
            <w:gridSpan w:val="2"/>
            <w:shd w:val="clear" w:color="auto" w:fill="DBE5F1" w:themeFill="accent1" w:themeFillTint="33"/>
            <w:vAlign w:val="center"/>
          </w:tcPr>
          <w:p w14:paraId="059D65AF" w14:textId="51920451" w:rsidR="000B36B3" w:rsidRPr="00346656" w:rsidRDefault="000B36B3" w:rsidP="00F31CA2">
            <w:pPr>
              <w:jc w:val="center"/>
              <w:rPr>
                <w:rFonts w:cs="Arial"/>
                <w:b/>
                <w:bCs/>
                <w:color w:val="000000"/>
              </w:rPr>
            </w:pPr>
            <w:r w:rsidRPr="00346656">
              <w:rPr>
                <w:rFonts w:cs="Arial"/>
                <w:b/>
                <w:bCs/>
                <w:color w:val="000000"/>
              </w:rPr>
              <w:t>202</w:t>
            </w:r>
            <w:r w:rsidR="00222342" w:rsidRPr="00346656">
              <w:rPr>
                <w:rFonts w:cs="Arial"/>
                <w:b/>
                <w:bCs/>
                <w:color w:val="000000"/>
              </w:rPr>
              <w:t>1</w:t>
            </w:r>
            <w:r w:rsidRPr="00346656">
              <w:rPr>
                <w:rFonts w:cs="Arial"/>
                <w:b/>
                <w:bCs/>
                <w:color w:val="000000"/>
              </w:rPr>
              <w:t>/2</w:t>
            </w:r>
            <w:r w:rsidR="00222342" w:rsidRPr="00346656">
              <w:rPr>
                <w:rFonts w:cs="Arial"/>
                <w:b/>
                <w:bCs/>
                <w:color w:val="000000"/>
              </w:rPr>
              <w:t>2</w:t>
            </w:r>
          </w:p>
        </w:tc>
        <w:tc>
          <w:tcPr>
            <w:tcW w:w="1851" w:type="dxa"/>
            <w:gridSpan w:val="2"/>
            <w:shd w:val="clear" w:color="auto" w:fill="DBE5F1" w:themeFill="accent1" w:themeFillTint="33"/>
          </w:tcPr>
          <w:p w14:paraId="0252AB8B" w14:textId="42892E0D" w:rsidR="000B36B3" w:rsidRPr="00346656" w:rsidRDefault="000B36B3" w:rsidP="00F31CA2">
            <w:pPr>
              <w:jc w:val="center"/>
              <w:rPr>
                <w:rFonts w:cs="Arial"/>
                <w:b/>
                <w:bCs/>
                <w:color w:val="000000"/>
              </w:rPr>
            </w:pPr>
            <w:r w:rsidRPr="00346656">
              <w:rPr>
                <w:rFonts w:cs="Arial"/>
                <w:b/>
                <w:bCs/>
                <w:color w:val="000000"/>
              </w:rPr>
              <w:t>202</w:t>
            </w:r>
            <w:r w:rsidR="00BD35FF" w:rsidRPr="00346656">
              <w:rPr>
                <w:rFonts w:cs="Arial"/>
                <w:b/>
                <w:bCs/>
                <w:color w:val="000000"/>
              </w:rPr>
              <w:t>2/23</w:t>
            </w:r>
          </w:p>
        </w:tc>
      </w:tr>
      <w:tr w:rsidR="000B36B3" w:rsidRPr="00DD60B4" w14:paraId="6B56BE37" w14:textId="77777777" w:rsidTr="003235C7">
        <w:trPr>
          <w:trHeight w:val="343"/>
          <w:jc w:val="center"/>
        </w:trPr>
        <w:tc>
          <w:tcPr>
            <w:tcW w:w="3609" w:type="dxa"/>
            <w:vMerge/>
            <w:vAlign w:val="center"/>
          </w:tcPr>
          <w:p w14:paraId="5D97B267" w14:textId="77777777" w:rsidR="000B36B3" w:rsidRPr="00346656" w:rsidRDefault="000B36B3" w:rsidP="00F31CA2">
            <w:pPr>
              <w:jc w:val="center"/>
              <w:rPr>
                <w:rFonts w:cs="Arial"/>
              </w:rPr>
            </w:pPr>
          </w:p>
        </w:tc>
        <w:tc>
          <w:tcPr>
            <w:tcW w:w="724" w:type="dxa"/>
            <w:vAlign w:val="center"/>
          </w:tcPr>
          <w:p w14:paraId="1FA3F55B" w14:textId="77777777" w:rsidR="000B36B3" w:rsidRPr="00346656" w:rsidRDefault="000B36B3" w:rsidP="00F31CA2">
            <w:pPr>
              <w:jc w:val="center"/>
              <w:rPr>
                <w:rFonts w:cs="Arial"/>
                <w:b/>
              </w:rPr>
            </w:pPr>
            <w:r w:rsidRPr="00346656">
              <w:rPr>
                <w:rFonts w:cs="Arial"/>
                <w:b/>
              </w:rPr>
              <w:t xml:space="preserve">Men </w:t>
            </w:r>
          </w:p>
        </w:tc>
        <w:tc>
          <w:tcPr>
            <w:tcW w:w="1127" w:type="dxa"/>
            <w:vAlign w:val="center"/>
          </w:tcPr>
          <w:p w14:paraId="70087906" w14:textId="77777777" w:rsidR="000B36B3" w:rsidRPr="00346656" w:rsidRDefault="000B36B3" w:rsidP="00F31CA2">
            <w:pPr>
              <w:jc w:val="center"/>
              <w:rPr>
                <w:rFonts w:cs="Arial"/>
                <w:b/>
              </w:rPr>
            </w:pPr>
            <w:r w:rsidRPr="00346656">
              <w:rPr>
                <w:rFonts w:cs="Arial"/>
                <w:b/>
              </w:rPr>
              <w:t>Women</w:t>
            </w:r>
          </w:p>
        </w:tc>
        <w:tc>
          <w:tcPr>
            <w:tcW w:w="724" w:type="dxa"/>
            <w:vAlign w:val="center"/>
          </w:tcPr>
          <w:p w14:paraId="1017DAA3" w14:textId="77777777" w:rsidR="000B36B3" w:rsidRPr="00346656" w:rsidRDefault="000B36B3" w:rsidP="00F31CA2">
            <w:pPr>
              <w:jc w:val="center"/>
              <w:rPr>
                <w:rFonts w:cs="Arial"/>
                <w:b/>
              </w:rPr>
            </w:pPr>
            <w:r w:rsidRPr="00346656">
              <w:rPr>
                <w:rFonts w:cs="Arial"/>
                <w:b/>
              </w:rPr>
              <w:t xml:space="preserve">Men </w:t>
            </w:r>
          </w:p>
        </w:tc>
        <w:tc>
          <w:tcPr>
            <w:tcW w:w="1127" w:type="dxa"/>
            <w:vAlign w:val="center"/>
          </w:tcPr>
          <w:p w14:paraId="7E2B51A3" w14:textId="77777777" w:rsidR="000B36B3" w:rsidRPr="00346656" w:rsidRDefault="000B36B3" w:rsidP="00F31CA2">
            <w:pPr>
              <w:jc w:val="center"/>
              <w:rPr>
                <w:rFonts w:cs="Arial"/>
                <w:b/>
              </w:rPr>
            </w:pPr>
            <w:r w:rsidRPr="00346656">
              <w:rPr>
                <w:rFonts w:cs="Arial"/>
                <w:b/>
              </w:rPr>
              <w:t xml:space="preserve">Women </w:t>
            </w:r>
          </w:p>
        </w:tc>
        <w:tc>
          <w:tcPr>
            <w:tcW w:w="724" w:type="dxa"/>
            <w:vAlign w:val="center"/>
          </w:tcPr>
          <w:p w14:paraId="5EE7E3C8" w14:textId="77777777" w:rsidR="000B36B3" w:rsidRPr="00346656" w:rsidRDefault="000B36B3" w:rsidP="00F31CA2">
            <w:pPr>
              <w:jc w:val="center"/>
              <w:rPr>
                <w:rFonts w:cs="Arial"/>
                <w:b/>
              </w:rPr>
            </w:pPr>
            <w:r w:rsidRPr="00346656">
              <w:rPr>
                <w:rFonts w:cs="Arial"/>
                <w:b/>
              </w:rPr>
              <w:t>Men</w:t>
            </w:r>
          </w:p>
        </w:tc>
        <w:tc>
          <w:tcPr>
            <w:tcW w:w="1127" w:type="dxa"/>
            <w:vAlign w:val="center"/>
          </w:tcPr>
          <w:p w14:paraId="011A5C62" w14:textId="77777777" w:rsidR="000B36B3" w:rsidRPr="00346656" w:rsidRDefault="000B36B3" w:rsidP="00F31CA2">
            <w:pPr>
              <w:jc w:val="center"/>
              <w:rPr>
                <w:rFonts w:cs="Arial"/>
                <w:b/>
              </w:rPr>
            </w:pPr>
            <w:r w:rsidRPr="00346656">
              <w:rPr>
                <w:rFonts w:cs="Arial"/>
                <w:b/>
              </w:rPr>
              <w:t>Women</w:t>
            </w:r>
          </w:p>
        </w:tc>
      </w:tr>
      <w:tr w:rsidR="000B36B3" w:rsidRPr="00DD60B4" w14:paraId="717F8CA2" w14:textId="77777777" w:rsidTr="003235C7">
        <w:trPr>
          <w:trHeight w:val="929"/>
          <w:jc w:val="center"/>
        </w:trPr>
        <w:tc>
          <w:tcPr>
            <w:tcW w:w="3609" w:type="dxa"/>
            <w:vAlign w:val="center"/>
          </w:tcPr>
          <w:p w14:paraId="79CC4109" w14:textId="77777777" w:rsidR="000B36B3" w:rsidRPr="00346656" w:rsidRDefault="000B36B3" w:rsidP="00F31CA2">
            <w:pPr>
              <w:jc w:val="center"/>
              <w:rPr>
                <w:rFonts w:cs="Arial"/>
              </w:rPr>
            </w:pPr>
            <w:r w:rsidRPr="00346656">
              <w:rPr>
                <w:rFonts w:cs="Arial"/>
              </w:rPr>
              <w:t>Technical specialists</w:t>
            </w:r>
          </w:p>
        </w:tc>
        <w:tc>
          <w:tcPr>
            <w:tcW w:w="724" w:type="dxa"/>
            <w:vAlign w:val="center"/>
          </w:tcPr>
          <w:p w14:paraId="2BE7E1CB" w14:textId="6B249BEF" w:rsidR="000B36B3" w:rsidRPr="00346656" w:rsidRDefault="000B36B3" w:rsidP="00F31CA2">
            <w:pPr>
              <w:jc w:val="center"/>
              <w:rPr>
                <w:rFonts w:cs="Arial"/>
              </w:rPr>
            </w:pPr>
            <w:r w:rsidRPr="00346656">
              <w:t>1</w:t>
            </w:r>
            <w:r w:rsidR="004C3A4D" w:rsidRPr="00346656">
              <w:t>0</w:t>
            </w:r>
          </w:p>
        </w:tc>
        <w:tc>
          <w:tcPr>
            <w:tcW w:w="1127" w:type="dxa"/>
            <w:vAlign w:val="center"/>
          </w:tcPr>
          <w:p w14:paraId="79CDF565" w14:textId="304EDA66" w:rsidR="000B36B3" w:rsidRPr="00346656" w:rsidRDefault="004C3A4D" w:rsidP="00F31CA2">
            <w:pPr>
              <w:jc w:val="center"/>
              <w:rPr>
                <w:rFonts w:cs="Arial"/>
              </w:rPr>
            </w:pPr>
            <w:r w:rsidRPr="00346656">
              <w:t>3</w:t>
            </w:r>
          </w:p>
        </w:tc>
        <w:tc>
          <w:tcPr>
            <w:tcW w:w="724" w:type="dxa"/>
            <w:vAlign w:val="center"/>
          </w:tcPr>
          <w:p w14:paraId="6D4C1CEC" w14:textId="563F0D19" w:rsidR="000B36B3" w:rsidRPr="00346656" w:rsidRDefault="00BD35FF" w:rsidP="00F31CA2">
            <w:pPr>
              <w:jc w:val="center"/>
              <w:rPr>
                <w:rFonts w:cs="Arial"/>
              </w:rPr>
            </w:pPr>
            <w:r w:rsidRPr="00346656">
              <w:rPr>
                <w:rFonts w:cs="Arial"/>
              </w:rPr>
              <w:t>16</w:t>
            </w:r>
          </w:p>
        </w:tc>
        <w:tc>
          <w:tcPr>
            <w:tcW w:w="1127" w:type="dxa"/>
            <w:vAlign w:val="center"/>
          </w:tcPr>
          <w:p w14:paraId="1BFE860B" w14:textId="4BE64C9A" w:rsidR="000B36B3" w:rsidRPr="00346656" w:rsidRDefault="00BD35FF" w:rsidP="00F31CA2">
            <w:pPr>
              <w:jc w:val="center"/>
              <w:rPr>
                <w:rFonts w:cs="Arial"/>
              </w:rPr>
            </w:pPr>
            <w:r w:rsidRPr="00346656">
              <w:rPr>
                <w:rFonts w:cs="Arial"/>
              </w:rPr>
              <w:t>4</w:t>
            </w:r>
          </w:p>
        </w:tc>
        <w:tc>
          <w:tcPr>
            <w:tcW w:w="724" w:type="dxa"/>
            <w:vAlign w:val="center"/>
          </w:tcPr>
          <w:p w14:paraId="0E6914AA" w14:textId="34702027" w:rsidR="000B36B3" w:rsidRPr="00346656" w:rsidRDefault="00132359" w:rsidP="00F31CA2">
            <w:pPr>
              <w:jc w:val="center"/>
              <w:rPr>
                <w:rFonts w:cs="Arial"/>
              </w:rPr>
            </w:pPr>
            <w:r w:rsidRPr="00346656">
              <w:rPr>
                <w:rFonts w:cs="Arial"/>
              </w:rPr>
              <w:t>22</w:t>
            </w:r>
          </w:p>
        </w:tc>
        <w:tc>
          <w:tcPr>
            <w:tcW w:w="1127" w:type="dxa"/>
            <w:vAlign w:val="center"/>
          </w:tcPr>
          <w:p w14:paraId="704A67DD" w14:textId="4C8E3755" w:rsidR="000B36B3" w:rsidRPr="00346656" w:rsidRDefault="00132359" w:rsidP="00F31CA2">
            <w:pPr>
              <w:jc w:val="center"/>
              <w:rPr>
                <w:rFonts w:cs="Arial"/>
              </w:rPr>
            </w:pPr>
            <w:r w:rsidRPr="00346656">
              <w:rPr>
                <w:rFonts w:cs="Arial"/>
              </w:rPr>
              <w:t>9</w:t>
            </w:r>
          </w:p>
        </w:tc>
      </w:tr>
      <w:tr w:rsidR="000B36B3" w:rsidRPr="00DD60B4" w14:paraId="2018D4A0" w14:textId="77777777" w:rsidTr="003235C7">
        <w:trPr>
          <w:trHeight w:val="781"/>
          <w:jc w:val="center"/>
        </w:trPr>
        <w:tc>
          <w:tcPr>
            <w:tcW w:w="3609" w:type="dxa"/>
            <w:vAlign w:val="center"/>
          </w:tcPr>
          <w:p w14:paraId="45430CBA" w14:textId="77777777" w:rsidR="000B36B3" w:rsidRPr="00346656" w:rsidRDefault="000B36B3" w:rsidP="00F31CA2">
            <w:pPr>
              <w:jc w:val="center"/>
              <w:rPr>
                <w:rFonts w:cs="Arial"/>
                <w:b/>
              </w:rPr>
            </w:pPr>
            <w:r w:rsidRPr="00346656">
              <w:rPr>
                <w:rFonts w:cs="Arial"/>
                <w:b/>
              </w:rPr>
              <w:t>% Technical specialists</w:t>
            </w:r>
          </w:p>
        </w:tc>
        <w:tc>
          <w:tcPr>
            <w:tcW w:w="724" w:type="dxa"/>
            <w:shd w:val="clear" w:color="auto" w:fill="auto"/>
            <w:vAlign w:val="center"/>
          </w:tcPr>
          <w:p w14:paraId="384C085F" w14:textId="77777777" w:rsidR="000B36B3" w:rsidRPr="00346656" w:rsidRDefault="000B36B3" w:rsidP="00F31CA2">
            <w:pPr>
              <w:jc w:val="center"/>
              <w:rPr>
                <w:rFonts w:cs="Arial"/>
              </w:rPr>
            </w:pPr>
          </w:p>
        </w:tc>
        <w:tc>
          <w:tcPr>
            <w:tcW w:w="1127" w:type="dxa"/>
            <w:shd w:val="clear" w:color="auto" w:fill="auto"/>
            <w:vAlign w:val="center"/>
          </w:tcPr>
          <w:p w14:paraId="57EA0551" w14:textId="26C66ECF" w:rsidR="000B36B3" w:rsidRPr="00346656" w:rsidRDefault="000770EB" w:rsidP="00F31CA2">
            <w:pPr>
              <w:jc w:val="center"/>
              <w:rPr>
                <w:rFonts w:cs="Arial"/>
              </w:rPr>
            </w:pPr>
            <w:r w:rsidRPr="00346656">
              <w:t>23%</w:t>
            </w:r>
          </w:p>
        </w:tc>
        <w:tc>
          <w:tcPr>
            <w:tcW w:w="724" w:type="dxa"/>
            <w:shd w:val="clear" w:color="auto" w:fill="auto"/>
            <w:vAlign w:val="center"/>
          </w:tcPr>
          <w:p w14:paraId="47DAE857" w14:textId="77777777" w:rsidR="000B36B3" w:rsidRPr="00346656" w:rsidRDefault="000B36B3" w:rsidP="00F31CA2">
            <w:pPr>
              <w:jc w:val="center"/>
              <w:rPr>
                <w:rFonts w:cs="Arial"/>
              </w:rPr>
            </w:pPr>
          </w:p>
        </w:tc>
        <w:tc>
          <w:tcPr>
            <w:tcW w:w="1127" w:type="dxa"/>
            <w:shd w:val="clear" w:color="auto" w:fill="auto"/>
            <w:vAlign w:val="center"/>
          </w:tcPr>
          <w:p w14:paraId="34102B5F" w14:textId="4BCA8E22" w:rsidR="000B36B3" w:rsidRPr="00346656" w:rsidRDefault="00BD35FF" w:rsidP="00F31CA2">
            <w:pPr>
              <w:jc w:val="center"/>
              <w:rPr>
                <w:rFonts w:cs="Arial"/>
              </w:rPr>
            </w:pPr>
            <w:r w:rsidRPr="00346656">
              <w:rPr>
                <w:rFonts w:cs="Arial"/>
              </w:rPr>
              <w:t>20%</w:t>
            </w:r>
          </w:p>
        </w:tc>
        <w:tc>
          <w:tcPr>
            <w:tcW w:w="724" w:type="dxa"/>
            <w:shd w:val="clear" w:color="auto" w:fill="auto"/>
            <w:vAlign w:val="center"/>
          </w:tcPr>
          <w:p w14:paraId="6B5CA637" w14:textId="77777777" w:rsidR="000B36B3" w:rsidRPr="00346656" w:rsidRDefault="000B36B3" w:rsidP="00F31CA2">
            <w:pPr>
              <w:jc w:val="center"/>
              <w:rPr>
                <w:rFonts w:cs="Arial"/>
              </w:rPr>
            </w:pPr>
          </w:p>
        </w:tc>
        <w:tc>
          <w:tcPr>
            <w:tcW w:w="1127" w:type="dxa"/>
            <w:shd w:val="clear" w:color="auto" w:fill="auto"/>
            <w:vAlign w:val="center"/>
          </w:tcPr>
          <w:p w14:paraId="5C61697D" w14:textId="1E8CDD75" w:rsidR="000B36B3" w:rsidRPr="00346656" w:rsidRDefault="00132359" w:rsidP="00F31CA2">
            <w:pPr>
              <w:jc w:val="center"/>
              <w:rPr>
                <w:rFonts w:cs="Arial"/>
              </w:rPr>
            </w:pPr>
            <w:r w:rsidRPr="00346656">
              <w:rPr>
                <w:rFonts w:cs="Arial"/>
              </w:rPr>
              <w:t>29%</w:t>
            </w:r>
          </w:p>
        </w:tc>
      </w:tr>
      <w:tr w:rsidR="000B36B3" w:rsidRPr="00DD60B4" w14:paraId="4320226B" w14:textId="77777777" w:rsidTr="003235C7">
        <w:trPr>
          <w:trHeight w:val="391"/>
          <w:jc w:val="center"/>
        </w:trPr>
        <w:tc>
          <w:tcPr>
            <w:tcW w:w="3609" w:type="dxa"/>
            <w:vAlign w:val="center"/>
          </w:tcPr>
          <w:p w14:paraId="73A1CD65" w14:textId="77777777" w:rsidR="000B36B3" w:rsidRPr="00346656" w:rsidRDefault="000B36B3" w:rsidP="00F31CA2">
            <w:pPr>
              <w:jc w:val="center"/>
              <w:rPr>
                <w:rFonts w:cs="Arial"/>
              </w:rPr>
            </w:pPr>
            <w:r w:rsidRPr="00346656">
              <w:rPr>
                <w:rFonts w:cs="Arial"/>
              </w:rPr>
              <w:t xml:space="preserve">Support roles </w:t>
            </w:r>
          </w:p>
        </w:tc>
        <w:tc>
          <w:tcPr>
            <w:tcW w:w="724" w:type="dxa"/>
            <w:vAlign w:val="center"/>
          </w:tcPr>
          <w:p w14:paraId="2151A2A4" w14:textId="0B94D1DA" w:rsidR="000B36B3" w:rsidRPr="00346656" w:rsidRDefault="00DE7393" w:rsidP="00F31CA2">
            <w:pPr>
              <w:jc w:val="center"/>
              <w:rPr>
                <w:rFonts w:cs="Arial"/>
              </w:rPr>
            </w:pPr>
            <w:r w:rsidRPr="00346656">
              <w:rPr>
                <w:rFonts w:cs="Arial"/>
              </w:rPr>
              <w:t>4</w:t>
            </w:r>
          </w:p>
        </w:tc>
        <w:tc>
          <w:tcPr>
            <w:tcW w:w="1127" w:type="dxa"/>
            <w:vAlign w:val="center"/>
          </w:tcPr>
          <w:p w14:paraId="53D9264C" w14:textId="7D00F8AA" w:rsidR="000B36B3" w:rsidRPr="00346656" w:rsidRDefault="00DE7393" w:rsidP="00F31CA2">
            <w:pPr>
              <w:jc w:val="center"/>
              <w:rPr>
                <w:rFonts w:cs="Arial"/>
              </w:rPr>
            </w:pPr>
            <w:r w:rsidRPr="00346656">
              <w:rPr>
                <w:rFonts w:cs="Arial"/>
              </w:rPr>
              <w:t>2</w:t>
            </w:r>
          </w:p>
        </w:tc>
        <w:tc>
          <w:tcPr>
            <w:tcW w:w="724" w:type="dxa"/>
            <w:vAlign w:val="center"/>
          </w:tcPr>
          <w:p w14:paraId="4C9F1EB4" w14:textId="5821DB70" w:rsidR="000B36B3" w:rsidRPr="00346656" w:rsidRDefault="00BD35FF" w:rsidP="00F31CA2">
            <w:pPr>
              <w:jc w:val="center"/>
              <w:rPr>
                <w:rFonts w:cs="Arial"/>
              </w:rPr>
            </w:pPr>
            <w:r w:rsidRPr="00346656">
              <w:rPr>
                <w:rFonts w:cs="Arial"/>
              </w:rPr>
              <w:t>16</w:t>
            </w:r>
          </w:p>
        </w:tc>
        <w:tc>
          <w:tcPr>
            <w:tcW w:w="1127" w:type="dxa"/>
            <w:vAlign w:val="center"/>
          </w:tcPr>
          <w:p w14:paraId="0F69CB37" w14:textId="733A426F" w:rsidR="000B36B3" w:rsidRPr="00346656" w:rsidRDefault="00BD35FF" w:rsidP="00F31CA2">
            <w:pPr>
              <w:jc w:val="center"/>
              <w:rPr>
                <w:rFonts w:cs="Arial"/>
              </w:rPr>
            </w:pPr>
            <w:r w:rsidRPr="00346656">
              <w:rPr>
                <w:rFonts w:cs="Arial"/>
              </w:rPr>
              <w:t>13</w:t>
            </w:r>
          </w:p>
        </w:tc>
        <w:tc>
          <w:tcPr>
            <w:tcW w:w="724" w:type="dxa"/>
            <w:vAlign w:val="center"/>
          </w:tcPr>
          <w:p w14:paraId="68A5BF11" w14:textId="43F6B28C" w:rsidR="000B36B3" w:rsidRPr="00346656" w:rsidRDefault="008E1739" w:rsidP="00F31CA2">
            <w:pPr>
              <w:jc w:val="center"/>
              <w:rPr>
                <w:rFonts w:cs="Arial"/>
              </w:rPr>
            </w:pPr>
            <w:r w:rsidRPr="00346656">
              <w:rPr>
                <w:rFonts w:cs="Arial"/>
              </w:rPr>
              <w:t>10</w:t>
            </w:r>
          </w:p>
        </w:tc>
        <w:tc>
          <w:tcPr>
            <w:tcW w:w="1127" w:type="dxa"/>
            <w:vAlign w:val="center"/>
          </w:tcPr>
          <w:p w14:paraId="399FD0F5" w14:textId="476751D0" w:rsidR="000B36B3" w:rsidRPr="00346656" w:rsidRDefault="008E1739" w:rsidP="00F31CA2">
            <w:pPr>
              <w:jc w:val="center"/>
              <w:rPr>
                <w:rFonts w:cs="Arial"/>
              </w:rPr>
            </w:pPr>
            <w:r w:rsidRPr="00346656">
              <w:rPr>
                <w:rFonts w:cs="Arial"/>
              </w:rPr>
              <w:t>18</w:t>
            </w:r>
          </w:p>
        </w:tc>
      </w:tr>
      <w:tr w:rsidR="000B36B3" w:rsidRPr="00DD60B4" w14:paraId="53AC8606" w14:textId="77777777" w:rsidTr="003235C7">
        <w:trPr>
          <w:trHeight w:val="449"/>
          <w:jc w:val="center"/>
        </w:trPr>
        <w:tc>
          <w:tcPr>
            <w:tcW w:w="3609" w:type="dxa"/>
            <w:vAlign w:val="center"/>
          </w:tcPr>
          <w:p w14:paraId="42D52D6D" w14:textId="77777777" w:rsidR="000B36B3" w:rsidRPr="00346656" w:rsidRDefault="000B36B3" w:rsidP="00F31CA2">
            <w:pPr>
              <w:jc w:val="center"/>
              <w:rPr>
                <w:rFonts w:cs="Arial"/>
                <w:b/>
              </w:rPr>
            </w:pPr>
            <w:r w:rsidRPr="00346656">
              <w:rPr>
                <w:rFonts w:cs="Arial"/>
                <w:b/>
              </w:rPr>
              <w:t>% Support roles</w:t>
            </w:r>
          </w:p>
        </w:tc>
        <w:tc>
          <w:tcPr>
            <w:tcW w:w="724" w:type="dxa"/>
            <w:shd w:val="clear" w:color="auto" w:fill="auto"/>
            <w:vAlign w:val="center"/>
          </w:tcPr>
          <w:p w14:paraId="073C7E2D" w14:textId="77777777" w:rsidR="000B36B3" w:rsidRPr="00346656" w:rsidRDefault="000B36B3" w:rsidP="00F31CA2">
            <w:pPr>
              <w:jc w:val="center"/>
              <w:rPr>
                <w:rFonts w:cs="Arial"/>
              </w:rPr>
            </w:pPr>
          </w:p>
        </w:tc>
        <w:tc>
          <w:tcPr>
            <w:tcW w:w="1127" w:type="dxa"/>
            <w:shd w:val="clear" w:color="auto" w:fill="auto"/>
            <w:vAlign w:val="center"/>
          </w:tcPr>
          <w:p w14:paraId="36C13414" w14:textId="1B92675A" w:rsidR="000B36B3" w:rsidRPr="00346656" w:rsidRDefault="00222342" w:rsidP="00F31CA2">
            <w:pPr>
              <w:jc w:val="center"/>
              <w:rPr>
                <w:rFonts w:cs="Arial"/>
              </w:rPr>
            </w:pPr>
            <w:r w:rsidRPr="00346656">
              <w:rPr>
                <w:rFonts w:cs="Arial"/>
              </w:rPr>
              <w:t>33%</w:t>
            </w:r>
          </w:p>
        </w:tc>
        <w:tc>
          <w:tcPr>
            <w:tcW w:w="724" w:type="dxa"/>
            <w:shd w:val="clear" w:color="auto" w:fill="auto"/>
            <w:vAlign w:val="center"/>
          </w:tcPr>
          <w:p w14:paraId="2CF7B1CB" w14:textId="77777777" w:rsidR="000B36B3" w:rsidRPr="00346656" w:rsidRDefault="000B36B3" w:rsidP="00F31CA2">
            <w:pPr>
              <w:jc w:val="center"/>
              <w:rPr>
                <w:rFonts w:cs="Arial"/>
              </w:rPr>
            </w:pPr>
          </w:p>
        </w:tc>
        <w:tc>
          <w:tcPr>
            <w:tcW w:w="1127" w:type="dxa"/>
            <w:shd w:val="clear" w:color="auto" w:fill="auto"/>
            <w:vAlign w:val="center"/>
          </w:tcPr>
          <w:p w14:paraId="356C7A02" w14:textId="220DF099" w:rsidR="000B36B3" w:rsidRPr="00346656" w:rsidRDefault="00BD35FF" w:rsidP="00F31CA2">
            <w:pPr>
              <w:jc w:val="center"/>
              <w:rPr>
                <w:rFonts w:cs="Arial"/>
              </w:rPr>
            </w:pPr>
            <w:r w:rsidRPr="00346656">
              <w:rPr>
                <w:rFonts w:cs="Arial"/>
              </w:rPr>
              <w:t>4</w:t>
            </w:r>
            <w:r w:rsidR="003C736B" w:rsidRPr="00346656">
              <w:rPr>
                <w:rFonts w:cs="Arial"/>
              </w:rPr>
              <w:t>5%</w:t>
            </w:r>
          </w:p>
        </w:tc>
        <w:tc>
          <w:tcPr>
            <w:tcW w:w="724" w:type="dxa"/>
            <w:shd w:val="clear" w:color="auto" w:fill="auto"/>
            <w:vAlign w:val="center"/>
          </w:tcPr>
          <w:p w14:paraId="1D918096" w14:textId="77777777" w:rsidR="000B36B3" w:rsidRPr="00346656" w:rsidRDefault="000B36B3" w:rsidP="00F31CA2">
            <w:pPr>
              <w:jc w:val="center"/>
              <w:rPr>
                <w:rFonts w:cs="Arial"/>
              </w:rPr>
            </w:pPr>
          </w:p>
        </w:tc>
        <w:tc>
          <w:tcPr>
            <w:tcW w:w="1127" w:type="dxa"/>
            <w:shd w:val="clear" w:color="auto" w:fill="auto"/>
            <w:vAlign w:val="center"/>
          </w:tcPr>
          <w:p w14:paraId="71FEB682" w14:textId="40F37E8A" w:rsidR="000B36B3" w:rsidRPr="00346656" w:rsidRDefault="008E1739" w:rsidP="00F31CA2">
            <w:pPr>
              <w:jc w:val="center"/>
              <w:rPr>
                <w:rFonts w:cs="Arial"/>
              </w:rPr>
            </w:pPr>
            <w:r w:rsidRPr="00346656">
              <w:rPr>
                <w:rFonts w:cs="Arial"/>
              </w:rPr>
              <w:t>64%</w:t>
            </w:r>
          </w:p>
        </w:tc>
      </w:tr>
    </w:tbl>
    <w:p w14:paraId="725E8146" w14:textId="77777777" w:rsidR="00A25E10" w:rsidRDefault="00A25E10" w:rsidP="00F51474">
      <w:pPr>
        <w:rPr>
          <w:rFonts w:cs="Arial"/>
        </w:rPr>
      </w:pPr>
    </w:p>
    <w:p w14:paraId="5D5D613F" w14:textId="77777777" w:rsidR="00D17CEE" w:rsidRPr="00F7653C" w:rsidRDefault="00D17CEE" w:rsidP="00940BE9">
      <w:pPr>
        <w:rPr>
          <w:rFonts w:cs="Arial"/>
          <w:color w:val="000000" w:themeColor="text1"/>
        </w:rPr>
      </w:pPr>
    </w:p>
    <w:p w14:paraId="6042A6B3" w14:textId="441C2B02" w:rsidR="00D17CEE" w:rsidRPr="00F7653C" w:rsidRDefault="001F0EC4" w:rsidP="00940BE9">
      <w:pPr>
        <w:rPr>
          <w:rFonts w:cs="Arial"/>
          <w:color w:val="000000" w:themeColor="text1"/>
        </w:rPr>
      </w:pPr>
      <w:r w:rsidRPr="00F7653C">
        <w:rPr>
          <w:rFonts w:cs="Arial"/>
          <w:color w:val="000000" w:themeColor="text1"/>
        </w:rPr>
        <w:t xml:space="preserve">Where the talent pool is wider for example in </w:t>
      </w:r>
      <w:r w:rsidR="00617511" w:rsidRPr="00F7653C">
        <w:rPr>
          <w:rFonts w:cs="Arial"/>
          <w:color w:val="000000" w:themeColor="text1"/>
        </w:rPr>
        <w:t>non-STEM</w:t>
      </w:r>
      <w:r w:rsidR="005D2AC9" w:rsidRPr="00F7653C">
        <w:rPr>
          <w:rFonts w:cs="Arial"/>
          <w:color w:val="000000" w:themeColor="text1"/>
        </w:rPr>
        <w:t xml:space="preserve"> </w:t>
      </w:r>
      <w:r w:rsidRPr="00F7653C">
        <w:rPr>
          <w:rFonts w:cs="Arial"/>
          <w:color w:val="000000" w:themeColor="text1"/>
        </w:rPr>
        <w:t>roles</w:t>
      </w:r>
      <w:r w:rsidR="00D172A7">
        <w:rPr>
          <w:rFonts w:cs="Arial"/>
          <w:color w:val="000000" w:themeColor="text1"/>
        </w:rPr>
        <w:t>,</w:t>
      </w:r>
      <w:r w:rsidRPr="00F7653C">
        <w:rPr>
          <w:rFonts w:cs="Arial"/>
          <w:color w:val="000000" w:themeColor="text1"/>
        </w:rPr>
        <w:t xml:space="preserve"> </w:t>
      </w:r>
      <w:r w:rsidR="00BA21D6" w:rsidRPr="00F7653C">
        <w:rPr>
          <w:rFonts w:cs="Arial"/>
          <w:color w:val="000000" w:themeColor="text1"/>
        </w:rPr>
        <w:t xml:space="preserve">our </w:t>
      </w:r>
      <w:r w:rsidR="005D57BD" w:rsidRPr="00F7653C">
        <w:rPr>
          <w:rFonts w:cs="Arial"/>
          <w:color w:val="000000" w:themeColor="text1"/>
        </w:rPr>
        <w:t xml:space="preserve">female </w:t>
      </w:r>
      <w:r w:rsidR="002D49DC" w:rsidRPr="00F7653C">
        <w:rPr>
          <w:rFonts w:cs="Arial"/>
          <w:color w:val="000000" w:themeColor="text1"/>
        </w:rPr>
        <w:t>representation</w:t>
      </w:r>
      <w:r w:rsidR="00BA21D6" w:rsidRPr="00F7653C">
        <w:rPr>
          <w:rFonts w:cs="Arial"/>
          <w:color w:val="000000" w:themeColor="text1"/>
        </w:rPr>
        <w:t xml:space="preserve"> is </w:t>
      </w:r>
      <w:r w:rsidR="004361B8" w:rsidRPr="00F7653C">
        <w:rPr>
          <w:rFonts w:cs="Arial"/>
          <w:color w:val="000000" w:themeColor="text1"/>
        </w:rPr>
        <w:t xml:space="preserve">greater at 61% which is more </w:t>
      </w:r>
      <w:r w:rsidR="00BA21D6" w:rsidRPr="00F7653C">
        <w:rPr>
          <w:rFonts w:cs="Arial"/>
          <w:color w:val="000000" w:themeColor="text1"/>
        </w:rPr>
        <w:t>reflective of the wider UK pop</w:t>
      </w:r>
      <w:r w:rsidR="008458BF" w:rsidRPr="00F7653C">
        <w:rPr>
          <w:rFonts w:cs="Arial"/>
          <w:color w:val="000000" w:themeColor="text1"/>
        </w:rPr>
        <w:t>ulation.</w:t>
      </w:r>
    </w:p>
    <w:p w14:paraId="1EBAF11A" w14:textId="77777777" w:rsidR="00860F12" w:rsidRDefault="00860F12" w:rsidP="00371B66">
      <w:pPr>
        <w:ind w:left="720"/>
        <w:jc w:val="center"/>
        <w:rPr>
          <w:rFonts w:cs="Arial"/>
          <w:b/>
        </w:rPr>
      </w:pPr>
    </w:p>
    <w:p w14:paraId="6A2FEB56" w14:textId="70CA6431" w:rsidR="00860F12" w:rsidRDefault="00F1052F" w:rsidP="00644373">
      <w:pPr>
        <w:rPr>
          <w:rFonts w:cs="Arial"/>
          <w:b/>
        </w:rPr>
      </w:pPr>
      <w:r>
        <w:rPr>
          <w:rFonts w:cs="Arial"/>
          <w:b/>
        </w:rPr>
        <w:t xml:space="preserve">Distribution </w:t>
      </w:r>
      <w:r w:rsidR="00644373">
        <w:rPr>
          <w:rFonts w:cs="Arial"/>
          <w:b/>
        </w:rPr>
        <w:t>of men and women through each pay quartile</w:t>
      </w:r>
    </w:p>
    <w:p w14:paraId="5DC95E71" w14:textId="77777777" w:rsidR="00860F12" w:rsidRDefault="00860F12" w:rsidP="00371B66">
      <w:pPr>
        <w:ind w:left="720"/>
        <w:jc w:val="center"/>
        <w:rPr>
          <w:rFonts w:cs="Arial"/>
          <w:b/>
        </w:rPr>
      </w:pPr>
    </w:p>
    <w:tbl>
      <w:tblPr>
        <w:tblStyle w:val="TableGrid"/>
        <w:tblW w:w="0" w:type="auto"/>
        <w:tblLook w:val="04A0" w:firstRow="1" w:lastRow="0" w:firstColumn="1" w:lastColumn="0" w:noHBand="0" w:noVBand="1"/>
      </w:tblPr>
      <w:tblGrid>
        <w:gridCol w:w="4320"/>
        <w:gridCol w:w="2240"/>
        <w:gridCol w:w="2360"/>
      </w:tblGrid>
      <w:tr w:rsidR="00D12E0C" w:rsidRPr="00D12E0C" w14:paraId="19F3D2CD" w14:textId="77777777" w:rsidTr="00D12E0C">
        <w:trPr>
          <w:trHeight w:val="600"/>
        </w:trPr>
        <w:tc>
          <w:tcPr>
            <w:tcW w:w="4320" w:type="dxa"/>
            <w:shd w:val="clear" w:color="auto" w:fill="DBE5F1" w:themeFill="accent1" w:themeFillTint="33"/>
            <w:hideMark/>
          </w:tcPr>
          <w:p w14:paraId="39582B80" w14:textId="40EAC323" w:rsidR="00D12E0C" w:rsidRPr="00D12E0C" w:rsidRDefault="00D12E0C" w:rsidP="00D12E0C">
            <w:pPr>
              <w:ind w:left="720"/>
              <w:jc w:val="center"/>
              <w:rPr>
                <w:rFonts w:cs="Arial"/>
                <w:b/>
                <w:bCs/>
              </w:rPr>
            </w:pPr>
            <w:r w:rsidRPr="00D12E0C">
              <w:rPr>
                <w:rFonts w:cs="Arial"/>
                <w:b/>
                <w:bCs/>
              </w:rPr>
              <w:t>ONR 2022 - 2023 Proportions of men and women in each</w:t>
            </w:r>
            <w:r>
              <w:rPr>
                <w:rFonts w:cs="Arial"/>
                <w:b/>
                <w:bCs/>
              </w:rPr>
              <w:t xml:space="preserve"> pay</w:t>
            </w:r>
            <w:r w:rsidRPr="00D12E0C">
              <w:rPr>
                <w:rFonts w:cs="Arial"/>
                <w:b/>
                <w:bCs/>
              </w:rPr>
              <w:t xml:space="preserve"> quartile</w:t>
            </w:r>
          </w:p>
        </w:tc>
        <w:tc>
          <w:tcPr>
            <w:tcW w:w="2240" w:type="dxa"/>
            <w:shd w:val="clear" w:color="auto" w:fill="DBE5F1" w:themeFill="accent1" w:themeFillTint="33"/>
            <w:noWrap/>
            <w:hideMark/>
          </w:tcPr>
          <w:p w14:paraId="06899729" w14:textId="77777777" w:rsidR="00D12E0C" w:rsidRPr="00D12E0C" w:rsidRDefault="00D12E0C" w:rsidP="00D12E0C">
            <w:pPr>
              <w:ind w:left="720"/>
              <w:jc w:val="center"/>
              <w:rPr>
                <w:rFonts w:cs="Arial"/>
                <w:b/>
                <w:bCs/>
              </w:rPr>
            </w:pPr>
            <w:r w:rsidRPr="00D12E0C">
              <w:rPr>
                <w:rFonts w:cs="Arial"/>
                <w:b/>
                <w:bCs/>
              </w:rPr>
              <w:t>Men</w:t>
            </w:r>
          </w:p>
        </w:tc>
        <w:tc>
          <w:tcPr>
            <w:tcW w:w="2360" w:type="dxa"/>
            <w:shd w:val="clear" w:color="auto" w:fill="DBE5F1" w:themeFill="accent1" w:themeFillTint="33"/>
            <w:noWrap/>
            <w:hideMark/>
          </w:tcPr>
          <w:p w14:paraId="6778A236" w14:textId="77777777" w:rsidR="00D12E0C" w:rsidRPr="00D12E0C" w:rsidRDefault="00D12E0C" w:rsidP="00D12E0C">
            <w:pPr>
              <w:ind w:left="720"/>
              <w:jc w:val="center"/>
              <w:rPr>
                <w:rFonts w:cs="Arial"/>
                <w:b/>
                <w:bCs/>
              </w:rPr>
            </w:pPr>
            <w:r w:rsidRPr="00D12E0C">
              <w:rPr>
                <w:rFonts w:cs="Arial"/>
                <w:b/>
                <w:bCs/>
              </w:rPr>
              <w:t>Women</w:t>
            </w:r>
          </w:p>
        </w:tc>
      </w:tr>
      <w:tr w:rsidR="00D12E0C" w:rsidRPr="00D12E0C" w14:paraId="11EBEE88" w14:textId="77777777" w:rsidTr="00D12E0C">
        <w:trPr>
          <w:trHeight w:val="300"/>
        </w:trPr>
        <w:tc>
          <w:tcPr>
            <w:tcW w:w="4320" w:type="dxa"/>
            <w:noWrap/>
            <w:hideMark/>
          </w:tcPr>
          <w:p w14:paraId="39EACC81" w14:textId="77777777" w:rsidR="00D12E0C" w:rsidRPr="00D12E0C" w:rsidRDefault="00D12E0C" w:rsidP="00D12E0C">
            <w:pPr>
              <w:ind w:left="720"/>
              <w:jc w:val="center"/>
              <w:rPr>
                <w:rFonts w:cs="Arial"/>
                <w:b/>
              </w:rPr>
            </w:pPr>
            <w:r w:rsidRPr="00D12E0C">
              <w:rPr>
                <w:rFonts w:cs="Arial"/>
                <w:b/>
              </w:rPr>
              <w:t xml:space="preserve">Q1 - lower </w:t>
            </w:r>
          </w:p>
        </w:tc>
        <w:tc>
          <w:tcPr>
            <w:tcW w:w="2240" w:type="dxa"/>
            <w:noWrap/>
            <w:hideMark/>
          </w:tcPr>
          <w:p w14:paraId="7FB43605" w14:textId="77777777" w:rsidR="00D12E0C" w:rsidRPr="00D12E0C" w:rsidRDefault="00D12E0C" w:rsidP="00D12E0C">
            <w:pPr>
              <w:ind w:left="720"/>
              <w:jc w:val="center"/>
              <w:rPr>
                <w:rFonts w:cs="Arial"/>
                <w:b/>
              </w:rPr>
            </w:pPr>
            <w:r w:rsidRPr="00D12E0C">
              <w:rPr>
                <w:rFonts w:cs="Arial"/>
                <w:b/>
              </w:rPr>
              <w:t>34.7%</w:t>
            </w:r>
          </w:p>
        </w:tc>
        <w:tc>
          <w:tcPr>
            <w:tcW w:w="2360" w:type="dxa"/>
            <w:noWrap/>
            <w:hideMark/>
          </w:tcPr>
          <w:p w14:paraId="3F8950C2" w14:textId="77777777" w:rsidR="00D12E0C" w:rsidRPr="00D12E0C" w:rsidRDefault="00D12E0C" w:rsidP="00D12E0C">
            <w:pPr>
              <w:ind w:left="720"/>
              <w:jc w:val="center"/>
              <w:rPr>
                <w:rFonts w:cs="Arial"/>
                <w:b/>
              </w:rPr>
            </w:pPr>
            <w:r w:rsidRPr="00D12E0C">
              <w:rPr>
                <w:rFonts w:cs="Arial"/>
                <w:b/>
              </w:rPr>
              <w:t>65.3%</w:t>
            </w:r>
          </w:p>
        </w:tc>
      </w:tr>
      <w:tr w:rsidR="00D12E0C" w:rsidRPr="00D12E0C" w14:paraId="3B8717EF" w14:textId="77777777" w:rsidTr="00D12E0C">
        <w:trPr>
          <w:trHeight w:val="300"/>
        </w:trPr>
        <w:tc>
          <w:tcPr>
            <w:tcW w:w="4320" w:type="dxa"/>
            <w:noWrap/>
            <w:hideMark/>
          </w:tcPr>
          <w:p w14:paraId="232A98E5" w14:textId="77777777" w:rsidR="00D12E0C" w:rsidRPr="00D12E0C" w:rsidRDefault="00D12E0C" w:rsidP="00D12E0C">
            <w:pPr>
              <w:ind w:left="720"/>
              <w:jc w:val="center"/>
              <w:rPr>
                <w:rFonts w:cs="Arial"/>
                <w:b/>
              </w:rPr>
            </w:pPr>
            <w:r w:rsidRPr="00D12E0C">
              <w:rPr>
                <w:rFonts w:cs="Arial"/>
                <w:b/>
              </w:rPr>
              <w:t xml:space="preserve">Q2 - lower middles </w:t>
            </w:r>
          </w:p>
        </w:tc>
        <w:tc>
          <w:tcPr>
            <w:tcW w:w="2240" w:type="dxa"/>
            <w:noWrap/>
            <w:hideMark/>
          </w:tcPr>
          <w:p w14:paraId="34385997" w14:textId="77777777" w:rsidR="00D12E0C" w:rsidRPr="00D12E0C" w:rsidRDefault="00D12E0C" w:rsidP="00D12E0C">
            <w:pPr>
              <w:ind w:left="720"/>
              <w:jc w:val="center"/>
              <w:rPr>
                <w:rFonts w:cs="Arial"/>
                <w:b/>
              </w:rPr>
            </w:pPr>
            <w:r w:rsidRPr="00D12E0C">
              <w:rPr>
                <w:rFonts w:cs="Arial"/>
                <w:b/>
              </w:rPr>
              <w:t>57.5%</w:t>
            </w:r>
          </w:p>
        </w:tc>
        <w:tc>
          <w:tcPr>
            <w:tcW w:w="2360" w:type="dxa"/>
            <w:noWrap/>
            <w:hideMark/>
          </w:tcPr>
          <w:p w14:paraId="70D1CBDF" w14:textId="77777777" w:rsidR="00D12E0C" w:rsidRPr="00D12E0C" w:rsidRDefault="00D12E0C" w:rsidP="00D12E0C">
            <w:pPr>
              <w:ind w:left="720"/>
              <w:jc w:val="center"/>
              <w:rPr>
                <w:rFonts w:cs="Arial"/>
                <w:b/>
              </w:rPr>
            </w:pPr>
            <w:r w:rsidRPr="00D12E0C">
              <w:rPr>
                <w:rFonts w:cs="Arial"/>
                <w:b/>
              </w:rPr>
              <w:t>42.5%</w:t>
            </w:r>
          </w:p>
        </w:tc>
      </w:tr>
      <w:tr w:rsidR="00D12E0C" w:rsidRPr="00D12E0C" w14:paraId="5808F0C4" w14:textId="77777777" w:rsidTr="00D12E0C">
        <w:trPr>
          <w:trHeight w:val="300"/>
        </w:trPr>
        <w:tc>
          <w:tcPr>
            <w:tcW w:w="4320" w:type="dxa"/>
            <w:noWrap/>
            <w:hideMark/>
          </w:tcPr>
          <w:p w14:paraId="48ADF148" w14:textId="77777777" w:rsidR="00D12E0C" w:rsidRPr="00D12E0C" w:rsidRDefault="00D12E0C" w:rsidP="00D12E0C">
            <w:pPr>
              <w:ind w:left="720"/>
              <w:jc w:val="center"/>
              <w:rPr>
                <w:rFonts w:cs="Arial"/>
                <w:b/>
              </w:rPr>
            </w:pPr>
            <w:r w:rsidRPr="00D12E0C">
              <w:rPr>
                <w:rFonts w:cs="Arial"/>
                <w:b/>
              </w:rPr>
              <w:t>Q3 - upper middle</w:t>
            </w:r>
          </w:p>
        </w:tc>
        <w:tc>
          <w:tcPr>
            <w:tcW w:w="2240" w:type="dxa"/>
            <w:noWrap/>
            <w:hideMark/>
          </w:tcPr>
          <w:p w14:paraId="540E3F9B" w14:textId="77777777" w:rsidR="00D12E0C" w:rsidRPr="00D12E0C" w:rsidRDefault="00D12E0C" w:rsidP="00D12E0C">
            <w:pPr>
              <w:ind w:left="720"/>
              <w:jc w:val="center"/>
              <w:rPr>
                <w:rFonts w:cs="Arial"/>
                <w:b/>
              </w:rPr>
            </w:pPr>
            <w:r w:rsidRPr="00D12E0C">
              <w:rPr>
                <w:rFonts w:cs="Arial"/>
                <w:b/>
              </w:rPr>
              <w:t>77.8%</w:t>
            </w:r>
          </w:p>
        </w:tc>
        <w:tc>
          <w:tcPr>
            <w:tcW w:w="2360" w:type="dxa"/>
            <w:noWrap/>
            <w:hideMark/>
          </w:tcPr>
          <w:p w14:paraId="41AAFF17" w14:textId="77777777" w:rsidR="00D12E0C" w:rsidRPr="00D12E0C" w:rsidRDefault="00D12E0C" w:rsidP="00D12E0C">
            <w:pPr>
              <w:ind w:left="720"/>
              <w:jc w:val="center"/>
              <w:rPr>
                <w:rFonts w:cs="Arial"/>
                <w:b/>
              </w:rPr>
            </w:pPr>
            <w:r w:rsidRPr="00D12E0C">
              <w:rPr>
                <w:rFonts w:cs="Arial"/>
                <w:b/>
              </w:rPr>
              <w:t>22.2%</w:t>
            </w:r>
          </w:p>
        </w:tc>
      </w:tr>
      <w:tr w:rsidR="00D12E0C" w:rsidRPr="00D12E0C" w14:paraId="524E5F44" w14:textId="77777777" w:rsidTr="00D12E0C">
        <w:trPr>
          <w:trHeight w:val="300"/>
        </w:trPr>
        <w:tc>
          <w:tcPr>
            <w:tcW w:w="4320" w:type="dxa"/>
            <w:noWrap/>
            <w:hideMark/>
          </w:tcPr>
          <w:p w14:paraId="6A09801E" w14:textId="77777777" w:rsidR="00D12E0C" w:rsidRPr="00D12E0C" w:rsidRDefault="00D12E0C" w:rsidP="00D12E0C">
            <w:pPr>
              <w:ind w:left="720"/>
              <w:jc w:val="center"/>
              <w:rPr>
                <w:rFonts w:cs="Arial"/>
                <w:b/>
              </w:rPr>
            </w:pPr>
            <w:r w:rsidRPr="00D12E0C">
              <w:rPr>
                <w:rFonts w:cs="Arial"/>
                <w:b/>
              </w:rPr>
              <w:t>Q4 - upper</w:t>
            </w:r>
          </w:p>
        </w:tc>
        <w:tc>
          <w:tcPr>
            <w:tcW w:w="2240" w:type="dxa"/>
            <w:noWrap/>
            <w:hideMark/>
          </w:tcPr>
          <w:p w14:paraId="0984F4D7" w14:textId="77777777" w:rsidR="00D12E0C" w:rsidRPr="00D12E0C" w:rsidRDefault="00D12E0C" w:rsidP="00D12E0C">
            <w:pPr>
              <w:ind w:left="720"/>
              <w:jc w:val="center"/>
              <w:rPr>
                <w:rFonts w:cs="Arial"/>
                <w:b/>
              </w:rPr>
            </w:pPr>
            <w:r w:rsidRPr="00D12E0C">
              <w:rPr>
                <w:rFonts w:cs="Arial"/>
                <w:b/>
              </w:rPr>
              <w:t>83.8%</w:t>
            </w:r>
          </w:p>
        </w:tc>
        <w:tc>
          <w:tcPr>
            <w:tcW w:w="2360" w:type="dxa"/>
            <w:noWrap/>
            <w:hideMark/>
          </w:tcPr>
          <w:p w14:paraId="4CB18BD6" w14:textId="77777777" w:rsidR="00D12E0C" w:rsidRPr="00D12E0C" w:rsidRDefault="00D12E0C" w:rsidP="00D12E0C">
            <w:pPr>
              <w:ind w:left="720"/>
              <w:jc w:val="center"/>
              <w:rPr>
                <w:rFonts w:cs="Arial"/>
                <w:b/>
              </w:rPr>
            </w:pPr>
            <w:r w:rsidRPr="00D12E0C">
              <w:rPr>
                <w:rFonts w:cs="Arial"/>
                <w:b/>
              </w:rPr>
              <w:t>16.2%</w:t>
            </w:r>
          </w:p>
        </w:tc>
      </w:tr>
      <w:tr w:rsidR="00D12E0C" w:rsidRPr="00D12E0C" w14:paraId="0B7C3CA1" w14:textId="77777777" w:rsidTr="00D12E0C">
        <w:trPr>
          <w:trHeight w:val="300"/>
        </w:trPr>
        <w:tc>
          <w:tcPr>
            <w:tcW w:w="4320" w:type="dxa"/>
            <w:noWrap/>
            <w:hideMark/>
          </w:tcPr>
          <w:p w14:paraId="23A99B55" w14:textId="77777777" w:rsidR="00D12E0C" w:rsidRPr="00D12E0C" w:rsidRDefault="00D12E0C" w:rsidP="00D12E0C">
            <w:pPr>
              <w:ind w:left="720"/>
              <w:jc w:val="center"/>
              <w:rPr>
                <w:rFonts w:cs="Arial"/>
                <w:b/>
              </w:rPr>
            </w:pPr>
            <w:r w:rsidRPr="00D12E0C">
              <w:rPr>
                <w:rFonts w:cs="Arial"/>
                <w:b/>
              </w:rPr>
              <w:t>Total</w:t>
            </w:r>
          </w:p>
        </w:tc>
        <w:tc>
          <w:tcPr>
            <w:tcW w:w="2240" w:type="dxa"/>
            <w:noWrap/>
            <w:hideMark/>
          </w:tcPr>
          <w:p w14:paraId="3CB8C75F" w14:textId="77777777" w:rsidR="00D12E0C" w:rsidRPr="00D12E0C" w:rsidRDefault="00D12E0C" w:rsidP="00D12E0C">
            <w:pPr>
              <w:ind w:left="720"/>
              <w:jc w:val="center"/>
              <w:rPr>
                <w:rFonts w:cs="Arial"/>
                <w:b/>
              </w:rPr>
            </w:pPr>
            <w:r w:rsidRPr="00D12E0C">
              <w:rPr>
                <w:rFonts w:cs="Arial"/>
                <w:b/>
              </w:rPr>
              <w:t>63.5%</w:t>
            </w:r>
          </w:p>
        </w:tc>
        <w:tc>
          <w:tcPr>
            <w:tcW w:w="2360" w:type="dxa"/>
            <w:noWrap/>
            <w:hideMark/>
          </w:tcPr>
          <w:p w14:paraId="17C569E5" w14:textId="77777777" w:rsidR="00D12E0C" w:rsidRPr="00D12E0C" w:rsidRDefault="00D12E0C" w:rsidP="00D12E0C">
            <w:pPr>
              <w:ind w:left="720"/>
              <w:jc w:val="center"/>
              <w:rPr>
                <w:rFonts w:cs="Arial"/>
                <w:b/>
              </w:rPr>
            </w:pPr>
            <w:r w:rsidRPr="00D12E0C">
              <w:rPr>
                <w:rFonts w:cs="Arial"/>
                <w:b/>
              </w:rPr>
              <w:t>36.5%</w:t>
            </w:r>
          </w:p>
        </w:tc>
      </w:tr>
      <w:tr w:rsidR="00D12E0C" w:rsidRPr="00D12E0C" w14:paraId="154AF8BD" w14:textId="77777777" w:rsidTr="00D12E0C">
        <w:trPr>
          <w:trHeight w:val="300"/>
        </w:trPr>
        <w:tc>
          <w:tcPr>
            <w:tcW w:w="4320" w:type="dxa"/>
            <w:noWrap/>
            <w:hideMark/>
          </w:tcPr>
          <w:p w14:paraId="382E9613" w14:textId="77777777" w:rsidR="00D12E0C" w:rsidRPr="00D12E0C" w:rsidRDefault="00D12E0C" w:rsidP="00D12E0C">
            <w:pPr>
              <w:ind w:left="720"/>
              <w:jc w:val="center"/>
              <w:rPr>
                <w:rFonts w:cs="Arial"/>
                <w:b/>
              </w:rPr>
            </w:pPr>
            <w:r w:rsidRPr="00D12E0C">
              <w:rPr>
                <w:rFonts w:cs="Arial"/>
                <w:b/>
              </w:rPr>
              <w:t>668</w:t>
            </w:r>
          </w:p>
        </w:tc>
        <w:tc>
          <w:tcPr>
            <w:tcW w:w="2240" w:type="dxa"/>
            <w:noWrap/>
            <w:hideMark/>
          </w:tcPr>
          <w:p w14:paraId="6E402979" w14:textId="77777777" w:rsidR="00D12E0C" w:rsidRPr="00D12E0C" w:rsidRDefault="00D12E0C" w:rsidP="00D12E0C">
            <w:pPr>
              <w:ind w:left="720"/>
              <w:jc w:val="center"/>
              <w:rPr>
                <w:rFonts w:cs="Arial"/>
                <w:b/>
              </w:rPr>
            </w:pPr>
            <w:r w:rsidRPr="00D12E0C">
              <w:rPr>
                <w:rFonts w:cs="Arial"/>
                <w:b/>
              </w:rPr>
              <w:t>424</w:t>
            </w:r>
          </w:p>
        </w:tc>
        <w:tc>
          <w:tcPr>
            <w:tcW w:w="2360" w:type="dxa"/>
            <w:noWrap/>
            <w:hideMark/>
          </w:tcPr>
          <w:p w14:paraId="2E83E73E" w14:textId="77777777" w:rsidR="00D12E0C" w:rsidRPr="00D12E0C" w:rsidRDefault="00D12E0C" w:rsidP="00D12E0C">
            <w:pPr>
              <w:ind w:left="720"/>
              <w:jc w:val="center"/>
              <w:rPr>
                <w:rFonts w:cs="Arial"/>
                <w:b/>
              </w:rPr>
            </w:pPr>
            <w:r w:rsidRPr="00D12E0C">
              <w:rPr>
                <w:rFonts w:cs="Arial"/>
                <w:b/>
              </w:rPr>
              <w:t>244</w:t>
            </w:r>
          </w:p>
        </w:tc>
      </w:tr>
    </w:tbl>
    <w:p w14:paraId="525679CC" w14:textId="77777777" w:rsidR="00860F12" w:rsidRDefault="00860F12" w:rsidP="00371B66">
      <w:pPr>
        <w:ind w:left="720"/>
        <w:jc w:val="center"/>
        <w:rPr>
          <w:rFonts w:cs="Arial"/>
          <w:b/>
        </w:rPr>
      </w:pPr>
    </w:p>
    <w:p w14:paraId="32C7DCC8" w14:textId="77777777" w:rsidR="00860F12" w:rsidRDefault="00860F12" w:rsidP="00371B66">
      <w:pPr>
        <w:ind w:left="720"/>
        <w:jc w:val="center"/>
        <w:rPr>
          <w:rFonts w:cs="Arial"/>
          <w:b/>
        </w:rPr>
      </w:pPr>
    </w:p>
    <w:p w14:paraId="65C47936" w14:textId="77777777" w:rsidR="00860F12" w:rsidRDefault="00860F12" w:rsidP="00371B66">
      <w:pPr>
        <w:ind w:left="720"/>
        <w:jc w:val="center"/>
        <w:rPr>
          <w:rFonts w:cs="Arial"/>
          <w:b/>
        </w:rPr>
      </w:pPr>
    </w:p>
    <w:p w14:paraId="4C06266C" w14:textId="77777777" w:rsidR="00860F12" w:rsidRDefault="00860F12" w:rsidP="00371B66">
      <w:pPr>
        <w:ind w:left="720"/>
        <w:jc w:val="center"/>
        <w:rPr>
          <w:rFonts w:cs="Arial"/>
          <w:b/>
        </w:rPr>
      </w:pPr>
    </w:p>
    <w:p w14:paraId="588BE8CE" w14:textId="77777777" w:rsidR="00860F12" w:rsidRDefault="00860F12" w:rsidP="00371B66">
      <w:pPr>
        <w:ind w:left="720"/>
        <w:jc w:val="center"/>
        <w:rPr>
          <w:rFonts w:cs="Arial"/>
          <w:b/>
        </w:rPr>
      </w:pPr>
    </w:p>
    <w:p w14:paraId="635971E6" w14:textId="77777777" w:rsidR="00860F12" w:rsidRDefault="00860F12" w:rsidP="00371B66">
      <w:pPr>
        <w:ind w:left="720"/>
        <w:jc w:val="center"/>
        <w:rPr>
          <w:rFonts w:cs="Arial"/>
          <w:b/>
        </w:rPr>
      </w:pPr>
    </w:p>
    <w:p w14:paraId="5F4E7CEF" w14:textId="77777777" w:rsidR="00860F12" w:rsidRDefault="00860F12" w:rsidP="00371B66">
      <w:pPr>
        <w:ind w:left="720"/>
        <w:jc w:val="center"/>
        <w:rPr>
          <w:rFonts w:cs="Arial"/>
          <w:b/>
        </w:rPr>
      </w:pPr>
    </w:p>
    <w:p w14:paraId="7F07ABC1" w14:textId="77777777" w:rsidR="00860F12" w:rsidRDefault="00860F12" w:rsidP="00371B66">
      <w:pPr>
        <w:ind w:left="720"/>
        <w:jc w:val="center"/>
        <w:rPr>
          <w:rFonts w:cs="Arial"/>
          <w:b/>
        </w:rPr>
      </w:pPr>
    </w:p>
    <w:p w14:paraId="2D2CF959" w14:textId="77777777" w:rsidR="00860F12" w:rsidRDefault="00860F12" w:rsidP="00371B66">
      <w:pPr>
        <w:ind w:left="720"/>
        <w:jc w:val="center"/>
        <w:rPr>
          <w:rFonts w:cs="Arial"/>
          <w:b/>
        </w:rPr>
      </w:pPr>
    </w:p>
    <w:p w14:paraId="46CA9DF6" w14:textId="77777777" w:rsidR="00860F12" w:rsidRDefault="00860F12" w:rsidP="00371B66">
      <w:pPr>
        <w:ind w:left="720"/>
        <w:jc w:val="center"/>
        <w:rPr>
          <w:rFonts w:cs="Arial"/>
          <w:b/>
        </w:rPr>
      </w:pPr>
    </w:p>
    <w:p w14:paraId="2D1B4E1B" w14:textId="77777777" w:rsidR="00860F12" w:rsidRDefault="00860F12" w:rsidP="00371B66">
      <w:pPr>
        <w:ind w:left="720"/>
        <w:jc w:val="center"/>
        <w:rPr>
          <w:rFonts w:cs="Arial"/>
          <w:b/>
        </w:rPr>
      </w:pPr>
    </w:p>
    <w:p w14:paraId="3589D548" w14:textId="77777777" w:rsidR="00860F12" w:rsidRDefault="00860F12" w:rsidP="00371B66">
      <w:pPr>
        <w:ind w:left="720"/>
        <w:jc w:val="center"/>
        <w:rPr>
          <w:rFonts w:cs="Arial"/>
          <w:b/>
        </w:rPr>
      </w:pPr>
    </w:p>
    <w:p w14:paraId="2A9CE602" w14:textId="77777777" w:rsidR="00860F12" w:rsidRDefault="00860F12" w:rsidP="00371B66">
      <w:pPr>
        <w:ind w:left="720"/>
        <w:jc w:val="center"/>
        <w:rPr>
          <w:rFonts w:cs="Arial"/>
          <w:b/>
        </w:rPr>
      </w:pPr>
    </w:p>
    <w:p w14:paraId="47CE0D5F" w14:textId="77777777" w:rsidR="00860F12" w:rsidRDefault="00860F12" w:rsidP="00371B66">
      <w:pPr>
        <w:ind w:left="720"/>
        <w:jc w:val="center"/>
        <w:rPr>
          <w:rFonts w:cs="Arial"/>
          <w:b/>
        </w:rPr>
      </w:pPr>
    </w:p>
    <w:p w14:paraId="05904589" w14:textId="77777777" w:rsidR="00860F12" w:rsidRDefault="00860F12" w:rsidP="00371B66">
      <w:pPr>
        <w:ind w:left="720"/>
        <w:jc w:val="center"/>
        <w:rPr>
          <w:rFonts w:cs="Arial"/>
          <w:b/>
        </w:rPr>
      </w:pPr>
    </w:p>
    <w:p w14:paraId="2D5A8250" w14:textId="77777777" w:rsidR="00870F21" w:rsidRDefault="00870F21" w:rsidP="00870F21">
      <w:pPr>
        <w:rPr>
          <w:rFonts w:cs="Arial"/>
          <w:b/>
        </w:rPr>
      </w:pPr>
      <w:r>
        <w:rPr>
          <w:rFonts w:cs="Arial"/>
          <w:b/>
        </w:rPr>
        <w:lastRenderedPageBreak/>
        <w:t>Mean gender pay gap by specialism</w:t>
      </w:r>
    </w:p>
    <w:p w14:paraId="41D6F669" w14:textId="77777777" w:rsidR="00860F12" w:rsidRDefault="00860F12" w:rsidP="00371B66">
      <w:pPr>
        <w:ind w:left="720"/>
        <w:jc w:val="center"/>
        <w:rPr>
          <w:rFonts w:cs="Arial"/>
          <w:b/>
        </w:rPr>
      </w:pPr>
    </w:p>
    <w:p w14:paraId="6F65D9C5" w14:textId="77777777" w:rsidR="00FD67B2" w:rsidRDefault="00FD67B2" w:rsidP="00870F21">
      <w:pPr>
        <w:rPr>
          <w:rFonts w:cs="Arial"/>
          <w:b/>
        </w:rPr>
      </w:pPr>
    </w:p>
    <w:p w14:paraId="338E82A5" w14:textId="77777777" w:rsidR="00B32003" w:rsidRDefault="00B32003" w:rsidP="00B32003">
      <w:pPr>
        <w:rPr>
          <w:rFonts w:cs="Arial"/>
          <w:b/>
        </w:rPr>
      </w:pPr>
    </w:p>
    <w:p w14:paraId="5FEF28F2" w14:textId="002CBEB8" w:rsidR="00F170A5" w:rsidRPr="008519A2" w:rsidRDefault="005132A9" w:rsidP="00536890">
      <w:pPr>
        <w:rPr>
          <w:rFonts w:cs="Arial"/>
        </w:rPr>
      </w:pPr>
      <w:r w:rsidRPr="00656FC7">
        <w:rPr>
          <w:rFonts w:cs="Arial"/>
          <w:bCs/>
        </w:rPr>
        <w:t xml:space="preserve">Note: </w:t>
      </w:r>
      <w:r w:rsidR="000C6913">
        <w:rPr>
          <w:rFonts w:cs="Arial"/>
          <w:bCs/>
        </w:rPr>
        <w:t>C</w:t>
      </w:r>
      <w:r w:rsidRPr="00656FC7">
        <w:rPr>
          <w:rFonts w:cs="Arial"/>
          <w:bCs/>
        </w:rPr>
        <w:t xml:space="preserve">olumns </w:t>
      </w:r>
      <w:r w:rsidR="005F7BAD" w:rsidRPr="00656FC7">
        <w:rPr>
          <w:rFonts w:cs="Arial"/>
          <w:bCs/>
        </w:rPr>
        <w:t xml:space="preserve">showing results for SCS2 have been excluded due to identifiable </w:t>
      </w:r>
      <w:r w:rsidR="00077764" w:rsidRPr="00656FC7">
        <w:rPr>
          <w:rFonts w:cs="Arial"/>
          <w:bCs/>
        </w:rPr>
        <w:t>data</w:t>
      </w:r>
      <w:r w:rsidR="00077764">
        <w:rPr>
          <w:rFonts w:cs="Arial"/>
          <w:bCs/>
        </w:rPr>
        <w:t>.</w:t>
      </w:r>
      <w:r w:rsidR="00536890">
        <w:rPr>
          <w:rFonts w:cs="Arial"/>
          <w:bCs/>
        </w:rPr>
        <w:t xml:space="preserve"> </w:t>
      </w:r>
      <w:r w:rsidR="00077764">
        <w:rPr>
          <w:rFonts w:cs="Arial"/>
          <w:bCs/>
        </w:rPr>
        <w:t>The</w:t>
      </w:r>
      <w:r w:rsidR="003F2812">
        <w:rPr>
          <w:rFonts w:cs="Arial"/>
          <w:bCs/>
        </w:rPr>
        <w:t xml:space="preserve"> </w:t>
      </w:r>
      <w:r w:rsidR="00656FC7" w:rsidRPr="00656FC7">
        <w:rPr>
          <w:rFonts w:cs="Arial"/>
          <w:bCs/>
        </w:rPr>
        <w:t>data is included in the overall results.</w:t>
      </w:r>
    </w:p>
    <w:tbl>
      <w:tblPr>
        <w:tblpPr w:leftFromText="180" w:rightFromText="180" w:vertAnchor="page" w:horzAnchor="margin" w:tblpY="2349"/>
        <w:tblW w:w="10010" w:type="dxa"/>
        <w:tblLook w:val="04A0" w:firstRow="1" w:lastRow="0" w:firstColumn="1" w:lastColumn="0" w:noHBand="0" w:noVBand="1"/>
      </w:tblPr>
      <w:tblGrid>
        <w:gridCol w:w="1444"/>
        <w:gridCol w:w="1091"/>
        <w:gridCol w:w="951"/>
        <w:gridCol w:w="1174"/>
        <w:gridCol w:w="1147"/>
        <w:gridCol w:w="951"/>
        <w:gridCol w:w="951"/>
        <w:gridCol w:w="1224"/>
        <w:gridCol w:w="1084"/>
      </w:tblGrid>
      <w:tr w:rsidR="00CD163A" w:rsidRPr="005F79D1" w14:paraId="57730CCF" w14:textId="77777777" w:rsidTr="007A5A9C">
        <w:trPr>
          <w:cantSplit/>
          <w:trHeight w:val="916"/>
        </w:trPr>
        <w:tc>
          <w:tcPr>
            <w:tcW w:w="1444" w:type="dxa"/>
            <w:tcBorders>
              <w:top w:val="single" w:sz="4" w:space="0" w:color="auto"/>
              <w:left w:val="single" w:sz="4" w:space="0" w:color="auto"/>
              <w:bottom w:val="single" w:sz="4" w:space="0" w:color="auto"/>
              <w:right w:val="single" w:sz="4" w:space="0" w:color="auto"/>
            </w:tcBorders>
            <w:shd w:val="clear" w:color="D9E1F2" w:fill="D9E1F2"/>
            <w:hideMark/>
          </w:tcPr>
          <w:p w14:paraId="3EAB4398" w14:textId="28760890" w:rsidR="00732C1B" w:rsidRPr="005F79D1" w:rsidRDefault="00732C1B" w:rsidP="00CD163A">
            <w:pPr>
              <w:jc w:val="center"/>
              <w:rPr>
                <w:rFonts w:cs="Arial"/>
                <w:b/>
                <w:bCs/>
                <w:lang w:eastAsia="en-GB"/>
              </w:rPr>
            </w:pPr>
            <w:r w:rsidRPr="005F79D1">
              <w:rPr>
                <w:rFonts w:cs="Arial"/>
                <w:b/>
                <w:bCs/>
                <w:lang w:eastAsia="en-GB"/>
              </w:rPr>
              <w:t>ONR 202</w:t>
            </w:r>
            <w:r w:rsidR="003A68B9">
              <w:rPr>
                <w:rFonts w:cs="Arial"/>
                <w:b/>
                <w:bCs/>
                <w:lang w:eastAsia="en-GB"/>
              </w:rPr>
              <w:t>3</w:t>
            </w:r>
            <w:r w:rsidRPr="005F79D1">
              <w:rPr>
                <w:rFonts w:cs="Arial"/>
                <w:b/>
                <w:bCs/>
                <w:lang w:eastAsia="en-GB"/>
              </w:rPr>
              <w:br/>
              <w:t>Mean gender pay gap by specialism</w:t>
            </w:r>
          </w:p>
        </w:tc>
        <w:tc>
          <w:tcPr>
            <w:tcW w:w="1091" w:type="dxa"/>
            <w:tcBorders>
              <w:top w:val="single" w:sz="4" w:space="0" w:color="auto"/>
              <w:left w:val="nil"/>
              <w:bottom w:val="single" w:sz="4" w:space="0" w:color="auto"/>
              <w:right w:val="single" w:sz="4" w:space="0" w:color="auto"/>
            </w:tcBorders>
            <w:shd w:val="clear" w:color="D9E1F2" w:fill="D9E1F2"/>
            <w:noWrap/>
            <w:textDirection w:val="tbRl"/>
            <w:vAlign w:val="center"/>
            <w:hideMark/>
          </w:tcPr>
          <w:p w14:paraId="4B4CF7E8" w14:textId="77777777" w:rsidR="00732C1B" w:rsidRPr="005F79D1" w:rsidRDefault="00732C1B" w:rsidP="00CD163A">
            <w:pPr>
              <w:ind w:left="113" w:right="113"/>
              <w:jc w:val="center"/>
              <w:rPr>
                <w:rFonts w:cs="Arial"/>
                <w:b/>
                <w:bCs/>
                <w:lang w:eastAsia="en-GB"/>
              </w:rPr>
            </w:pPr>
            <w:r w:rsidRPr="005F79D1">
              <w:rPr>
                <w:rFonts w:cs="Arial"/>
                <w:b/>
                <w:bCs/>
                <w:lang w:eastAsia="en-GB"/>
              </w:rPr>
              <w:t>Band 1</w:t>
            </w:r>
          </w:p>
        </w:tc>
        <w:tc>
          <w:tcPr>
            <w:tcW w:w="951" w:type="dxa"/>
            <w:tcBorders>
              <w:top w:val="single" w:sz="4" w:space="0" w:color="auto"/>
              <w:left w:val="nil"/>
              <w:bottom w:val="single" w:sz="4" w:space="0" w:color="auto"/>
              <w:right w:val="single" w:sz="4" w:space="0" w:color="auto"/>
            </w:tcBorders>
            <w:shd w:val="clear" w:color="D9E1F2" w:fill="D9E1F2"/>
            <w:noWrap/>
            <w:textDirection w:val="tbRl"/>
            <w:vAlign w:val="center"/>
            <w:hideMark/>
          </w:tcPr>
          <w:p w14:paraId="62CF6961" w14:textId="77777777" w:rsidR="00732C1B" w:rsidRPr="005F79D1" w:rsidRDefault="00732C1B" w:rsidP="00CD163A">
            <w:pPr>
              <w:ind w:left="113" w:right="113"/>
              <w:jc w:val="center"/>
              <w:rPr>
                <w:rFonts w:cs="Arial"/>
                <w:b/>
                <w:bCs/>
                <w:lang w:eastAsia="en-GB"/>
              </w:rPr>
            </w:pPr>
            <w:r w:rsidRPr="005F79D1">
              <w:rPr>
                <w:rFonts w:cs="Arial"/>
                <w:b/>
                <w:bCs/>
                <w:lang w:eastAsia="en-GB"/>
              </w:rPr>
              <w:t>Band 2</w:t>
            </w:r>
          </w:p>
        </w:tc>
        <w:tc>
          <w:tcPr>
            <w:tcW w:w="1174" w:type="dxa"/>
            <w:tcBorders>
              <w:top w:val="single" w:sz="4" w:space="0" w:color="auto"/>
              <w:left w:val="nil"/>
              <w:bottom w:val="single" w:sz="4" w:space="0" w:color="auto"/>
              <w:right w:val="single" w:sz="4" w:space="0" w:color="auto"/>
            </w:tcBorders>
            <w:shd w:val="clear" w:color="D9E1F2" w:fill="D9E1F2"/>
            <w:noWrap/>
            <w:textDirection w:val="tbRl"/>
            <w:vAlign w:val="center"/>
            <w:hideMark/>
          </w:tcPr>
          <w:p w14:paraId="4A0A8FDF" w14:textId="77777777" w:rsidR="00732C1B" w:rsidRPr="005F79D1" w:rsidRDefault="00732C1B" w:rsidP="00CD163A">
            <w:pPr>
              <w:ind w:left="113" w:right="113"/>
              <w:jc w:val="center"/>
              <w:rPr>
                <w:rFonts w:cs="Arial"/>
                <w:b/>
                <w:bCs/>
                <w:lang w:eastAsia="en-GB"/>
              </w:rPr>
            </w:pPr>
            <w:r w:rsidRPr="005F79D1">
              <w:rPr>
                <w:rFonts w:cs="Arial"/>
                <w:b/>
                <w:bCs/>
                <w:lang w:eastAsia="en-GB"/>
              </w:rPr>
              <w:t>Band 3</w:t>
            </w:r>
          </w:p>
        </w:tc>
        <w:tc>
          <w:tcPr>
            <w:tcW w:w="1147" w:type="dxa"/>
            <w:tcBorders>
              <w:top w:val="single" w:sz="4" w:space="0" w:color="auto"/>
              <w:left w:val="nil"/>
              <w:bottom w:val="single" w:sz="4" w:space="0" w:color="auto"/>
              <w:right w:val="single" w:sz="4" w:space="0" w:color="auto"/>
            </w:tcBorders>
            <w:shd w:val="clear" w:color="D9E1F2" w:fill="D9E1F2"/>
            <w:noWrap/>
            <w:textDirection w:val="tbRl"/>
            <w:vAlign w:val="center"/>
            <w:hideMark/>
          </w:tcPr>
          <w:p w14:paraId="123E2B7E" w14:textId="77777777" w:rsidR="00732C1B" w:rsidRPr="005F79D1" w:rsidRDefault="00732C1B" w:rsidP="00CD163A">
            <w:pPr>
              <w:ind w:left="113" w:right="113"/>
              <w:jc w:val="center"/>
              <w:rPr>
                <w:rFonts w:cs="Arial"/>
                <w:b/>
                <w:bCs/>
                <w:lang w:eastAsia="en-GB"/>
              </w:rPr>
            </w:pPr>
            <w:r w:rsidRPr="005F79D1">
              <w:rPr>
                <w:rFonts w:cs="Arial"/>
                <w:b/>
                <w:bCs/>
                <w:lang w:eastAsia="en-GB"/>
              </w:rPr>
              <w:t>Band 4</w:t>
            </w:r>
          </w:p>
        </w:tc>
        <w:tc>
          <w:tcPr>
            <w:tcW w:w="944" w:type="dxa"/>
            <w:tcBorders>
              <w:top w:val="single" w:sz="4" w:space="0" w:color="auto"/>
              <w:left w:val="nil"/>
              <w:bottom w:val="single" w:sz="4" w:space="0" w:color="auto"/>
              <w:right w:val="single" w:sz="4" w:space="0" w:color="auto"/>
            </w:tcBorders>
            <w:shd w:val="clear" w:color="D9E1F2" w:fill="D9E1F2"/>
            <w:noWrap/>
            <w:textDirection w:val="tbRl"/>
            <w:vAlign w:val="center"/>
            <w:hideMark/>
          </w:tcPr>
          <w:p w14:paraId="76172D34" w14:textId="77777777" w:rsidR="00732C1B" w:rsidRPr="005F79D1" w:rsidRDefault="00732C1B" w:rsidP="00CD163A">
            <w:pPr>
              <w:ind w:left="113" w:right="113"/>
              <w:jc w:val="center"/>
              <w:rPr>
                <w:rFonts w:cs="Arial"/>
                <w:b/>
                <w:bCs/>
                <w:lang w:eastAsia="en-GB"/>
              </w:rPr>
            </w:pPr>
            <w:r w:rsidRPr="005F79D1">
              <w:rPr>
                <w:rFonts w:cs="Arial"/>
                <w:b/>
                <w:bCs/>
                <w:lang w:eastAsia="en-GB"/>
              </w:rPr>
              <w:t>Band 5</w:t>
            </w:r>
          </w:p>
        </w:tc>
        <w:tc>
          <w:tcPr>
            <w:tcW w:w="951" w:type="dxa"/>
            <w:tcBorders>
              <w:top w:val="single" w:sz="4" w:space="0" w:color="auto"/>
              <w:left w:val="nil"/>
              <w:bottom w:val="single" w:sz="4" w:space="0" w:color="auto"/>
              <w:right w:val="single" w:sz="4" w:space="0" w:color="auto"/>
            </w:tcBorders>
            <w:shd w:val="clear" w:color="D9E1F2" w:fill="D9E1F2"/>
            <w:noWrap/>
            <w:textDirection w:val="tbRl"/>
            <w:vAlign w:val="center"/>
            <w:hideMark/>
          </w:tcPr>
          <w:p w14:paraId="722E1913" w14:textId="77777777" w:rsidR="00732C1B" w:rsidRPr="005F79D1" w:rsidRDefault="00732C1B" w:rsidP="00CD163A">
            <w:pPr>
              <w:ind w:left="113" w:right="113"/>
              <w:jc w:val="center"/>
              <w:rPr>
                <w:rFonts w:cs="Arial"/>
                <w:b/>
                <w:bCs/>
                <w:lang w:eastAsia="en-GB"/>
              </w:rPr>
            </w:pPr>
            <w:r w:rsidRPr="005F79D1">
              <w:rPr>
                <w:rFonts w:cs="Arial"/>
                <w:b/>
                <w:bCs/>
                <w:lang w:eastAsia="en-GB"/>
              </w:rPr>
              <w:t>Band 6</w:t>
            </w:r>
          </w:p>
        </w:tc>
        <w:tc>
          <w:tcPr>
            <w:tcW w:w="1224" w:type="dxa"/>
            <w:tcBorders>
              <w:top w:val="single" w:sz="4" w:space="0" w:color="auto"/>
              <w:left w:val="nil"/>
              <w:bottom w:val="single" w:sz="4" w:space="0" w:color="auto"/>
              <w:right w:val="single" w:sz="4" w:space="0" w:color="auto"/>
            </w:tcBorders>
            <w:shd w:val="clear" w:color="D9E1F2" w:fill="D9E1F2"/>
            <w:noWrap/>
            <w:textDirection w:val="tbRl"/>
            <w:vAlign w:val="center"/>
            <w:hideMark/>
          </w:tcPr>
          <w:p w14:paraId="6D84F166" w14:textId="77777777" w:rsidR="00732C1B" w:rsidRPr="005F79D1" w:rsidRDefault="00732C1B" w:rsidP="00CD163A">
            <w:pPr>
              <w:ind w:left="113" w:right="113"/>
              <w:jc w:val="center"/>
              <w:rPr>
                <w:rFonts w:cs="Arial"/>
                <w:b/>
                <w:bCs/>
                <w:lang w:eastAsia="en-GB"/>
              </w:rPr>
            </w:pPr>
            <w:r w:rsidRPr="005F79D1">
              <w:rPr>
                <w:rFonts w:cs="Arial"/>
                <w:b/>
                <w:bCs/>
                <w:lang w:eastAsia="en-GB"/>
              </w:rPr>
              <w:t>SCS 1</w:t>
            </w:r>
          </w:p>
        </w:tc>
        <w:tc>
          <w:tcPr>
            <w:tcW w:w="1084" w:type="dxa"/>
            <w:tcBorders>
              <w:top w:val="single" w:sz="4" w:space="0" w:color="auto"/>
              <w:left w:val="nil"/>
              <w:bottom w:val="single" w:sz="4" w:space="0" w:color="auto"/>
              <w:right w:val="single" w:sz="4" w:space="0" w:color="auto"/>
            </w:tcBorders>
            <w:shd w:val="clear" w:color="D9E1F2" w:fill="D9E1F2"/>
            <w:noWrap/>
            <w:textDirection w:val="tbRl"/>
            <w:vAlign w:val="center"/>
            <w:hideMark/>
          </w:tcPr>
          <w:p w14:paraId="183F8236" w14:textId="77777777" w:rsidR="00732C1B" w:rsidRPr="005F79D1" w:rsidRDefault="00732C1B" w:rsidP="00CD163A">
            <w:pPr>
              <w:ind w:left="113" w:right="113"/>
              <w:jc w:val="center"/>
              <w:rPr>
                <w:rFonts w:cs="Arial"/>
                <w:b/>
                <w:bCs/>
                <w:lang w:eastAsia="en-GB"/>
              </w:rPr>
            </w:pPr>
            <w:r w:rsidRPr="005F79D1">
              <w:rPr>
                <w:rFonts w:cs="Arial"/>
                <w:b/>
                <w:bCs/>
                <w:lang w:eastAsia="en-GB"/>
              </w:rPr>
              <w:t>ONR</w:t>
            </w:r>
          </w:p>
        </w:tc>
      </w:tr>
      <w:tr w:rsidR="005F79D1" w:rsidRPr="005F79D1" w14:paraId="0D22DF76" w14:textId="77777777" w:rsidTr="007A5A9C">
        <w:trPr>
          <w:trHeight w:val="234"/>
        </w:trPr>
        <w:tc>
          <w:tcPr>
            <w:tcW w:w="1001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3BF4E11" w14:textId="77777777" w:rsidR="005F79D1" w:rsidRPr="005F79D1" w:rsidRDefault="005F79D1" w:rsidP="00CD163A">
            <w:pPr>
              <w:rPr>
                <w:rFonts w:cs="Arial"/>
                <w:b/>
                <w:bCs/>
                <w:lang w:eastAsia="en-GB"/>
              </w:rPr>
            </w:pPr>
            <w:r w:rsidRPr="005F79D1">
              <w:rPr>
                <w:rFonts w:cs="Arial"/>
                <w:b/>
                <w:bCs/>
                <w:lang w:eastAsia="en-GB"/>
              </w:rPr>
              <w:t>TECHNICAL SPECIALISTS</w:t>
            </w:r>
          </w:p>
        </w:tc>
      </w:tr>
      <w:tr w:rsidR="002937DA" w:rsidRPr="005F79D1" w14:paraId="7322D859" w14:textId="77777777" w:rsidTr="007A5A9C">
        <w:trPr>
          <w:trHeight w:val="1151"/>
        </w:trPr>
        <w:tc>
          <w:tcPr>
            <w:tcW w:w="1444" w:type="dxa"/>
            <w:tcBorders>
              <w:top w:val="single" w:sz="4" w:space="0" w:color="auto"/>
              <w:left w:val="single" w:sz="4" w:space="0" w:color="auto"/>
              <w:bottom w:val="single" w:sz="4" w:space="0" w:color="auto"/>
              <w:right w:val="single" w:sz="4" w:space="0" w:color="auto"/>
            </w:tcBorders>
            <w:shd w:val="clear" w:color="auto" w:fill="auto"/>
            <w:hideMark/>
          </w:tcPr>
          <w:p w14:paraId="0DE359F5" w14:textId="278EF1B2" w:rsidR="002937DA" w:rsidRPr="005F79D1" w:rsidRDefault="002937DA" w:rsidP="002937DA">
            <w:pPr>
              <w:rPr>
                <w:rFonts w:cs="Arial"/>
                <w:lang w:eastAsia="en-GB"/>
              </w:rPr>
            </w:pPr>
            <w:r w:rsidRPr="005F79D1">
              <w:rPr>
                <w:rFonts w:cs="Arial"/>
                <w:lang w:eastAsia="en-GB"/>
              </w:rPr>
              <w:t xml:space="preserve">Hourly pay rates of </w:t>
            </w:r>
            <w:r>
              <w:rPr>
                <w:rFonts w:cs="Arial"/>
                <w:lang w:eastAsia="en-GB"/>
              </w:rPr>
              <w:t>m</w:t>
            </w:r>
            <w:r w:rsidRPr="005F79D1">
              <w:rPr>
                <w:rFonts w:cs="Arial"/>
                <w:lang w:eastAsia="en-GB"/>
              </w:rPr>
              <w:t xml:space="preserve">en divided by number of </w:t>
            </w:r>
            <w:r>
              <w:rPr>
                <w:rFonts w:cs="Arial"/>
                <w:lang w:eastAsia="en-GB"/>
              </w:rPr>
              <w:t>m</w:t>
            </w:r>
            <w:r w:rsidRPr="005F79D1">
              <w:rPr>
                <w:rFonts w:cs="Arial"/>
                <w:lang w:eastAsia="en-GB"/>
              </w:rPr>
              <w:t xml:space="preserve">en </w:t>
            </w:r>
            <w:r>
              <w:rPr>
                <w:rFonts w:cs="Arial"/>
                <w:lang w:eastAsia="en-GB"/>
              </w:rPr>
              <w:t>(A)</w:t>
            </w:r>
          </w:p>
        </w:tc>
        <w:tc>
          <w:tcPr>
            <w:tcW w:w="1091" w:type="dxa"/>
            <w:tcBorders>
              <w:top w:val="single" w:sz="4" w:space="0" w:color="auto"/>
              <w:left w:val="nil"/>
              <w:bottom w:val="single" w:sz="4" w:space="0" w:color="auto"/>
              <w:right w:val="single" w:sz="4" w:space="0" w:color="auto"/>
            </w:tcBorders>
            <w:shd w:val="clear" w:color="000000" w:fill="FFFFFF"/>
            <w:noWrap/>
            <w:vAlign w:val="center"/>
          </w:tcPr>
          <w:p w14:paraId="65FEC64C" w14:textId="56E275B2" w:rsidR="002937DA" w:rsidRPr="004D0729" w:rsidRDefault="002937DA" w:rsidP="00FF1AA0">
            <w:pPr>
              <w:jc w:val="center"/>
              <w:rPr>
                <w:rFonts w:cs="Arial"/>
                <w:lang w:eastAsia="en-GB"/>
              </w:rPr>
            </w:pPr>
            <w:r w:rsidRPr="004D0729">
              <w:t>£57.91</w:t>
            </w:r>
          </w:p>
        </w:tc>
        <w:tc>
          <w:tcPr>
            <w:tcW w:w="951" w:type="dxa"/>
            <w:tcBorders>
              <w:top w:val="single" w:sz="4" w:space="0" w:color="auto"/>
              <w:left w:val="nil"/>
              <w:bottom w:val="single" w:sz="4" w:space="0" w:color="auto"/>
              <w:right w:val="single" w:sz="4" w:space="0" w:color="auto"/>
            </w:tcBorders>
            <w:shd w:val="clear" w:color="auto" w:fill="auto"/>
            <w:noWrap/>
            <w:vAlign w:val="center"/>
          </w:tcPr>
          <w:p w14:paraId="7A0A3795" w14:textId="0DDE7FE1" w:rsidR="002937DA" w:rsidRPr="004D0729" w:rsidRDefault="002937DA" w:rsidP="00FF1AA0">
            <w:pPr>
              <w:jc w:val="center"/>
              <w:rPr>
                <w:rFonts w:cs="Arial"/>
                <w:lang w:eastAsia="en-GB"/>
              </w:rPr>
            </w:pPr>
            <w:r w:rsidRPr="004D0729">
              <w:t>£53.04</w:t>
            </w:r>
          </w:p>
        </w:tc>
        <w:tc>
          <w:tcPr>
            <w:tcW w:w="1174" w:type="dxa"/>
            <w:tcBorders>
              <w:top w:val="single" w:sz="4" w:space="0" w:color="auto"/>
              <w:left w:val="nil"/>
              <w:bottom w:val="single" w:sz="4" w:space="0" w:color="auto"/>
              <w:right w:val="single" w:sz="4" w:space="0" w:color="auto"/>
            </w:tcBorders>
            <w:shd w:val="clear" w:color="auto" w:fill="auto"/>
            <w:noWrap/>
            <w:vAlign w:val="center"/>
          </w:tcPr>
          <w:p w14:paraId="7503577F" w14:textId="45C776FB" w:rsidR="002937DA" w:rsidRPr="004D0729" w:rsidRDefault="002937DA" w:rsidP="00FF1AA0">
            <w:pPr>
              <w:jc w:val="center"/>
              <w:rPr>
                <w:rFonts w:cs="Arial"/>
                <w:lang w:eastAsia="en-GB"/>
              </w:rPr>
            </w:pPr>
            <w:r w:rsidRPr="004D0729">
              <w:t>£41.91</w:t>
            </w:r>
          </w:p>
        </w:tc>
        <w:tc>
          <w:tcPr>
            <w:tcW w:w="1147" w:type="dxa"/>
            <w:tcBorders>
              <w:top w:val="single" w:sz="4" w:space="0" w:color="auto"/>
              <w:left w:val="nil"/>
              <w:bottom w:val="single" w:sz="4" w:space="0" w:color="auto"/>
              <w:right w:val="single" w:sz="4" w:space="0" w:color="auto"/>
            </w:tcBorders>
            <w:shd w:val="clear" w:color="auto" w:fill="auto"/>
            <w:noWrap/>
            <w:vAlign w:val="center"/>
          </w:tcPr>
          <w:p w14:paraId="1C409375" w14:textId="11F9FF82" w:rsidR="002937DA" w:rsidRPr="004D0729" w:rsidRDefault="002937DA" w:rsidP="00FF1AA0">
            <w:pPr>
              <w:jc w:val="center"/>
              <w:rPr>
                <w:rFonts w:cs="Arial"/>
                <w:lang w:eastAsia="en-GB"/>
              </w:rPr>
            </w:pPr>
            <w:r w:rsidRPr="004D0729">
              <w:t>£24.34</w:t>
            </w:r>
          </w:p>
        </w:tc>
        <w:tc>
          <w:tcPr>
            <w:tcW w:w="944" w:type="dxa"/>
            <w:tcBorders>
              <w:top w:val="single" w:sz="4" w:space="0" w:color="auto"/>
              <w:left w:val="nil"/>
              <w:bottom w:val="single" w:sz="4" w:space="0" w:color="auto"/>
              <w:right w:val="single" w:sz="4" w:space="0" w:color="auto"/>
            </w:tcBorders>
            <w:shd w:val="clear" w:color="auto" w:fill="auto"/>
            <w:noWrap/>
            <w:vAlign w:val="center"/>
          </w:tcPr>
          <w:p w14:paraId="7465ADC4" w14:textId="2BD6FC76" w:rsidR="002937DA" w:rsidRPr="004D0729" w:rsidRDefault="002937DA" w:rsidP="00FF1AA0">
            <w:pPr>
              <w:jc w:val="center"/>
              <w:rPr>
                <w:rFonts w:cs="Arial"/>
                <w:lang w:eastAsia="en-GB"/>
              </w:rPr>
            </w:pPr>
            <w:r w:rsidRPr="004D0729">
              <w:t>£13.25</w:t>
            </w:r>
          </w:p>
        </w:tc>
        <w:tc>
          <w:tcPr>
            <w:tcW w:w="951" w:type="dxa"/>
            <w:tcBorders>
              <w:top w:val="single" w:sz="4" w:space="0" w:color="auto"/>
              <w:left w:val="nil"/>
              <w:bottom w:val="single" w:sz="4" w:space="0" w:color="auto"/>
              <w:right w:val="single" w:sz="4" w:space="0" w:color="auto"/>
            </w:tcBorders>
            <w:shd w:val="clear" w:color="auto" w:fill="auto"/>
            <w:noWrap/>
            <w:vAlign w:val="center"/>
          </w:tcPr>
          <w:p w14:paraId="7BC8363B" w14:textId="23364D39" w:rsidR="002937DA" w:rsidRPr="004D0729" w:rsidRDefault="002937DA" w:rsidP="00FF1AA0">
            <w:pPr>
              <w:jc w:val="center"/>
              <w:rPr>
                <w:rFonts w:cs="Arial"/>
                <w:lang w:eastAsia="en-GB"/>
              </w:rPr>
            </w:pPr>
            <w:r w:rsidRPr="004D0729">
              <w:t>£-</w:t>
            </w:r>
          </w:p>
        </w:tc>
        <w:tc>
          <w:tcPr>
            <w:tcW w:w="1224" w:type="dxa"/>
            <w:tcBorders>
              <w:top w:val="single" w:sz="4" w:space="0" w:color="auto"/>
              <w:left w:val="nil"/>
              <w:bottom w:val="single" w:sz="4" w:space="0" w:color="auto"/>
              <w:right w:val="single" w:sz="4" w:space="0" w:color="auto"/>
            </w:tcBorders>
            <w:shd w:val="clear" w:color="auto" w:fill="auto"/>
            <w:noWrap/>
            <w:vAlign w:val="center"/>
          </w:tcPr>
          <w:p w14:paraId="4843D380" w14:textId="77777777" w:rsidR="00D75B84" w:rsidRDefault="00D75B84" w:rsidP="004D0729">
            <w:pPr>
              <w:rPr>
                <w:rFonts w:cs="Arial"/>
                <w:lang w:eastAsia="en-GB"/>
              </w:rPr>
            </w:pPr>
          </w:p>
          <w:p w14:paraId="7788046D" w14:textId="5E56F00C" w:rsidR="00611AD2" w:rsidRPr="004D0729" w:rsidRDefault="00611AD2" w:rsidP="004D0729">
            <w:pPr>
              <w:rPr>
                <w:rFonts w:cs="Arial"/>
                <w:lang w:eastAsia="en-GB"/>
              </w:rPr>
            </w:pPr>
            <w:r w:rsidRPr="004D0729">
              <w:rPr>
                <w:rFonts w:cs="Arial"/>
                <w:lang w:eastAsia="en-GB"/>
              </w:rPr>
              <w:t>£61.69</w:t>
            </w:r>
          </w:p>
          <w:p w14:paraId="4AD5635A" w14:textId="0F67AB4B" w:rsidR="002937DA" w:rsidRPr="004D0729" w:rsidRDefault="002937DA" w:rsidP="00FF1AA0">
            <w:pPr>
              <w:jc w:val="center"/>
              <w:rPr>
                <w:rFonts w:cs="Arial"/>
                <w:lang w:eastAsia="en-GB"/>
              </w:rPr>
            </w:pPr>
          </w:p>
        </w:tc>
        <w:tc>
          <w:tcPr>
            <w:tcW w:w="1084" w:type="dxa"/>
            <w:tcBorders>
              <w:top w:val="single" w:sz="4" w:space="0" w:color="auto"/>
              <w:left w:val="nil"/>
              <w:bottom w:val="single" w:sz="4" w:space="0" w:color="auto"/>
              <w:right w:val="single" w:sz="4" w:space="0" w:color="auto"/>
            </w:tcBorders>
            <w:shd w:val="clear" w:color="auto" w:fill="auto"/>
            <w:noWrap/>
            <w:vAlign w:val="center"/>
          </w:tcPr>
          <w:p w14:paraId="75617DDA" w14:textId="77777777" w:rsidR="00D75B84" w:rsidRDefault="00D75B84" w:rsidP="00FF1AA0">
            <w:pPr>
              <w:jc w:val="center"/>
              <w:rPr>
                <w:rFonts w:cs="Arial"/>
                <w:lang w:eastAsia="en-GB"/>
              </w:rPr>
            </w:pPr>
          </w:p>
          <w:p w14:paraId="6B67B60D" w14:textId="6D15B8DA" w:rsidR="007A1FB6" w:rsidRPr="004D0729" w:rsidRDefault="007A1FB6" w:rsidP="00FF1AA0">
            <w:pPr>
              <w:jc w:val="center"/>
              <w:rPr>
                <w:rFonts w:cs="Arial"/>
                <w:lang w:eastAsia="en-GB"/>
              </w:rPr>
            </w:pPr>
            <w:r w:rsidRPr="004D0729">
              <w:rPr>
                <w:rFonts w:cs="Arial"/>
                <w:lang w:eastAsia="en-GB"/>
              </w:rPr>
              <w:t>£345.34</w:t>
            </w:r>
          </w:p>
          <w:p w14:paraId="07CA3368" w14:textId="7C1A1369" w:rsidR="002937DA" w:rsidRPr="004D0729" w:rsidRDefault="002937DA" w:rsidP="00FF1AA0">
            <w:pPr>
              <w:jc w:val="center"/>
              <w:rPr>
                <w:rFonts w:cs="Arial"/>
                <w:lang w:eastAsia="en-GB"/>
              </w:rPr>
            </w:pPr>
          </w:p>
        </w:tc>
      </w:tr>
      <w:tr w:rsidR="007A1FB6" w:rsidRPr="005F79D1" w14:paraId="1969AA77" w14:textId="77777777" w:rsidTr="007A5A9C">
        <w:trPr>
          <w:trHeight w:val="1004"/>
        </w:trPr>
        <w:tc>
          <w:tcPr>
            <w:tcW w:w="1444" w:type="dxa"/>
            <w:tcBorders>
              <w:top w:val="nil"/>
              <w:left w:val="single" w:sz="4" w:space="0" w:color="auto"/>
              <w:bottom w:val="single" w:sz="4" w:space="0" w:color="auto"/>
              <w:right w:val="single" w:sz="4" w:space="0" w:color="auto"/>
            </w:tcBorders>
            <w:shd w:val="clear" w:color="auto" w:fill="auto"/>
            <w:hideMark/>
          </w:tcPr>
          <w:p w14:paraId="1AD2B7AF" w14:textId="786AA38D" w:rsidR="007A1FB6" w:rsidRPr="005F79D1" w:rsidRDefault="007A1FB6" w:rsidP="007A1FB6">
            <w:pPr>
              <w:rPr>
                <w:rFonts w:cs="Arial"/>
                <w:lang w:eastAsia="en-GB"/>
              </w:rPr>
            </w:pPr>
            <w:r w:rsidRPr="005F79D1">
              <w:rPr>
                <w:rFonts w:cs="Arial"/>
                <w:lang w:eastAsia="en-GB"/>
              </w:rPr>
              <w:t xml:space="preserve">Hourly pay rates of </w:t>
            </w:r>
            <w:r>
              <w:rPr>
                <w:rFonts w:cs="Arial"/>
                <w:lang w:eastAsia="en-GB"/>
              </w:rPr>
              <w:t>w</w:t>
            </w:r>
            <w:r w:rsidRPr="005F79D1">
              <w:rPr>
                <w:rFonts w:cs="Arial"/>
                <w:lang w:eastAsia="en-GB"/>
              </w:rPr>
              <w:t xml:space="preserve">omen divided by number of </w:t>
            </w:r>
            <w:r>
              <w:rPr>
                <w:rFonts w:cs="Arial"/>
                <w:lang w:eastAsia="en-GB"/>
              </w:rPr>
              <w:t>w</w:t>
            </w:r>
            <w:r w:rsidRPr="005F79D1">
              <w:rPr>
                <w:rFonts w:cs="Arial"/>
                <w:lang w:eastAsia="en-GB"/>
              </w:rPr>
              <w:t>omen</w:t>
            </w:r>
            <w:r>
              <w:rPr>
                <w:rFonts w:cs="Arial"/>
                <w:lang w:eastAsia="en-GB"/>
              </w:rPr>
              <w:t xml:space="preserve"> (B)</w:t>
            </w:r>
          </w:p>
        </w:tc>
        <w:tc>
          <w:tcPr>
            <w:tcW w:w="10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DD770A" w14:textId="159DB5DF" w:rsidR="007A1FB6" w:rsidRPr="004D0729" w:rsidRDefault="007A1FB6" w:rsidP="00D75B84">
            <w:pPr>
              <w:rPr>
                <w:rFonts w:cs="Arial"/>
                <w:lang w:eastAsia="en-GB"/>
              </w:rPr>
            </w:pPr>
            <w:r w:rsidRPr="004D0729">
              <w:rPr>
                <w:rFonts w:cs="Arial"/>
              </w:rPr>
              <w:t>£58.65</w:t>
            </w:r>
          </w:p>
        </w:tc>
        <w:tc>
          <w:tcPr>
            <w:tcW w:w="951" w:type="dxa"/>
            <w:tcBorders>
              <w:top w:val="single" w:sz="4" w:space="0" w:color="auto"/>
              <w:left w:val="nil"/>
              <w:bottom w:val="single" w:sz="4" w:space="0" w:color="auto"/>
              <w:right w:val="single" w:sz="4" w:space="0" w:color="auto"/>
            </w:tcBorders>
            <w:shd w:val="clear" w:color="000000" w:fill="FFFFFF"/>
            <w:noWrap/>
            <w:vAlign w:val="center"/>
          </w:tcPr>
          <w:p w14:paraId="6B2C7287" w14:textId="345B57FF" w:rsidR="007A1FB6" w:rsidRPr="004D0729" w:rsidRDefault="007A1FB6" w:rsidP="00D75B84">
            <w:pPr>
              <w:rPr>
                <w:rFonts w:cs="Arial"/>
                <w:lang w:eastAsia="en-GB"/>
              </w:rPr>
            </w:pPr>
            <w:r w:rsidRPr="004D0729">
              <w:rPr>
                <w:rFonts w:cs="Arial"/>
              </w:rPr>
              <w:t>£52.67</w:t>
            </w:r>
          </w:p>
        </w:tc>
        <w:tc>
          <w:tcPr>
            <w:tcW w:w="1174" w:type="dxa"/>
            <w:tcBorders>
              <w:top w:val="single" w:sz="4" w:space="0" w:color="auto"/>
              <w:left w:val="nil"/>
              <w:bottom w:val="single" w:sz="4" w:space="0" w:color="auto"/>
              <w:right w:val="single" w:sz="4" w:space="0" w:color="auto"/>
            </w:tcBorders>
            <w:shd w:val="clear" w:color="000000" w:fill="FFFFFF"/>
            <w:noWrap/>
            <w:vAlign w:val="center"/>
          </w:tcPr>
          <w:p w14:paraId="23329237" w14:textId="3426E41C" w:rsidR="007A1FB6" w:rsidRPr="004D0729" w:rsidRDefault="007A1FB6" w:rsidP="00D75B84">
            <w:pPr>
              <w:rPr>
                <w:rFonts w:cs="Arial"/>
                <w:lang w:eastAsia="en-GB"/>
              </w:rPr>
            </w:pPr>
            <w:r w:rsidRPr="004D0729">
              <w:rPr>
                <w:rFonts w:cs="Arial"/>
              </w:rPr>
              <w:t>£40.07</w:t>
            </w:r>
          </w:p>
        </w:tc>
        <w:tc>
          <w:tcPr>
            <w:tcW w:w="1147" w:type="dxa"/>
            <w:tcBorders>
              <w:top w:val="single" w:sz="4" w:space="0" w:color="auto"/>
              <w:left w:val="nil"/>
              <w:bottom w:val="single" w:sz="4" w:space="0" w:color="auto"/>
              <w:right w:val="single" w:sz="4" w:space="0" w:color="auto"/>
            </w:tcBorders>
            <w:shd w:val="clear" w:color="000000" w:fill="FFFFFF"/>
            <w:noWrap/>
            <w:vAlign w:val="center"/>
          </w:tcPr>
          <w:p w14:paraId="6620147B" w14:textId="284B7716" w:rsidR="007A1FB6" w:rsidRPr="004D0729" w:rsidRDefault="00D75B84" w:rsidP="00D75B84">
            <w:pPr>
              <w:rPr>
                <w:rFonts w:cs="Arial"/>
                <w:lang w:eastAsia="en-GB"/>
              </w:rPr>
            </w:pPr>
            <w:r>
              <w:rPr>
                <w:rFonts w:cs="Arial"/>
              </w:rPr>
              <w:t>£</w:t>
            </w:r>
            <w:r w:rsidR="007A1FB6" w:rsidRPr="004D0729">
              <w:rPr>
                <w:rFonts w:cs="Arial"/>
              </w:rPr>
              <w:t>27.24</w:t>
            </w:r>
          </w:p>
        </w:tc>
        <w:tc>
          <w:tcPr>
            <w:tcW w:w="944" w:type="dxa"/>
            <w:tcBorders>
              <w:top w:val="single" w:sz="4" w:space="0" w:color="auto"/>
              <w:left w:val="nil"/>
              <w:bottom w:val="single" w:sz="4" w:space="0" w:color="auto"/>
              <w:right w:val="single" w:sz="4" w:space="0" w:color="auto"/>
            </w:tcBorders>
            <w:shd w:val="clear" w:color="000000" w:fill="FFFFFF"/>
            <w:noWrap/>
            <w:vAlign w:val="center"/>
          </w:tcPr>
          <w:p w14:paraId="77BE9DFA" w14:textId="5F9ABDB8" w:rsidR="007A1FB6" w:rsidRPr="004D0729" w:rsidRDefault="007A1FB6" w:rsidP="00D75B84">
            <w:pPr>
              <w:rPr>
                <w:rFonts w:cs="Arial"/>
                <w:lang w:eastAsia="en-GB"/>
              </w:rPr>
            </w:pPr>
            <w:r w:rsidRPr="004D0729">
              <w:rPr>
                <w:rFonts w:cs="Arial"/>
              </w:rPr>
              <w:t>£14.13</w:t>
            </w:r>
          </w:p>
        </w:tc>
        <w:tc>
          <w:tcPr>
            <w:tcW w:w="951" w:type="dxa"/>
            <w:tcBorders>
              <w:top w:val="single" w:sz="4" w:space="0" w:color="auto"/>
              <w:left w:val="nil"/>
              <w:bottom w:val="single" w:sz="4" w:space="0" w:color="auto"/>
              <w:right w:val="single" w:sz="4" w:space="0" w:color="auto"/>
            </w:tcBorders>
            <w:shd w:val="clear" w:color="000000" w:fill="FFFFFF"/>
            <w:noWrap/>
            <w:vAlign w:val="center"/>
          </w:tcPr>
          <w:p w14:paraId="66BF8437" w14:textId="5BB5241E" w:rsidR="007A1FB6" w:rsidRPr="004D0729" w:rsidRDefault="007A1FB6" w:rsidP="00D75B84">
            <w:pPr>
              <w:rPr>
                <w:rFonts w:cs="Arial"/>
                <w:lang w:eastAsia="en-GB"/>
              </w:rPr>
            </w:pPr>
            <w:r w:rsidRPr="004D0729">
              <w:rPr>
                <w:rFonts w:cs="Arial"/>
              </w:rPr>
              <w:t>£ -</w:t>
            </w:r>
          </w:p>
        </w:tc>
        <w:tc>
          <w:tcPr>
            <w:tcW w:w="1224" w:type="dxa"/>
            <w:tcBorders>
              <w:top w:val="nil"/>
              <w:left w:val="nil"/>
              <w:bottom w:val="single" w:sz="4" w:space="0" w:color="auto"/>
              <w:right w:val="single" w:sz="4" w:space="0" w:color="auto"/>
            </w:tcBorders>
            <w:shd w:val="clear" w:color="000000" w:fill="FFFFFF"/>
            <w:noWrap/>
            <w:vAlign w:val="center"/>
          </w:tcPr>
          <w:p w14:paraId="5767E2F2" w14:textId="77777777" w:rsidR="007A5A9C" w:rsidRDefault="007A5A9C" w:rsidP="00D75B84">
            <w:pPr>
              <w:rPr>
                <w:rFonts w:cs="Arial"/>
                <w:lang w:eastAsia="en-GB"/>
              </w:rPr>
            </w:pPr>
          </w:p>
          <w:p w14:paraId="35CD3064" w14:textId="2818B86D" w:rsidR="007A1FB6" w:rsidRPr="004D0729" w:rsidRDefault="007A1FB6" w:rsidP="00D75B84">
            <w:pPr>
              <w:rPr>
                <w:rFonts w:cs="Arial"/>
                <w:lang w:eastAsia="en-GB"/>
              </w:rPr>
            </w:pPr>
            <w:r w:rsidRPr="004D0729">
              <w:rPr>
                <w:rFonts w:cs="Arial"/>
                <w:lang w:eastAsia="en-GB"/>
              </w:rPr>
              <w:t>£59.75</w:t>
            </w:r>
          </w:p>
          <w:p w14:paraId="5C4030AF" w14:textId="02836AE5" w:rsidR="007A1FB6" w:rsidRPr="004D0729" w:rsidRDefault="007A1FB6" w:rsidP="00D75B84">
            <w:pPr>
              <w:rPr>
                <w:rFonts w:cs="Arial"/>
                <w:lang w:eastAsia="en-GB"/>
              </w:rPr>
            </w:pPr>
          </w:p>
        </w:tc>
        <w:tc>
          <w:tcPr>
            <w:tcW w:w="1084" w:type="dxa"/>
            <w:tcBorders>
              <w:top w:val="nil"/>
              <w:left w:val="nil"/>
              <w:bottom w:val="single" w:sz="4" w:space="0" w:color="auto"/>
              <w:right w:val="single" w:sz="4" w:space="0" w:color="auto"/>
            </w:tcBorders>
            <w:shd w:val="clear" w:color="auto" w:fill="auto"/>
            <w:noWrap/>
            <w:vAlign w:val="center"/>
          </w:tcPr>
          <w:p w14:paraId="343CE3A1" w14:textId="77777777" w:rsidR="007A5A9C" w:rsidRDefault="007A5A9C" w:rsidP="00D75B84">
            <w:pPr>
              <w:rPr>
                <w:rFonts w:cs="Arial"/>
                <w:lang w:eastAsia="en-GB"/>
              </w:rPr>
            </w:pPr>
          </w:p>
          <w:p w14:paraId="0B73FBEB" w14:textId="32D5196B" w:rsidR="00FF1AA0" w:rsidRPr="004D0729" w:rsidRDefault="007A5A9C" w:rsidP="00D75B84">
            <w:pPr>
              <w:rPr>
                <w:rFonts w:cs="Arial"/>
                <w:lang w:eastAsia="en-GB"/>
              </w:rPr>
            </w:pPr>
            <w:r>
              <w:rPr>
                <w:rFonts w:cs="Arial"/>
                <w:lang w:eastAsia="en-GB"/>
              </w:rPr>
              <w:t>£</w:t>
            </w:r>
            <w:r w:rsidR="00FF1AA0" w:rsidRPr="004D0729">
              <w:rPr>
                <w:rFonts w:cs="Arial"/>
                <w:lang w:eastAsia="en-GB"/>
              </w:rPr>
              <w:t>52.50</w:t>
            </w:r>
          </w:p>
          <w:p w14:paraId="67D960F6" w14:textId="15EB64B7" w:rsidR="007A1FB6" w:rsidRPr="004D0729" w:rsidRDefault="007A1FB6" w:rsidP="00D75B84">
            <w:pPr>
              <w:rPr>
                <w:rFonts w:cs="Arial"/>
                <w:lang w:eastAsia="en-GB"/>
              </w:rPr>
            </w:pPr>
          </w:p>
        </w:tc>
      </w:tr>
      <w:tr w:rsidR="00FF1AA0" w:rsidRPr="005F79D1" w14:paraId="1A78DC59" w14:textId="77777777" w:rsidTr="007A5A9C">
        <w:trPr>
          <w:trHeight w:val="234"/>
        </w:trPr>
        <w:tc>
          <w:tcPr>
            <w:tcW w:w="1444" w:type="dxa"/>
            <w:tcBorders>
              <w:top w:val="nil"/>
              <w:left w:val="single" w:sz="4" w:space="0" w:color="auto"/>
              <w:bottom w:val="single" w:sz="4" w:space="0" w:color="auto"/>
              <w:right w:val="single" w:sz="4" w:space="0" w:color="auto"/>
            </w:tcBorders>
            <w:shd w:val="clear" w:color="auto" w:fill="auto"/>
            <w:noWrap/>
            <w:vAlign w:val="bottom"/>
            <w:hideMark/>
          </w:tcPr>
          <w:p w14:paraId="05BD5CB1" w14:textId="77777777" w:rsidR="00FF1AA0" w:rsidRPr="005F79D1" w:rsidRDefault="00FF1AA0" w:rsidP="00FF1AA0">
            <w:pPr>
              <w:rPr>
                <w:rFonts w:cs="Arial"/>
                <w:lang w:eastAsia="en-GB"/>
              </w:rPr>
            </w:pPr>
            <w:r w:rsidRPr="005F79D1">
              <w:rPr>
                <w:rFonts w:cs="Arial"/>
                <w:lang w:eastAsia="en-GB"/>
              </w:rPr>
              <w:t>Formula (A-B)/A x 100</w:t>
            </w:r>
          </w:p>
        </w:tc>
        <w:tc>
          <w:tcPr>
            <w:tcW w:w="1091" w:type="dxa"/>
            <w:tcBorders>
              <w:top w:val="nil"/>
              <w:left w:val="nil"/>
              <w:bottom w:val="single" w:sz="4" w:space="0" w:color="auto"/>
              <w:right w:val="single" w:sz="4" w:space="0" w:color="auto"/>
            </w:tcBorders>
            <w:shd w:val="clear" w:color="auto" w:fill="auto"/>
            <w:noWrap/>
            <w:vAlign w:val="center"/>
          </w:tcPr>
          <w:p w14:paraId="4C99B463" w14:textId="72055D5A" w:rsidR="00FF1AA0" w:rsidRPr="004D0729" w:rsidRDefault="00FF1AA0" w:rsidP="00FF1AA0">
            <w:pPr>
              <w:jc w:val="center"/>
              <w:rPr>
                <w:rFonts w:cs="Arial"/>
                <w:b/>
                <w:bCs/>
                <w:lang w:eastAsia="en-GB"/>
              </w:rPr>
            </w:pPr>
            <w:r w:rsidRPr="004D0729">
              <w:t>-1.3%</w:t>
            </w:r>
          </w:p>
        </w:tc>
        <w:tc>
          <w:tcPr>
            <w:tcW w:w="951" w:type="dxa"/>
            <w:tcBorders>
              <w:top w:val="nil"/>
              <w:left w:val="nil"/>
              <w:bottom w:val="single" w:sz="4" w:space="0" w:color="auto"/>
              <w:right w:val="single" w:sz="4" w:space="0" w:color="auto"/>
            </w:tcBorders>
            <w:shd w:val="clear" w:color="auto" w:fill="auto"/>
            <w:noWrap/>
            <w:vAlign w:val="center"/>
          </w:tcPr>
          <w:p w14:paraId="3FAA1BBF" w14:textId="52DB4154" w:rsidR="00FF1AA0" w:rsidRPr="004D0729" w:rsidRDefault="00FF1AA0" w:rsidP="00FF1AA0">
            <w:pPr>
              <w:jc w:val="center"/>
              <w:rPr>
                <w:rFonts w:cs="Arial"/>
                <w:b/>
                <w:bCs/>
                <w:lang w:eastAsia="en-GB"/>
              </w:rPr>
            </w:pPr>
            <w:r w:rsidRPr="004D0729">
              <w:t>0.7%</w:t>
            </w:r>
          </w:p>
        </w:tc>
        <w:tc>
          <w:tcPr>
            <w:tcW w:w="1174" w:type="dxa"/>
            <w:tcBorders>
              <w:top w:val="nil"/>
              <w:left w:val="nil"/>
              <w:bottom w:val="single" w:sz="4" w:space="0" w:color="auto"/>
              <w:right w:val="single" w:sz="4" w:space="0" w:color="auto"/>
            </w:tcBorders>
            <w:shd w:val="clear" w:color="auto" w:fill="auto"/>
            <w:noWrap/>
            <w:vAlign w:val="center"/>
          </w:tcPr>
          <w:p w14:paraId="7BF749CC" w14:textId="40660244" w:rsidR="00FF1AA0" w:rsidRPr="004D0729" w:rsidRDefault="00FF1AA0" w:rsidP="00FF1AA0">
            <w:pPr>
              <w:jc w:val="center"/>
              <w:rPr>
                <w:rFonts w:cs="Arial"/>
                <w:b/>
                <w:bCs/>
                <w:lang w:eastAsia="en-GB"/>
              </w:rPr>
            </w:pPr>
            <w:r w:rsidRPr="004D0729">
              <w:t>4.4%</w:t>
            </w:r>
          </w:p>
        </w:tc>
        <w:tc>
          <w:tcPr>
            <w:tcW w:w="1147" w:type="dxa"/>
            <w:tcBorders>
              <w:top w:val="nil"/>
              <w:left w:val="nil"/>
              <w:bottom w:val="single" w:sz="4" w:space="0" w:color="auto"/>
              <w:right w:val="single" w:sz="4" w:space="0" w:color="auto"/>
            </w:tcBorders>
            <w:shd w:val="clear" w:color="auto" w:fill="auto"/>
            <w:noWrap/>
            <w:vAlign w:val="center"/>
          </w:tcPr>
          <w:p w14:paraId="58D70806" w14:textId="49A78E13" w:rsidR="00FF1AA0" w:rsidRPr="004D0729" w:rsidRDefault="007A5A9C" w:rsidP="00FF1AA0">
            <w:pPr>
              <w:jc w:val="center"/>
              <w:rPr>
                <w:rFonts w:cs="Arial"/>
                <w:b/>
                <w:bCs/>
                <w:lang w:eastAsia="en-GB"/>
              </w:rPr>
            </w:pPr>
            <w:r>
              <w:t>-</w:t>
            </w:r>
            <w:r w:rsidR="00FF1AA0" w:rsidRPr="004D0729">
              <w:t>11.9%</w:t>
            </w:r>
          </w:p>
        </w:tc>
        <w:tc>
          <w:tcPr>
            <w:tcW w:w="944" w:type="dxa"/>
            <w:tcBorders>
              <w:top w:val="nil"/>
              <w:left w:val="nil"/>
              <w:bottom w:val="single" w:sz="4" w:space="0" w:color="auto"/>
              <w:right w:val="single" w:sz="4" w:space="0" w:color="auto"/>
            </w:tcBorders>
            <w:shd w:val="clear" w:color="auto" w:fill="auto"/>
            <w:noWrap/>
            <w:vAlign w:val="center"/>
          </w:tcPr>
          <w:p w14:paraId="4C5BC431" w14:textId="3B010081" w:rsidR="00FF1AA0" w:rsidRPr="004D0729" w:rsidRDefault="00FF1AA0" w:rsidP="00FF1AA0">
            <w:pPr>
              <w:jc w:val="center"/>
              <w:rPr>
                <w:rFonts w:cs="Arial"/>
                <w:lang w:eastAsia="en-GB"/>
              </w:rPr>
            </w:pPr>
            <w:r w:rsidRPr="004D0729">
              <w:t>-6.7%</w:t>
            </w:r>
          </w:p>
        </w:tc>
        <w:tc>
          <w:tcPr>
            <w:tcW w:w="951" w:type="dxa"/>
            <w:tcBorders>
              <w:top w:val="nil"/>
              <w:left w:val="nil"/>
              <w:bottom w:val="single" w:sz="4" w:space="0" w:color="auto"/>
              <w:right w:val="single" w:sz="4" w:space="0" w:color="auto"/>
            </w:tcBorders>
            <w:shd w:val="clear" w:color="auto" w:fill="auto"/>
            <w:noWrap/>
            <w:vAlign w:val="center"/>
          </w:tcPr>
          <w:p w14:paraId="778268DC" w14:textId="307D385F" w:rsidR="00FF1AA0" w:rsidRPr="004D0729" w:rsidRDefault="00FF1AA0" w:rsidP="00FF1AA0">
            <w:pPr>
              <w:jc w:val="center"/>
              <w:rPr>
                <w:rFonts w:cs="Arial"/>
                <w:lang w:eastAsia="en-GB"/>
              </w:rPr>
            </w:pPr>
            <w:r w:rsidRPr="004D0729">
              <w:t>0.0%</w:t>
            </w:r>
          </w:p>
        </w:tc>
        <w:tc>
          <w:tcPr>
            <w:tcW w:w="1224" w:type="dxa"/>
            <w:tcBorders>
              <w:top w:val="nil"/>
              <w:left w:val="nil"/>
              <w:bottom w:val="single" w:sz="4" w:space="0" w:color="auto"/>
              <w:right w:val="single" w:sz="4" w:space="0" w:color="auto"/>
            </w:tcBorders>
            <w:shd w:val="clear" w:color="auto" w:fill="auto"/>
            <w:noWrap/>
            <w:vAlign w:val="center"/>
          </w:tcPr>
          <w:p w14:paraId="60FDB0B0" w14:textId="4EE85061" w:rsidR="00FF1AA0" w:rsidRPr="004D0729" w:rsidRDefault="00FF1AA0" w:rsidP="00FF1AA0">
            <w:pPr>
              <w:jc w:val="center"/>
              <w:rPr>
                <w:rFonts w:cs="Arial"/>
                <w:b/>
                <w:bCs/>
                <w:lang w:eastAsia="en-GB"/>
              </w:rPr>
            </w:pPr>
            <w:r w:rsidRPr="004D0729">
              <w:t>3.2%</w:t>
            </w:r>
          </w:p>
        </w:tc>
        <w:tc>
          <w:tcPr>
            <w:tcW w:w="1084" w:type="dxa"/>
            <w:tcBorders>
              <w:top w:val="nil"/>
              <w:left w:val="nil"/>
              <w:bottom w:val="single" w:sz="4" w:space="0" w:color="auto"/>
              <w:right w:val="single" w:sz="4" w:space="0" w:color="auto"/>
            </w:tcBorders>
            <w:shd w:val="clear" w:color="auto" w:fill="auto"/>
            <w:noWrap/>
            <w:vAlign w:val="center"/>
          </w:tcPr>
          <w:p w14:paraId="52D46D89" w14:textId="77777777" w:rsidR="007A5A9C" w:rsidRDefault="007A5A9C" w:rsidP="00FF1AA0">
            <w:pPr>
              <w:jc w:val="center"/>
              <w:rPr>
                <w:rFonts w:cs="Arial"/>
                <w:b/>
                <w:bCs/>
                <w:lang w:eastAsia="en-GB"/>
              </w:rPr>
            </w:pPr>
          </w:p>
          <w:p w14:paraId="3572005D" w14:textId="6FC77B5C" w:rsidR="00FF1AA0" w:rsidRPr="004D0729" w:rsidRDefault="00FF1AA0" w:rsidP="00FF1AA0">
            <w:pPr>
              <w:jc w:val="center"/>
              <w:rPr>
                <w:rFonts w:cs="Arial"/>
                <w:b/>
                <w:bCs/>
                <w:lang w:eastAsia="en-GB"/>
              </w:rPr>
            </w:pPr>
            <w:r w:rsidRPr="004D0729">
              <w:rPr>
                <w:rFonts w:cs="Arial"/>
                <w:b/>
                <w:bCs/>
                <w:lang w:eastAsia="en-GB"/>
              </w:rPr>
              <w:t>26.9%</w:t>
            </w:r>
          </w:p>
          <w:p w14:paraId="0F21B065" w14:textId="7C6F8867" w:rsidR="00FF1AA0" w:rsidRPr="004D0729" w:rsidRDefault="00FF1AA0" w:rsidP="00FF1AA0">
            <w:pPr>
              <w:jc w:val="center"/>
              <w:rPr>
                <w:rFonts w:cs="Arial"/>
                <w:b/>
                <w:bCs/>
                <w:lang w:eastAsia="en-GB"/>
              </w:rPr>
            </w:pPr>
          </w:p>
        </w:tc>
      </w:tr>
      <w:tr w:rsidR="005F79D1" w:rsidRPr="005F79D1" w14:paraId="7B755345" w14:textId="77777777" w:rsidTr="007A5A9C">
        <w:trPr>
          <w:trHeight w:val="234"/>
        </w:trPr>
        <w:tc>
          <w:tcPr>
            <w:tcW w:w="1001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AA0B04" w14:textId="77777777" w:rsidR="005F79D1" w:rsidRPr="005F79D1" w:rsidRDefault="005F79D1" w:rsidP="00CD163A">
            <w:pPr>
              <w:rPr>
                <w:rFonts w:cs="Arial"/>
                <w:b/>
                <w:bCs/>
                <w:lang w:eastAsia="en-GB"/>
              </w:rPr>
            </w:pPr>
            <w:r w:rsidRPr="005F79D1">
              <w:rPr>
                <w:rFonts w:cs="Arial"/>
                <w:b/>
                <w:bCs/>
                <w:lang w:eastAsia="en-GB"/>
              </w:rPr>
              <w:t>CORPORATE/SUPPORT</w:t>
            </w:r>
          </w:p>
        </w:tc>
      </w:tr>
      <w:tr w:rsidR="00D70517" w:rsidRPr="005F79D1" w14:paraId="51E6A1BB" w14:textId="77777777" w:rsidTr="007A5A9C">
        <w:trPr>
          <w:trHeight w:val="838"/>
        </w:trPr>
        <w:tc>
          <w:tcPr>
            <w:tcW w:w="1444" w:type="dxa"/>
            <w:tcBorders>
              <w:top w:val="single" w:sz="4" w:space="0" w:color="auto"/>
              <w:left w:val="single" w:sz="4" w:space="0" w:color="auto"/>
              <w:bottom w:val="single" w:sz="4" w:space="0" w:color="auto"/>
              <w:right w:val="single" w:sz="4" w:space="0" w:color="auto"/>
            </w:tcBorders>
            <w:shd w:val="clear" w:color="auto" w:fill="auto"/>
            <w:hideMark/>
          </w:tcPr>
          <w:p w14:paraId="5F086E75" w14:textId="31961D2C" w:rsidR="00D70517" w:rsidRPr="005F79D1" w:rsidRDefault="00D70517" w:rsidP="00D70517">
            <w:pPr>
              <w:rPr>
                <w:rFonts w:cs="Arial"/>
                <w:lang w:eastAsia="en-GB"/>
              </w:rPr>
            </w:pPr>
            <w:r w:rsidRPr="005F79D1">
              <w:rPr>
                <w:rFonts w:cs="Arial"/>
                <w:lang w:eastAsia="en-GB"/>
              </w:rPr>
              <w:t xml:space="preserve">Hourly pay rates of </w:t>
            </w:r>
            <w:r>
              <w:rPr>
                <w:rFonts w:cs="Arial"/>
                <w:lang w:eastAsia="en-GB"/>
              </w:rPr>
              <w:t>m</w:t>
            </w:r>
            <w:r w:rsidRPr="005F79D1">
              <w:rPr>
                <w:rFonts w:cs="Arial"/>
                <w:lang w:eastAsia="en-GB"/>
              </w:rPr>
              <w:t xml:space="preserve">en divided by number of </w:t>
            </w:r>
            <w:r>
              <w:rPr>
                <w:rFonts w:cs="Arial"/>
                <w:lang w:eastAsia="en-GB"/>
              </w:rPr>
              <w:t>m</w:t>
            </w:r>
            <w:r w:rsidRPr="005F79D1">
              <w:rPr>
                <w:rFonts w:cs="Arial"/>
                <w:lang w:eastAsia="en-GB"/>
              </w:rPr>
              <w:t>en</w:t>
            </w:r>
            <w:r>
              <w:rPr>
                <w:rFonts w:cs="Arial"/>
                <w:lang w:eastAsia="en-GB"/>
              </w:rPr>
              <w:t xml:space="preserve"> (A)</w:t>
            </w:r>
          </w:p>
        </w:tc>
        <w:tc>
          <w:tcPr>
            <w:tcW w:w="1091" w:type="dxa"/>
            <w:tcBorders>
              <w:top w:val="single" w:sz="4" w:space="0" w:color="auto"/>
              <w:left w:val="nil"/>
              <w:bottom w:val="single" w:sz="4" w:space="0" w:color="auto"/>
              <w:right w:val="single" w:sz="4" w:space="0" w:color="auto"/>
            </w:tcBorders>
            <w:shd w:val="clear" w:color="000000" w:fill="FFFFFF"/>
            <w:noWrap/>
            <w:vAlign w:val="center"/>
          </w:tcPr>
          <w:p w14:paraId="61826A06" w14:textId="643502F4" w:rsidR="00D70517" w:rsidRPr="005F79D1" w:rsidRDefault="00D70517" w:rsidP="00D70517">
            <w:pPr>
              <w:jc w:val="center"/>
              <w:rPr>
                <w:rFonts w:cs="Arial"/>
                <w:lang w:eastAsia="en-GB"/>
              </w:rPr>
            </w:pPr>
            <w:r w:rsidRPr="00027579">
              <w:t>£43.82</w:t>
            </w:r>
          </w:p>
        </w:tc>
        <w:tc>
          <w:tcPr>
            <w:tcW w:w="951" w:type="dxa"/>
            <w:tcBorders>
              <w:top w:val="single" w:sz="4" w:space="0" w:color="auto"/>
              <w:left w:val="nil"/>
              <w:bottom w:val="single" w:sz="4" w:space="0" w:color="auto"/>
              <w:right w:val="single" w:sz="4" w:space="0" w:color="auto"/>
            </w:tcBorders>
            <w:shd w:val="clear" w:color="auto" w:fill="auto"/>
            <w:noWrap/>
            <w:vAlign w:val="center"/>
          </w:tcPr>
          <w:p w14:paraId="632A5B1E" w14:textId="60BF30B1" w:rsidR="00D70517" w:rsidRPr="005F79D1" w:rsidRDefault="00D70517" w:rsidP="00D70517">
            <w:pPr>
              <w:jc w:val="center"/>
              <w:rPr>
                <w:rFonts w:cs="Arial"/>
                <w:lang w:eastAsia="en-GB"/>
              </w:rPr>
            </w:pPr>
            <w:r w:rsidRPr="00027579">
              <w:t>£36.11</w:t>
            </w:r>
          </w:p>
        </w:tc>
        <w:tc>
          <w:tcPr>
            <w:tcW w:w="1174" w:type="dxa"/>
            <w:tcBorders>
              <w:top w:val="single" w:sz="4" w:space="0" w:color="auto"/>
              <w:left w:val="nil"/>
              <w:bottom w:val="single" w:sz="4" w:space="0" w:color="auto"/>
              <w:right w:val="single" w:sz="4" w:space="0" w:color="auto"/>
            </w:tcBorders>
            <w:shd w:val="clear" w:color="auto" w:fill="auto"/>
            <w:noWrap/>
            <w:vAlign w:val="center"/>
          </w:tcPr>
          <w:p w14:paraId="6AF68029" w14:textId="21BBDF47" w:rsidR="00D70517" w:rsidRPr="005F79D1" w:rsidRDefault="00D70517" w:rsidP="00D70517">
            <w:pPr>
              <w:jc w:val="center"/>
              <w:rPr>
                <w:rFonts w:cs="Arial"/>
                <w:lang w:eastAsia="en-GB"/>
              </w:rPr>
            </w:pPr>
            <w:r w:rsidRPr="00027579">
              <w:t>£27.34</w:t>
            </w:r>
          </w:p>
        </w:tc>
        <w:tc>
          <w:tcPr>
            <w:tcW w:w="1147" w:type="dxa"/>
            <w:tcBorders>
              <w:top w:val="single" w:sz="4" w:space="0" w:color="auto"/>
              <w:left w:val="nil"/>
              <w:bottom w:val="single" w:sz="4" w:space="0" w:color="auto"/>
              <w:right w:val="single" w:sz="4" w:space="0" w:color="auto"/>
            </w:tcBorders>
            <w:shd w:val="clear" w:color="auto" w:fill="auto"/>
            <w:noWrap/>
            <w:vAlign w:val="center"/>
          </w:tcPr>
          <w:p w14:paraId="0D9FA52D" w14:textId="3F716CA0" w:rsidR="00D70517" w:rsidRPr="005F79D1" w:rsidRDefault="00D70517" w:rsidP="00D70517">
            <w:pPr>
              <w:jc w:val="center"/>
              <w:rPr>
                <w:rFonts w:cs="Arial"/>
                <w:lang w:eastAsia="en-GB"/>
              </w:rPr>
            </w:pPr>
            <w:r w:rsidRPr="00027579">
              <w:t>£22.89</w:t>
            </w:r>
          </w:p>
        </w:tc>
        <w:tc>
          <w:tcPr>
            <w:tcW w:w="944" w:type="dxa"/>
            <w:tcBorders>
              <w:top w:val="single" w:sz="4" w:space="0" w:color="auto"/>
              <w:left w:val="nil"/>
              <w:bottom w:val="single" w:sz="4" w:space="0" w:color="auto"/>
              <w:right w:val="single" w:sz="4" w:space="0" w:color="auto"/>
            </w:tcBorders>
            <w:shd w:val="clear" w:color="auto" w:fill="auto"/>
            <w:noWrap/>
            <w:vAlign w:val="center"/>
          </w:tcPr>
          <w:p w14:paraId="409061A0" w14:textId="7D611B0D" w:rsidR="00D70517" w:rsidRPr="005F79D1" w:rsidRDefault="00D70517" w:rsidP="00D70517">
            <w:pPr>
              <w:jc w:val="center"/>
              <w:rPr>
                <w:rFonts w:cs="Arial"/>
                <w:lang w:eastAsia="en-GB"/>
              </w:rPr>
            </w:pPr>
            <w:r w:rsidRPr="00027579">
              <w:t>£18.58</w:t>
            </w:r>
          </w:p>
        </w:tc>
        <w:tc>
          <w:tcPr>
            <w:tcW w:w="951" w:type="dxa"/>
            <w:tcBorders>
              <w:top w:val="single" w:sz="4" w:space="0" w:color="auto"/>
              <w:left w:val="nil"/>
              <w:bottom w:val="single" w:sz="4" w:space="0" w:color="auto"/>
              <w:right w:val="single" w:sz="4" w:space="0" w:color="auto"/>
            </w:tcBorders>
            <w:shd w:val="clear" w:color="auto" w:fill="auto"/>
            <w:noWrap/>
            <w:vAlign w:val="center"/>
          </w:tcPr>
          <w:p w14:paraId="7DFE0C64" w14:textId="1157B544" w:rsidR="00D70517" w:rsidRPr="005F79D1" w:rsidRDefault="00D70517" w:rsidP="00D70517">
            <w:pPr>
              <w:jc w:val="center"/>
              <w:rPr>
                <w:rFonts w:cs="Arial"/>
                <w:lang w:eastAsia="en-GB"/>
              </w:rPr>
            </w:pPr>
            <w:r w:rsidRPr="00027579">
              <w:t>£14.39</w:t>
            </w:r>
          </w:p>
        </w:tc>
        <w:tc>
          <w:tcPr>
            <w:tcW w:w="1224" w:type="dxa"/>
            <w:tcBorders>
              <w:top w:val="single" w:sz="4" w:space="0" w:color="auto"/>
              <w:left w:val="nil"/>
              <w:bottom w:val="single" w:sz="4" w:space="0" w:color="auto"/>
              <w:right w:val="single" w:sz="4" w:space="0" w:color="auto"/>
            </w:tcBorders>
            <w:shd w:val="clear" w:color="auto" w:fill="auto"/>
            <w:noWrap/>
            <w:vAlign w:val="center"/>
          </w:tcPr>
          <w:p w14:paraId="162E4D4B" w14:textId="6CD1A8C6" w:rsidR="00D70517" w:rsidRPr="005F79D1" w:rsidRDefault="00D70517" w:rsidP="00D70517">
            <w:pPr>
              <w:jc w:val="center"/>
              <w:rPr>
                <w:rFonts w:cs="Arial"/>
                <w:lang w:eastAsia="en-GB"/>
              </w:rPr>
            </w:pPr>
            <w:r w:rsidRPr="00027579">
              <w:t>£54.01</w:t>
            </w:r>
          </w:p>
        </w:tc>
        <w:tc>
          <w:tcPr>
            <w:tcW w:w="1084" w:type="dxa"/>
            <w:tcBorders>
              <w:top w:val="single" w:sz="4" w:space="0" w:color="auto"/>
              <w:left w:val="nil"/>
              <w:bottom w:val="single" w:sz="4" w:space="0" w:color="auto"/>
              <w:right w:val="single" w:sz="4" w:space="0" w:color="auto"/>
            </w:tcBorders>
            <w:shd w:val="clear" w:color="auto" w:fill="auto"/>
            <w:noWrap/>
            <w:vAlign w:val="center"/>
          </w:tcPr>
          <w:p w14:paraId="1A630A8E" w14:textId="77777777" w:rsidR="007A5A9C" w:rsidRDefault="007A5A9C" w:rsidP="00D70517">
            <w:pPr>
              <w:jc w:val="right"/>
              <w:rPr>
                <w:rFonts w:cs="Arial"/>
                <w:lang w:eastAsia="en-GB"/>
              </w:rPr>
            </w:pPr>
          </w:p>
          <w:p w14:paraId="37FAE131" w14:textId="3A7AF703" w:rsidR="00D70517" w:rsidRPr="00D70517" w:rsidRDefault="00D70517" w:rsidP="00D70517">
            <w:pPr>
              <w:jc w:val="right"/>
              <w:rPr>
                <w:rFonts w:cs="Arial"/>
                <w:lang w:eastAsia="en-GB"/>
              </w:rPr>
            </w:pPr>
            <w:r w:rsidRPr="00D70517">
              <w:rPr>
                <w:rFonts w:cs="Arial"/>
                <w:lang w:eastAsia="en-GB"/>
              </w:rPr>
              <w:t>£217.13</w:t>
            </w:r>
          </w:p>
          <w:p w14:paraId="0FCD4BEE" w14:textId="1CE75186" w:rsidR="00D70517" w:rsidRPr="005F79D1" w:rsidRDefault="00D70517" w:rsidP="00D70517">
            <w:pPr>
              <w:jc w:val="right"/>
              <w:rPr>
                <w:rFonts w:cs="Arial"/>
                <w:lang w:eastAsia="en-GB"/>
              </w:rPr>
            </w:pPr>
          </w:p>
        </w:tc>
      </w:tr>
      <w:tr w:rsidR="00313CBA" w:rsidRPr="005F79D1" w14:paraId="7FEAA66A" w14:textId="77777777" w:rsidTr="007A5A9C">
        <w:trPr>
          <w:trHeight w:val="1004"/>
        </w:trPr>
        <w:tc>
          <w:tcPr>
            <w:tcW w:w="1444" w:type="dxa"/>
            <w:tcBorders>
              <w:top w:val="nil"/>
              <w:left w:val="single" w:sz="4" w:space="0" w:color="auto"/>
              <w:bottom w:val="single" w:sz="4" w:space="0" w:color="auto"/>
              <w:right w:val="single" w:sz="4" w:space="0" w:color="auto"/>
            </w:tcBorders>
            <w:shd w:val="clear" w:color="auto" w:fill="auto"/>
            <w:hideMark/>
          </w:tcPr>
          <w:p w14:paraId="17D76C96" w14:textId="09469070" w:rsidR="00313CBA" w:rsidRPr="005F79D1" w:rsidRDefault="00313CBA" w:rsidP="00313CBA">
            <w:pPr>
              <w:rPr>
                <w:rFonts w:cs="Arial"/>
                <w:lang w:eastAsia="en-GB"/>
              </w:rPr>
            </w:pPr>
            <w:r w:rsidRPr="005F79D1">
              <w:rPr>
                <w:rFonts w:cs="Arial"/>
                <w:lang w:eastAsia="en-GB"/>
              </w:rPr>
              <w:t xml:space="preserve">Hourly pay rates of </w:t>
            </w:r>
            <w:r>
              <w:rPr>
                <w:rFonts w:cs="Arial"/>
                <w:lang w:eastAsia="en-GB"/>
              </w:rPr>
              <w:t>w</w:t>
            </w:r>
            <w:r w:rsidRPr="005F79D1">
              <w:rPr>
                <w:rFonts w:cs="Arial"/>
                <w:lang w:eastAsia="en-GB"/>
              </w:rPr>
              <w:t xml:space="preserve">omen divided by number of </w:t>
            </w:r>
            <w:r>
              <w:rPr>
                <w:rFonts w:cs="Arial"/>
                <w:lang w:eastAsia="en-GB"/>
              </w:rPr>
              <w:t>w</w:t>
            </w:r>
            <w:r w:rsidRPr="005F79D1">
              <w:rPr>
                <w:rFonts w:cs="Arial"/>
                <w:lang w:eastAsia="en-GB"/>
              </w:rPr>
              <w:t>omen</w:t>
            </w:r>
            <w:r>
              <w:rPr>
                <w:rFonts w:cs="Arial"/>
                <w:lang w:eastAsia="en-GB"/>
              </w:rPr>
              <w:t xml:space="preserve"> (B)</w:t>
            </w:r>
          </w:p>
        </w:tc>
        <w:tc>
          <w:tcPr>
            <w:tcW w:w="1091" w:type="dxa"/>
            <w:tcBorders>
              <w:top w:val="nil"/>
              <w:left w:val="nil"/>
              <w:bottom w:val="single" w:sz="4" w:space="0" w:color="auto"/>
              <w:right w:val="single" w:sz="4" w:space="0" w:color="auto"/>
            </w:tcBorders>
            <w:shd w:val="clear" w:color="000000" w:fill="FFFFFF"/>
            <w:noWrap/>
            <w:vAlign w:val="center"/>
          </w:tcPr>
          <w:p w14:paraId="3E6D6E50" w14:textId="7F3A6C96" w:rsidR="00313CBA" w:rsidRPr="005F79D1" w:rsidRDefault="00313CBA" w:rsidP="00313CBA">
            <w:pPr>
              <w:jc w:val="center"/>
              <w:rPr>
                <w:rFonts w:cs="Arial"/>
                <w:lang w:eastAsia="en-GB"/>
              </w:rPr>
            </w:pPr>
            <w:r w:rsidRPr="00171039">
              <w:t>£44.97</w:t>
            </w:r>
          </w:p>
        </w:tc>
        <w:tc>
          <w:tcPr>
            <w:tcW w:w="951" w:type="dxa"/>
            <w:tcBorders>
              <w:top w:val="nil"/>
              <w:left w:val="nil"/>
              <w:bottom w:val="single" w:sz="4" w:space="0" w:color="auto"/>
              <w:right w:val="single" w:sz="4" w:space="0" w:color="auto"/>
            </w:tcBorders>
            <w:shd w:val="clear" w:color="auto" w:fill="auto"/>
            <w:noWrap/>
            <w:vAlign w:val="center"/>
          </w:tcPr>
          <w:p w14:paraId="072DD945" w14:textId="7F64B63E" w:rsidR="00313CBA" w:rsidRPr="005F79D1" w:rsidRDefault="00313CBA" w:rsidP="00313CBA">
            <w:pPr>
              <w:jc w:val="center"/>
              <w:rPr>
                <w:rFonts w:cs="Arial"/>
                <w:lang w:eastAsia="en-GB"/>
              </w:rPr>
            </w:pPr>
            <w:r w:rsidRPr="00171039">
              <w:t>£33.97</w:t>
            </w:r>
          </w:p>
        </w:tc>
        <w:tc>
          <w:tcPr>
            <w:tcW w:w="1174" w:type="dxa"/>
            <w:tcBorders>
              <w:top w:val="nil"/>
              <w:left w:val="nil"/>
              <w:bottom w:val="single" w:sz="4" w:space="0" w:color="auto"/>
              <w:right w:val="single" w:sz="4" w:space="0" w:color="auto"/>
            </w:tcBorders>
            <w:shd w:val="clear" w:color="auto" w:fill="auto"/>
            <w:noWrap/>
            <w:vAlign w:val="center"/>
          </w:tcPr>
          <w:p w14:paraId="04F4D641" w14:textId="55B05D30" w:rsidR="00313CBA" w:rsidRPr="005F79D1" w:rsidRDefault="00313CBA" w:rsidP="00313CBA">
            <w:pPr>
              <w:jc w:val="center"/>
              <w:rPr>
                <w:rFonts w:cs="Arial"/>
                <w:lang w:eastAsia="en-GB"/>
              </w:rPr>
            </w:pPr>
            <w:r w:rsidRPr="00171039">
              <w:t>£29.05</w:t>
            </w:r>
          </w:p>
        </w:tc>
        <w:tc>
          <w:tcPr>
            <w:tcW w:w="1147" w:type="dxa"/>
            <w:tcBorders>
              <w:top w:val="nil"/>
              <w:left w:val="nil"/>
              <w:bottom w:val="single" w:sz="4" w:space="0" w:color="auto"/>
              <w:right w:val="single" w:sz="4" w:space="0" w:color="auto"/>
            </w:tcBorders>
            <w:shd w:val="clear" w:color="auto" w:fill="auto"/>
            <w:noWrap/>
            <w:vAlign w:val="center"/>
          </w:tcPr>
          <w:p w14:paraId="3FCC3934" w14:textId="69F3CD3B" w:rsidR="00313CBA" w:rsidRPr="005F79D1" w:rsidRDefault="00313CBA" w:rsidP="00313CBA">
            <w:pPr>
              <w:jc w:val="center"/>
              <w:rPr>
                <w:rFonts w:cs="Arial"/>
                <w:lang w:eastAsia="en-GB"/>
              </w:rPr>
            </w:pPr>
            <w:r w:rsidRPr="00171039">
              <w:t>£22.14</w:t>
            </w:r>
          </w:p>
        </w:tc>
        <w:tc>
          <w:tcPr>
            <w:tcW w:w="944" w:type="dxa"/>
            <w:tcBorders>
              <w:top w:val="nil"/>
              <w:left w:val="nil"/>
              <w:bottom w:val="single" w:sz="4" w:space="0" w:color="auto"/>
              <w:right w:val="single" w:sz="4" w:space="0" w:color="auto"/>
            </w:tcBorders>
            <w:shd w:val="clear" w:color="auto" w:fill="auto"/>
            <w:noWrap/>
            <w:vAlign w:val="center"/>
          </w:tcPr>
          <w:p w14:paraId="18BB6592" w14:textId="4915459F" w:rsidR="00313CBA" w:rsidRPr="005F79D1" w:rsidRDefault="00313CBA" w:rsidP="00313CBA">
            <w:pPr>
              <w:jc w:val="center"/>
              <w:rPr>
                <w:rFonts w:cs="Arial"/>
                <w:lang w:eastAsia="en-GB"/>
              </w:rPr>
            </w:pPr>
            <w:r w:rsidRPr="00171039">
              <w:t>£19.33</w:t>
            </w:r>
          </w:p>
        </w:tc>
        <w:tc>
          <w:tcPr>
            <w:tcW w:w="951" w:type="dxa"/>
            <w:tcBorders>
              <w:top w:val="nil"/>
              <w:left w:val="nil"/>
              <w:bottom w:val="single" w:sz="4" w:space="0" w:color="auto"/>
              <w:right w:val="single" w:sz="4" w:space="0" w:color="auto"/>
            </w:tcBorders>
            <w:shd w:val="clear" w:color="auto" w:fill="auto"/>
            <w:noWrap/>
            <w:vAlign w:val="center"/>
          </w:tcPr>
          <w:p w14:paraId="6834582B" w14:textId="501CC1E6" w:rsidR="00313CBA" w:rsidRPr="005F79D1" w:rsidRDefault="00313CBA" w:rsidP="00313CBA">
            <w:pPr>
              <w:jc w:val="center"/>
              <w:rPr>
                <w:rFonts w:cs="Arial"/>
                <w:lang w:eastAsia="en-GB"/>
              </w:rPr>
            </w:pPr>
            <w:r w:rsidRPr="00171039">
              <w:t>£14.45</w:t>
            </w:r>
          </w:p>
        </w:tc>
        <w:tc>
          <w:tcPr>
            <w:tcW w:w="1224" w:type="dxa"/>
            <w:tcBorders>
              <w:top w:val="nil"/>
              <w:left w:val="nil"/>
              <w:bottom w:val="single" w:sz="4" w:space="0" w:color="auto"/>
              <w:right w:val="single" w:sz="4" w:space="0" w:color="auto"/>
            </w:tcBorders>
            <w:shd w:val="clear" w:color="auto" w:fill="auto"/>
            <w:noWrap/>
            <w:vAlign w:val="center"/>
          </w:tcPr>
          <w:p w14:paraId="3B276A6C" w14:textId="7A4765EC" w:rsidR="00313CBA" w:rsidRPr="005F79D1" w:rsidRDefault="00313CBA" w:rsidP="00313CBA">
            <w:pPr>
              <w:jc w:val="center"/>
              <w:rPr>
                <w:rFonts w:cs="Arial"/>
                <w:lang w:eastAsia="en-GB"/>
              </w:rPr>
            </w:pPr>
            <w:r w:rsidRPr="00171039">
              <w:t>£0.00</w:t>
            </w:r>
          </w:p>
        </w:tc>
        <w:tc>
          <w:tcPr>
            <w:tcW w:w="1084" w:type="dxa"/>
            <w:tcBorders>
              <w:top w:val="nil"/>
              <w:left w:val="nil"/>
              <w:bottom w:val="single" w:sz="4" w:space="0" w:color="auto"/>
              <w:right w:val="single" w:sz="4" w:space="0" w:color="auto"/>
            </w:tcBorders>
            <w:shd w:val="clear" w:color="auto" w:fill="auto"/>
            <w:noWrap/>
            <w:vAlign w:val="center"/>
          </w:tcPr>
          <w:p w14:paraId="4EA2F6EA" w14:textId="77777777" w:rsidR="007A5A9C" w:rsidRDefault="007A5A9C" w:rsidP="00313CBA">
            <w:pPr>
              <w:jc w:val="right"/>
              <w:rPr>
                <w:rFonts w:cs="Arial"/>
                <w:lang w:eastAsia="en-GB"/>
              </w:rPr>
            </w:pPr>
          </w:p>
          <w:p w14:paraId="78002AF8" w14:textId="6498A29B" w:rsidR="00313CBA" w:rsidRPr="00313CBA" w:rsidRDefault="00313CBA" w:rsidP="00313CBA">
            <w:pPr>
              <w:jc w:val="right"/>
              <w:rPr>
                <w:rFonts w:cs="Arial"/>
                <w:lang w:eastAsia="en-GB"/>
              </w:rPr>
            </w:pPr>
            <w:r w:rsidRPr="00313CBA">
              <w:rPr>
                <w:rFonts w:cs="Arial"/>
                <w:lang w:eastAsia="en-GB"/>
              </w:rPr>
              <w:t>£233.27</w:t>
            </w:r>
          </w:p>
          <w:p w14:paraId="6687B9AA" w14:textId="5E73CAFC" w:rsidR="00313CBA" w:rsidRPr="005F79D1" w:rsidRDefault="00313CBA" w:rsidP="00313CBA">
            <w:pPr>
              <w:jc w:val="right"/>
              <w:rPr>
                <w:rFonts w:cs="Arial"/>
                <w:lang w:eastAsia="en-GB"/>
              </w:rPr>
            </w:pPr>
          </w:p>
        </w:tc>
      </w:tr>
      <w:tr w:rsidR="00313CBA" w:rsidRPr="005F79D1" w14:paraId="504F4BCC" w14:textId="77777777" w:rsidTr="007A5A9C">
        <w:trPr>
          <w:trHeight w:val="234"/>
        </w:trPr>
        <w:tc>
          <w:tcPr>
            <w:tcW w:w="1444" w:type="dxa"/>
            <w:tcBorders>
              <w:top w:val="nil"/>
              <w:left w:val="single" w:sz="4" w:space="0" w:color="auto"/>
              <w:bottom w:val="single" w:sz="4" w:space="0" w:color="auto"/>
              <w:right w:val="single" w:sz="4" w:space="0" w:color="auto"/>
            </w:tcBorders>
            <w:shd w:val="clear" w:color="auto" w:fill="auto"/>
            <w:noWrap/>
            <w:vAlign w:val="bottom"/>
            <w:hideMark/>
          </w:tcPr>
          <w:p w14:paraId="67FF33C8" w14:textId="77777777" w:rsidR="00313CBA" w:rsidRPr="005F79D1" w:rsidRDefault="00313CBA" w:rsidP="00313CBA">
            <w:pPr>
              <w:rPr>
                <w:rFonts w:cs="Arial"/>
                <w:lang w:eastAsia="en-GB"/>
              </w:rPr>
            </w:pPr>
            <w:r w:rsidRPr="005F79D1">
              <w:rPr>
                <w:rFonts w:cs="Arial"/>
                <w:lang w:eastAsia="en-GB"/>
              </w:rPr>
              <w:t>Formula (A-B)/A x 100</w:t>
            </w:r>
          </w:p>
        </w:tc>
        <w:tc>
          <w:tcPr>
            <w:tcW w:w="1091" w:type="dxa"/>
            <w:tcBorders>
              <w:top w:val="nil"/>
              <w:left w:val="nil"/>
              <w:bottom w:val="single" w:sz="4" w:space="0" w:color="auto"/>
              <w:right w:val="single" w:sz="4" w:space="0" w:color="auto"/>
            </w:tcBorders>
            <w:shd w:val="clear" w:color="auto" w:fill="auto"/>
            <w:noWrap/>
            <w:vAlign w:val="center"/>
          </w:tcPr>
          <w:p w14:paraId="4472627D" w14:textId="4817424B" w:rsidR="00313CBA" w:rsidRPr="005F79D1" w:rsidRDefault="00313CBA" w:rsidP="00313CBA">
            <w:pPr>
              <w:jc w:val="center"/>
              <w:rPr>
                <w:rFonts w:cs="Arial"/>
                <w:b/>
                <w:bCs/>
                <w:lang w:eastAsia="en-GB"/>
              </w:rPr>
            </w:pPr>
            <w:r w:rsidRPr="00EC644C">
              <w:t>-2.6%</w:t>
            </w:r>
          </w:p>
        </w:tc>
        <w:tc>
          <w:tcPr>
            <w:tcW w:w="951" w:type="dxa"/>
            <w:tcBorders>
              <w:top w:val="nil"/>
              <w:left w:val="nil"/>
              <w:bottom w:val="single" w:sz="4" w:space="0" w:color="auto"/>
              <w:right w:val="single" w:sz="4" w:space="0" w:color="auto"/>
            </w:tcBorders>
            <w:shd w:val="clear" w:color="auto" w:fill="auto"/>
            <w:noWrap/>
            <w:vAlign w:val="center"/>
          </w:tcPr>
          <w:p w14:paraId="73391F49" w14:textId="3F571894" w:rsidR="00313CBA" w:rsidRPr="005F79D1" w:rsidRDefault="00313CBA" w:rsidP="00313CBA">
            <w:pPr>
              <w:jc w:val="center"/>
              <w:rPr>
                <w:rFonts w:cs="Arial"/>
                <w:b/>
                <w:bCs/>
                <w:lang w:eastAsia="en-GB"/>
              </w:rPr>
            </w:pPr>
            <w:r w:rsidRPr="00EC644C">
              <w:t>5.9%</w:t>
            </w:r>
          </w:p>
        </w:tc>
        <w:tc>
          <w:tcPr>
            <w:tcW w:w="1174" w:type="dxa"/>
            <w:tcBorders>
              <w:top w:val="nil"/>
              <w:left w:val="nil"/>
              <w:bottom w:val="single" w:sz="4" w:space="0" w:color="auto"/>
              <w:right w:val="single" w:sz="4" w:space="0" w:color="auto"/>
            </w:tcBorders>
            <w:shd w:val="clear" w:color="auto" w:fill="auto"/>
            <w:noWrap/>
            <w:vAlign w:val="center"/>
          </w:tcPr>
          <w:p w14:paraId="71723777" w14:textId="0B56BDBC" w:rsidR="00313CBA" w:rsidRPr="005F79D1" w:rsidRDefault="00313CBA" w:rsidP="00313CBA">
            <w:pPr>
              <w:jc w:val="center"/>
              <w:rPr>
                <w:rFonts w:cs="Arial"/>
                <w:b/>
                <w:bCs/>
                <w:lang w:eastAsia="en-GB"/>
              </w:rPr>
            </w:pPr>
            <w:r w:rsidRPr="00EC644C">
              <w:t>-6.3%</w:t>
            </w:r>
          </w:p>
        </w:tc>
        <w:tc>
          <w:tcPr>
            <w:tcW w:w="1147" w:type="dxa"/>
            <w:tcBorders>
              <w:top w:val="nil"/>
              <w:left w:val="nil"/>
              <w:bottom w:val="single" w:sz="4" w:space="0" w:color="auto"/>
              <w:right w:val="single" w:sz="4" w:space="0" w:color="auto"/>
            </w:tcBorders>
            <w:shd w:val="clear" w:color="auto" w:fill="auto"/>
            <w:noWrap/>
            <w:vAlign w:val="center"/>
          </w:tcPr>
          <w:p w14:paraId="45C6CB7D" w14:textId="19B99237" w:rsidR="00313CBA" w:rsidRPr="005F79D1" w:rsidRDefault="00313CBA" w:rsidP="00313CBA">
            <w:pPr>
              <w:jc w:val="center"/>
              <w:rPr>
                <w:rFonts w:cs="Arial"/>
                <w:b/>
                <w:bCs/>
                <w:lang w:eastAsia="en-GB"/>
              </w:rPr>
            </w:pPr>
            <w:r w:rsidRPr="00EC644C">
              <w:t>3.3%</w:t>
            </w:r>
          </w:p>
        </w:tc>
        <w:tc>
          <w:tcPr>
            <w:tcW w:w="944" w:type="dxa"/>
            <w:tcBorders>
              <w:top w:val="nil"/>
              <w:left w:val="nil"/>
              <w:bottom w:val="single" w:sz="4" w:space="0" w:color="auto"/>
              <w:right w:val="single" w:sz="4" w:space="0" w:color="auto"/>
            </w:tcBorders>
            <w:shd w:val="clear" w:color="auto" w:fill="auto"/>
            <w:noWrap/>
            <w:vAlign w:val="center"/>
          </w:tcPr>
          <w:p w14:paraId="76794C9A" w14:textId="7F2B154E" w:rsidR="00313CBA" w:rsidRPr="005F79D1" w:rsidRDefault="00313CBA" w:rsidP="00313CBA">
            <w:pPr>
              <w:jc w:val="center"/>
              <w:rPr>
                <w:rFonts w:cs="Arial"/>
                <w:b/>
                <w:bCs/>
                <w:lang w:eastAsia="en-GB"/>
              </w:rPr>
            </w:pPr>
            <w:r w:rsidRPr="00EC644C">
              <w:t>-4.1%</w:t>
            </w:r>
          </w:p>
        </w:tc>
        <w:tc>
          <w:tcPr>
            <w:tcW w:w="951" w:type="dxa"/>
            <w:tcBorders>
              <w:top w:val="nil"/>
              <w:left w:val="nil"/>
              <w:bottom w:val="single" w:sz="4" w:space="0" w:color="auto"/>
              <w:right w:val="single" w:sz="4" w:space="0" w:color="auto"/>
            </w:tcBorders>
            <w:shd w:val="clear" w:color="auto" w:fill="auto"/>
            <w:noWrap/>
            <w:vAlign w:val="center"/>
          </w:tcPr>
          <w:p w14:paraId="267CBA1D" w14:textId="32DD3C8F" w:rsidR="00313CBA" w:rsidRPr="005F79D1" w:rsidRDefault="00313CBA" w:rsidP="00313CBA">
            <w:pPr>
              <w:jc w:val="center"/>
              <w:rPr>
                <w:rFonts w:cs="Arial"/>
                <w:b/>
                <w:bCs/>
                <w:lang w:eastAsia="en-GB"/>
              </w:rPr>
            </w:pPr>
            <w:r w:rsidRPr="00EC644C">
              <w:t>-0.5%</w:t>
            </w:r>
          </w:p>
        </w:tc>
        <w:tc>
          <w:tcPr>
            <w:tcW w:w="1224" w:type="dxa"/>
            <w:tcBorders>
              <w:top w:val="nil"/>
              <w:left w:val="nil"/>
              <w:bottom w:val="single" w:sz="4" w:space="0" w:color="auto"/>
              <w:right w:val="single" w:sz="4" w:space="0" w:color="auto"/>
            </w:tcBorders>
            <w:shd w:val="clear" w:color="auto" w:fill="auto"/>
            <w:noWrap/>
            <w:vAlign w:val="center"/>
          </w:tcPr>
          <w:p w14:paraId="19FCC247" w14:textId="6C691117" w:rsidR="00313CBA" w:rsidRPr="005F79D1" w:rsidRDefault="00313CBA" w:rsidP="00313CBA">
            <w:pPr>
              <w:jc w:val="center"/>
              <w:rPr>
                <w:rFonts w:cs="Arial"/>
                <w:b/>
                <w:bCs/>
                <w:lang w:eastAsia="en-GB"/>
              </w:rPr>
            </w:pPr>
            <w:r w:rsidRPr="00EC644C">
              <w:t>100.0%</w:t>
            </w:r>
          </w:p>
        </w:tc>
        <w:tc>
          <w:tcPr>
            <w:tcW w:w="1084" w:type="dxa"/>
            <w:tcBorders>
              <w:top w:val="nil"/>
              <w:left w:val="nil"/>
              <w:bottom w:val="single" w:sz="4" w:space="0" w:color="auto"/>
              <w:right w:val="single" w:sz="4" w:space="0" w:color="auto"/>
            </w:tcBorders>
            <w:shd w:val="clear" w:color="auto" w:fill="auto"/>
            <w:noWrap/>
            <w:vAlign w:val="center"/>
          </w:tcPr>
          <w:p w14:paraId="301BFBEB" w14:textId="77777777" w:rsidR="007A5A9C" w:rsidRDefault="007A5A9C" w:rsidP="00050015">
            <w:pPr>
              <w:jc w:val="center"/>
              <w:rPr>
                <w:rFonts w:cs="Arial"/>
                <w:b/>
                <w:bCs/>
                <w:lang w:eastAsia="en-GB"/>
              </w:rPr>
            </w:pPr>
          </w:p>
          <w:p w14:paraId="306C64E6" w14:textId="5CE74A58" w:rsidR="00050015" w:rsidRPr="00050015" w:rsidRDefault="00050015" w:rsidP="00050015">
            <w:pPr>
              <w:jc w:val="center"/>
              <w:rPr>
                <w:rFonts w:cs="Arial"/>
                <w:b/>
                <w:bCs/>
                <w:lang w:eastAsia="en-GB"/>
              </w:rPr>
            </w:pPr>
            <w:r w:rsidRPr="00050015">
              <w:rPr>
                <w:rFonts w:cs="Arial"/>
                <w:b/>
                <w:bCs/>
                <w:lang w:eastAsia="en-GB"/>
              </w:rPr>
              <w:t>-7.4%</w:t>
            </w:r>
          </w:p>
          <w:p w14:paraId="2E320750" w14:textId="51BEA44D" w:rsidR="00313CBA" w:rsidRPr="005F79D1" w:rsidRDefault="00313CBA" w:rsidP="00313CBA">
            <w:pPr>
              <w:jc w:val="center"/>
              <w:rPr>
                <w:rFonts w:cs="Arial"/>
                <w:b/>
                <w:bCs/>
                <w:lang w:eastAsia="en-GB"/>
              </w:rPr>
            </w:pPr>
          </w:p>
        </w:tc>
      </w:tr>
    </w:tbl>
    <w:p w14:paraId="47488376" w14:textId="77777777" w:rsidR="00634718" w:rsidRDefault="00634718" w:rsidP="00524683">
      <w:pPr>
        <w:shd w:val="clear" w:color="auto" w:fill="FFFFFF"/>
        <w:spacing w:after="240"/>
        <w:textAlignment w:val="baseline"/>
        <w:rPr>
          <w:rFonts w:cs="Arial"/>
          <w:lang w:eastAsia="en-GB"/>
        </w:rPr>
      </w:pPr>
    </w:p>
    <w:p w14:paraId="5357F8DB" w14:textId="77777777" w:rsidR="00634718" w:rsidRDefault="00634718" w:rsidP="00634718">
      <w:pPr>
        <w:rPr>
          <w:rFonts w:cs="Arial"/>
          <w:b/>
        </w:rPr>
      </w:pPr>
    </w:p>
    <w:p w14:paraId="3B0993D0" w14:textId="77777777" w:rsidR="00227F7B" w:rsidRDefault="00227F7B" w:rsidP="00634718">
      <w:pPr>
        <w:rPr>
          <w:rFonts w:cs="Arial"/>
          <w:b/>
        </w:rPr>
      </w:pPr>
    </w:p>
    <w:p w14:paraId="1CC5A0DD" w14:textId="77777777" w:rsidR="00B609F9" w:rsidRDefault="00B609F9" w:rsidP="00634718">
      <w:pPr>
        <w:rPr>
          <w:rFonts w:cs="Arial"/>
          <w:b/>
        </w:rPr>
      </w:pPr>
    </w:p>
    <w:p w14:paraId="267E733F" w14:textId="77777777" w:rsidR="00B609F9" w:rsidRDefault="00B609F9" w:rsidP="00634718">
      <w:pPr>
        <w:rPr>
          <w:rFonts w:cs="Arial"/>
          <w:b/>
        </w:rPr>
      </w:pPr>
    </w:p>
    <w:p w14:paraId="1F39A31A" w14:textId="77777777" w:rsidR="00B609F9" w:rsidRDefault="00B609F9" w:rsidP="00634718">
      <w:pPr>
        <w:rPr>
          <w:rFonts w:cs="Arial"/>
          <w:b/>
        </w:rPr>
      </w:pPr>
    </w:p>
    <w:p w14:paraId="18D79A72" w14:textId="77777777" w:rsidR="00B609F9" w:rsidRDefault="00B609F9" w:rsidP="00634718">
      <w:pPr>
        <w:rPr>
          <w:rFonts w:cs="Arial"/>
          <w:b/>
        </w:rPr>
      </w:pPr>
    </w:p>
    <w:p w14:paraId="04E08704" w14:textId="5078AD19" w:rsidR="00F133B2" w:rsidRPr="0028572A" w:rsidRDefault="00F133B2" w:rsidP="00634718">
      <w:pPr>
        <w:rPr>
          <w:rFonts w:cs="Arial"/>
          <w:b/>
          <w:sz w:val="28"/>
          <w:szCs w:val="28"/>
        </w:rPr>
      </w:pPr>
      <w:r w:rsidRPr="0028572A">
        <w:rPr>
          <w:rFonts w:cs="Arial"/>
          <w:b/>
          <w:sz w:val="28"/>
          <w:szCs w:val="28"/>
        </w:rPr>
        <w:t xml:space="preserve">Targeted Action to reduce </w:t>
      </w:r>
      <w:r w:rsidR="0028572A" w:rsidRPr="0028572A">
        <w:rPr>
          <w:rFonts w:cs="Arial"/>
          <w:b/>
          <w:sz w:val="28"/>
          <w:szCs w:val="28"/>
        </w:rPr>
        <w:t xml:space="preserve">and close </w:t>
      </w:r>
      <w:r w:rsidRPr="0028572A">
        <w:rPr>
          <w:rFonts w:cs="Arial"/>
          <w:b/>
          <w:sz w:val="28"/>
          <w:szCs w:val="28"/>
        </w:rPr>
        <w:t>the</w:t>
      </w:r>
      <w:r w:rsidR="0028572A" w:rsidRPr="0028572A">
        <w:rPr>
          <w:rFonts w:cs="Arial"/>
          <w:b/>
          <w:sz w:val="28"/>
          <w:szCs w:val="28"/>
        </w:rPr>
        <w:t xml:space="preserve"> Gender Pay Gap</w:t>
      </w:r>
      <w:r w:rsidRPr="0028572A">
        <w:rPr>
          <w:rFonts w:cs="Arial"/>
          <w:b/>
          <w:sz w:val="28"/>
          <w:szCs w:val="28"/>
        </w:rPr>
        <w:t xml:space="preserve"> </w:t>
      </w:r>
    </w:p>
    <w:p w14:paraId="6E37060A" w14:textId="77777777" w:rsidR="0028572A" w:rsidRDefault="0028572A" w:rsidP="00634718">
      <w:pPr>
        <w:rPr>
          <w:rFonts w:cs="Arial"/>
          <w:b/>
        </w:rPr>
      </w:pPr>
    </w:p>
    <w:p w14:paraId="46167D9F" w14:textId="40B4ABFE" w:rsidR="00634718" w:rsidRPr="008519A2" w:rsidRDefault="00634718" w:rsidP="00634718">
      <w:pPr>
        <w:rPr>
          <w:rFonts w:cs="Arial"/>
          <w:b/>
        </w:rPr>
      </w:pPr>
      <w:r w:rsidRPr="008519A2">
        <w:rPr>
          <w:rFonts w:cs="Arial"/>
          <w:b/>
        </w:rPr>
        <w:t>What else do we need to do?</w:t>
      </w:r>
    </w:p>
    <w:p w14:paraId="25F5FA04" w14:textId="77777777" w:rsidR="00634718" w:rsidRDefault="00634718" w:rsidP="00524683">
      <w:pPr>
        <w:shd w:val="clear" w:color="auto" w:fill="FFFFFF"/>
        <w:spacing w:after="240"/>
        <w:textAlignment w:val="baseline"/>
        <w:rPr>
          <w:rFonts w:cs="Arial"/>
          <w:lang w:eastAsia="en-GB"/>
        </w:rPr>
      </w:pPr>
    </w:p>
    <w:p w14:paraId="5212AB48" w14:textId="6C3B5144" w:rsidR="002E3EF7" w:rsidRPr="007E1739" w:rsidRDefault="002E3EF7" w:rsidP="00524683">
      <w:pPr>
        <w:shd w:val="clear" w:color="auto" w:fill="FFFFFF"/>
        <w:spacing w:after="240"/>
        <w:textAlignment w:val="baseline"/>
        <w:rPr>
          <w:rFonts w:cs="Arial"/>
          <w:lang w:eastAsia="en-GB"/>
        </w:rPr>
      </w:pPr>
      <w:r>
        <w:rPr>
          <w:rFonts w:cs="Arial"/>
          <w:lang w:eastAsia="en-GB"/>
        </w:rPr>
        <w:t xml:space="preserve">We are not complacent when it comes to reducing the pay gap </w:t>
      </w:r>
      <w:r w:rsidR="00F012B5">
        <w:rPr>
          <w:rFonts w:cs="Arial"/>
          <w:lang w:eastAsia="en-GB"/>
        </w:rPr>
        <w:t xml:space="preserve">and as the analysis indicates </w:t>
      </w:r>
      <w:r w:rsidR="00E94C47" w:rsidRPr="007E1739">
        <w:rPr>
          <w:rFonts w:cs="Arial"/>
          <w:lang w:eastAsia="en-GB"/>
        </w:rPr>
        <w:t xml:space="preserve">many of the factors are historical and our strategy </w:t>
      </w:r>
      <w:r w:rsidR="00302526">
        <w:rPr>
          <w:rFonts w:cs="Arial"/>
          <w:lang w:eastAsia="en-GB"/>
        </w:rPr>
        <w:t xml:space="preserve">is to adjust the structural </w:t>
      </w:r>
      <w:r w:rsidR="0027612D">
        <w:rPr>
          <w:rFonts w:cs="Arial"/>
          <w:lang w:eastAsia="en-GB"/>
        </w:rPr>
        <w:t>balance, not just at ONR</w:t>
      </w:r>
      <w:r w:rsidR="006A5D70">
        <w:rPr>
          <w:rFonts w:cs="Arial"/>
          <w:lang w:eastAsia="en-GB"/>
        </w:rPr>
        <w:t xml:space="preserve">, </w:t>
      </w:r>
      <w:r w:rsidR="00A4121B">
        <w:rPr>
          <w:rFonts w:cs="Arial"/>
          <w:lang w:eastAsia="en-GB"/>
        </w:rPr>
        <w:t xml:space="preserve">but </w:t>
      </w:r>
      <w:r w:rsidR="009514A7">
        <w:rPr>
          <w:rFonts w:cs="Arial"/>
          <w:lang w:eastAsia="en-GB"/>
        </w:rPr>
        <w:t>that of the wider nuclear industry</w:t>
      </w:r>
      <w:r w:rsidR="00B138EB">
        <w:rPr>
          <w:rFonts w:cs="Arial"/>
          <w:lang w:eastAsia="en-GB"/>
        </w:rPr>
        <w:t xml:space="preserve"> </w:t>
      </w:r>
      <w:r w:rsidR="00624D12">
        <w:rPr>
          <w:rFonts w:cs="Arial"/>
          <w:lang w:eastAsia="en-GB"/>
        </w:rPr>
        <w:t>(</w:t>
      </w:r>
      <w:r w:rsidR="00E94C47" w:rsidRPr="007E1739">
        <w:rPr>
          <w:rFonts w:cs="Arial"/>
          <w:lang w:eastAsia="en-GB"/>
        </w:rPr>
        <w:t xml:space="preserve">from which ONR necessarily draws most of its </w:t>
      </w:r>
      <w:r w:rsidR="00027E09">
        <w:rPr>
          <w:rFonts w:cs="Arial"/>
          <w:lang w:eastAsia="en-GB"/>
        </w:rPr>
        <w:t xml:space="preserve">technical </w:t>
      </w:r>
      <w:r w:rsidR="00E94C47" w:rsidRPr="007E1739">
        <w:rPr>
          <w:rFonts w:cs="Arial"/>
          <w:lang w:eastAsia="en-GB"/>
        </w:rPr>
        <w:t>resource)</w:t>
      </w:r>
      <w:r w:rsidR="00624D12">
        <w:rPr>
          <w:rFonts w:cs="Arial"/>
          <w:lang w:eastAsia="en-GB"/>
        </w:rPr>
        <w:t xml:space="preserve">. We appreciate </w:t>
      </w:r>
      <w:r w:rsidR="00B77BB7">
        <w:rPr>
          <w:rFonts w:cs="Arial"/>
          <w:lang w:eastAsia="en-GB"/>
        </w:rPr>
        <w:t xml:space="preserve">that it is a </w:t>
      </w:r>
      <w:r w:rsidR="009B0545">
        <w:rPr>
          <w:rFonts w:cs="Arial"/>
          <w:lang w:eastAsia="en-GB"/>
        </w:rPr>
        <w:t>long-term</w:t>
      </w:r>
      <w:r w:rsidR="00B77BB7">
        <w:rPr>
          <w:rFonts w:cs="Arial"/>
          <w:lang w:eastAsia="en-GB"/>
        </w:rPr>
        <w:t xml:space="preserve"> task</w:t>
      </w:r>
      <w:r w:rsidR="00D13FB6">
        <w:rPr>
          <w:rFonts w:cs="Arial"/>
          <w:lang w:eastAsia="en-GB"/>
        </w:rPr>
        <w:t xml:space="preserve">, potentially </w:t>
      </w:r>
      <w:r w:rsidR="007F120C">
        <w:rPr>
          <w:rFonts w:cs="Arial"/>
          <w:lang w:eastAsia="en-GB"/>
        </w:rPr>
        <w:t>five to ten years</w:t>
      </w:r>
      <w:r w:rsidR="00D13FB6">
        <w:rPr>
          <w:rFonts w:cs="Arial"/>
          <w:lang w:eastAsia="en-GB"/>
        </w:rPr>
        <w:t xml:space="preserve"> or more</w:t>
      </w:r>
      <w:r w:rsidR="00E67A9E">
        <w:rPr>
          <w:rFonts w:cs="Arial"/>
          <w:lang w:eastAsia="en-GB"/>
        </w:rPr>
        <w:t xml:space="preserve">. </w:t>
      </w:r>
      <w:r w:rsidR="00E94C47" w:rsidRPr="007E1739">
        <w:rPr>
          <w:rFonts w:cs="Arial"/>
          <w:lang w:eastAsia="en-GB"/>
        </w:rPr>
        <w:t xml:space="preserve">There remains much to do </w:t>
      </w:r>
      <w:r>
        <w:t>to both employ more women and advance them to higher paid role</w:t>
      </w:r>
      <w:r w:rsidR="00524683">
        <w:t>s.</w:t>
      </w:r>
    </w:p>
    <w:p w14:paraId="00263156" w14:textId="582BEBA4" w:rsidR="00670278" w:rsidRDefault="00B04C4B" w:rsidP="00B04C4B">
      <w:pPr>
        <w:shd w:val="clear" w:color="auto" w:fill="FFFFFF"/>
        <w:spacing w:after="240"/>
        <w:textAlignment w:val="baseline"/>
        <w:rPr>
          <w:rFonts w:cs="Arial"/>
          <w:lang w:eastAsia="en-GB"/>
        </w:rPr>
      </w:pPr>
      <w:r w:rsidRPr="007E1739">
        <w:rPr>
          <w:rFonts w:cs="Arial"/>
          <w:lang w:eastAsia="en-GB"/>
        </w:rPr>
        <w:t xml:space="preserve">While we have made good progress on gender equality over the past few years, we have sought to drive forward further change. To provide everyone with equal access to opportunities, and support everyone to fulfil their potential, we have supported the launch of a new </w:t>
      </w:r>
      <w:r w:rsidR="008751F1" w:rsidRPr="007E1739">
        <w:rPr>
          <w:rFonts w:cs="Arial"/>
          <w:lang w:eastAsia="en-GB"/>
        </w:rPr>
        <w:t>colleague</w:t>
      </w:r>
      <w:r w:rsidRPr="007E1739">
        <w:rPr>
          <w:rFonts w:cs="Arial"/>
          <w:lang w:eastAsia="en-GB"/>
        </w:rPr>
        <w:t xml:space="preserve">-led network to promote gender equality in ONR. The </w:t>
      </w:r>
      <w:r w:rsidR="00867564">
        <w:rPr>
          <w:rFonts w:cs="Arial"/>
          <w:lang w:eastAsia="en-GB"/>
        </w:rPr>
        <w:t>G</w:t>
      </w:r>
      <w:r w:rsidRPr="007E1739">
        <w:rPr>
          <w:rFonts w:cs="Arial"/>
          <w:lang w:eastAsia="en-GB"/>
        </w:rPr>
        <w:t xml:space="preserve">ender </w:t>
      </w:r>
      <w:r w:rsidR="00867564">
        <w:rPr>
          <w:rFonts w:cs="Arial"/>
          <w:lang w:eastAsia="en-GB"/>
        </w:rPr>
        <w:t>E</w:t>
      </w:r>
      <w:r w:rsidRPr="007E1739">
        <w:rPr>
          <w:rFonts w:cs="Arial"/>
          <w:lang w:eastAsia="en-GB"/>
        </w:rPr>
        <w:t xml:space="preserve">quality </w:t>
      </w:r>
      <w:r w:rsidR="00982FCD">
        <w:rPr>
          <w:rFonts w:cs="Arial"/>
          <w:lang w:eastAsia="en-GB"/>
        </w:rPr>
        <w:t>N</w:t>
      </w:r>
      <w:r w:rsidRPr="007E1739">
        <w:rPr>
          <w:rFonts w:cs="Arial"/>
          <w:lang w:eastAsia="en-GB"/>
        </w:rPr>
        <w:t>etwork is a member-led, independent network</w:t>
      </w:r>
      <w:r w:rsidR="00D676D9">
        <w:rPr>
          <w:rFonts w:cs="Arial"/>
          <w:lang w:eastAsia="en-GB"/>
        </w:rPr>
        <w:t xml:space="preserve"> </w:t>
      </w:r>
      <w:r w:rsidR="00C9719C">
        <w:rPr>
          <w:rFonts w:cs="Arial"/>
          <w:lang w:eastAsia="en-GB"/>
        </w:rPr>
        <w:t xml:space="preserve">that </w:t>
      </w:r>
      <w:r w:rsidRPr="007E1739">
        <w:rPr>
          <w:rFonts w:cs="Arial"/>
          <w:lang w:eastAsia="en-GB"/>
        </w:rPr>
        <w:t xml:space="preserve">informs, supports, </w:t>
      </w:r>
      <w:r w:rsidR="00DD5659" w:rsidRPr="007E1739">
        <w:rPr>
          <w:rFonts w:cs="Arial"/>
          <w:lang w:eastAsia="en-GB"/>
        </w:rPr>
        <w:t>challenges,</w:t>
      </w:r>
      <w:r w:rsidRPr="007E1739">
        <w:rPr>
          <w:rFonts w:cs="Arial"/>
          <w:lang w:eastAsia="en-GB"/>
        </w:rPr>
        <w:t xml:space="preserve"> and works alongside the Diversity and Inclusion Group and Trade Unions. It has been established to support </w:t>
      </w:r>
      <w:r w:rsidR="00B87C84" w:rsidRPr="007E1739">
        <w:rPr>
          <w:rFonts w:cs="Arial"/>
          <w:lang w:eastAsia="en-GB"/>
        </w:rPr>
        <w:t>colleagues</w:t>
      </w:r>
      <w:r w:rsidRPr="007E1739">
        <w:rPr>
          <w:rFonts w:cs="Arial"/>
          <w:lang w:eastAsia="en-GB"/>
        </w:rPr>
        <w:t xml:space="preserve"> as a place where everyone can come together to be a champion and ally for gender equality.</w:t>
      </w:r>
    </w:p>
    <w:p w14:paraId="77EC8D08" w14:textId="44B1EBBE" w:rsidR="00D774E3" w:rsidRDefault="00A032BE" w:rsidP="00D774E3">
      <w:pPr>
        <w:shd w:val="clear" w:color="auto" w:fill="FFFFFF"/>
        <w:spacing w:before="300" w:after="300"/>
        <w:rPr>
          <w:rFonts w:cs="Arial"/>
          <w:color w:val="0B0C0C"/>
          <w:lang w:eastAsia="en-GB"/>
        </w:rPr>
      </w:pPr>
      <w:r>
        <w:rPr>
          <w:rFonts w:cs="Arial"/>
        </w:rPr>
        <w:t>W</w:t>
      </w:r>
      <w:r w:rsidRPr="001F087B">
        <w:rPr>
          <w:rFonts w:cs="Arial"/>
        </w:rPr>
        <w:t>e want everyone in ONR to feel they belong and</w:t>
      </w:r>
      <w:r>
        <w:rPr>
          <w:rFonts w:cs="Arial"/>
        </w:rPr>
        <w:t xml:space="preserve"> aim to do this by</w:t>
      </w:r>
      <w:r w:rsidRPr="001F087B">
        <w:rPr>
          <w:rFonts w:cs="Arial"/>
        </w:rPr>
        <w:t xml:space="preserve"> develop</w:t>
      </w:r>
      <w:r>
        <w:rPr>
          <w:rFonts w:cs="Arial"/>
        </w:rPr>
        <w:t>ing</w:t>
      </w:r>
      <w:r w:rsidRPr="001F087B">
        <w:rPr>
          <w:rFonts w:cs="Arial"/>
        </w:rPr>
        <w:t xml:space="preserve"> a truly inclusive culture, making our colleagues feel valued, </w:t>
      </w:r>
      <w:r w:rsidR="00DD5659" w:rsidRPr="001F087B">
        <w:rPr>
          <w:rFonts w:cs="Arial"/>
        </w:rPr>
        <w:t>respected,</w:t>
      </w:r>
      <w:r w:rsidRPr="001F087B">
        <w:rPr>
          <w:rFonts w:cs="Arial"/>
        </w:rPr>
        <w:t xml:space="preserve"> and supported through shared knowledge and understanding. </w:t>
      </w:r>
      <w:r w:rsidR="00FC0AA1">
        <w:t xml:space="preserve">We promote a diverse, inclusive work environment where employees are valued for their differences, able to bring their whole self to work and are empowered to succeed. </w:t>
      </w:r>
      <w:r w:rsidR="005C7F6B">
        <w:rPr>
          <w:rFonts w:cs="Arial"/>
          <w:color w:val="0B0C0C"/>
          <w:lang w:eastAsia="en-GB"/>
        </w:rPr>
        <w:t>We</w:t>
      </w:r>
      <w:r w:rsidR="00745B78" w:rsidRPr="00745B78">
        <w:rPr>
          <w:rFonts w:cs="Arial"/>
          <w:color w:val="0B0C0C"/>
          <w:lang w:eastAsia="en-GB"/>
        </w:rPr>
        <w:t xml:space="preserve"> are committed to </w:t>
      </w:r>
      <w:r w:rsidR="00590AD5">
        <w:rPr>
          <w:rFonts w:cs="Arial"/>
          <w:color w:val="0B0C0C"/>
          <w:lang w:eastAsia="en-GB"/>
        </w:rPr>
        <w:t xml:space="preserve">living our values, </w:t>
      </w:r>
      <w:r w:rsidR="00C37924">
        <w:rPr>
          <w:rFonts w:cs="Arial"/>
          <w:color w:val="0B0C0C"/>
          <w:lang w:eastAsia="en-GB"/>
        </w:rPr>
        <w:t xml:space="preserve">including being </w:t>
      </w:r>
      <w:r w:rsidR="00B92F88">
        <w:rPr>
          <w:rFonts w:cs="Arial"/>
          <w:color w:val="0B0C0C"/>
          <w:lang w:eastAsia="en-GB"/>
        </w:rPr>
        <w:t>‘supportive’ and e</w:t>
      </w:r>
      <w:r w:rsidR="00745B78" w:rsidRPr="00745B78">
        <w:rPr>
          <w:rFonts w:cs="Arial"/>
          <w:color w:val="0B0C0C"/>
          <w:lang w:eastAsia="en-GB"/>
        </w:rPr>
        <w:t xml:space="preserve">nsuring our workplaces are safe, accessible and promote health and wellbeing, so everyone feels respected, </w:t>
      </w:r>
      <w:r w:rsidR="00DD5659" w:rsidRPr="00745B78">
        <w:rPr>
          <w:rFonts w:cs="Arial"/>
          <w:color w:val="0B0C0C"/>
          <w:lang w:eastAsia="en-GB"/>
        </w:rPr>
        <w:t>included,</w:t>
      </w:r>
      <w:r w:rsidR="00745B78" w:rsidRPr="00745B78">
        <w:rPr>
          <w:rFonts w:cs="Arial"/>
          <w:color w:val="0B0C0C"/>
          <w:lang w:eastAsia="en-GB"/>
        </w:rPr>
        <w:t xml:space="preserve"> and able to perform at their best.</w:t>
      </w:r>
      <w:r w:rsidR="00BB4519">
        <w:rPr>
          <w:rFonts w:cs="Arial"/>
          <w:color w:val="0B0C0C"/>
          <w:lang w:eastAsia="en-GB"/>
        </w:rPr>
        <w:t xml:space="preserve"> </w:t>
      </w:r>
    </w:p>
    <w:p w14:paraId="46C44BCB" w14:textId="21A4E71E" w:rsidR="003447E9" w:rsidRDefault="00634718" w:rsidP="00FA21DD">
      <w:pPr>
        <w:rPr>
          <w:rFonts w:cs="Arial"/>
        </w:rPr>
      </w:pPr>
      <w:r>
        <w:rPr>
          <w:rFonts w:cs="Arial"/>
          <w:color w:val="000000" w:themeColor="text1"/>
        </w:rPr>
        <w:t>A</w:t>
      </w:r>
      <w:r w:rsidR="00FA21DD" w:rsidRPr="007E72F5">
        <w:rPr>
          <w:rFonts w:cs="Arial"/>
          <w:color w:val="000000" w:themeColor="text1"/>
        </w:rPr>
        <w:t xml:space="preserve"> diverse workforce that is more representative of society</w:t>
      </w:r>
      <w:r w:rsidR="00FA21DD">
        <w:rPr>
          <w:rFonts w:cs="Arial"/>
          <w:color w:val="000000" w:themeColor="text1"/>
        </w:rPr>
        <w:t>,</w:t>
      </w:r>
      <w:r w:rsidR="00FA21DD" w:rsidRPr="007E72F5">
        <w:rPr>
          <w:rFonts w:cs="Arial"/>
          <w:color w:val="000000" w:themeColor="text1"/>
        </w:rPr>
        <w:t xml:space="preserve"> on behalf of which we hold the </w:t>
      </w:r>
      <w:r w:rsidR="00FA21DD">
        <w:rPr>
          <w:rFonts w:cs="Arial"/>
          <w:color w:val="000000" w:themeColor="text1"/>
        </w:rPr>
        <w:t xml:space="preserve">nuclear </w:t>
      </w:r>
      <w:r w:rsidR="00FA21DD" w:rsidRPr="007E72F5">
        <w:rPr>
          <w:rFonts w:cs="Arial"/>
          <w:color w:val="000000" w:themeColor="text1"/>
        </w:rPr>
        <w:t xml:space="preserve">industry to account, is key to achieving our strategic aims and being a world class regulator. </w:t>
      </w:r>
      <w:r w:rsidR="00E94C47" w:rsidRPr="00E94C47">
        <w:rPr>
          <w:rFonts w:cs="Arial"/>
        </w:rPr>
        <w:t xml:space="preserve">We are confident that </w:t>
      </w:r>
      <w:r w:rsidR="008D4D34">
        <w:rPr>
          <w:rFonts w:cs="Arial"/>
        </w:rPr>
        <w:t xml:space="preserve">we have put </w:t>
      </w:r>
      <w:r w:rsidR="00E94C47" w:rsidRPr="00E94C47">
        <w:rPr>
          <w:rFonts w:cs="Arial"/>
        </w:rPr>
        <w:t xml:space="preserve">steps in place </w:t>
      </w:r>
      <w:r w:rsidR="005D2A04">
        <w:rPr>
          <w:rFonts w:cs="Arial"/>
        </w:rPr>
        <w:t>to continue</w:t>
      </w:r>
      <w:r w:rsidR="00D676D9">
        <w:rPr>
          <w:rFonts w:cs="Arial"/>
        </w:rPr>
        <w:t xml:space="preserve"> </w:t>
      </w:r>
      <w:r w:rsidR="00E94C47" w:rsidRPr="00E94C47">
        <w:rPr>
          <w:rFonts w:cs="Arial"/>
        </w:rPr>
        <w:t xml:space="preserve">the longer-term positive trajectory </w:t>
      </w:r>
      <w:r w:rsidR="005D2A04">
        <w:rPr>
          <w:rFonts w:cs="Arial"/>
        </w:rPr>
        <w:t xml:space="preserve">showing the impact of our </w:t>
      </w:r>
      <w:r w:rsidR="00E94C47" w:rsidRPr="00E94C47">
        <w:rPr>
          <w:rFonts w:cs="Arial"/>
        </w:rPr>
        <w:t xml:space="preserve">outreach, recruitment, training and development programmes and wider </w:t>
      </w:r>
      <w:r w:rsidR="00D17CEE">
        <w:rPr>
          <w:rFonts w:cs="Arial"/>
        </w:rPr>
        <w:t xml:space="preserve">diversity and inclusion </w:t>
      </w:r>
      <w:r w:rsidR="00E94C47" w:rsidRPr="00E94C47">
        <w:rPr>
          <w:rFonts w:cs="Arial"/>
        </w:rPr>
        <w:t>initiatives.</w:t>
      </w:r>
      <w:r w:rsidR="003447E9" w:rsidRPr="003447E9">
        <w:rPr>
          <w:rFonts w:cs="Arial"/>
        </w:rPr>
        <w:t xml:space="preserve"> </w:t>
      </w:r>
    </w:p>
    <w:p w14:paraId="1BD4CBED" w14:textId="77777777" w:rsidR="00FA21DD" w:rsidRPr="00ED7877" w:rsidRDefault="00FA21DD" w:rsidP="00ED7877">
      <w:pPr>
        <w:rPr>
          <w:rFonts w:cs="Arial"/>
          <w:color w:val="000000" w:themeColor="text1"/>
        </w:rPr>
      </w:pPr>
    </w:p>
    <w:p w14:paraId="3D0DEB61" w14:textId="5A4F3D5B" w:rsidR="00AD4215" w:rsidRPr="007E72F5" w:rsidRDefault="00FA21DD" w:rsidP="00AD4215">
      <w:pPr>
        <w:rPr>
          <w:rFonts w:cs="Arial"/>
          <w:color w:val="000000" w:themeColor="text1"/>
        </w:rPr>
      </w:pPr>
      <w:r w:rsidRPr="007E72F5">
        <w:rPr>
          <w:rFonts w:cs="Arial"/>
          <w:color w:val="000000" w:themeColor="text1"/>
        </w:rPr>
        <w:t>We recognise that the significantly higher proportion of men in our more highly</w:t>
      </w:r>
      <w:r w:rsidR="004A4479">
        <w:rPr>
          <w:rFonts w:cs="Arial"/>
          <w:color w:val="000000" w:themeColor="text1"/>
        </w:rPr>
        <w:t xml:space="preserve"> </w:t>
      </w:r>
      <w:r w:rsidRPr="007E72F5">
        <w:rPr>
          <w:rFonts w:cs="Arial"/>
          <w:color w:val="000000" w:themeColor="text1"/>
        </w:rPr>
        <w:t xml:space="preserve">paid technical specialist roles will continue to result in a </w:t>
      </w:r>
      <w:r w:rsidR="008316B9">
        <w:rPr>
          <w:rFonts w:cs="Arial"/>
          <w:color w:val="000000" w:themeColor="text1"/>
        </w:rPr>
        <w:t xml:space="preserve">significant </w:t>
      </w:r>
      <w:r w:rsidRPr="007E72F5">
        <w:rPr>
          <w:rFonts w:cs="Arial"/>
          <w:color w:val="000000" w:themeColor="text1"/>
        </w:rPr>
        <w:t xml:space="preserve">gender pay gap. </w:t>
      </w:r>
      <w:r w:rsidR="00AD4215" w:rsidRPr="007E72F5">
        <w:rPr>
          <w:rFonts w:cs="Arial"/>
          <w:color w:val="000000" w:themeColor="text1"/>
        </w:rPr>
        <w:t xml:space="preserve">The aim going forward is to draw more women into technical specialist and more senior roles. This will </w:t>
      </w:r>
      <w:r w:rsidR="002F6AD7" w:rsidRPr="007E72F5">
        <w:rPr>
          <w:rFonts w:cs="Arial"/>
          <w:color w:val="000000" w:themeColor="text1"/>
        </w:rPr>
        <w:t>be</w:t>
      </w:r>
      <w:r w:rsidR="00634202" w:rsidRPr="007E72F5">
        <w:rPr>
          <w:rFonts w:cs="Arial"/>
          <w:color w:val="000000" w:themeColor="text1"/>
        </w:rPr>
        <w:t xml:space="preserve"> done</w:t>
      </w:r>
      <w:r w:rsidR="00AD4215" w:rsidRPr="007E72F5">
        <w:rPr>
          <w:rFonts w:cs="Arial"/>
          <w:color w:val="000000" w:themeColor="text1"/>
        </w:rPr>
        <w:t xml:space="preserve"> by continuing to support recruitment pipelines </w:t>
      </w:r>
      <w:r w:rsidR="000A6E55">
        <w:rPr>
          <w:rFonts w:cs="Arial"/>
          <w:color w:val="000000" w:themeColor="text1"/>
        </w:rPr>
        <w:t xml:space="preserve">that </w:t>
      </w:r>
      <w:r w:rsidR="00AD4215" w:rsidRPr="007E72F5">
        <w:rPr>
          <w:rFonts w:cs="Arial"/>
          <w:color w:val="000000" w:themeColor="text1"/>
        </w:rPr>
        <w:t xml:space="preserve">reach a more diverse field of candidates and continuing with our </w:t>
      </w:r>
      <w:r w:rsidR="00634202" w:rsidRPr="007E72F5">
        <w:rPr>
          <w:rFonts w:cs="Arial"/>
          <w:color w:val="000000" w:themeColor="text1"/>
        </w:rPr>
        <w:t>gender-neutral</w:t>
      </w:r>
      <w:r w:rsidR="00AD4215" w:rsidRPr="007E72F5">
        <w:rPr>
          <w:rFonts w:cs="Arial"/>
          <w:color w:val="000000" w:themeColor="text1"/>
        </w:rPr>
        <w:t xml:space="preserve"> attraction and selection processes, aimed at both attracting and retaining the best person for the job.</w:t>
      </w:r>
    </w:p>
    <w:p w14:paraId="75258FE3" w14:textId="77777777" w:rsidR="00AD4215" w:rsidRPr="007E72F5" w:rsidRDefault="00AD4215" w:rsidP="00940BE9">
      <w:pPr>
        <w:rPr>
          <w:rFonts w:cs="Arial"/>
          <w:color w:val="000000" w:themeColor="text1"/>
        </w:rPr>
      </w:pPr>
    </w:p>
    <w:p w14:paraId="5FEF29A4" w14:textId="1C87349D" w:rsidR="00940BE9" w:rsidRPr="007E72F5" w:rsidRDefault="00940BE9" w:rsidP="00940BE9">
      <w:pPr>
        <w:rPr>
          <w:rFonts w:cs="Arial"/>
          <w:color w:val="000000" w:themeColor="text1"/>
        </w:rPr>
      </w:pPr>
      <w:r w:rsidRPr="007E72F5">
        <w:rPr>
          <w:rFonts w:cs="Arial"/>
          <w:color w:val="000000" w:themeColor="text1"/>
        </w:rPr>
        <w:t>We are committed in our strategies and plans to improve our diversity at all levels. Being successful in addressing these diversity issues will impact directly on</w:t>
      </w:r>
      <w:r w:rsidR="00455D5A">
        <w:rPr>
          <w:rFonts w:cs="Arial"/>
          <w:color w:val="000000" w:themeColor="text1"/>
        </w:rPr>
        <w:t xml:space="preserve"> focusing </w:t>
      </w:r>
      <w:r w:rsidR="009B0545">
        <w:rPr>
          <w:rFonts w:cs="Arial"/>
          <w:color w:val="000000" w:themeColor="text1"/>
        </w:rPr>
        <w:t xml:space="preserve">on </w:t>
      </w:r>
      <w:r w:rsidR="009B0545" w:rsidRPr="007E72F5">
        <w:rPr>
          <w:rFonts w:cs="Arial"/>
          <w:color w:val="000000" w:themeColor="text1"/>
        </w:rPr>
        <w:t>the</w:t>
      </w:r>
      <w:r w:rsidRPr="007E72F5">
        <w:rPr>
          <w:rFonts w:cs="Arial"/>
          <w:color w:val="000000" w:themeColor="text1"/>
        </w:rPr>
        <w:t xml:space="preserve"> issues that the gender pay analysis has highlighted. </w:t>
      </w:r>
      <w:r w:rsidR="0087232E" w:rsidRPr="007E72F5">
        <w:rPr>
          <w:rFonts w:cs="Arial"/>
          <w:color w:val="000000" w:themeColor="text1"/>
        </w:rPr>
        <w:t xml:space="preserve">Some of </w:t>
      </w:r>
      <w:r w:rsidR="00690267" w:rsidRPr="007E72F5">
        <w:rPr>
          <w:rFonts w:cs="Arial"/>
          <w:color w:val="000000" w:themeColor="text1"/>
        </w:rPr>
        <w:t>the work</w:t>
      </w:r>
      <w:r w:rsidRPr="007E72F5">
        <w:rPr>
          <w:rFonts w:cs="Arial"/>
          <w:color w:val="000000" w:themeColor="text1"/>
        </w:rPr>
        <w:t xml:space="preserve"> we have been doing recently to support this is outlined below</w:t>
      </w:r>
      <w:r w:rsidR="00075F10">
        <w:rPr>
          <w:rFonts w:cs="Arial"/>
          <w:color w:val="000000" w:themeColor="text1"/>
        </w:rPr>
        <w:t>.</w:t>
      </w:r>
    </w:p>
    <w:p w14:paraId="5FEF29A5" w14:textId="77777777" w:rsidR="00DB5312" w:rsidRPr="007E72F5" w:rsidRDefault="00DB5312" w:rsidP="00940BE9">
      <w:pPr>
        <w:rPr>
          <w:rFonts w:cs="Arial"/>
          <w:color w:val="000000" w:themeColor="text1"/>
        </w:rPr>
      </w:pPr>
    </w:p>
    <w:p w14:paraId="35212834" w14:textId="77777777" w:rsidR="0028572A" w:rsidRDefault="0028572A" w:rsidP="00940BE9">
      <w:pPr>
        <w:jc w:val="both"/>
        <w:rPr>
          <w:rFonts w:cs="Arial"/>
          <w:b/>
        </w:rPr>
      </w:pPr>
    </w:p>
    <w:p w14:paraId="08915624" w14:textId="77777777" w:rsidR="0028572A" w:rsidRDefault="0028572A" w:rsidP="00940BE9">
      <w:pPr>
        <w:jc w:val="both"/>
        <w:rPr>
          <w:rFonts w:cs="Arial"/>
          <w:b/>
        </w:rPr>
      </w:pPr>
    </w:p>
    <w:p w14:paraId="4EF98D1D" w14:textId="77777777" w:rsidR="0028572A" w:rsidRDefault="0028572A" w:rsidP="00940BE9">
      <w:pPr>
        <w:jc w:val="both"/>
        <w:rPr>
          <w:rFonts w:cs="Arial"/>
          <w:b/>
        </w:rPr>
      </w:pPr>
    </w:p>
    <w:p w14:paraId="5FEF29A6" w14:textId="4AA249E4" w:rsidR="00940BE9" w:rsidRPr="008519A2" w:rsidRDefault="00940BE9" w:rsidP="00940BE9">
      <w:pPr>
        <w:jc w:val="both"/>
        <w:rPr>
          <w:rFonts w:cs="Arial"/>
          <w:b/>
        </w:rPr>
      </w:pPr>
      <w:r w:rsidRPr="008519A2">
        <w:rPr>
          <w:rFonts w:cs="Arial"/>
          <w:b/>
        </w:rPr>
        <w:t>Improving representation of women in our workforce</w:t>
      </w:r>
    </w:p>
    <w:p w14:paraId="5FEF29A7" w14:textId="77777777" w:rsidR="00F170A5" w:rsidRPr="008519A2" w:rsidRDefault="00F170A5" w:rsidP="00940BE9">
      <w:pPr>
        <w:jc w:val="both"/>
        <w:rPr>
          <w:rFonts w:cs="Arial"/>
          <w:b/>
        </w:rPr>
      </w:pPr>
    </w:p>
    <w:p w14:paraId="5FEF29A8" w14:textId="31604C89" w:rsidR="00940BE9" w:rsidRDefault="00940BE9" w:rsidP="00940BE9">
      <w:pPr>
        <w:rPr>
          <w:rFonts w:cs="Arial"/>
          <w:color w:val="000000" w:themeColor="text1"/>
        </w:rPr>
      </w:pPr>
      <w:r w:rsidRPr="008519A2">
        <w:rPr>
          <w:rFonts w:cs="Arial"/>
          <w:color w:val="000000" w:themeColor="text1"/>
        </w:rPr>
        <w:t xml:space="preserve">To </w:t>
      </w:r>
      <w:r w:rsidR="00351BBC" w:rsidRPr="008519A2">
        <w:rPr>
          <w:rFonts w:cs="Arial"/>
          <w:color w:val="000000" w:themeColor="text1"/>
        </w:rPr>
        <w:t>reduce</w:t>
      </w:r>
      <w:r w:rsidRPr="008519A2">
        <w:rPr>
          <w:rFonts w:cs="Arial"/>
          <w:color w:val="000000" w:themeColor="text1"/>
        </w:rPr>
        <w:t xml:space="preserve"> the current </w:t>
      </w:r>
      <w:r w:rsidR="00617511" w:rsidRPr="008519A2">
        <w:rPr>
          <w:rFonts w:cs="Arial"/>
          <w:color w:val="000000" w:themeColor="text1"/>
        </w:rPr>
        <w:t>gender</w:t>
      </w:r>
      <w:r w:rsidRPr="008519A2">
        <w:rPr>
          <w:rFonts w:cs="Arial"/>
          <w:color w:val="000000" w:themeColor="text1"/>
        </w:rPr>
        <w:t xml:space="preserve"> pay gap and improve our diversity more generally</w:t>
      </w:r>
      <w:r w:rsidR="001A2C69">
        <w:rPr>
          <w:rFonts w:cs="Arial"/>
          <w:color w:val="000000" w:themeColor="text1"/>
        </w:rPr>
        <w:t>,</w:t>
      </w:r>
      <w:r w:rsidRPr="008519A2">
        <w:rPr>
          <w:rFonts w:cs="Arial"/>
          <w:color w:val="000000" w:themeColor="text1"/>
        </w:rPr>
        <w:t xml:space="preserve"> we </w:t>
      </w:r>
      <w:r w:rsidR="0051728E" w:rsidRPr="008519A2">
        <w:rPr>
          <w:rFonts w:cs="Arial"/>
          <w:color w:val="000000" w:themeColor="text1"/>
        </w:rPr>
        <w:t xml:space="preserve">must </w:t>
      </w:r>
      <w:r w:rsidRPr="008519A2">
        <w:rPr>
          <w:rFonts w:cs="Arial"/>
          <w:color w:val="000000" w:themeColor="text1"/>
        </w:rPr>
        <w:t xml:space="preserve">continue to improve our ability to attract </w:t>
      </w:r>
      <w:r w:rsidR="000D2ADB">
        <w:rPr>
          <w:rFonts w:cs="Arial"/>
          <w:color w:val="000000" w:themeColor="text1"/>
        </w:rPr>
        <w:t>women</w:t>
      </w:r>
      <w:r w:rsidRPr="008519A2">
        <w:rPr>
          <w:rFonts w:cs="Arial"/>
          <w:color w:val="000000" w:themeColor="text1"/>
        </w:rPr>
        <w:t xml:space="preserve"> into higher</w:t>
      </w:r>
      <w:r w:rsidR="00D676D9">
        <w:rPr>
          <w:rFonts w:cs="Arial"/>
          <w:color w:val="000000" w:themeColor="text1"/>
        </w:rPr>
        <w:t xml:space="preserve"> </w:t>
      </w:r>
      <w:r w:rsidRPr="008519A2">
        <w:rPr>
          <w:rFonts w:cs="Arial"/>
          <w:color w:val="000000" w:themeColor="text1"/>
        </w:rPr>
        <w:t>paid roles</w:t>
      </w:r>
      <w:r w:rsidR="00E245CD">
        <w:rPr>
          <w:rFonts w:cs="Arial"/>
          <w:color w:val="000000" w:themeColor="text1"/>
        </w:rPr>
        <w:t>, in particular higher</w:t>
      </w:r>
      <w:r w:rsidR="004A4479">
        <w:rPr>
          <w:rFonts w:cs="Arial"/>
          <w:color w:val="000000" w:themeColor="text1"/>
        </w:rPr>
        <w:t xml:space="preserve"> </w:t>
      </w:r>
      <w:r w:rsidR="00E245CD">
        <w:rPr>
          <w:rFonts w:cs="Arial"/>
          <w:color w:val="000000" w:themeColor="text1"/>
        </w:rPr>
        <w:t xml:space="preserve">band </w:t>
      </w:r>
      <w:r w:rsidR="00E245CD" w:rsidRPr="008519A2">
        <w:rPr>
          <w:rFonts w:cs="Arial"/>
          <w:color w:val="000000" w:themeColor="text1"/>
        </w:rPr>
        <w:t>nuclear specialist</w:t>
      </w:r>
      <w:r w:rsidR="00E245CD">
        <w:rPr>
          <w:rFonts w:cs="Arial"/>
          <w:color w:val="000000" w:themeColor="text1"/>
        </w:rPr>
        <w:t xml:space="preserve"> roles</w:t>
      </w:r>
      <w:r w:rsidRPr="008519A2">
        <w:rPr>
          <w:rFonts w:cs="Arial"/>
          <w:color w:val="000000" w:themeColor="text1"/>
        </w:rPr>
        <w:t>.</w:t>
      </w:r>
      <w:r w:rsidR="00D676D9">
        <w:rPr>
          <w:rFonts w:cs="Arial"/>
          <w:color w:val="000000" w:themeColor="text1"/>
        </w:rPr>
        <w:t xml:space="preserve"> </w:t>
      </w:r>
      <w:r w:rsidRPr="008519A2">
        <w:rPr>
          <w:rFonts w:cs="Arial"/>
          <w:color w:val="000000" w:themeColor="text1"/>
        </w:rPr>
        <w:t>Our recruitment strategy aims to achieve this</w:t>
      </w:r>
      <w:r w:rsidR="0051728E" w:rsidRPr="008519A2">
        <w:rPr>
          <w:rFonts w:cs="Arial"/>
          <w:color w:val="000000" w:themeColor="text1"/>
        </w:rPr>
        <w:t xml:space="preserve"> </w:t>
      </w:r>
      <w:r w:rsidR="00E245CD">
        <w:rPr>
          <w:rFonts w:cs="Arial"/>
          <w:color w:val="000000" w:themeColor="text1"/>
        </w:rPr>
        <w:t>through</w:t>
      </w:r>
      <w:r w:rsidR="0051728E" w:rsidRPr="008519A2">
        <w:rPr>
          <w:rFonts w:cs="Arial"/>
          <w:color w:val="000000" w:themeColor="text1"/>
        </w:rPr>
        <w:t xml:space="preserve"> the following </w:t>
      </w:r>
      <w:r w:rsidRPr="008519A2">
        <w:rPr>
          <w:rFonts w:cs="Arial"/>
          <w:color w:val="000000" w:themeColor="text1"/>
        </w:rPr>
        <w:t>activities:</w:t>
      </w:r>
    </w:p>
    <w:p w14:paraId="19448081" w14:textId="77777777" w:rsidR="008519A2" w:rsidRPr="008519A2" w:rsidRDefault="008519A2" w:rsidP="00940BE9">
      <w:pPr>
        <w:rPr>
          <w:rFonts w:cs="Arial"/>
          <w:color w:val="000000" w:themeColor="text1"/>
        </w:rPr>
      </w:pPr>
    </w:p>
    <w:p w14:paraId="0F82ABCE" w14:textId="027C6557" w:rsidR="00C70CD0" w:rsidRPr="00C84907" w:rsidRDefault="00940BE9" w:rsidP="002C265C">
      <w:pPr>
        <w:pStyle w:val="ListParagraph"/>
        <w:numPr>
          <w:ilvl w:val="0"/>
          <w:numId w:val="28"/>
        </w:numPr>
        <w:rPr>
          <w:rFonts w:asciiTheme="minorBidi" w:hAnsiTheme="minorBidi" w:cstheme="minorBidi"/>
          <w:sz w:val="24"/>
          <w:szCs w:val="24"/>
          <w:lang w:eastAsia="en-GB"/>
        </w:rPr>
      </w:pPr>
      <w:r w:rsidRPr="00C84907">
        <w:rPr>
          <w:rFonts w:ascii="Arial" w:hAnsi="Arial" w:cs="Arial"/>
          <w:b/>
          <w:bCs/>
          <w:iCs/>
          <w:color w:val="000000" w:themeColor="text1"/>
          <w:sz w:val="24"/>
          <w:szCs w:val="24"/>
        </w:rPr>
        <w:t>Promoting ONR to others</w:t>
      </w:r>
      <w:r w:rsidRPr="00C84907">
        <w:rPr>
          <w:rFonts w:ascii="Arial" w:hAnsi="Arial" w:cs="Arial"/>
          <w:color w:val="000000" w:themeColor="text1"/>
          <w:sz w:val="24"/>
          <w:szCs w:val="24"/>
        </w:rPr>
        <w:t xml:space="preserve"> </w:t>
      </w:r>
      <w:r w:rsidR="007C1D81" w:rsidRPr="00C84907">
        <w:rPr>
          <w:rFonts w:ascii="Arial" w:hAnsi="Arial" w:cs="Arial"/>
          <w:color w:val="000000" w:themeColor="text1"/>
          <w:sz w:val="24"/>
          <w:szCs w:val="24"/>
        </w:rPr>
        <w:t>–</w:t>
      </w:r>
      <w:r w:rsidR="00171667" w:rsidRPr="00C84907">
        <w:rPr>
          <w:rFonts w:asciiTheme="minorBidi" w:hAnsiTheme="minorBidi" w:cstheme="minorBidi"/>
        </w:rPr>
        <w:t xml:space="preserve"> </w:t>
      </w:r>
      <w:r w:rsidR="00171667" w:rsidRPr="00C84907">
        <w:rPr>
          <w:rFonts w:asciiTheme="minorBidi" w:hAnsiTheme="minorBidi" w:cstheme="minorBidi"/>
          <w:sz w:val="24"/>
          <w:szCs w:val="24"/>
        </w:rPr>
        <w:t xml:space="preserve">We remain committed to achieving 40% women in ONR by 2030 as part of the Nuclear Sector Deal. </w:t>
      </w:r>
      <w:r w:rsidR="008B4E03" w:rsidRPr="00C84907">
        <w:rPr>
          <w:rFonts w:ascii="Arial" w:hAnsi="Arial" w:cs="Arial"/>
          <w:sz w:val="24"/>
          <w:szCs w:val="24"/>
        </w:rPr>
        <w:t>Our actions have been designed to encourage a more balanced gender diversity approach in recruitment and to concentrate our efforts on attracting and encouraging diversity at all levels.</w:t>
      </w:r>
      <w:r w:rsidR="00D21053" w:rsidRPr="00C84907">
        <w:rPr>
          <w:rFonts w:ascii="Arial" w:hAnsi="Arial" w:cs="Arial"/>
          <w:sz w:val="24"/>
          <w:szCs w:val="24"/>
        </w:rPr>
        <w:t xml:space="preserve"> </w:t>
      </w:r>
      <w:r w:rsidR="00171667" w:rsidRPr="00C84907">
        <w:rPr>
          <w:rFonts w:asciiTheme="minorBidi" w:hAnsiTheme="minorBidi" w:cstheme="minorBidi"/>
          <w:sz w:val="24"/>
          <w:szCs w:val="24"/>
        </w:rPr>
        <w:t xml:space="preserve">To help us attract </w:t>
      </w:r>
      <w:r w:rsidR="00682060" w:rsidRPr="00C84907">
        <w:rPr>
          <w:rFonts w:asciiTheme="minorBidi" w:hAnsiTheme="minorBidi" w:cstheme="minorBidi"/>
          <w:sz w:val="24"/>
          <w:szCs w:val="24"/>
        </w:rPr>
        <w:t xml:space="preserve">more women </w:t>
      </w:r>
      <w:r w:rsidR="00171667" w:rsidRPr="00C84907">
        <w:rPr>
          <w:rFonts w:asciiTheme="minorBidi" w:hAnsiTheme="minorBidi" w:cstheme="minorBidi"/>
          <w:sz w:val="24"/>
          <w:szCs w:val="24"/>
        </w:rPr>
        <w:t xml:space="preserve">and retain a diverse </w:t>
      </w:r>
      <w:r w:rsidR="00171667" w:rsidRPr="00C84907">
        <w:rPr>
          <w:rFonts w:asciiTheme="minorBidi" w:hAnsiTheme="minorBidi" w:cstheme="minorBidi"/>
          <w:color w:val="0B0C0C"/>
          <w:sz w:val="24"/>
          <w:szCs w:val="24"/>
          <w:lang w:eastAsia="en-GB"/>
        </w:rPr>
        <w:t>workforce</w:t>
      </w:r>
      <w:r w:rsidR="00171667" w:rsidRPr="00C84907">
        <w:rPr>
          <w:rFonts w:asciiTheme="minorBidi" w:hAnsiTheme="minorBidi" w:cstheme="minorBidi"/>
          <w:color w:val="0B0C0C"/>
          <w:sz w:val="24"/>
          <w:szCs w:val="24"/>
        </w:rPr>
        <w:t>, we</w:t>
      </w:r>
      <w:r w:rsidR="00171667" w:rsidRPr="00C84907">
        <w:rPr>
          <w:rFonts w:asciiTheme="minorBidi" w:hAnsiTheme="minorBidi" w:cstheme="minorBidi"/>
          <w:sz w:val="24"/>
          <w:szCs w:val="24"/>
        </w:rPr>
        <w:t xml:space="preserve"> have partnered with VERCIDA</w:t>
      </w:r>
      <w:r w:rsidR="00C34D2A" w:rsidRPr="00C84907">
        <w:rPr>
          <w:rFonts w:asciiTheme="minorBidi" w:hAnsiTheme="minorBidi" w:cstheme="minorBidi"/>
          <w:sz w:val="24"/>
          <w:szCs w:val="24"/>
        </w:rPr>
        <w:t>,</w:t>
      </w:r>
      <w:r w:rsidR="00171667" w:rsidRPr="00C84907">
        <w:rPr>
          <w:rFonts w:asciiTheme="minorBidi" w:hAnsiTheme="minorBidi" w:cstheme="minorBidi"/>
          <w:sz w:val="24"/>
          <w:szCs w:val="24"/>
        </w:rPr>
        <w:t xml:space="preserve"> a careers site that </w:t>
      </w:r>
      <w:r w:rsidR="00455741" w:rsidRPr="00C84907">
        <w:rPr>
          <w:rFonts w:asciiTheme="minorBidi" w:hAnsiTheme="minorBidi" w:cstheme="minorBidi"/>
          <w:sz w:val="24"/>
          <w:szCs w:val="24"/>
        </w:rPr>
        <w:t>collaborates</w:t>
      </w:r>
      <w:r w:rsidR="00171667" w:rsidRPr="00C84907">
        <w:rPr>
          <w:rFonts w:asciiTheme="minorBidi" w:hAnsiTheme="minorBidi" w:cstheme="minorBidi"/>
          <w:sz w:val="24"/>
          <w:szCs w:val="24"/>
        </w:rPr>
        <w:t xml:space="preserve"> with employers who respect a culture of inclusivity, diversity and accessibility and are committed to these attributes. The site is an opportunity to </w:t>
      </w:r>
      <w:r w:rsidR="00394198" w:rsidRPr="00C84907">
        <w:rPr>
          <w:rFonts w:asciiTheme="minorBidi" w:hAnsiTheme="minorBidi" w:cstheme="minorBidi"/>
          <w:sz w:val="24"/>
          <w:szCs w:val="24"/>
        </w:rPr>
        <w:t>highlight</w:t>
      </w:r>
      <w:r w:rsidR="00171667" w:rsidRPr="00C84907">
        <w:rPr>
          <w:rFonts w:asciiTheme="minorBidi" w:hAnsiTheme="minorBidi" w:cstheme="minorBidi"/>
          <w:sz w:val="24"/>
          <w:szCs w:val="24"/>
        </w:rPr>
        <w:t xml:space="preserve"> the diversity of roles that we have and the benefits we offer including hybrid and flexible working, reverse mentoring, workplace adjustments, carers support, staff networks and others </w:t>
      </w:r>
      <w:r w:rsidR="002F6AD7" w:rsidRPr="00C84907">
        <w:rPr>
          <w:rFonts w:asciiTheme="minorBidi" w:hAnsiTheme="minorBidi" w:cstheme="minorBidi"/>
          <w:sz w:val="24"/>
          <w:szCs w:val="24"/>
        </w:rPr>
        <w:t>to</w:t>
      </w:r>
      <w:r w:rsidR="00171667" w:rsidRPr="00C84907">
        <w:rPr>
          <w:rFonts w:asciiTheme="minorBidi" w:hAnsiTheme="minorBidi" w:cstheme="minorBidi"/>
          <w:sz w:val="24"/>
          <w:szCs w:val="24"/>
        </w:rPr>
        <w:t xml:space="preserve"> attract a rich variety of people.</w:t>
      </w:r>
      <w:r w:rsidR="00BE16B1" w:rsidRPr="00C84907">
        <w:rPr>
          <w:rFonts w:asciiTheme="minorBidi" w:hAnsiTheme="minorBidi" w:cstheme="minorBidi"/>
          <w:sz w:val="24"/>
          <w:szCs w:val="24"/>
        </w:rPr>
        <w:t xml:space="preserve"> </w:t>
      </w:r>
      <w:r w:rsidR="008D520C" w:rsidRPr="00C84907">
        <w:rPr>
          <w:rFonts w:asciiTheme="minorBidi" w:hAnsiTheme="minorBidi" w:cstheme="minorBidi"/>
          <w:sz w:val="24"/>
          <w:szCs w:val="24"/>
        </w:rPr>
        <w:t xml:space="preserve">We have also updated </w:t>
      </w:r>
      <w:r w:rsidR="002168DF" w:rsidRPr="00C84907">
        <w:rPr>
          <w:rFonts w:asciiTheme="minorBidi" w:hAnsiTheme="minorBidi" w:cstheme="minorBidi"/>
          <w:sz w:val="24"/>
          <w:szCs w:val="24"/>
        </w:rPr>
        <w:t>the ‘</w:t>
      </w:r>
      <w:r w:rsidR="001C3344" w:rsidRPr="00C84907">
        <w:rPr>
          <w:rFonts w:asciiTheme="minorBidi" w:hAnsiTheme="minorBidi" w:cstheme="minorBidi"/>
          <w:sz w:val="24"/>
          <w:szCs w:val="24"/>
        </w:rPr>
        <w:t xml:space="preserve">ONR </w:t>
      </w:r>
      <w:r w:rsidR="002168DF" w:rsidRPr="00C84907">
        <w:rPr>
          <w:rFonts w:asciiTheme="minorBidi" w:hAnsiTheme="minorBidi" w:cstheme="minorBidi"/>
          <w:sz w:val="24"/>
          <w:szCs w:val="24"/>
        </w:rPr>
        <w:t>Work for Us’ se</w:t>
      </w:r>
      <w:r w:rsidR="001C3344" w:rsidRPr="00C84907">
        <w:rPr>
          <w:rFonts w:asciiTheme="minorBidi" w:hAnsiTheme="minorBidi" w:cstheme="minorBidi"/>
          <w:sz w:val="24"/>
          <w:szCs w:val="24"/>
        </w:rPr>
        <w:t>gment</w:t>
      </w:r>
      <w:r w:rsidR="002168DF" w:rsidRPr="00C84907">
        <w:rPr>
          <w:rFonts w:asciiTheme="minorBidi" w:hAnsiTheme="minorBidi" w:cstheme="minorBidi"/>
          <w:sz w:val="24"/>
          <w:szCs w:val="24"/>
        </w:rPr>
        <w:t xml:space="preserve"> of our website with a </w:t>
      </w:r>
      <w:r w:rsidR="00C441EB" w:rsidRPr="00C84907">
        <w:rPr>
          <w:rFonts w:asciiTheme="minorBidi" w:hAnsiTheme="minorBidi" w:cstheme="minorBidi"/>
          <w:sz w:val="24"/>
          <w:szCs w:val="24"/>
        </w:rPr>
        <w:t xml:space="preserve">broader representation of ‘Our People’ </w:t>
      </w:r>
      <w:r w:rsidR="00CF7CD9" w:rsidRPr="00C84907">
        <w:rPr>
          <w:rFonts w:asciiTheme="minorBidi" w:hAnsiTheme="minorBidi" w:cstheme="minorBidi"/>
          <w:sz w:val="24"/>
          <w:szCs w:val="24"/>
        </w:rPr>
        <w:t xml:space="preserve">section </w:t>
      </w:r>
      <w:r w:rsidR="001C3344" w:rsidRPr="00C84907">
        <w:rPr>
          <w:rFonts w:asciiTheme="minorBidi" w:hAnsiTheme="minorBidi" w:cstheme="minorBidi"/>
          <w:sz w:val="24"/>
          <w:szCs w:val="24"/>
        </w:rPr>
        <w:t>to</w:t>
      </w:r>
      <w:r w:rsidR="00CF7CD9" w:rsidRPr="00C84907">
        <w:rPr>
          <w:rFonts w:asciiTheme="minorBidi" w:hAnsiTheme="minorBidi" w:cstheme="minorBidi"/>
          <w:sz w:val="24"/>
          <w:szCs w:val="24"/>
        </w:rPr>
        <w:t xml:space="preserve"> be more </w:t>
      </w:r>
      <w:r w:rsidR="006E2109" w:rsidRPr="00C84907">
        <w:rPr>
          <w:rFonts w:asciiTheme="minorBidi" w:hAnsiTheme="minorBidi" w:cstheme="minorBidi"/>
          <w:sz w:val="24"/>
          <w:szCs w:val="24"/>
        </w:rPr>
        <w:t xml:space="preserve">representative. </w:t>
      </w:r>
    </w:p>
    <w:p w14:paraId="51AACBC6" w14:textId="77777777" w:rsidR="0067057B" w:rsidRPr="0067057B" w:rsidRDefault="0067057B" w:rsidP="0067057B">
      <w:pPr>
        <w:pStyle w:val="ListParagraph"/>
        <w:contextualSpacing w:val="0"/>
        <w:rPr>
          <w:rFonts w:ascii="Arial" w:hAnsi="Arial" w:cs="Arial"/>
          <w:color w:val="000000" w:themeColor="text1"/>
          <w:sz w:val="24"/>
          <w:szCs w:val="24"/>
        </w:rPr>
      </w:pPr>
    </w:p>
    <w:p w14:paraId="6E9A11E7" w14:textId="1C295A84" w:rsidR="00AE1AD2" w:rsidRPr="006C74E3" w:rsidRDefault="004A18AD" w:rsidP="00AE1AD2">
      <w:pPr>
        <w:pStyle w:val="ListParagraph"/>
        <w:numPr>
          <w:ilvl w:val="0"/>
          <w:numId w:val="28"/>
        </w:numPr>
        <w:rPr>
          <w:rFonts w:asciiTheme="minorBidi" w:hAnsiTheme="minorBidi" w:cstheme="minorBidi"/>
          <w:sz w:val="24"/>
          <w:szCs w:val="24"/>
          <w:lang w:eastAsia="en-GB"/>
        </w:rPr>
      </w:pPr>
      <w:r w:rsidRPr="007831C5">
        <w:rPr>
          <w:rFonts w:ascii="Arial" w:hAnsi="Arial" w:cs="Arial"/>
          <w:b/>
          <w:bCs/>
          <w:iCs/>
          <w:color w:val="000000" w:themeColor="text1"/>
          <w:sz w:val="24"/>
          <w:szCs w:val="24"/>
        </w:rPr>
        <w:t>Selection arrangements</w:t>
      </w:r>
      <w:r w:rsidRPr="007831C5">
        <w:rPr>
          <w:rFonts w:ascii="Arial" w:hAnsi="Arial" w:cs="Arial"/>
          <w:color w:val="000000" w:themeColor="text1"/>
          <w:sz w:val="24"/>
          <w:szCs w:val="24"/>
        </w:rPr>
        <w:t xml:space="preserve"> – </w:t>
      </w:r>
      <w:r w:rsidR="007831C5" w:rsidRPr="007831C5">
        <w:rPr>
          <w:rFonts w:ascii="Arial" w:hAnsi="Arial" w:cs="Arial"/>
          <w:sz w:val="24"/>
          <w:szCs w:val="24"/>
        </w:rPr>
        <w:t>Unconscious bias can be a feature of recruitment activity in any sector and at ONR we</w:t>
      </w:r>
      <w:r w:rsidR="00EB164A">
        <w:rPr>
          <w:rFonts w:ascii="Arial" w:hAnsi="Arial" w:cs="Arial"/>
          <w:sz w:val="24"/>
          <w:szCs w:val="24"/>
        </w:rPr>
        <w:t xml:space="preserve"> ha</w:t>
      </w:r>
      <w:r w:rsidR="007831C5" w:rsidRPr="007831C5">
        <w:rPr>
          <w:rFonts w:ascii="Arial" w:hAnsi="Arial" w:cs="Arial"/>
          <w:sz w:val="24"/>
          <w:szCs w:val="24"/>
        </w:rPr>
        <w:t xml:space="preserve">ve introduced </w:t>
      </w:r>
      <w:r w:rsidR="00C44311" w:rsidRPr="007831C5">
        <w:rPr>
          <w:rFonts w:ascii="Arial" w:hAnsi="Arial" w:cs="Arial"/>
          <w:sz w:val="24"/>
          <w:szCs w:val="24"/>
        </w:rPr>
        <w:t>several</w:t>
      </w:r>
      <w:r w:rsidR="007831C5" w:rsidRPr="007831C5">
        <w:rPr>
          <w:rFonts w:ascii="Arial" w:hAnsi="Arial" w:cs="Arial"/>
          <w:sz w:val="24"/>
          <w:szCs w:val="24"/>
        </w:rPr>
        <w:t xml:space="preserve"> initiatives to try to ensure it does</w:t>
      </w:r>
      <w:r w:rsidR="00EB164A">
        <w:rPr>
          <w:rFonts w:ascii="Arial" w:hAnsi="Arial" w:cs="Arial"/>
          <w:sz w:val="24"/>
          <w:szCs w:val="24"/>
        </w:rPr>
        <w:t xml:space="preserve"> </w:t>
      </w:r>
      <w:r w:rsidR="007831C5" w:rsidRPr="007831C5">
        <w:rPr>
          <w:rFonts w:ascii="Arial" w:hAnsi="Arial" w:cs="Arial"/>
          <w:sz w:val="24"/>
          <w:szCs w:val="24"/>
        </w:rPr>
        <w:t>n</w:t>
      </w:r>
      <w:r w:rsidR="00EB164A">
        <w:rPr>
          <w:rFonts w:ascii="Arial" w:hAnsi="Arial" w:cs="Arial"/>
          <w:sz w:val="24"/>
          <w:szCs w:val="24"/>
        </w:rPr>
        <w:t>o</w:t>
      </w:r>
      <w:r w:rsidR="007831C5" w:rsidRPr="007831C5">
        <w:rPr>
          <w:rFonts w:ascii="Arial" w:hAnsi="Arial" w:cs="Arial"/>
          <w:sz w:val="24"/>
          <w:szCs w:val="24"/>
        </w:rPr>
        <w:t xml:space="preserve">t affect opportunities for </w:t>
      </w:r>
      <w:r w:rsidR="00EB164A">
        <w:rPr>
          <w:rFonts w:ascii="Arial" w:hAnsi="Arial" w:cs="Arial"/>
          <w:sz w:val="24"/>
          <w:szCs w:val="24"/>
        </w:rPr>
        <w:t xml:space="preserve">our </w:t>
      </w:r>
      <w:r w:rsidR="007831C5" w:rsidRPr="007831C5">
        <w:rPr>
          <w:rFonts w:ascii="Arial" w:hAnsi="Arial" w:cs="Arial"/>
          <w:sz w:val="24"/>
          <w:szCs w:val="24"/>
        </w:rPr>
        <w:t xml:space="preserve">applicants. </w:t>
      </w:r>
      <w:r w:rsidR="00883020">
        <w:rPr>
          <w:rFonts w:ascii="Arial" w:hAnsi="Arial" w:cs="Arial"/>
          <w:sz w:val="24"/>
          <w:szCs w:val="24"/>
        </w:rPr>
        <w:t xml:space="preserve">We </w:t>
      </w:r>
      <w:r w:rsidR="00C44311">
        <w:rPr>
          <w:rFonts w:ascii="Arial" w:hAnsi="Arial" w:cs="Arial"/>
          <w:sz w:val="24"/>
          <w:szCs w:val="24"/>
        </w:rPr>
        <w:t xml:space="preserve">have </w:t>
      </w:r>
      <w:r w:rsidRPr="007831C5">
        <w:rPr>
          <w:rFonts w:ascii="Arial" w:hAnsi="Arial" w:cs="Arial"/>
          <w:color w:val="000000" w:themeColor="text1"/>
          <w:sz w:val="24"/>
          <w:szCs w:val="24"/>
        </w:rPr>
        <w:t>name</w:t>
      </w:r>
      <w:r w:rsidR="00EB164A">
        <w:rPr>
          <w:rFonts w:ascii="Arial" w:hAnsi="Arial" w:cs="Arial"/>
          <w:color w:val="000000" w:themeColor="text1"/>
          <w:sz w:val="24"/>
          <w:szCs w:val="24"/>
        </w:rPr>
        <w:t xml:space="preserve">- and </w:t>
      </w:r>
      <w:r w:rsidR="0087232E" w:rsidRPr="007831C5">
        <w:rPr>
          <w:rFonts w:ascii="Arial" w:hAnsi="Arial" w:cs="Arial"/>
          <w:color w:val="000000" w:themeColor="text1"/>
          <w:sz w:val="24"/>
          <w:szCs w:val="24"/>
        </w:rPr>
        <w:t>gender</w:t>
      </w:r>
      <w:r w:rsidRPr="007831C5">
        <w:rPr>
          <w:rFonts w:ascii="Arial" w:hAnsi="Arial" w:cs="Arial"/>
          <w:color w:val="000000" w:themeColor="text1"/>
          <w:sz w:val="24"/>
          <w:szCs w:val="24"/>
        </w:rPr>
        <w:t>-anonymous selection and use gender</w:t>
      </w:r>
      <w:r w:rsidR="00EB164A">
        <w:rPr>
          <w:rFonts w:ascii="Arial" w:hAnsi="Arial" w:cs="Arial"/>
          <w:color w:val="000000" w:themeColor="text1"/>
          <w:sz w:val="24"/>
          <w:szCs w:val="24"/>
        </w:rPr>
        <w:t>-</w:t>
      </w:r>
      <w:r w:rsidRPr="007831C5">
        <w:rPr>
          <w:rFonts w:ascii="Arial" w:hAnsi="Arial" w:cs="Arial"/>
          <w:color w:val="000000" w:themeColor="text1"/>
          <w:sz w:val="24"/>
          <w:szCs w:val="24"/>
        </w:rPr>
        <w:t xml:space="preserve">neutral wording throughout our recruitment process to remove unconscious bias at </w:t>
      </w:r>
      <w:r w:rsidR="0051728E" w:rsidRPr="007831C5">
        <w:rPr>
          <w:rFonts w:ascii="Arial" w:hAnsi="Arial" w:cs="Arial"/>
          <w:color w:val="000000" w:themeColor="text1"/>
          <w:sz w:val="24"/>
          <w:szCs w:val="24"/>
        </w:rPr>
        <w:t xml:space="preserve">an </w:t>
      </w:r>
      <w:r w:rsidRPr="007831C5">
        <w:rPr>
          <w:rFonts w:ascii="Arial" w:hAnsi="Arial" w:cs="Arial"/>
          <w:color w:val="000000" w:themeColor="text1"/>
          <w:sz w:val="24"/>
          <w:szCs w:val="24"/>
        </w:rPr>
        <w:t>early stage. All selection panels for external or internal recruitment have a</w:t>
      </w:r>
      <w:r w:rsidR="0087232E" w:rsidRPr="007831C5">
        <w:rPr>
          <w:rFonts w:ascii="Arial" w:hAnsi="Arial" w:cs="Arial"/>
          <w:color w:val="000000" w:themeColor="text1"/>
          <w:sz w:val="24"/>
          <w:szCs w:val="24"/>
        </w:rPr>
        <w:t>t least one</w:t>
      </w:r>
      <w:r w:rsidRPr="007831C5">
        <w:rPr>
          <w:rFonts w:ascii="Arial" w:hAnsi="Arial" w:cs="Arial"/>
          <w:color w:val="000000" w:themeColor="text1"/>
          <w:sz w:val="24"/>
          <w:szCs w:val="24"/>
        </w:rPr>
        <w:t xml:space="preserve"> female panel member as far as </w:t>
      </w:r>
      <w:r w:rsidR="002F6AD7" w:rsidRPr="007831C5">
        <w:rPr>
          <w:rFonts w:ascii="Arial" w:hAnsi="Arial" w:cs="Arial"/>
          <w:color w:val="000000" w:themeColor="text1"/>
          <w:sz w:val="24"/>
          <w:szCs w:val="24"/>
        </w:rPr>
        <w:t>possible</w:t>
      </w:r>
      <w:r w:rsidRPr="007831C5">
        <w:rPr>
          <w:rFonts w:ascii="Arial" w:hAnsi="Arial" w:cs="Arial"/>
          <w:color w:val="000000" w:themeColor="text1"/>
          <w:sz w:val="24"/>
          <w:szCs w:val="24"/>
        </w:rPr>
        <w:t>. All selection panels have a</w:t>
      </w:r>
      <w:r w:rsidR="00C813B8">
        <w:rPr>
          <w:rFonts w:ascii="Arial" w:hAnsi="Arial" w:cs="Arial"/>
          <w:color w:val="000000" w:themeColor="text1"/>
          <w:sz w:val="24"/>
          <w:szCs w:val="24"/>
        </w:rPr>
        <w:t>n</w:t>
      </w:r>
      <w:r w:rsidRPr="007831C5">
        <w:rPr>
          <w:rFonts w:ascii="Arial" w:hAnsi="Arial" w:cs="Arial"/>
          <w:color w:val="000000" w:themeColor="text1"/>
          <w:sz w:val="24"/>
          <w:szCs w:val="24"/>
        </w:rPr>
        <w:t xml:space="preserve"> HR professional involved as a panel member or advisor. We review our recruitment and selection processes annually to ensure any equality issues are identified. </w:t>
      </w:r>
      <w:r w:rsidR="00AE1AD2" w:rsidRPr="006C74E3">
        <w:rPr>
          <w:rFonts w:asciiTheme="minorBidi" w:hAnsiTheme="minorBidi" w:cstheme="minorBidi"/>
          <w:sz w:val="24"/>
          <w:szCs w:val="24"/>
        </w:rPr>
        <w:t>During 2022/23, 56% of new hires were women and when we consider this by role type 46% of new hires for technical roles were women</w:t>
      </w:r>
      <w:r w:rsidR="00AE1AD2">
        <w:rPr>
          <w:rFonts w:asciiTheme="minorBidi" w:hAnsiTheme="minorBidi" w:cstheme="minorBidi"/>
          <w:sz w:val="24"/>
          <w:szCs w:val="24"/>
        </w:rPr>
        <w:t>,</w:t>
      </w:r>
      <w:r w:rsidR="00AE1AD2" w:rsidRPr="006C74E3">
        <w:rPr>
          <w:rFonts w:asciiTheme="minorBidi" w:hAnsiTheme="minorBidi" w:cstheme="minorBidi"/>
          <w:sz w:val="24"/>
          <w:szCs w:val="24"/>
        </w:rPr>
        <w:t xml:space="preserve"> which is positive when </w:t>
      </w:r>
      <w:r w:rsidR="00AE1AD2" w:rsidRPr="006C74E3">
        <w:rPr>
          <w:rFonts w:asciiTheme="minorBidi" w:hAnsiTheme="minorBidi" w:cstheme="minorBidi"/>
          <w:sz w:val="24"/>
          <w:szCs w:val="24"/>
          <w:lang w:eastAsia="en-GB"/>
        </w:rPr>
        <w:t xml:space="preserve">compared with STEM talent pipeline for technical roles including female UK STEM workforce 26%, female nuclear workforce 23%, female STEM graduates 26% and ONR female </w:t>
      </w:r>
      <w:r w:rsidR="00AE1AD2">
        <w:rPr>
          <w:rFonts w:asciiTheme="minorBidi" w:hAnsiTheme="minorBidi" w:cstheme="minorBidi"/>
          <w:sz w:val="24"/>
          <w:szCs w:val="24"/>
          <w:lang w:eastAsia="en-GB"/>
        </w:rPr>
        <w:t xml:space="preserve">technical </w:t>
      </w:r>
      <w:r w:rsidR="00AE1AD2" w:rsidRPr="006C74E3">
        <w:rPr>
          <w:rFonts w:asciiTheme="minorBidi" w:hAnsiTheme="minorBidi" w:cstheme="minorBidi"/>
          <w:sz w:val="24"/>
          <w:szCs w:val="24"/>
          <w:lang w:eastAsia="en-GB"/>
        </w:rPr>
        <w:t>headcount 22%.</w:t>
      </w:r>
    </w:p>
    <w:p w14:paraId="5FEF29AD" w14:textId="27ADAFEC" w:rsidR="004A18AD" w:rsidRDefault="004A18AD" w:rsidP="00EC4C50">
      <w:pPr>
        <w:pStyle w:val="ListParagraph"/>
        <w:ind w:left="714"/>
        <w:contextualSpacing w:val="0"/>
        <w:rPr>
          <w:rFonts w:ascii="Arial" w:hAnsi="Arial" w:cs="Arial"/>
          <w:color w:val="000000" w:themeColor="text1"/>
          <w:sz w:val="24"/>
          <w:szCs w:val="24"/>
        </w:rPr>
      </w:pPr>
    </w:p>
    <w:p w14:paraId="002C720B" w14:textId="77777777" w:rsidR="008946DC" w:rsidRPr="008946DC" w:rsidRDefault="004A18AD" w:rsidP="008946DC">
      <w:pPr>
        <w:pStyle w:val="ListParagraph"/>
        <w:numPr>
          <w:ilvl w:val="0"/>
          <w:numId w:val="28"/>
        </w:numPr>
        <w:rPr>
          <w:rFonts w:ascii="Arial" w:hAnsi="Arial" w:cs="Arial"/>
          <w:color w:val="000000" w:themeColor="text1"/>
          <w:sz w:val="24"/>
          <w:szCs w:val="24"/>
        </w:rPr>
      </w:pPr>
      <w:r w:rsidRPr="0024299B">
        <w:rPr>
          <w:rFonts w:ascii="Arial" w:hAnsi="Arial" w:cs="Arial"/>
          <w:b/>
          <w:bCs/>
          <w:iCs/>
          <w:color w:val="000000" w:themeColor="text1"/>
          <w:sz w:val="24"/>
          <w:szCs w:val="24"/>
        </w:rPr>
        <w:t>Senior leadership roles</w:t>
      </w:r>
      <w:r w:rsidRPr="0024299B">
        <w:rPr>
          <w:rFonts w:cs="Arial"/>
          <w:i/>
          <w:color w:val="000000" w:themeColor="text1"/>
        </w:rPr>
        <w:t xml:space="preserve"> </w:t>
      </w:r>
      <w:r w:rsidR="007C1D81" w:rsidRPr="0024299B">
        <w:rPr>
          <w:rFonts w:cs="Arial"/>
          <w:color w:val="000000" w:themeColor="text1"/>
        </w:rPr>
        <w:t>–</w:t>
      </w:r>
      <w:r w:rsidRPr="0024299B">
        <w:rPr>
          <w:rFonts w:cs="Arial"/>
          <w:color w:val="000000" w:themeColor="text1"/>
        </w:rPr>
        <w:t xml:space="preserve"> </w:t>
      </w:r>
      <w:r w:rsidR="0051728E" w:rsidRPr="0024299B">
        <w:rPr>
          <w:rFonts w:ascii="Arial" w:hAnsi="Arial" w:cs="Arial"/>
          <w:color w:val="000000" w:themeColor="text1"/>
          <w:sz w:val="24"/>
          <w:szCs w:val="24"/>
        </w:rPr>
        <w:t>w</w:t>
      </w:r>
      <w:r w:rsidRPr="0024299B">
        <w:rPr>
          <w:rFonts w:ascii="Arial" w:hAnsi="Arial" w:cs="Arial"/>
          <w:color w:val="000000" w:themeColor="text1"/>
          <w:sz w:val="24"/>
          <w:szCs w:val="24"/>
        </w:rPr>
        <w:t xml:space="preserve">e are proud of the fact </w:t>
      </w:r>
      <w:r w:rsidR="00F06810" w:rsidRPr="0024299B">
        <w:rPr>
          <w:rFonts w:ascii="Arial" w:hAnsi="Arial" w:cs="Arial"/>
          <w:color w:val="000000" w:themeColor="text1"/>
          <w:sz w:val="24"/>
          <w:szCs w:val="24"/>
        </w:rPr>
        <w:t xml:space="preserve">our </w:t>
      </w:r>
      <w:r w:rsidRPr="0024299B">
        <w:rPr>
          <w:rFonts w:ascii="Arial" w:hAnsi="Arial" w:cs="Arial"/>
          <w:color w:val="000000" w:themeColor="text1"/>
          <w:sz w:val="24"/>
          <w:szCs w:val="24"/>
        </w:rPr>
        <w:t xml:space="preserve">Board is now </w:t>
      </w:r>
      <w:r w:rsidR="004F6112" w:rsidRPr="0024299B">
        <w:rPr>
          <w:rFonts w:ascii="Arial" w:hAnsi="Arial" w:cs="Arial"/>
          <w:color w:val="000000" w:themeColor="text1"/>
          <w:sz w:val="24"/>
          <w:szCs w:val="24"/>
        </w:rPr>
        <w:t xml:space="preserve">71% </w:t>
      </w:r>
      <w:r w:rsidR="00F516DE" w:rsidRPr="0024299B">
        <w:rPr>
          <w:rFonts w:ascii="Arial" w:hAnsi="Arial" w:cs="Arial"/>
          <w:color w:val="000000" w:themeColor="text1"/>
          <w:sz w:val="24"/>
          <w:szCs w:val="24"/>
        </w:rPr>
        <w:t xml:space="preserve">female and </w:t>
      </w:r>
      <w:r w:rsidR="00B62DB0" w:rsidRPr="0024299B">
        <w:rPr>
          <w:rFonts w:ascii="Arial" w:hAnsi="Arial" w:cs="Arial"/>
          <w:color w:val="000000" w:themeColor="text1"/>
          <w:sz w:val="24"/>
          <w:szCs w:val="24"/>
        </w:rPr>
        <w:t xml:space="preserve">24% of our </w:t>
      </w:r>
      <w:r w:rsidRPr="0024299B">
        <w:rPr>
          <w:rFonts w:ascii="Arial" w:hAnsi="Arial" w:cs="Arial"/>
          <w:color w:val="000000" w:themeColor="text1"/>
          <w:sz w:val="24"/>
          <w:szCs w:val="24"/>
        </w:rPr>
        <w:t>senior leadership roles at SCS to Band 2</w:t>
      </w:r>
      <w:r w:rsidR="00B62DB0" w:rsidRPr="0024299B">
        <w:rPr>
          <w:rFonts w:ascii="Arial" w:hAnsi="Arial" w:cs="Arial"/>
          <w:color w:val="000000" w:themeColor="text1"/>
          <w:sz w:val="24"/>
          <w:szCs w:val="24"/>
        </w:rPr>
        <w:t xml:space="preserve"> are held by women</w:t>
      </w:r>
      <w:r w:rsidRPr="0024299B">
        <w:rPr>
          <w:rFonts w:ascii="Arial" w:hAnsi="Arial" w:cs="Arial"/>
          <w:color w:val="000000" w:themeColor="text1"/>
          <w:sz w:val="24"/>
          <w:szCs w:val="24"/>
        </w:rPr>
        <w:t>.</w:t>
      </w:r>
      <w:r w:rsidR="0024299B" w:rsidRPr="0024299B">
        <w:rPr>
          <w:rFonts w:ascii="Arial" w:hAnsi="Arial" w:cs="Arial"/>
          <w:sz w:val="24"/>
          <w:szCs w:val="24"/>
        </w:rPr>
        <w:t xml:space="preserve"> </w:t>
      </w:r>
    </w:p>
    <w:p w14:paraId="441FB8C2" w14:textId="77777777" w:rsidR="008946DC" w:rsidRPr="008946DC" w:rsidRDefault="008946DC" w:rsidP="008946DC">
      <w:pPr>
        <w:pStyle w:val="ListParagraph"/>
        <w:rPr>
          <w:rFonts w:ascii="Arial" w:hAnsi="Arial" w:cs="Arial"/>
          <w:b/>
          <w:bCs/>
          <w:color w:val="000000" w:themeColor="text1"/>
          <w:sz w:val="24"/>
          <w:szCs w:val="24"/>
        </w:rPr>
      </w:pPr>
    </w:p>
    <w:p w14:paraId="177DEEDB" w14:textId="2FE1B012" w:rsidR="009C30BD" w:rsidRDefault="009C30BD" w:rsidP="008946DC">
      <w:pPr>
        <w:pStyle w:val="ListParagraph"/>
        <w:numPr>
          <w:ilvl w:val="0"/>
          <w:numId w:val="28"/>
        </w:numPr>
        <w:rPr>
          <w:rFonts w:ascii="Arial" w:hAnsi="Arial" w:cs="Arial"/>
          <w:color w:val="000000" w:themeColor="text1"/>
          <w:sz w:val="24"/>
          <w:szCs w:val="24"/>
        </w:rPr>
      </w:pPr>
      <w:r w:rsidRPr="0067057B">
        <w:rPr>
          <w:rFonts w:ascii="Arial" w:hAnsi="Arial" w:cs="Arial"/>
          <w:b/>
          <w:bCs/>
          <w:color w:val="000000" w:themeColor="text1"/>
          <w:sz w:val="24"/>
          <w:szCs w:val="24"/>
        </w:rPr>
        <w:t xml:space="preserve">External engagement – </w:t>
      </w:r>
      <w:r w:rsidRPr="0067057B">
        <w:rPr>
          <w:rFonts w:ascii="Arial" w:hAnsi="Arial" w:cs="Arial"/>
          <w:color w:val="000000" w:themeColor="text1"/>
          <w:sz w:val="24"/>
          <w:szCs w:val="24"/>
        </w:rPr>
        <w:t xml:space="preserve">we are working with wider sector organisations including the Nuclear Skills Strategy Group, Women in Nuclear, the Environment Agency and the Nuclear Decommissioning Authority, both to raise our profile externally as an employer of choice for women and to bring about positive change across the sector. </w:t>
      </w:r>
    </w:p>
    <w:p w14:paraId="5FEF29B0" w14:textId="64046405" w:rsidR="004A18AD" w:rsidRDefault="004A18AD" w:rsidP="004A18AD">
      <w:pPr>
        <w:pStyle w:val="ListParagraph"/>
        <w:ind w:left="714"/>
        <w:contextualSpacing w:val="0"/>
        <w:rPr>
          <w:rFonts w:ascii="Arial" w:hAnsi="Arial" w:cs="Arial"/>
          <w:i/>
          <w:color w:val="000000" w:themeColor="text1"/>
          <w:sz w:val="24"/>
          <w:szCs w:val="24"/>
        </w:rPr>
      </w:pPr>
    </w:p>
    <w:p w14:paraId="5FEF29B2" w14:textId="6A14CC0F" w:rsidR="00540B97" w:rsidRPr="00896C2A" w:rsidRDefault="00801113" w:rsidP="00557996">
      <w:pPr>
        <w:pStyle w:val="ListParagraph"/>
        <w:numPr>
          <w:ilvl w:val="0"/>
          <w:numId w:val="25"/>
        </w:numPr>
        <w:ind w:left="714" w:hanging="357"/>
        <w:rPr>
          <w:rFonts w:ascii="Arial" w:hAnsi="Arial" w:cs="Arial"/>
          <w:color w:val="000000" w:themeColor="text1"/>
          <w:sz w:val="24"/>
          <w:szCs w:val="24"/>
        </w:rPr>
      </w:pPr>
      <w:r w:rsidRPr="00896C2A">
        <w:rPr>
          <w:rFonts w:ascii="Arial" w:hAnsi="Arial" w:cs="Arial"/>
          <w:b/>
          <w:bCs/>
          <w:iCs/>
          <w:color w:val="000000" w:themeColor="text1"/>
          <w:sz w:val="24"/>
          <w:szCs w:val="24"/>
        </w:rPr>
        <w:t>Nuclear graduates’</w:t>
      </w:r>
      <w:r w:rsidR="004A18AD" w:rsidRPr="00896C2A">
        <w:rPr>
          <w:rFonts w:ascii="Arial" w:hAnsi="Arial" w:cs="Arial"/>
          <w:b/>
          <w:bCs/>
          <w:iCs/>
          <w:color w:val="000000" w:themeColor="text1"/>
          <w:sz w:val="24"/>
          <w:szCs w:val="24"/>
        </w:rPr>
        <w:t xml:space="preserve"> scheme</w:t>
      </w:r>
      <w:r w:rsidR="004A18AD" w:rsidRPr="00896C2A">
        <w:rPr>
          <w:rFonts w:ascii="Arial" w:hAnsi="Arial" w:cs="Arial"/>
          <w:color w:val="000000" w:themeColor="text1"/>
          <w:sz w:val="24"/>
          <w:szCs w:val="24"/>
        </w:rPr>
        <w:t xml:space="preserve"> </w:t>
      </w:r>
      <w:r w:rsidR="007C1D81" w:rsidRPr="00896C2A">
        <w:rPr>
          <w:rFonts w:ascii="Arial" w:hAnsi="Arial" w:cs="Arial"/>
          <w:color w:val="000000" w:themeColor="text1"/>
          <w:sz w:val="24"/>
          <w:szCs w:val="24"/>
        </w:rPr>
        <w:t>–</w:t>
      </w:r>
      <w:r w:rsidR="004A18AD" w:rsidRPr="00896C2A">
        <w:rPr>
          <w:rFonts w:ascii="Arial" w:hAnsi="Arial" w:cs="Arial"/>
          <w:color w:val="000000" w:themeColor="text1"/>
          <w:sz w:val="24"/>
          <w:szCs w:val="24"/>
        </w:rPr>
        <w:t xml:space="preserve"> </w:t>
      </w:r>
      <w:r w:rsidR="0051728E" w:rsidRPr="00896C2A">
        <w:rPr>
          <w:rFonts w:ascii="Arial" w:hAnsi="Arial" w:cs="Arial"/>
          <w:color w:val="000000" w:themeColor="text1"/>
          <w:sz w:val="24"/>
          <w:szCs w:val="24"/>
        </w:rPr>
        <w:t>s</w:t>
      </w:r>
      <w:r w:rsidR="004A18AD" w:rsidRPr="00896C2A">
        <w:rPr>
          <w:rFonts w:ascii="Arial" w:hAnsi="Arial" w:cs="Arial"/>
          <w:color w:val="000000" w:themeColor="text1"/>
          <w:sz w:val="24"/>
          <w:szCs w:val="24"/>
        </w:rPr>
        <w:t xml:space="preserve">ince 2014, ONR has sponsored an annual cohort participating in the industry-wide </w:t>
      </w:r>
      <w:r w:rsidR="00A6642D" w:rsidRPr="00896C2A">
        <w:rPr>
          <w:rFonts w:ascii="Arial" w:hAnsi="Arial" w:cs="Arial"/>
          <w:color w:val="000000" w:themeColor="text1"/>
          <w:sz w:val="24"/>
          <w:szCs w:val="24"/>
        </w:rPr>
        <w:t>Nuclear Graduates</w:t>
      </w:r>
      <w:r w:rsidR="00D676D9" w:rsidRPr="00896C2A">
        <w:rPr>
          <w:rFonts w:ascii="Arial" w:hAnsi="Arial" w:cs="Arial"/>
          <w:color w:val="000000" w:themeColor="text1"/>
          <w:sz w:val="24"/>
          <w:szCs w:val="24"/>
        </w:rPr>
        <w:t xml:space="preserve"> </w:t>
      </w:r>
      <w:r w:rsidR="004A18AD" w:rsidRPr="00896C2A">
        <w:rPr>
          <w:rFonts w:ascii="Arial" w:hAnsi="Arial" w:cs="Arial"/>
          <w:color w:val="000000" w:themeColor="text1"/>
          <w:sz w:val="24"/>
          <w:szCs w:val="24"/>
        </w:rPr>
        <w:t>training programme</w:t>
      </w:r>
      <w:r w:rsidR="001506B4" w:rsidRPr="00896C2A">
        <w:rPr>
          <w:rFonts w:ascii="Arial" w:hAnsi="Arial" w:cs="Arial"/>
          <w:color w:val="000000" w:themeColor="text1"/>
          <w:sz w:val="24"/>
          <w:szCs w:val="24"/>
        </w:rPr>
        <w:t xml:space="preserve">. </w:t>
      </w:r>
      <w:r w:rsidR="005355E1" w:rsidRPr="00896C2A">
        <w:rPr>
          <w:rFonts w:ascii="Arial" w:hAnsi="Arial" w:cs="Arial"/>
          <w:color w:val="000000"/>
          <w:sz w:val="24"/>
          <w:szCs w:val="24"/>
        </w:rPr>
        <w:t xml:space="preserve">To date, over </w:t>
      </w:r>
      <w:r w:rsidR="005355E1" w:rsidRPr="00455D5A">
        <w:rPr>
          <w:rFonts w:ascii="Arial" w:hAnsi="Arial" w:cs="Arial"/>
          <w:color w:val="000000"/>
          <w:sz w:val="24"/>
          <w:szCs w:val="24"/>
        </w:rPr>
        <w:t>37%</w:t>
      </w:r>
      <w:r w:rsidR="005355E1" w:rsidRPr="00896C2A">
        <w:rPr>
          <w:rFonts w:ascii="Arial" w:hAnsi="Arial" w:cs="Arial"/>
          <w:color w:val="000000"/>
          <w:sz w:val="24"/>
          <w:szCs w:val="24"/>
        </w:rPr>
        <w:t xml:space="preserve"> of the ONR sponsored participants have been women. We </w:t>
      </w:r>
      <w:r w:rsidR="005355E1" w:rsidRPr="00896C2A">
        <w:rPr>
          <w:rFonts w:ascii="Arial" w:hAnsi="Arial" w:cs="Arial"/>
          <w:color w:val="000000"/>
          <w:sz w:val="24"/>
          <w:szCs w:val="24"/>
        </w:rPr>
        <w:lastRenderedPageBreak/>
        <w:t xml:space="preserve">are also pleased that </w:t>
      </w:r>
      <w:r w:rsidR="005355E1" w:rsidRPr="00455D5A">
        <w:rPr>
          <w:rFonts w:ascii="Arial" w:hAnsi="Arial" w:cs="Arial"/>
          <w:color w:val="000000"/>
          <w:sz w:val="24"/>
          <w:szCs w:val="24"/>
        </w:rPr>
        <w:t>12</w:t>
      </w:r>
      <w:r w:rsidR="005355E1" w:rsidRPr="00896C2A">
        <w:rPr>
          <w:rFonts w:ascii="Arial" w:hAnsi="Arial" w:cs="Arial"/>
          <w:b/>
          <w:bCs/>
          <w:color w:val="000000"/>
          <w:sz w:val="24"/>
          <w:szCs w:val="24"/>
        </w:rPr>
        <w:t xml:space="preserve"> </w:t>
      </w:r>
      <w:r w:rsidR="005355E1" w:rsidRPr="00896C2A">
        <w:rPr>
          <w:rFonts w:ascii="Arial" w:hAnsi="Arial" w:cs="Arial"/>
          <w:color w:val="000000"/>
          <w:sz w:val="24"/>
          <w:szCs w:val="24"/>
        </w:rPr>
        <w:t>women have subsequently joined ONR as technical specialists on permanent appointments through this route</w:t>
      </w:r>
      <w:r w:rsidR="007C1D81" w:rsidRPr="00896C2A">
        <w:rPr>
          <w:rFonts w:ascii="Arial" w:hAnsi="Arial" w:cs="Arial"/>
          <w:color w:val="000000"/>
          <w:sz w:val="24"/>
          <w:szCs w:val="24"/>
        </w:rPr>
        <w:t>.</w:t>
      </w:r>
      <w:r w:rsidR="005355E1" w:rsidRPr="00896C2A">
        <w:rPr>
          <w:rFonts w:ascii="Arial" w:hAnsi="Arial" w:cs="Arial"/>
          <w:color w:val="000000"/>
          <w:sz w:val="24"/>
          <w:szCs w:val="24"/>
        </w:rPr>
        <w:t xml:space="preserve"> </w:t>
      </w:r>
    </w:p>
    <w:p w14:paraId="57693848" w14:textId="77777777" w:rsidR="00896C2A" w:rsidRPr="00896C2A" w:rsidRDefault="00896C2A" w:rsidP="00896C2A">
      <w:pPr>
        <w:pStyle w:val="ListParagraph"/>
        <w:ind w:left="714"/>
        <w:rPr>
          <w:rFonts w:ascii="Arial" w:hAnsi="Arial" w:cs="Arial"/>
          <w:color w:val="000000" w:themeColor="text1"/>
          <w:sz w:val="24"/>
          <w:szCs w:val="24"/>
        </w:rPr>
      </w:pPr>
    </w:p>
    <w:p w14:paraId="3098BAEE" w14:textId="2CE56355" w:rsidR="007E5B02" w:rsidRPr="007E5B02" w:rsidRDefault="004A18AD" w:rsidP="004A18AD">
      <w:pPr>
        <w:pStyle w:val="ListParagraph"/>
        <w:numPr>
          <w:ilvl w:val="0"/>
          <w:numId w:val="13"/>
        </w:numPr>
        <w:contextualSpacing w:val="0"/>
        <w:rPr>
          <w:rFonts w:ascii="Arial" w:hAnsi="Arial" w:cs="Arial"/>
          <w:color w:val="000000" w:themeColor="text1"/>
          <w:sz w:val="24"/>
          <w:szCs w:val="24"/>
        </w:rPr>
      </w:pPr>
      <w:r w:rsidRPr="008519A2">
        <w:rPr>
          <w:rFonts w:ascii="Arial" w:hAnsi="Arial" w:cs="Arial"/>
          <w:b/>
          <w:bCs/>
          <w:color w:val="000000" w:themeColor="text1"/>
          <w:sz w:val="24"/>
          <w:szCs w:val="24"/>
        </w:rPr>
        <w:t>Degree level apprenticeships</w:t>
      </w:r>
      <w:r w:rsidRPr="008519A2">
        <w:rPr>
          <w:rFonts w:ascii="Arial" w:hAnsi="Arial" w:cs="Arial"/>
          <w:color w:val="000000" w:themeColor="text1"/>
          <w:sz w:val="24"/>
          <w:szCs w:val="24"/>
        </w:rPr>
        <w:t xml:space="preserve"> –</w:t>
      </w:r>
      <w:r w:rsidR="00D15E68" w:rsidRPr="00D15E68">
        <w:t xml:space="preserve"> </w:t>
      </w:r>
      <w:r w:rsidR="00D15E68" w:rsidRPr="00D15E68">
        <w:rPr>
          <w:rFonts w:ascii="Arial" w:hAnsi="Arial" w:cs="Arial"/>
          <w:sz w:val="24"/>
          <w:szCs w:val="24"/>
        </w:rPr>
        <w:t xml:space="preserve">Apprenticeships offer an alternative and appealing entry point into a career in </w:t>
      </w:r>
      <w:r w:rsidR="00DD6134">
        <w:rPr>
          <w:rFonts w:ascii="Arial" w:hAnsi="Arial" w:cs="Arial"/>
          <w:sz w:val="24"/>
          <w:szCs w:val="24"/>
        </w:rPr>
        <w:t>the sector and ONR</w:t>
      </w:r>
      <w:r w:rsidR="00D15E68" w:rsidRPr="00D15E68">
        <w:rPr>
          <w:rFonts w:ascii="Arial" w:hAnsi="Arial" w:cs="Arial"/>
          <w:sz w:val="24"/>
          <w:szCs w:val="24"/>
        </w:rPr>
        <w:t xml:space="preserve"> has an active programme that </w:t>
      </w:r>
      <w:r w:rsidR="009A4CE3">
        <w:rPr>
          <w:rFonts w:ascii="Arial" w:hAnsi="Arial" w:cs="Arial"/>
          <w:sz w:val="24"/>
          <w:szCs w:val="24"/>
        </w:rPr>
        <w:t xml:space="preserve">is </w:t>
      </w:r>
      <w:r w:rsidR="000D34C0">
        <w:rPr>
          <w:rFonts w:ascii="Arial" w:hAnsi="Arial" w:cs="Arial"/>
          <w:sz w:val="24"/>
          <w:szCs w:val="24"/>
        </w:rPr>
        <w:t xml:space="preserve">supporting </w:t>
      </w:r>
      <w:r w:rsidR="000D2ADB">
        <w:rPr>
          <w:rFonts w:ascii="Arial" w:hAnsi="Arial" w:cs="Arial"/>
          <w:sz w:val="24"/>
          <w:szCs w:val="24"/>
        </w:rPr>
        <w:t>women</w:t>
      </w:r>
      <w:r w:rsidR="00D15E68" w:rsidRPr="00D15E68">
        <w:rPr>
          <w:rFonts w:ascii="Arial" w:hAnsi="Arial" w:cs="Arial"/>
          <w:sz w:val="24"/>
          <w:szCs w:val="24"/>
        </w:rPr>
        <w:t xml:space="preserve"> </w:t>
      </w:r>
      <w:r w:rsidR="000D34C0">
        <w:rPr>
          <w:rFonts w:ascii="Arial" w:hAnsi="Arial" w:cs="Arial"/>
          <w:sz w:val="24"/>
          <w:szCs w:val="24"/>
        </w:rPr>
        <w:t>to enter</w:t>
      </w:r>
      <w:r w:rsidR="00D15E68" w:rsidRPr="00D15E68">
        <w:rPr>
          <w:rFonts w:ascii="Arial" w:hAnsi="Arial" w:cs="Arial"/>
          <w:sz w:val="24"/>
          <w:szCs w:val="24"/>
        </w:rPr>
        <w:t xml:space="preserve"> STEM-based careers. </w:t>
      </w:r>
    </w:p>
    <w:p w14:paraId="22E7BD53" w14:textId="340EC4C8" w:rsidR="007E5B02" w:rsidRPr="008519A2" w:rsidRDefault="007E5B02" w:rsidP="007E5B02">
      <w:pPr>
        <w:pStyle w:val="ListParagraph"/>
        <w:contextualSpacing w:val="0"/>
        <w:rPr>
          <w:rFonts w:ascii="Arial" w:hAnsi="Arial" w:cs="Arial"/>
          <w:color w:val="000000" w:themeColor="text1"/>
          <w:sz w:val="24"/>
          <w:szCs w:val="24"/>
        </w:rPr>
      </w:pPr>
      <w:r>
        <w:rPr>
          <w:rFonts w:ascii="Arial" w:hAnsi="Arial" w:cs="Arial"/>
          <w:color w:val="000000" w:themeColor="text1"/>
          <w:sz w:val="24"/>
          <w:szCs w:val="24"/>
        </w:rPr>
        <w:t xml:space="preserve">In </w:t>
      </w:r>
      <w:r w:rsidRPr="008519A2">
        <w:rPr>
          <w:rFonts w:ascii="Arial" w:hAnsi="Arial" w:cs="Arial"/>
          <w:color w:val="000000" w:themeColor="text1"/>
          <w:sz w:val="24"/>
          <w:szCs w:val="24"/>
        </w:rPr>
        <w:t xml:space="preserve">support of our STEM </w:t>
      </w:r>
      <w:r w:rsidR="00BD6DB6" w:rsidRPr="008519A2">
        <w:rPr>
          <w:rFonts w:ascii="Arial" w:hAnsi="Arial" w:cs="Arial"/>
          <w:color w:val="000000" w:themeColor="text1"/>
          <w:sz w:val="24"/>
          <w:szCs w:val="24"/>
        </w:rPr>
        <w:t>strategy,</w:t>
      </w:r>
      <w:r w:rsidRPr="008519A2">
        <w:rPr>
          <w:rFonts w:ascii="Arial" w:hAnsi="Arial" w:cs="Arial"/>
          <w:color w:val="000000" w:themeColor="text1"/>
          <w:sz w:val="24"/>
          <w:szCs w:val="24"/>
        </w:rPr>
        <w:t xml:space="preserve"> we launched our first-degree level apprenticeships in Nuclear Engineering and Science. This is a change to our traditional practice of recruiting nuclear specialists with a minimum of a first degree. We are looking to develop a new talent pipeline that allows people to combine both the academic study </w:t>
      </w:r>
      <w:r w:rsidR="000D34C0">
        <w:rPr>
          <w:rFonts w:ascii="Arial" w:hAnsi="Arial" w:cs="Arial"/>
          <w:color w:val="000000" w:themeColor="text1"/>
          <w:sz w:val="24"/>
          <w:szCs w:val="24"/>
        </w:rPr>
        <w:t>of</w:t>
      </w:r>
      <w:r w:rsidR="000D34C0" w:rsidRPr="008519A2">
        <w:rPr>
          <w:rFonts w:ascii="Arial" w:hAnsi="Arial" w:cs="Arial"/>
          <w:color w:val="000000" w:themeColor="text1"/>
          <w:sz w:val="24"/>
          <w:szCs w:val="24"/>
        </w:rPr>
        <w:t xml:space="preserve"> </w:t>
      </w:r>
      <w:r w:rsidRPr="008519A2">
        <w:rPr>
          <w:rFonts w:ascii="Arial" w:hAnsi="Arial" w:cs="Arial"/>
          <w:color w:val="000000" w:themeColor="text1"/>
          <w:sz w:val="24"/>
          <w:szCs w:val="24"/>
        </w:rPr>
        <w:t xml:space="preserve">a traditional university degree and the practical experience and wider employment skills </w:t>
      </w:r>
      <w:r w:rsidR="000D34C0">
        <w:rPr>
          <w:rFonts w:ascii="Arial" w:hAnsi="Arial" w:cs="Arial"/>
          <w:color w:val="000000" w:themeColor="text1"/>
          <w:sz w:val="24"/>
          <w:szCs w:val="24"/>
        </w:rPr>
        <w:t>of</w:t>
      </w:r>
      <w:r w:rsidR="000D34C0" w:rsidRPr="008519A2">
        <w:rPr>
          <w:rFonts w:ascii="Arial" w:hAnsi="Arial" w:cs="Arial"/>
          <w:color w:val="000000" w:themeColor="text1"/>
          <w:sz w:val="24"/>
          <w:szCs w:val="24"/>
        </w:rPr>
        <w:t xml:space="preserve"> </w:t>
      </w:r>
      <w:r w:rsidRPr="008519A2">
        <w:rPr>
          <w:rFonts w:ascii="Arial" w:hAnsi="Arial" w:cs="Arial"/>
          <w:color w:val="000000" w:themeColor="text1"/>
          <w:sz w:val="24"/>
          <w:szCs w:val="24"/>
        </w:rPr>
        <w:t>working in a nuclear environment.</w:t>
      </w:r>
      <w:r w:rsidR="002C0DA1">
        <w:rPr>
          <w:rFonts w:ascii="Arial" w:hAnsi="Arial" w:cs="Arial"/>
          <w:color w:val="000000" w:themeColor="text1"/>
          <w:sz w:val="24"/>
          <w:szCs w:val="24"/>
        </w:rPr>
        <w:t xml:space="preserve"> We are </w:t>
      </w:r>
      <w:r w:rsidR="00EF48E8">
        <w:rPr>
          <w:rFonts w:ascii="Arial" w:hAnsi="Arial" w:cs="Arial"/>
          <w:color w:val="000000" w:themeColor="text1"/>
          <w:sz w:val="24"/>
          <w:szCs w:val="24"/>
        </w:rPr>
        <w:t xml:space="preserve">pleased to see </w:t>
      </w:r>
      <w:r w:rsidR="002C0DA1">
        <w:rPr>
          <w:rFonts w:ascii="Arial" w:hAnsi="Arial" w:cs="Arial"/>
          <w:color w:val="000000" w:themeColor="text1"/>
          <w:sz w:val="24"/>
          <w:szCs w:val="24"/>
        </w:rPr>
        <w:t>that 60% of our degree apprentices are women.</w:t>
      </w:r>
    </w:p>
    <w:p w14:paraId="3C1C0459" w14:textId="77777777" w:rsidR="007E5B02" w:rsidRPr="007E5B02" w:rsidRDefault="007E5B02" w:rsidP="007E5B02">
      <w:pPr>
        <w:pStyle w:val="ListParagraph"/>
        <w:rPr>
          <w:rFonts w:ascii="Arial" w:hAnsi="Arial" w:cs="Arial"/>
          <w:sz w:val="24"/>
          <w:szCs w:val="24"/>
        </w:rPr>
      </w:pPr>
    </w:p>
    <w:p w14:paraId="5FEF29B4" w14:textId="77777777" w:rsidR="004A18AD" w:rsidRPr="008519A2" w:rsidRDefault="004A18AD" w:rsidP="004A18AD">
      <w:pPr>
        <w:rPr>
          <w:rFonts w:cs="Arial"/>
          <w:b/>
          <w:color w:val="000000" w:themeColor="text1"/>
        </w:rPr>
      </w:pPr>
    </w:p>
    <w:p w14:paraId="5FEF29B5" w14:textId="77777777" w:rsidR="004A18AD" w:rsidRPr="008519A2" w:rsidRDefault="004A18AD" w:rsidP="004A18AD">
      <w:pPr>
        <w:ind w:left="357"/>
        <w:rPr>
          <w:rFonts w:cs="Arial"/>
          <w:b/>
          <w:color w:val="000000" w:themeColor="text1"/>
        </w:rPr>
      </w:pPr>
      <w:r w:rsidRPr="008519A2">
        <w:rPr>
          <w:rFonts w:cs="Arial"/>
          <w:b/>
          <w:color w:val="000000" w:themeColor="text1"/>
        </w:rPr>
        <w:t>Starting young – our support for STEM (Science, Technology, Engineering and Mathematics) activity</w:t>
      </w:r>
    </w:p>
    <w:p w14:paraId="5FEF29B6" w14:textId="77777777" w:rsidR="00092BEA" w:rsidRPr="008519A2" w:rsidRDefault="00092BEA" w:rsidP="004A18AD">
      <w:pPr>
        <w:ind w:left="357"/>
        <w:rPr>
          <w:rFonts w:cs="Arial"/>
          <w:b/>
          <w:color w:val="000000" w:themeColor="text1"/>
        </w:rPr>
      </w:pPr>
    </w:p>
    <w:p w14:paraId="5FEF29B7" w14:textId="78901C30" w:rsidR="00092BEA" w:rsidRPr="008519A2" w:rsidRDefault="00D8780F" w:rsidP="004A18AD">
      <w:pPr>
        <w:ind w:left="357"/>
        <w:rPr>
          <w:rFonts w:cs="Arial"/>
          <w:b/>
          <w:color w:val="000000" w:themeColor="text1"/>
        </w:rPr>
      </w:pPr>
      <w:r>
        <w:t xml:space="preserve">ONR </w:t>
      </w:r>
      <w:r w:rsidR="004C46D6">
        <w:t xml:space="preserve">also </w:t>
      </w:r>
      <w:r>
        <w:t xml:space="preserve">sees the challenge in the longer term and as such is actively engaging with schools to promote </w:t>
      </w:r>
      <w:r w:rsidR="0004216B">
        <w:t>STEM careers for girls and women</w:t>
      </w:r>
      <w:r w:rsidR="004C46D6">
        <w:t xml:space="preserve">. </w:t>
      </w:r>
      <w:r w:rsidR="00092BEA" w:rsidRPr="008519A2">
        <w:rPr>
          <w:rFonts w:cs="Arial"/>
          <w:color w:val="000000" w:themeColor="text1"/>
        </w:rPr>
        <w:t>We recognise there is a shortage of skilled and trained people</w:t>
      </w:r>
      <w:r w:rsidR="00875439">
        <w:rPr>
          <w:rFonts w:cs="Arial"/>
          <w:color w:val="000000" w:themeColor="text1"/>
        </w:rPr>
        <w:t>,</w:t>
      </w:r>
      <w:r w:rsidR="00AE5534" w:rsidRPr="008519A2">
        <w:rPr>
          <w:rFonts w:cs="Arial"/>
          <w:color w:val="000000" w:themeColor="text1"/>
        </w:rPr>
        <w:t xml:space="preserve"> in particular women</w:t>
      </w:r>
      <w:r w:rsidR="00875439">
        <w:rPr>
          <w:rFonts w:cs="Arial"/>
          <w:color w:val="000000" w:themeColor="text1"/>
        </w:rPr>
        <w:t>,</w:t>
      </w:r>
      <w:r w:rsidR="00092BEA" w:rsidRPr="008519A2">
        <w:rPr>
          <w:rFonts w:cs="Arial"/>
          <w:color w:val="000000" w:themeColor="text1"/>
        </w:rPr>
        <w:t xml:space="preserve"> in STEM</w:t>
      </w:r>
      <w:r w:rsidR="00875439">
        <w:rPr>
          <w:rFonts w:cs="Arial"/>
          <w:color w:val="000000" w:themeColor="text1"/>
        </w:rPr>
        <w:t>-</w:t>
      </w:r>
      <w:r w:rsidR="00092BEA" w:rsidRPr="008519A2">
        <w:rPr>
          <w:rFonts w:cs="Arial"/>
          <w:color w:val="000000" w:themeColor="text1"/>
        </w:rPr>
        <w:t>related subjects</w:t>
      </w:r>
      <w:r w:rsidR="00AE5534" w:rsidRPr="008519A2">
        <w:rPr>
          <w:rFonts w:cs="Arial"/>
          <w:color w:val="000000" w:themeColor="text1"/>
        </w:rPr>
        <w:t xml:space="preserve">. Therefore, </w:t>
      </w:r>
      <w:r w:rsidR="00092BEA" w:rsidRPr="008519A2">
        <w:rPr>
          <w:rFonts w:cs="Arial"/>
          <w:color w:val="000000" w:themeColor="text1"/>
        </w:rPr>
        <w:t xml:space="preserve">it is </w:t>
      </w:r>
      <w:r w:rsidR="00AE5534" w:rsidRPr="008519A2">
        <w:rPr>
          <w:rFonts w:cs="Arial"/>
          <w:color w:val="000000" w:themeColor="text1"/>
        </w:rPr>
        <w:t xml:space="preserve">in </w:t>
      </w:r>
      <w:r w:rsidR="00092BEA" w:rsidRPr="008519A2">
        <w:rPr>
          <w:rFonts w:cs="Arial"/>
          <w:color w:val="000000" w:themeColor="text1"/>
        </w:rPr>
        <w:t>our interest to ensure</w:t>
      </w:r>
      <w:r w:rsidR="00141D86">
        <w:rPr>
          <w:rFonts w:cs="Arial"/>
          <w:color w:val="000000" w:themeColor="text1"/>
        </w:rPr>
        <w:t xml:space="preserve"> that</w:t>
      </w:r>
      <w:r w:rsidR="00092BEA" w:rsidRPr="008519A2">
        <w:rPr>
          <w:rFonts w:cs="Arial"/>
          <w:color w:val="000000" w:themeColor="text1"/>
        </w:rPr>
        <w:t xml:space="preserve"> we are attracting as many</w:t>
      </w:r>
      <w:r w:rsidR="00AE5534" w:rsidRPr="008519A2">
        <w:rPr>
          <w:rFonts w:cs="Arial"/>
          <w:color w:val="000000" w:themeColor="text1"/>
        </w:rPr>
        <w:t xml:space="preserve"> </w:t>
      </w:r>
      <w:r w:rsidR="00092BEA" w:rsidRPr="008519A2">
        <w:rPr>
          <w:rFonts w:cs="Arial"/>
          <w:color w:val="000000" w:themeColor="text1"/>
        </w:rPr>
        <w:t>people as possible from a diverse background</w:t>
      </w:r>
      <w:r w:rsidR="00141D86">
        <w:rPr>
          <w:rFonts w:cs="Arial"/>
          <w:color w:val="000000" w:themeColor="text1"/>
        </w:rPr>
        <w:t>,</w:t>
      </w:r>
      <w:r w:rsidR="00092BEA" w:rsidRPr="008519A2">
        <w:rPr>
          <w:rFonts w:cs="Arial"/>
          <w:color w:val="000000" w:themeColor="text1"/>
        </w:rPr>
        <w:t xml:space="preserve"> given the competitive market environment for talent</w:t>
      </w:r>
      <w:r w:rsidR="00141D86">
        <w:rPr>
          <w:rFonts w:cs="Arial"/>
          <w:color w:val="000000" w:themeColor="text1"/>
        </w:rPr>
        <w:t>,</w:t>
      </w:r>
      <w:r w:rsidR="00AE5534" w:rsidRPr="008519A2">
        <w:rPr>
          <w:rFonts w:cs="Arial"/>
          <w:color w:val="000000" w:themeColor="text1"/>
        </w:rPr>
        <w:t xml:space="preserve"> and that ONR is representative of our wider community</w:t>
      </w:r>
      <w:r w:rsidR="00092BEA" w:rsidRPr="008519A2">
        <w:rPr>
          <w:rFonts w:cs="Arial"/>
          <w:color w:val="000000" w:themeColor="text1"/>
        </w:rPr>
        <w:t xml:space="preserve">. </w:t>
      </w:r>
    </w:p>
    <w:p w14:paraId="5FEF29B8" w14:textId="77777777" w:rsidR="004A18AD" w:rsidRPr="008519A2" w:rsidRDefault="004A18AD" w:rsidP="004A18AD">
      <w:pPr>
        <w:rPr>
          <w:rFonts w:cs="Arial"/>
          <w:b/>
          <w:color w:val="000000" w:themeColor="text1"/>
        </w:rPr>
      </w:pPr>
    </w:p>
    <w:p w14:paraId="5FEF29B9" w14:textId="699E6701" w:rsidR="00955748" w:rsidRPr="0049193E" w:rsidRDefault="004A18AD" w:rsidP="004A18AD">
      <w:pPr>
        <w:pStyle w:val="ListParagraph"/>
        <w:numPr>
          <w:ilvl w:val="0"/>
          <w:numId w:val="14"/>
        </w:numPr>
        <w:contextualSpacing w:val="0"/>
        <w:rPr>
          <w:rFonts w:ascii="Arial" w:hAnsi="Arial" w:cs="Arial"/>
          <w:color w:val="000000" w:themeColor="text1"/>
          <w:sz w:val="24"/>
          <w:szCs w:val="24"/>
        </w:rPr>
      </w:pPr>
      <w:r w:rsidRPr="008519A2">
        <w:rPr>
          <w:rFonts w:ascii="Arial" w:hAnsi="Arial" w:cs="Arial"/>
          <w:color w:val="000000" w:themeColor="text1"/>
          <w:sz w:val="24"/>
          <w:szCs w:val="24"/>
        </w:rPr>
        <w:t>We have developed a STEM strategy supporting the Nuclear Energy Agency on “Mentoring a Future Generation of Female Leaders in Science and Engineering</w:t>
      </w:r>
      <w:r w:rsidR="00DD5659" w:rsidRPr="008519A2">
        <w:rPr>
          <w:rFonts w:ascii="Arial" w:hAnsi="Arial" w:cs="Arial"/>
          <w:color w:val="000000" w:themeColor="text1"/>
          <w:sz w:val="24"/>
          <w:szCs w:val="24"/>
        </w:rPr>
        <w:t>.”</w:t>
      </w:r>
      <w:r w:rsidRPr="008519A2">
        <w:rPr>
          <w:rFonts w:ascii="Arial" w:hAnsi="Arial" w:cs="Arial"/>
          <w:color w:val="000000" w:themeColor="text1"/>
          <w:sz w:val="24"/>
          <w:szCs w:val="24"/>
        </w:rPr>
        <w:t xml:space="preserve"> We can</w:t>
      </w:r>
      <w:r w:rsidR="0051728E" w:rsidRPr="008519A2">
        <w:rPr>
          <w:rFonts w:ascii="Arial" w:hAnsi="Arial" w:cs="Arial"/>
          <w:color w:val="000000" w:themeColor="text1"/>
          <w:sz w:val="24"/>
          <w:szCs w:val="24"/>
        </w:rPr>
        <w:t xml:space="preserve"> directly</w:t>
      </w:r>
      <w:r w:rsidRPr="008519A2">
        <w:rPr>
          <w:rFonts w:ascii="Arial" w:hAnsi="Arial" w:cs="Arial"/>
          <w:color w:val="000000" w:themeColor="text1"/>
          <w:sz w:val="24"/>
          <w:szCs w:val="24"/>
        </w:rPr>
        <w:t xml:space="preserve"> impact young people</w:t>
      </w:r>
      <w:r w:rsidR="008A71FF">
        <w:rPr>
          <w:rFonts w:ascii="Arial" w:hAnsi="Arial" w:cs="Arial"/>
          <w:color w:val="000000" w:themeColor="text1"/>
          <w:sz w:val="24"/>
          <w:szCs w:val="24"/>
        </w:rPr>
        <w:t>, particularly girls,</w:t>
      </w:r>
      <w:r w:rsidRPr="008519A2">
        <w:rPr>
          <w:rFonts w:ascii="Arial" w:hAnsi="Arial" w:cs="Arial"/>
          <w:color w:val="000000" w:themeColor="text1"/>
          <w:sz w:val="24"/>
          <w:szCs w:val="24"/>
        </w:rPr>
        <w:t xml:space="preserve"> </w:t>
      </w:r>
      <w:r w:rsidR="00801113" w:rsidRPr="008519A2">
        <w:rPr>
          <w:rFonts w:ascii="Arial" w:hAnsi="Arial" w:cs="Arial"/>
          <w:color w:val="000000" w:themeColor="text1"/>
          <w:sz w:val="24"/>
          <w:szCs w:val="24"/>
        </w:rPr>
        <w:t>by</w:t>
      </w:r>
      <w:r w:rsidRPr="008519A2">
        <w:rPr>
          <w:rFonts w:ascii="Arial" w:hAnsi="Arial" w:cs="Arial"/>
          <w:color w:val="000000" w:themeColor="text1"/>
          <w:sz w:val="24"/>
          <w:szCs w:val="24"/>
        </w:rPr>
        <w:t xml:space="preserve"> inspiring and supporting the next generation of nuclear specialists and</w:t>
      </w:r>
      <w:r w:rsidR="008A71FF">
        <w:rPr>
          <w:rFonts w:ascii="Arial" w:hAnsi="Arial" w:cs="Arial"/>
          <w:color w:val="000000" w:themeColor="text1"/>
          <w:sz w:val="24"/>
          <w:szCs w:val="24"/>
        </w:rPr>
        <w:t xml:space="preserve"> therefore</w:t>
      </w:r>
      <w:r w:rsidRPr="008519A2">
        <w:rPr>
          <w:rFonts w:ascii="Arial" w:hAnsi="Arial" w:cs="Arial"/>
          <w:color w:val="000000" w:themeColor="text1"/>
          <w:sz w:val="24"/>
          <w:szCs w:val="24"/>
        </w:rPr>
        <w:t xml:space="preserve"> </w:t>
      </w:r>
      <w:r w:rsidR="005848A3" w:rsidRPr="008519A2">
        <w:rPr>
          <w:rFonts w:ascii="Arial" w:hAnsi="Arial" w:cs="Arial"/>
          <w:color w:val="000000" w:themeColor="text1"/>
          <w:sz w:val="24"/>
          <w:szCs w:val="24"/>
        </w:rPr>
        <w:t>improv</w:t>
      </w:r>
      <w:r w:rsidR="000A6B05">
        <w:rPr>
          <w:rFonts w:ascii="Arial" w:hAnsi="Arial" w:cs="Arial"/>
          <w:color w:val="000000" w:themeColor="text1"/>
          <w:sz w:val="24"/>
          <w:szCs w:val="24"/>
        </w:rPr>
        <w:t>ing</w:t>
      </w:r>
      <w:r w:rsidR="005848A3" w:rsidRPr="008519A2">
        <w:rPr>
          <w:rFonts w:ascii="Arial" w:hAnsi="Arial" w:cs="Arial"/>
          <w:color w:val="000000" w:themeColor="text1"/>
          <w:sz w:val="24"/>
          <w:szCs w:val="24"/>
        </w:rPr>
        <w:t xml:space="preserve"> the gender balance</w:t>
      </w:r>
      <w:r w:rsidRPr="008519A2">
        <w:rPr>
          <w:rFonts w:ascii="Arial" w:hAnsi="Arial" w:cs="Arial"/>
          <w:color w:val="000000" w:themeColor="text1"/>
          <w:sz w:val="24"/>
          <w:szCs w:val="24"/>
        </w:rPr>
        <w:t xml:space="preserve">. ONR </w:t>
      </w:r>
      <w:r w:rsidR="00FD4FC2" w:rsidRPr="0049193E">
        <w:rPr>
          <w:rFonts w:ascii="Arial" w:hAnsi="Arial" w:cs="Arial"/>
          <w:color w:val="000000" w:themeColor="text1"/>
          <w:sz w:val="24"/>
          <w:szCs w:val="24"/>
        </w:rPr>
        <w:t>colleagues</w:t>
      </w:r>
      <w:r w:rsidRPr="0049193E">
        <w:rPr>
          <w:rFonts w:ascii="Arial" w:hAnsi="Arial" w:cs="Arial"/>
          <w:color w:val="000000" w:themeColor="text1"/>
          <w:sz w:val="24"/>
          <w:szCs w:val="24"/>
        </w:rPr>
        <w:t xml:space="preserve"> can play a vital role in inspiring future generations of </w:t>
      </w:r>
      <w:r w:rsidR="00B640A5">
        <w:rPr>
          <w:rFonts w:ascii="Arial" w:hAnsi="Arial" w:cs="Arial"/>
          <w:color w:val="000000" w:themeColor="text1"/>
          <w:sz w:val="24"/>
          <w:szCs w:val="24"/>
        </w:rPr>
        <w:t>female</w:t>
      </w:r>
      <w:r w:rsidR="00B640A5" w:rsidRPr="0049193E">
        <w:rPr>
          <w:rFonts w:ascii="Arial" w:hAnsi="Arial" w:cs="Arial"/>
          <w:color w:val="000000" w:themeColor="text1"/>
          <w:sz w:val="24"/>
          <w:szCs w:val="24"/>
        </w:rPr>
        <w:t xml:space="preserve"> </w:t>
      </w:r>
      <w:r w:rsidRPr="0049193E">
        <w:rPr>
          <w:rFonts w:ascii="Arial" w:hAnsi="Arial" w:cs="Arial"/>
          <w:color w:val="000000" w:themeColor="text1"/>
          <w:sz w:val="24"/>
          <w:szCs w:val="24"/>
        </w:rPr>
        <w:t>engineers and scientists, both through our work in ONR or by supporting other bodies with which we</w:t>
      </w:r>
      <w:r w:rsidR="00B640A5">
        <w:rPr>
          <w:rFonts w:ascii="Arial" w:hAnsi="Arial" w:cs="Arial"/>
          <w:color w:val="000000" w:themeColor="text1"/>
          <w:sz w:val="24"/>
          <w:szCs w:val="24"/>
        </w:rPr>
        <w:t xml:space="preserve"> a</w:t>
      </w:r>
      <w:r w:rsidRPr="0049193E">
        <w:rPr>
          <w:rFonts w:ascii="Arial" w:hAnsi="Arial" w:cs="Arial"/>
          <w:color w:val="000000" w:themeColor="text1"/>
          <w:sz w:val="24"/>
          <w:szCs w:val="24"/>
        </w:rPr>
        <w:t>re proud to be connected.</w:t>
      </w:r>
      <w:r w:rsidR="00D676D9">
        <w:rPr>
          <w:rFonts w:ascii="Arial" w:hAnsi="Arial" w:cs="Arial"/>
          <w:color w:val="000000" w:themeColor="text1"/>
          <w:sz w:val="24"/>
          <w:szCs w:val="24"/>
        </w:rPr>
        <w:t xml:space="preserve"> </w:t>
      </w:r>
    </w:p>
    <w:p w14:paraId="5FEF29BA" w14:textId="77777777" w:rsidR="00955748" w:rsidRPr="0049193E" w:rsidRDefault="00955748" w:rsidP="00955748">
      <w:pPr>
        <w:pStyle w:val="ListParagraph"/>
        <w:contextualSpacing w:val="0"/>
        <w:rPr>
          <w:rFonts w:ascii="Arial" w:hAnsi="Arial" w:cs="Arial"/>
          <w:color w:val="000000" w:themeColor="text1"/>
          <w:sz w:val="24"/>
          <w:szCs w:val="24"/>
        </w:rPr>
      </w:pPr>
    </w:p>
    <w:p w14:paraId="1C47FB28" w14:textId="5908044C" w:rsidR="00866DA5" w:rsidRPr="0049193E" w:rsidRDefault="0043076A" w:rsidP="00866DA5">
      <w:pPr>
        <w:pStyle w:val="ListParagraph"/>
        <w:numPr>
          <w:ilvl w:val="0"/>
          <w:numId w:val="14"/>
        </w:numPr>
        <w:contextualSpacing w:val="0"/>
        <w:jc w:val="both"/>
        <w:rPr>
          <w:rFonts w:ascii="Arial" w:hAnsi="Arial" w:cs="Arial"/>
          <w:color w:val="000000" w:themeColor="text1"/>
          <w:sz w:val="24"/>
          <w:szCs w:val="24"/>
        </w:rPr>
      </w:pPr>
      <w:r w:rsidRPr="009C3AC4">
        <w:rPr>
          <w:rFonts w:asciiTheme="minorBidi" w:hAnsiTheme="minorBidi" w:cstheme="minorBidi"/>
          <w:color w:val="0B0C0C"/>
          <w:sz w:val="24"/>
          <w:szCs w:val="24"/>
          <w:lang w:eastAsia="en-GB"/>
        </w:rPr>
        <w:t xml:space="preserve">In conjunction with </w:t>
      </w:r>
      <w:r w:rsidR="009C3AC4" w:rsidRPr="009C3AC4">
        <w:rPr>
          <w:rFonts w:asciiTheme="minorBidi" w:hAnsiTheme="minorBidi" w:cstheme="minorBidi"/>
          <w:color w:val="0B0C0C"/>
          <w:sz w:val="24"/>
          <w:szCs w:val="24"/>
          <w:lang w:eastAsia="en-GB"/>
        </w:rPr>
        <w:t xml:space="preserve">others </w:t>
      </w:r>
      <w:r w:rsidR="009C3AC4">
        <w:rPr>
          <w:rFonts w:asciiTheme="minorBidi" w:hAnsiTheme="minorBidi" w:cstheme="minorBidi"/>
          <w:color w:val="0B0C0C"/>
          <w:sz w:val="24"/>
          <w:szCs w:val="24"/>
          <w:lang w:eastAsia="en-GB"/>
        </w:rPr>
        <w:t xml:space="preserve">from </w:t>
      </w:r>
      <w:r w:rsidR="009C3AC4" w:rsidRPr="009C3AC4">
        <w:rPr>
          <w:rFonts w:asciiTheme="minorBidi" w:hAnsiTheme="minorBidi" w:cstheme="minorBidi"/>
          <w:color w:val="0B0C0C"/>
          <w:sz w:val="24"/>
          <w:szCs w:val="24"/>
          <w:lang w:eastAsia="en-GB"/>
        </w:rPr>
        <w:t xml:space="preserve">across the sector we continue with our </w:t>
      </w:r>
      <w:r w:rsidRPr="009C3AC4">
        <w:rPr>
          <w:rFonts w:asciiTheme="minorBidi" w:hAnsiTheme="minorBidi" w:cstheme="minorBidi"/>
          <w:color w:val="0B0C0C"/>
          <w:sz w:val="24"/>
          <w:szCs w:val="24"/>
          <w:lang w:eastAsia="en-GB"/>
        </w:rPr>
        <w:t>strong partnerships</w:t>
      </w:r>
      <w:r w:rsidR="009C3AC4" w:rsidRPr="009C3AC4">
        <w:rPr>
          <w:rFonts w:asciiTheme="minorBidi" w:hAnsiTheme="minorBidi" w:cstheme="minorBidi"/>
          <w:color w:val="0B0C0C"/>
          <w:sz w:val="24"/>
          <w:szCs w:val="24"/>
          <w:lang w:eastAsia="en-GB"/>
        </w:rPr>
        <w:t xml:space="preserve"> working with </w:t>
      </w:r>
      <w:r w:rsidRPr="009C3AC4">
        <w:rPr>
          <w:rFonts w:asciiTheme="minorBidi" w:hAnsiTheme="minorBidi" w:cstheme="minorBidi"/>
          <w:color w:val="0B0C0C"/>
          <w:sz w:val="24"/>
          <w:szCs w:val="24"/>
          <w:lang w:eastAsia="en-GB"/>
        </w:rPr>
        <w:t>N</w:t>
      </w:r>
      <w:r w:rsidR="00B32238">
        <w:rPr>
          <w:rFonts w:asciiTheme="minorBidi" w:hAnsiTheme="minorBidi" w:cstheme="minorBidi"/>
          <w:color w:val="0B0C0C"/>
          <w:sz w:val="24"/>
          <w:szCs w:val="24"/>
          <w:lang w:eastAsia="en-GB"/>
        </w:rPr>
        <w:t>uclear</w:t>
      </w:r>
      <w:r w:rsidRPr="009C3AC4">
        <w:rPr>
          <w:rFonts w:asciiTheme="minorBidi" w:hAnsiTheme="minorBidi" w:cstheme="minorBidi"/>
          <w:color w:val="0B0C0C"/>
          <w:sz w:val="24"/>
          <w:szCs w:val="24"/>
          <w:lang w:eastAsia="en-GB"/>
        </w:rPr>
        <w:t xml:space="preserve"> Skills Strategy Group (NSSG), to champion gender balance </w:t>
      </w:r>
      <w:r w:rsidR="00866DA5">
        <w:rPr>
          <w:rFonts w:asciiTheme="minorBidi" w:hAnsiTheme="minorBidi" w:cstheme="minorBidi"/>
          <w:color w:val="0B0C0C"/>
          <w:sz w:val="24"/>
          <w:szCs w:val="24"/>
          <w:lang w:eastAsia="en-GB"/>
        </w:rPr>
        <w:t xml:space="preserve">and </w:t>
      </w:r>
      <w:r w:rsidR="00866DA5" w:rsidRPr="0049193E">
        <w:rPr>
          <w:rFonts w:ascii="Arial" w:hAnsi="Arial" w:cs="Arial"/>
          <w:color w:val="000000" w:themeColor="text1"/>
          <w:sz w:val="24"/>
          <w:szCs w:val="24"/>
        </w:rPr>
        <w:t xml:space="preserve">to engage with schools, </w:t>
      </w:r>
      <w:r w:rsidR="00DD5659" w:rsidRPr="0049193E">
        <w:rPr>
          <w:rFonts w:ascii="Arial" w:hAnsi="Arial" w:cs="Arial"/>
          <w:color w:val="000000" w:themeColor="text1"/>
          <w:sz w:val="24"/>
          <w:szCs w:val="24"/>
        </w:rPr>
        <w:t>colleges,</w:t>
      </w:r>
      <w:r w:rsidR="00866DA5" w:rsidRPr="0049193E">
        <w:rPr>
          <w:rFonts w:ascii="Arial" w:hAnsi="Arial" w:cs="Arial"/>
          <w:color w:val="000000" w:themeColor="text1"/>
          <w:sz w:val="24"/>
          <w:szCs w:val="24"/>
        </w:rPr>
        <w:t xml:space="preserve"> and universities to encourage </w:t>
      </w:r>
      <w:r w:rsidR="00866DA5">
        <w:rPr>
          <w:rFonts w:ascii="Arial" w:hAnsi="Arial" w:cs="Arial"/>
          <w:color w:val="000000" w:themeColor="text1"/>
          <w:sz w:val="24"/>
          <w:szCs w:val="24"/>
        </w:rPr>
        <w:t>young people of all genders to take up</w:t>
      </w:r>
      <w:r w:rsidR="00866DA5" w:rsidRPr="0049193E">
        <w:rPr>
          <w:rFonts w:ascii="Arial" w:hAnsi="Arial" w:cs="Arial"/>
          <w:color w:val="000000" w:themeColor="text1"/>
          <w:sz w:val="24"/>
          <w:szCs w:val="24"/>
        </w:rPr>
        <w:t xml:space="preserve"> STEM subjects and attract more female applica</w:t>
      </w:r>
      <w:r w:rsidR="00866DA5">
        <w:rPr>
          <w:rFonts w:ascii="Arial" w:hAnsi="Arial" w:cs="Arial"/>
          <w:color w:val="000000" w:themeColor="text1"/>
          <w:sz w:val="24"/>
          <w:szCs w:val="24"/>
        </w:rPr>
        <w:t>nt</w:t>
      </w:r>
      <w:r w:rsidR="00866DA5" w:rsidRPr="0049193E">
        <w:rPr>
          <w:rFonts w:ascii="Arial" w:hAnsi="Arial" w:cs="Arial"/>
          <w:color w:val="000000" w:themeColor="text1"/>
          <w:sz w:val="24"/>
          <w:szCs w:val="24"/>
        </w:rPr>
        <w:t xml:space="preserve">s into </w:t>
      </w:r>
      <w:r w:rsidR="00866DA5">
        <w:rPr>
          <w:rFonts w:ascii="Arial" w:hAnsi="Arial" w:cs="Arial"/>
          <w:color w:val="000000" w:themeColor="text1"/>
          <w:sz w:val="24"/>
          <w:szCs w:val="24"/>
        </w:rPr>
        <w:t>ONR and the wider nuclear industry</w:t>
      </w:r>
      <w:r w:rsidR="00866DA5" w:rsidRPr="0049193E">
        <w:rPr>
          <w:rFonts w:ascii="Arial" w:hAnsi="Arial" w:cs="Arial"/>
          <w:color w:val="000000" w:themeColor="text1"/>
          <w:sz w:val="24"/>
          <w:szCs w:val="24"/>
        </w:rPr>
        <w:t xml:space="preserve">. </w:t>
      </w:r>
    </w:p>
    <w:p w14:paraId="7F26231B" w14:textId="107AFB03" w:rsidR="0043076A" w:rsidRPr="009C3AC4" w:rsidRDefault="0043076A" w:rsidP="004F6AF9">
      <w:pPr>
        <w:pStyle w:val="ListParagraph"/>
        <w:shd w:val="clear" w:color="auto" w:fill="FFFFFF"/>
        <w:spacing w:before="300" w:after="300"/>
        <w:rPr>
          <w:rFonts w:asciiTheme="minorBidi" w:hAnsiTheme="minorBidi" w:cstheme="minorBidi"/>
          <w:color w:val="0B0C0C"/>
          <w:sz w:val="24"/>
          <w:szCs w:val="24"/>
          <w:lang w:eastAsia="en-GB"/>
        </w:rPr>
      </w:pPr>
    </w:p>
    <w:p w14:paraId="5FEF29BB" w14:textId="21D9DF8A" w:rsidR="004A18AD" w:rsidRPr="0049193E" w:rsidRDefault="009F396C" w:rsidP="009F396C">
      <w:pPr>
        <w:pStyle w:val="ListParagraph"/>
        <w:numPr>
          <w:ilvl w:val="0"/>
          <w:numId w:val="14"/>
        </w:numPr>
        <w:contextualSpacing w:val="0"/>
        <w:jc w:val="both"/>
        <w:rPr>
          <w:rFonts w:ascii="Arial" w:hAnsi="Arial" w:cs="Arial"/>
          <w:color w:val="000000" w:themeColor="text1"/>
          <w:sz w:val="24"/>
          <w:szCs w:val="24"/>
        </w:rPr>
      </w:pPr>
      <w:r w:rsidRPr="009C3AC4">
        <w:rPr>
          <w:rFonts w:asciiTheme="minorBidi" w:hAnsiTheme="minorBidi" w:cstheme="minorBidi"/>
          <w:color w:val="000000" w:themeColor="text1"/>
          <w:sz w:val="24"/>
          <w:szCs w:val="24"/>
        </w:rPr>
        <w:t xml:space="preserve">We continue to </w:t>
      </w:r>
      <w:r w:rsidR="00DA5C98" w:rsidRPr="009C3AC4">
        <w:rPr>
          <w:rFonts w:asciiTheme="minorBidi" w:hAnsiTheme="minorBidi" w:cstheme="minorBidi"/>
          <w:color w:val="000000" w:themeColor="text1"/>
          <w:sz w:val="24"/>
          <w:szCs w:val="24"/>
        </w:rPr>
        <w:t xml:space="preserve">develop our </w:t>
      </w:r>
      <w:r w:rsidR="00DA5C98" w:rsidRPr="009C3AC4">
        <w:rPr>
          <w:rFonts w:asciiTheme="minorBidi" w:hAnsiTheme="minorBidi" w:cstheme="minorBidi"/>
          <w:sz w:val="24"/>
          <w:szCs w:val="24"/>
        </w:rPr>
        <w:t>outreach strategy with local schools and colleges to improv</w:t>
      </w:r>
      <w:r w:rsidR="00780191" w:rsidRPr="009C3AC4">
        <w:rPr>
          <w:rFonts w:asciiTheme="minorBidi" w:hAnsiTheme="minorBidi" w:cstheme="minorBidi"/>
          <w:sz w:val="24"/>
          <w:szCs w:val="24"/>
        </w:rPr>
        <w:t>e</w:t>
      </w:r>
      <w:r w:rsidR="00DA5C98" w:rsidRPr="009C3AC4">
        <w:rPr>
          <w:rFonts w:asciiTheme="minorBidi" w:hAnsiTheme="minorBidi" w:cstheme="minorBidi"/>
          <w:sz w:val="24"/>
          <w:szCs w:val="24"/>
        </w:rPr>
        <w:t xml:space="preserve"> diversity across all socio-economic groups</w:t>
      </w:r>
      <w:r w:rsidR="00FF3E03" w:rsidRPr="009C3AC4">
        <w:rPr>
          <w:rFonts w:asciiTheme="minorBidi" w:hAnsiTheme="minorBidi" w:cstheme="minorBidi"/>
          <w:sz w:val="24"/>
          <w:szCs w:val="24"/>
        </w:rPr>
        <w:t>.</w:t>
      </w:r>
      <w:r w:rsidR="00DA5C98" w:rsidRPr="009C3AC4">
        <w:rPr>
          <w:rFonts w:asciiTheme="minorBidi" w:hAnsiTheme="minorBidi" w:cstheme="minorBidi"/>
          <w:color w:val="000000" w:themeColor="text1"/>
          <w:sz w:val="24"/>
          <w:szCs w:val="24"/>
        </w:rPr>
        <w:t xml:space="preserve"> </w:t>
      </w:r>
      <w:r w:rsidR="00C44311" w:rsidRPr="009C3AC4">
        <w:rPr>
          <w:rFonts w:asciiTheme="minorBidi" w:hAnsiTheme="minorBidi" w:cstheme="minorBidi"/>
          <w:color w:val="000000" w:themeColor="text1"/>
          <w:sz w:val="24"/>
          <w:szCs w:val="24"/>
        </w:rPr>
        <w:t>We promote</w:t>
      </w:r>
      <w:r w:rsidR="00CA523A" w:rsidRPr="009C3AC4">
        <w:rPr>
          <w:rFonts w:asciiTheme="minorBidi" w:hAnsiTheme="minorBidi" w:cstheme="minorBidi"/>
          <w:color w:val="000000" w:themeColor="text1"/>
          <w:sz w:val="24"/>
          <w:szCs w:val="24"/>
        </w:rPr>
        <w:t xml:space="preserve"> STEM</w:t>
      </w:r>
      <w:r w:rsidRPr="009C3AC4">
        <w:rPr>
          <w:rFonts w:asciiTheme="minorBidi" w:hAnsiTheme="minorBidi" w:cstheme="minorBidi"/>
          <w:color w:val="000000" w:themeColor="text1"/>
          <w:sz w:val="24"/>
          <w:szCs w:val="24"/>
        </w:rPr>
        <w:t xml:space="preserve"> career</w:t>
      </w:r>
      <w:r w:rsidRPr="0049193E">
        <w:rPr>
          <w:rFonts w:ascii="Arial" w:hAnsi="Arial" w:cs="Arial"/>
          <w:color w:val="000000" w:themeColor="text1"/>
          <w:sz w:val="24"/>
          <w:szCs w:val="24"/>
        </w:rPr>
        <w:t xml:space="preserve"> opportunities for women through our participation in activities in local schools and the STEM Ambassadors programme. </w:t>
      </w:r>
      <w:r w:rsidR="004A18AD" w:rsidRPr="0049193E">
        <w:rPr>
          <w:rFonts w:ascii="Arial" w:hAnsi="Arial" w:cs="Arial"/>
          <w:color w:val="000000" w:themeColor="text1"/>
          <w:sz w:val="24"/>
          <w:szCs w:val="24"/>
        </w:rPr>
        <w:t xml:space="preserve">ONR actively supports </w:t>
      </w:r>
      <w:r w:rsidR="00955748" w:rsidRPr="0049193E">
        <w:rPr>
          <w:rFonts w:ascii="Arial" w:hAnsi="Arial" w:cs="Arial"/>
          <w:color w:val="000000" w:themeColor="text1"/>
          <w:sz w:val="24"/>
          <w:szCs w:val="24"/>
        </w:rPr>
        <w:t xml:space="preserve">our </w:t>
      </w:r>
      <w:r w:rsidR="00FD4FC2" w:rsidRPr="0049193E">
        <w:rPr>
          <w:rFonts w:ascii="Arial" w:hAnsi="Arial" w:cs="Arial"/>
          <w:color w:val="000000" w:themeColor="text1"/>
          <w:sz w:val="24"/>
          <w:szCs w:val="24"/>
        </w:rPr>
        <w:t>colleagues</w:t>
      </w:r>
      <w:r w:rsidR="004A18AD" w:rsidRPr="0049193E">
        <w:rPr>
          <w:rFonts w:ascii="Arial" w:hAnsi="Arial" w:cs="Arial"/>
          <w:color w:val="000000" w:themeColor="text1"/>
          <w:sz w:val="24"/>
          <w:szCs w:val="24"/>
        </w:rPr>
        <w:t xml:space="preserve"> as </w:t>
      </w:r>
      <w:r w:rsidR="00955748" w:rsidRPr="0049193E">
        <w:rPr>
          <w:rFonts w:ascii="Arial" w:hAnsi="Arial" w:cs="Arial"/>
          <w:color w:val="000000" w:themeColor="text1"/>
          <w:sz w:val="24"/>
          <w:szCs w:val="24"/>
        </w:rPr>
        <w:t>STEM</w:t>
      </w:r>
      <w:r w:rsidR="004A18AD" w:rsidRPr="0049193E">
        <w:rPr>
          <w:rFonts w:ascii="Arial" w:hAnsi="Arial" w:cs="Arial"/>
          <w:color w:val="000000" w:themeColor="text1"/>
          <w:sz w:val="24"/>
          <w:szCs w:val="24"/>
        </w:rPr>
        <w:t xml:space="preserve"> Ambassadors</w:t>
      </w:r>
      <w:r w:rsidR="00294F67" w:rsidRPr="0049193E">
        <w:rPr>
          <w:rFonts w:ascii="Arial" w:hAnsi="Arial" w:cs="Arial"/>
          <w:color w:val="000000" w:themeColor="text1"/>
          <w:sz w:val="24"/>
          <w:szCs w:val="24"/>
        </w:rPr>
        <w:t>,</w:t>
      </w:r>
      <w:r w:rsidR="004A18AD" w:rsidRPr="0049193E">
        <w:rPr>
          <w:rFonts w:ascii="Arial" w:hAnsi="Arial" w:cs="Arial"/>
          <w:color w:val="000000" w:themeColor="text1"/>
          <w:sz w:val="24"/>
          <w:szCs w:val="24"/>
        </w:rPr>
        <w:t xml:space="preserve"> getting involved in a range of activities</w:t>
      </w:r>
      <w:r w:rsidR="008E0A7C">
        <w:rPr>
          <w:rFonts w:ascii="Arial" w:hAnsi="Arial" w:cs="Arial"/>
          <w:color w:val="000000" w:themeColor="text1"/>
          <w:sz w:val="24"/>
          <w:szCs w:val="24"/>
        </w:rPr>
        <w:t xml:space="preserve"> that</w:t>
      </w:r>
      <w:r w:rsidR="004A18AD" w:rsidRPr="0049193E">
        <w:rPr>
          <w:rFonts w:ascii="Arial" w:hAnsi="Arial" w:cs="Arial"/>
          <w:color w:val="000000" w:themeColor="text1"/>
          <w:sz w:val="24"/>
          <w:szCs w:val="24"/>
        </w:rPr>
        <w:t xml:space="preserve"> can have an impact on young people’s learning and enjoyment of STEM subjects</w:t>
      </w:r>
      <w:r w:rsidR="00294F67" w:rsidRPr="0049193E">
        <w:rPr>
          <w:rFonts w:ascii="Arial" w:hAnsi="Arial" w:cs="Arial"/>
          <w:color w:val="000000" w:themeColor="text1"/>
          <w:sz w:val="24"/>
          <w:szCs w:val="24"/>
        </w:rPr>
        <w:t>.</w:t>
      </w:r>
      <w:r w:rsidR="004A18AD" w:rsidRPr="0049193E">
        <w:rPr>
          <w:rFonts w:ascii="Arial" w:hAnsi="Arial" w:cs="Arial"/>
          <w:color w:val="000000" w:themeColor="text1"/>
          <w:sz w:val="24"/>
          <w:szCs w:val="24"/>
        </w:rPr>
        <w:t xml:space="preserve"> We have hosted </w:t>
      </w:r>
      <w:r w:rsidR="00801113" w:rsidRPr="0049193E">
        <w:rPr>
          <w:rFonts w:ascii="Arial" w:hAnsi="Arial" w:cs="Arial"/>
          <w:color w:val="000000" w:themeColor="text1"/>
          <w:sz w:val="24"/>
          <w:szCs w:val="24"/>
        </w:rPr>
        <w:t>several</w:t>
      </w:r>
      <w:r w:rsidR="004A18AD" w:rsidRPr="0049193E">
        <w:rPr>
          <w:rFonts w:ascii="Arial" w:hAnsi="Arial" w:cs="Arial"/>
          <w:color w:val="000000" w:themeColor="text1"/>
          <w:sz w:val="24"/>
          <w:szCs w:val="24"/>
        </w:rPr>
        <w:t xml:space="preserve"> school-aged children undertaking a period of work experience in the organisation</w:t>
      </w:r>
      <w:r w:rsidR="0051728E" w:rsidRPr="0049193E">
        <w:rPr>
          <w:rFonts w:ascii="Arial" w:hAnsi="Arial" w:cs="Arial"/>
          <w:color w:val="000000" w:themeColor="text1"/>
          <w:sz w:val="24"/>
          <w:szCs w:val="24"/>
        </w:rPr>
        <w:t>. W</w:t>
      </w:r>
      <w:r w:rsidR="00294F67" w:rsidRPr="0049193E">
        <w:rPr>
          <w:rFonts w:ascii="Arial" w:hAnsi="Arial" w:cs="Arial"/>
          <w:color w:val="000000" w:themeColor="text1"/>
          <w:sz w:val="24"/>
          <w:szCs w:val="24"/>
        </w:rPr>
        <w:t>e</w:t>
      </w:r>
      <w:r w:rsidR="004A18AD" w:rsidRPr="0049193E">
        <w:rPr>
          <w:rFonts w:ascii="Arial" w:hAnsi="Arial" w:cs="Arial"/>
          <w:color w:val="000000" w:themeColor="text1"/>
          <w:sz w:val="24"/>
          <w:szCs w:val="24"/>
        </w:rPr>
        <w:t xml:space="preserve"> will continue to engage with schools, </w:t>
      </w:r>
      <w:r w:rsidR="00DD5659" w:rsidRPr="0049193E">
        <w:rPr>
          <w:rFonts w:ascii="Arial" w:hAnsi="Arial" w:cs="Arial"/>
          <w:color w:val="000000" w:themeColor="text1"/>
          <w:sz w:val="24"/>
          <w:szCs w:val="24"/>
        </w:rPr>
        <w:t>colleges,</w:t>
      </w:r>
      <w:r w:rsidR="004A18AD" w:rsidRPr="0049193E">
        <w:rPr>
          <w:rFonts w:ascii="Arial" w:hAnsi="Arial" w:cs="Arial"/>
          <w:color w:val="000000" w:themeColor="text1"/>
          <w:sz w:val="24"/>
          <w:szCs w:val="24"/>
        </w:rPr>
        <w:t xml:space="preserve"> and universities </w:t>
      </w:r>
      <w:r w:rsidR="0051728E" w:rsidRPr="0049193E">
        <w:rPr>
          <w:rFonts w:ascii="Arial" w:hAnsi="Arial" w:cs="Arial"/>
          <w:color w:val="000000" w:themeColor="text1"/>
          <w:sz w:val="24"/>
          <w:szCs w:val="24"/>
        </w:rPr>
        <w:t>to en</w:t>
      </w:r>
      <w:r w:rsidR="009362DD" w:rsidRPr="0049193E">
        <w:rPr>
          <w:rFonts w:ascii="Arial" w:hAnsi="Arial" w:cs="Arial"/>
          <w:color w:val="000000" w:themeColor="text1"/>
          <w:sz w:val="24"/>
          <w:szCs w:val="24"/>
        </w:rPr>
        <w:t>courage</w:t>
      </w:r>
      <w:r w:rsidR="0051728E" w:rsidRPr="0049193E">
        <w:rPr>
          <w:rFonts w:ascii="Arial" w:hAnsi="Arial" w:cs="Arial"/>
          <w:color w:val="000000" w:themeColor="text1"/>
          <w:sz w:val="24"/>
          <w:szCs w:val="24"/>
        </w:rPr>
        <w:t xml:space="preserve"> </w:t>
      </w:r>
      <w:r w:rsidR="000715E8">
        <w:rPr>
          <w:rFonts w:ascii="Arial" w:hAnsi="Arial" w:cs="Arial"/>
          <w:color w:val="000000" w:themeColor="text1"/>
          <w:sz w:val="24"/>
          <w:szCs w:val="24"/>
        </w:rPr>
        <w:t>young people of all genders to take up</w:t>
      </w:r>
      <w:r w:rsidR="004A18AD" w:rsidRPr="0049193E">
        <w:rPr>
          <w:rFonts w:ascii="Arial" w:hAnsi="Arial" w:cs="Arial"/>
          <w:color w:val="000000" w:themeColor="text1"/>
          <w:sz w:val="24"/>
          <w:szCs w:val="24"/>
        </w:rPr>
        <w:t xml:space="preserve"> STEM subjects and attract more female applica</w:t>
      </w:r>
      <w:r w:rsidR="000715E8">
        <w:rPr>
          <w:rFonts w:ascii="Arial" w:hAnsi="Arial" w:cs="Arial"/>
          <w:color w:val="000000" w:themeColor="text1"/>
          <w:sz w:val="24"/>
          <w:szCs w:val="24"/>
        </w:rPr>
        <w:t>nt</w:t>
      </w:r>
      <w:r w:rsidR="004A18AD" w:rsidRPr="0049193E">
        <w:rPr>
          <w:rFonts w:ascii="Arial" w:hAnsi="Arial" w:cs="Arial"/>
          <w:color w:val="000000" w:themeColor="text1"/>
          <w:sz w:val="24"/>
          <w:szCs w:val="24"/>
        </w:rPr>
        <w:t xml:space="preserve">s into </w:t>
      </w:r>
      <w:r w:rsidR="000715E8">
        <w:rPr>
          <w:rFonts w:ascii="Arial" w:hAnsi="Arial" w:cs="Arial"/>
          <w:color w:val="000000" w:themeColor="text1"/>
          <w:sz w:val="24"/>
          <w:szCs w:val="24"/>
        </w:rPr>
        <w:t>ONR and the wider nuclear industry</w:t>
      </w:r>
      <w:r w:rsidR="004A18AD" w:rsidRPr="0049193E">
        <w:rPr>
          <w:rFonts w:ascii="Arial" w:hAnsi="Arial" w:cs="Arial"/>
          <w:color w:val="000000" w:themeColor="text1"/>
          <w:sz w:val="24"/>
          <w:szCs w:val="24"/>
        </w:rPr>
        <w:t xml:space="preserve">. </w:t>
      </w:r>
    </w:p>
    <w:p w14:paraId="2F4CE4C8" w14:textId="77777777" w:rsidR="00E93473" w:rsidRPr="00E93473" w:rsidRDefault="00E93473" w:rsidP="00E93473">
      <w:pPr>
        <w:pStyle w:val="ListParagraph"/>
        <w:rPr>
          <w:rFonts w:ascii="Arial" w:hAnsi="Arial" w:cs="Arial"/>
          <w:color w:val="000000" w:themeColor="text1"/>
          <w:sz w:val="24"/>
          <w:szCs w:val="24"/>
        </w:rPr>
      </w:pPr>
    </w:p>
    <w:p w14:paraId="6D99B339" w14:textId="77777777" w:rsidR="00143D59" w:rsidRDefault="00143D59" w:rsidP="004A18AD">
      <w:pPr>
        <w:rPr>
          <w:rFonts w:cs="Arial"/>
          <w:b/>
          <w:color w:val="000000" w:themeColor="text1"/>
        </w:rPr>
      </w:pPr>
    </w:p>
    <w:p w14:paraId="793C855D" w14:textId="77777777" w:rsidR="00B609F9" w:rsidRDefault="00B609F9" w:rsidP="004A18AD">
      <w:pPr>
        <w:rPr>
          <w:rFonts w:cs="Arial"/>
          <w:b/>
          <w:color w:val="000000" w:themeColor="text1"/>
        </w:rPr>
      </w:pPr>
    </w:p>
    <w:p w14:paraId="0B2702D6" w14:textId="77777777" w:rsidR="00B609F9" w:rsidRDefault="00B609F9" w:rsidP="004A18AD">
      <w:pPr>
        <w:rPr>
          <w:rFonts w:cs="Arial"/>
          <w:b/>
          <w:color w:val="000000" w:themeColor="text1"/>
        </w:rPr>
      </w:pPr>
    </w:p>
    <w:p w14:paraId="5FEF29BE" w14:textId="21D5338A" w:rsidR="004A18AD" w:rsidRPr="008519A2" w:rsidRDefault="004A18AD" w:rsidP="004A18AD">
      <w:pPr>
        <w:rPr>
          <w:rFonts w:cs="Arial"/>
          <w:b/>
          <w:color w:val="000000" w:themeColor="text1"/>
        </w:rPr>
      </w:pPr>
      <w:r w:rsidRPr="008519A2">
        <w:rPr>
          <w:rFonts w:cs="Arial"/>
          <w:b/>
          <w:color w:val="000000" w:themeColor="text1"/>
        </w:rPr>
        <w:t xml:space="preserve">Developing </w:t>
      </w:r>
      <w:r w:rsidR="006B60B7">
        <w:rPr>
          <w:rFonts w:cs="Arial"/>
          <w:b/>
          <w:color w:val="000000" w:themeColor="text1"/>
        </w:rPr>
        <w:t xml:space="preserve">and supporting </w:t>
      </w:r>
      <w:r w:rsidRPr="008519A2">
        <w:rPr>
          <w:rFonts w:cs="Arial"/>
          <w:b/>
          <w:color w:val="000000" w:themeColor="text1"/>
        </w:rPr>
        <w:t>our women</w:t>
      </w:r>
    </w:p>
    <w:p w14:paraId="5FEF29BF" w14:textId="77777777" w:rsidR="004A18AD" w:rsidRPr="008519A2" w:rsidRDefault="004A18AD" w:rsidP="004A18AD">
      <w:pPr>
        <w:rPr>
          <w:rFonts w:cs="Arial"/>
          <w:b/>
          <w:color w:val="000000" w:themeColor="text1"/>
        </w:rPr>
      </w:pPr>
    </w:p>
    <w:p w14:paraId="76ACA3D0" w14:textId="59312A2C" w:rsidR="00E15BEE" w:rsidRPr="008519A2" w:rsidRDefault="00623428">
      <w:pPr>
        <w:pStyle w:val="ListParagraph"/>
        <w:numPr>
          <w:ilvl w:val="0"/>
          <w:numId w:val="15"/>
        </w:numPr>
        <w:contextualSpacing w:val="0"/>
        <w:rPr>
          <w:rFonts w:ascii="Arial" w:hAnsi="Arial" w:cs="Arial"/>
          <w:color w:val="000000" w:themeColor="text1"/>
          <w:sz w:val="24"/>
          <w:szCs w:val="24"/>
        </w:rPr>
      </w:pPr>
      <w:r w:rsidRPr="008519A2">
        <w:rPr>
          <w:rFonts w:ascii="Arial" w:hAnsi="Arial" w:cs="Arial"/>
          <w:color w:val="000000" w:themeColor="text1"/>
          <w:sz w:val="24"/>
          <w:szCs w:val="24"/>
        </w:rPr>
        <w:t>We</w:t>
      </w:r>
      <w:r w:rsidR="0095308F" w:rsidRPr="008519A2">
        <w:rPr>
          <w:rFonts w:ascii="Arial" w:hAnsi="Arial" w:cs="Arial"/>
          <w:color w:val="000000" w:themeColor="text1"/>
          <w:sz w:val="24"/>
          <w:szCs w:val="24"/>
        </w:rPr>
        <w:t xml:space="preserve"> have </w:t>
      </w:r>
      <w:r w:rsidR="004A18AD" w:rsidRPr="008519A2">
        <w:rPr>
          <w:rFonts w:ascii="Arial" w:hAnsi="Arial" w:cs="Arial"/>
          <w:color w:val="000000" w:themeColor="text1"/>
          <w:sz w:val="24"/>
          <w:szCs w:val="24"/>
        </w:rPr>
        <w:t>reviewed and revised our leadership and management development programmes</w:t>
      </w:r>
      <w:r w:rsidR="00D13C93" w:rsidRPr="008519A2">
        <w:rPr>
          <w:rFonts w:ascii="Arial" w:hAnsi="Arial" w:cs="Arial"/>
          <w:color w:val="000000" w:themeColor="text1"/>
          <w:sz w:val="24"/>
          <w:szCs w:val="24"/>
        </w:rPr>
        <w:t xml:space="preserve"> to be more inclusive</w:t>
      </w:r>
      <w:r w:rsidR="00A646A8" w:rsidRPr="008519A2">
        <w:rPr>
          <w:rFonts w:ascii="Arial" w:hAnsi="Arial" w:cs="Arial"/>
          <w:color w:val="000000" w:themeColor="text1"/>
          <w:sz w:val="24"/>
          <w:szCs w:val="24"/>
        </w:rPr>
        <w:t xml:space="preserve">. These now </w:t>
      </w:r>
      <w:r w:rsidR="004A18AD" w:rsidRPr="008519A2">
        <w:rPr>
          <w:rFonts w:ascii="Arial" w:hAnsi="Arial" w:cs="Arial"/>
          <w:color w:val="000000" w:themeColor="text1"/>
          <w:sz w:val="24"/>
          <w:szCs w:val="24"/>
        </w:rPr>
        <w:t xml:space="preserve">provide all leaders with </w:t>
      </w:r>
      <w:r w:rsidRPr="008519A2">
        <w:rPr>
          <w:rFonts w:ascii="Arial" w:hAnsi="Arial" w:cs="Arial"/>
          <w:color w:val="000000" w:themeColor="text1"/>
          <w:sz w:val="24"/>
          <w:szCs w:val="24"/>
        </w:rPr>
        <w:t xml:space="preserve">emotional intelligence </w:t>
      </w:r>
      <w:r w:rsidR="00297B14" w:rsidRPr="008519A2">
        <w:rPr>
          <w:rFonts w:ascii="Arial" w:hAnsi="Arial" w:cs="Arial"/>
          <w:color w:val="000000" w:themeColor="text1"/>
          <w:sz w:val="24"/>
          <w:szCs w:val="24"/>
        </w:rPr>
        <w:t xml:space="preserve">and unconscious bias </w:t>
      </w:r>
      <w:r w:rsidR="004A18AD" w:rsidRPr="008519A2">
        <w:rPr>
          <w:rFonts w:ascii="Arial" w:hAnsi="Arial" w:cs="Arial"/>
          <w:color w:val="000000" w:themeColor="text1"/>
          <w:sz w:val="24"/>
          <w:szCs w:val="24"/>
        </w:rPr>
        <w:t>training</w:t>
      </w:r>
      <w:r w:rsidR="00297B14" w:rsidRPr="008519A2">
        <w:rPr>
          <w:rFonts w:ascii="Arial" w:hAnsi="Arial" w:cs="Arial"/>
          <w:color w:val="000000" w:themeColor="text1"/>
          <w:sz w:val="24"/>
          <w:szCs w:val="24"/>
        </w:rPr>
        <w:t xml:space="preserve">, setting </w:t>
      </w:r>
      <w:r w:rsidR="004A18AD" w:rsidRPr="008519A2">
        <w:rPr>
          <w:rFonts w:ascii="Arial" w:hAnsi="Arial" w:cs="Arial"/>
          <w:color w:val="000000" w:themeColor="text1"/>
          <w:sz w:val="24"/>
          <w:szCs w:val="24"/>
        </w:rPr>
        <w:t xml:space="preserve">out our expectations around </w:t>
      </w:r>
      <w:r w:rsidR="00267EA4">
        <w:rPr>
          <w:rFonts w:ascii="Arial" w:hAnsi="Arial" w:cs="Arial"/>
          <w:color w:val="000000" w:themeColor="text1"/>
          <w:sz w:val="24"/>
          <w:szCs w:val="24"/>
        </w:rPr>
        <w:t>diversity and i</w:t>
      </w:r>
      <w:r w:rsidR="006B60B7">
        <w:rPr>
          <w:rFonts w:ascii="Arial" w:hAnsi="Arial" w:cs="Arial"/>
          <w:color w:val="000000" w:themeColor="text1"/>
          <w:sz w:val="24"/>
          <w:szCs w:val="24"/>
        </w:rPr>
        <w:t>nclusion</w:t>
      </w:r>
      <w:r w:rsidR="00B04ADA">
        <w:rPr>
          <w:rFonts w:ascii="Arial" w:hAnsi="Arial" w:cs="Arial"/>
          <w:color w:val="000000" w:themeColor="text1"/>
          <w:sz w:val="24"/>
          <w:szCs w:val="24"/>
        </w:rPr>
        <w:t xml:space="preserve"> </w:t>
      </w:r>
      <w:r w:rsidR="00161855" w:rsidRPr="008519A2">
        <w:rPr>
          <w:rFonts w:ascii="Arial" w:hAnsi="Arial" w:cs="Arial"/>
          <w:color w:val="000000" w:themeColor="text1"/>
          <w:sz w:val="24"/>
          <w:szCs w:val="24"/>
        </w:rPr>
        <w:t>while creating better self</w:t>
      </w:r>
      <w:r w:rsidR="00E15BEE" w:rsidRPr="008519A2">
        <w:rPr>
          <w:rFonts w:ascii="Arial" w:hAnsi="Arial" w:cs="Arial"/>
          <w:color w:val="000000" w:themeColor="text1"/>
          <w:sz w:val="24"/>
          <w:szCs w:val="24"/>
        </w:rPr>
        <w:t>-a</w:t>
      </w:r>
      <w:r w:rsidR="00161855" w:rsidRPr="008519A2">
        <w:rPr>
          <w:rFonts w:ascii="Arial" w:hAnsi="Arial" w:cs="Arial"/>
          <w:color w:val="000000" w:themeColor="text1"/>
          <w:sz w:val="24"/>
          <w:szCs w:val="24"/>
        </w:rPr>
        <w:t xml:space="preserve">wareness </w:t>
      </w:r>
      <w:r w:rsidR="00E15BEE" w:rsidRPr="008519A2">
        <w:rPr>
          <w:rFonts w:ascii="Arial" w:hAnsi="Arial" w:cs="Arial"/>
          <w:color w:val="000000" w:themeColor="text1"/>
          <w:sz w:val="24"/>
          <w:szCs w:val="24"/>
        </w:rPr>
        <w:t>and the ability to understand others.</w:t>
      </w:r>
    </w:p>
    <w:p w14:paraId="5FEF29C1" w14:textId="77777777" w:rsidR="00F03C5D" w:rsidRPr="008519A2" w:rsidRDefault="00F03C5D" w:rsidP="00021273">
      <w:pPr>
        <w:pStyle w:val="ListParagraph"/>
        <w:contextualSpacing w:val="0"/>
        <w:rPr>
          <w:rFonts w:ascii="Arial" w:hAnsi="Arial" w:cs="Arial"/>
          <w:color w:val="000000" w:themeColor="text1"/>
          <w:sz w:val="24"/>
          <w:szCs w:val="24"/>
        </w:rPr>
      </w:pPr>
    </w:p>
    <w:p w14:paraId="5FEF29C2" w14:textId="2714F19B" w:rsidR="00092BEA" w:rsidRDefault="008B78C5" w:rsidP="00092BEA">
      <w:pPr>
        <w:pStyle w:val="ListParagraph"/>
        <w:numPr>
          <w:ilvl w:val="0"/>
          <w:numId w:val="15"/>
        </w:numPr>
        <w:contextualSpacing w:val="0"/>
        <w:rPr>
          <w:rFonts w:ascii="Arial" w:hAnsi="Arial" w:cs="Arial"/>
          <w:color w:val="000000" w:themeColor="text1"/>
          <w:sz w:val="24"/>
          <w:szCs w:val="24"/>
        </w:rPr>
      </w:pPr>
      <w:r w:rsidRPr="008519A2">
        <w:rPr>
          <w:rFonts w:ascii="Arial" w:hAnsi="Arial" w:cs="Arial"/>
          <w:color w:val="000000" w:themeColor="text1"/>
          <w:sz w:val="24"/>
          <w:szCs w:val="24"/>
        </w:rPr>
        <w:t xml:space="preserve">In </w:t>
      </w:r>
      <w:r w:rsidR="00D249F5">
        <w:rPr>
          <w:rFonts w:ascii="Arial" w:hAnsi="Arial" w:cs="Arial"/>
          <w:color w:val="000000" w:themeColor="text1"/>
          <w:sz w:val="24"/>
          <w:szCs w:val="24"/>
        </w:rPr>
        <w:t xml:space="preserve">twice </w:t>
      </w:r>
      <w:r w:rsidRPr="008519A2">
        <w:rPr>
          <w:rFonts w:ascii="Arial" w:hAnsi="Arial" w:cs="Arial"/>
          <w:color w:val="000000" w:themeColor="text1"/>
          <w:sz w:val="24"/>
          <w:szCs w:val="24"/>
        </w:rPr>
        <w:t xml:space="preserve">achieving the </w:t>
      </w:r>
      <w:r w:rsidR="004A18AD" w:rsidRPr="008519A2">
        <w:rPr>
          <w:rFonts w:ascii="Arial" w:hAnsi="Arial" w:cs="Arial"/>
          <w:color w:val="000000" w:themeColor="text1"/>
          <w:sz w:val="24"/>
          <w:szCs w:val="24"/>
        </w:rPr>
        <w:t xml:space="preserve">National Equality Standard </w:t>
      </w:r>
      <w:r w:rsidR="000F0BD1" w:rsidRPr="008519A2">
        <w:rPr>
          <w:rFonts w:ascii="Arial" w:hAnsi="Arial" w:cs="Arial"/>
          <w:color w:val="000000" w:themeColor="text1"/>
          <w:sz w:val="24"/>
          <w:szCs w:val="24"/>
        </w:rPr>
        <w:t xml:space="preserve">and </w:t>
      </w:r>
      <w:r w:rsidR="00092BEA" w:rsidRPr="008519A2">
        <w:rPr>
          <w:rFonts w:ascii="Arial" w:hAnsi="Arial" w:cs="Arial"/>
          <w:color w:val="000000" w:themeColor="text1"/>
          <w:sz w:val="24"/>
          <w:szCs w:val="24"/>
        </w:rPr>
        <w:t>Disability Confident Leader</w:t>
      </w:r>
      <w:r w:rsidR="00351BBC" w:rsidRPr="008519A2">
        <w:rPr>
          <w:rFonts w:ascii="Arial" w:hAnsi="Arial" w:cs="Arial"/>
          <w:color w:val="000000" w:themeColor="text1"/>
          <w:sz w:val="24"/>
          <w:szCs w:val="24"/>
        </w:rPr>
        <w:t xml:space="preserve"> accreditation</w:t>
      </w:r>
      <w:r w:rsidR="000F0BD1" w:rsidRPr="008519A2">
        <w:rPr>
          <w:rFonts w:ascii="Arial" w:hAnsi="Arial" w:cs="Arial"/>
          <w:color w:val="000000" w:themeColor="text1"/>
          <w:sz w:val="24"/>
          <w:szCs w:val="24"/>
        </w:rPr>
        <w:t>,</w:t>
      </w:r>
      <w:r w:rsidR="00092BEA" w:rsidRPr="008519A2">
        <w:rPr>
          <w:rFonts w:ascii="Arial" w:hAnsi="Arial" w:cs="Arial"/>
          <w:color w:val="000000" w:themeColor="text1"/>
          <w:sz w:val="24"/>
          <w:szCs w:val="24"/>
        </w:rPr>
        <w:t xml:space="preserve"> </w:t>
      </w:r>
      <w:r w:rsidR="000F0BD1" w:rsidRPr="008519A2">
        <w:rPr>
          <w:rFonts w:ascii="Arial" w:hAnsi="Arial" w:cs="Arial"/>
          <w:color w:val="000000" w:themeColor="text1"/>
          <w:sz w:val="24"/>
          <w:szCs w:val="24"/>
        </w:rPr>
        <w:t xml:space="preserve">we have </w:t>
      </w:r>
      <w:r w:rsidR="00F42B45" w:rsidRPr="008519A2">
        <w:rPr>
          <w:rFonts w:ascii="Arial" w:hAnsi="Arial" w:cs="Arial"/>
          <w:color w:val="000000" w:themeColor="text1"/>
          <w:sz w:val="24"/>
          <w:szCs w:val="24"/>
        </w:rPr>
        <w:t>recognise</w:t>
      </w:r>
      <w:r w:rsidR="000F0BD1" w:rsidRPr="008519A2">
        <w:rPr>
          <w:rFonts w:ascii="Arial" w:hAnsi="Arial" w:cs="Arial"/>
          <w:color w:val="000000" w:themeColor="text1"/>
          <w:sz w:val="24"/>
          <w:szCs w:val="24"/>
        </w:rPr>
        <w:t>d</w:t>
      </w:r>
      <w:r w:rsidR="00F42B45" w:rsidRPr="008519A2">
        <w:rPr>
          <w:rFonts w:ascii="Arial" w:hAnsi="Arial" w:cs="Arial"/>
          <w:color w:val="000000" w:themeColor="text1"/>
          <w:sz w:val="24"/>
          <w:szCs w:val="24"/>
        </w:rPr>
        <w:t xml:space="preserve"> the strategic value of </w:t>
      </w:r>
      <w:r w:rsidR="003C4683" w:rsidRPr="008519A2">
        <w:rPr>
          <w:rFonts w:ascii="Arial" w:hAnsi="Arial" w:cs="Arial"/>
          <w:color w:val="000000" w:themeColor="text1"/>
          <w:sz w:val="24"/>
          <w:szCs w:val="24"/>
        </w:rPr>
        <w:t xml:space="preserve">being </w:t>
      </w:r>
      <w:r w:rsidR="00326113" w:rsidRPr="008519A2">
        <w:rPr>
          <w:rFonts w:ascii="Arial" w:hAnsi="Arial" w:cs="Arial"/>
          <w:color w:val="000000" w:themeColor="text1"/>
          <w:sz w:val="24"/>
          <w:szCs w:val="24"/>
        </w:rPr>
        <w:t xml:space="preserve">a </w:t>
      </w:r>
      <w:r w:rsidR="003C4683" w:rsidRPr="008519A2">
        <w:rPr>
          <w:rFonts w:ascii="Arial" w:hAnsi="Arial" w:cs="Arial"/>
          <w:color w:val="000000" w:themeColor="text1"/>
          <w:sz w:val="24"/>
          <w:szCs w:val="24"/>
        </w:rPr>
        <w:t xml:space="preserve">diverse and inclusive </w:t>
      </w:r>
      <w:r w:rsidR="00326113" w:rsidRPr="008519A2">
        <w:rPr>
          <w:rFonts w:ascii="Arial" w:hAnsi="Arial" w:cs="Arial"/>
          <w:color w:val="000000" w:themeColor="text1"/>
          <w:sz w:val="24"/>
          <w:szCs w:val="24"/>
        </w:rPr>
        <w:t>organisation</w:t>
      </w:r>
      <w:r w:rsidR="0097591A">
        <w:rPr>
          <w:rFonts w:ascii="Arial" w:hAnsi="Arial" w:cs="Arial"/>
          <w:color w:val="000000" w:themeColor="text1"/>
          <w:sz w:val="24"/>
          <w:szCs w:val="24"/>
        </w:rPr>
        <w:t>. W</w:t>
      </w:r>
      <w:r w:rsidR="003C4683" w:rsidRPr="008519A2">
        <w:rPr>
          <w:rFonts w:ascii="Arial" w:hAnsi="Arial" w:cs="Arial"/>
          <w:color w:val="000000" w:themeColor="text1"/>
          <w:sz w:val="24"/>
          <w:szCs w:val="24"/>
        </w:rPr>
        <w:t xml:space="preserve">e </w:t>
      </w:r>
      <w:r w:rsidR="0097591A">
        <w:rPr>
          <w:rFonts w:ascii="Arial" w:hAnsi="Arial" w:cs="Arial"/>
          <w:color w:val="000000" w:themeColor="text1"/>
          <w:sz w:val="24"/>
          <w:szCs w:val="24"/>
        </w:rPr>
        <w:t xml:space="preserve">are </w:t>
      </w:r>
      <w:r w:rsidR="00092BEA" w:rsidRPr="008519A2">
        <w:rPr>
          <w:rFonts w:ascii="Arial" w:hAnsi="Arial" w:cs="Arial"/>
          <w:color w:val="000000" w:themeColor="text1"/>
          <w:sz w:val="24"/>
          <w:szCs w:val="24"/>
        </w:rPr>
        <w:t>transform</w:t>
      </w:r>
      <w:r w:rsidR="0097591A">
        <w:rPr>
          <w:rFonts w:ascii="Arial" w:hAnsi="Arial" w:cs="Arial"/>
          <w:color w:val="000000" w:themeColor="text1"/>
          <w:sz w:val="24"/>
          <w:szCs w:val="24"/>
        </w:rPr>
        <w:t>ing</w:t>
      </w:r>
      <w:r w:rsidR="00092BEA" w:rsidRPr="008519A2">
        <w:rPr>
          <w:rFonts w:ascii="Arial" w:hAnsi="Arial" w:cs="Arial"/>
          <w:color w:val="000000" w:themeColor="text1"/>
          <w:sz w:val="24"/>
          <w:szCs w:val="24"/>
        </w:rPr>
        <w:t xml:space="preserve"> the way we attract, </w:t>
      </w:r>
      <w:r w:rsidR="00DD5659" w:rsidRPr="008519A2">
        <w:rPr>
          <w:rFonts w:ascii="Arial" w:hAnsi="Arial" w:cs="Arial"/>
          <w:color w:val="000000" w:themeColor="text1"/>
          <w:sz w:val="24"/>
          <w:szCs w:val="24"/>
        </w:rPr>
        <w:t>recruit,</w:t>
      </w:r>
      <w:r w:rsidR="00092BEA" w:rsidRPr="008519A2">
        <w:rPr>
          <w:rFonts w:ascii="Arial" w:hAnsi="Arial" w:cs="Arial"/>
          <w:color w:val="000000" w:themeColor="text1"/>
          <w:sz w:val="24"/>
          <w:szCs w:val="24"/>
        </w:rPr>
        <w:t xml:space="preserve"> and develop talented people from different backgrounds, and identify</w:t>
      </w:r>
      <w:r w:rsidR="0097591A">
        <w:rPr>
          <w:rFonts w:ascii="Arial" w:hAnsi="Arial" w:cs="Arial"/>
          <w:color w:val="000000" w:themeColor="text1"/>
          <w:sz w:val="24"/>
          <w:szCs w:val="24"/>
        </w:rPr>
        <w:t>ing</w:t>
      </w:r>
      <w:r w:rsidR="00092BEA" w:rsidRPr="008519A2">
        <w:rPr>
          <w:rFonts w:ascii="Arial" w:hAnsi="Arial" w:cs="Arial"/>
          <w:color w:val="000000" w:themeColor="text1"/>
          <w:sz w:val="24"/>
          <w:szCs w:val="24"/>
        </w:rPr>
        <w:t xml:space="preserve"> more ways we can </w:t>
      </w:r>
      <w:r w:rsidR="0097591A">
        <w:rPr>
          <w:rFonts w:ascii="Arial" w:hAnsi="Arial" w:cs="Arial"/>
          <w:color w:val="000000" w:themeColor="text1"/>
          <w:sz w:val="24"/>
          <w:szCs w:val="24"/>
        </w:rPr>
        <w:t>make</w:t>
      </w:r>
      <w:r w:rsidR="0097591A" w:rsidRPr="008519A2">
        <w:rPr>
          <w:rFonts w:ascii="Arial" w:hAnsi="Arial" w:cs="Arial"/>
          <w:color w:val="000000" w:themeColor="text1"/>
          <w:sz w:val="24"/>
          <w:szCs w:val="24"/>
        </w:rPr>
        <w:t xml:space="preserve"> </w:t>
      </w:r>
      <w:r w:rsidR="0097591A">
        <w:rPr>
          <w:rFonts w:ascii="Arial" w:hAnsi="Arial" w:cs="Arial"/>
          <w:color w:val="000000" w:themeColor="text1"/>
          <w:sz w:val="24"/>
          <w:szCs w:val="24"/>
        </w:rPr>
        <w:t xml:space="preserve">ONR </w:t>
      </w:r>
      <w:r w:rsidR="00092BEA" w:rsidRPr="008519A2">
        <w:rPr>
          <w:rFonts w:ascii="Arial" w:hAnsi="Arial" w:cs="Arial"/>
          <w:color w:val="000000" w:themeColor="text1"/>
          <w:sz w:val="24"/>
          <w:szCs w:val="24"/>
        </w:rPr>
        <w:t>great place to work for everyone.</w:t>
      </w:r>
    </w:p>
    <w:p w14:paraId="2706B4B7" w14:textId="77777777" w:rsidR="00C81C7D" w:rsidRPr="00C81C7D" w:rsidRDefault="00C81C7D" w:rsidP="00C81C7D">
      <w:pPr>
        <w:pStyle w:val="ListParagraph"/>
        <w:rPr>
          <w:rFonts w:ascii="Arial" w:hAnsi="Arial" w:cs="Arial"/>
          <w:color w:val="000000" w:themeColor="text1"/>
          <w:sz w:val="24"/>
          <w:szCs w:val="24"/>
        </w:rPr>
      </w:pPr>
    </w:p>
    <w:p w14:paraId="316EE7BB" w14:textId="67BEA8F5" w:rsidR="00C81C7D" w:rsidRDefault="00C81C7D" w:rsidP="00C81C7D">
      <w:pPr>
        <w:pStyle w:val="ListParagraph"/>
        <w:numPr>
          <w:ilvl w:val="0"/>
          <w:numId w:val="15"/>
        </w:numPr>
        <w:shd w:val="clear" w:color="auto" w:fill="FFFFFF"/>
        <w:spacing w:before="300" w:after="300"/>
        <w:rPr>
          <w:rFonts w:ascii="Arial" w:hAnsi="Arial" w:cs="Arial"/>
          <w:color w:val="0B0C0C"/>
          <w:sz w:val="24"/>
          <w:szCs w:val="24"/>
          <w:lang w:eastAsia="en-GB"/>
        </w:rPr>
      </w:pPr>
      <w:r w:rsidRPr="00C81C7D">
        <w:rPr>
          <w:rFonts w:ascii="Arial" w:hAnsi="Arial" w:cs="Arial"/>
          <w:color w:val="0B0C0C"/>
          <w:sz w:val="24"/>
          <w:szCs w:val="24"/>
          <w:lang w:eastAsia="en-GB"/>
        </w:rPr>
        <w:t xml:space="preserve">We are a menopause friendly employer, and in 2021 we launched </w:t>
      </w:r>
      <w:r w:rsidR="009B0545" w:rsidRPr="00C81C7D">
        <w:rPr>
          <w:rFonts w:ascii="Arial" w:hAnsi="Arial" w:cs="Arial"/>
          <w:color w:val="0B0C0C"/>
          <w:sz w:val="24"/>
          <w:szCs w:val="24"/>
          <w:lang w:eastAsia="en-GB"/>
        </w:rPr>
        <w:t>our menopause</w:t>
      </w:r>
      <w:r w:rsidRPr="00C81C7D">
        <w:rPr>
          <w:rFonts w:ascii="Arial" w:hAnsi="Arial" w:cs="Arial"/>
          <w:color w:val="0B0C0C"/>
          <w:sz w:val="24"/>
          <w:szCs w:val="24"/>
          <w:lang w:eastAsia="en-GB"/>
        </w:rPr>
        <w:t xml:space="preserve"> policy and guidance for staff, their </w:t>
      </w:r>
      <w:r w:rsidR="00DD5659" w:rsidRPr="00C81C7D">
        <w:rPr>
          <w:rFonts w:ascii="Arial" w:hAnsi="Arial" w:cs="Arial"/>
          <w:color w:val="0B0C0C"/>
          <w:sz w:val="24"/>
          <w:szCs w:val="24"/>
          <w:lang w:eastAsia="en-GB"/>
        </w:rPr>
        <w:t>managers,</w:t>
      </w:r>
      <w:r w:rsidRPr="00C81C7D">
        <w:rPr>
          <w:rFonts w:ascii="Arial" w:hAnsi="Arial" w:cs="Arial"/>
          <w:color w:val="0B0C0C"/>
          <w:sz w:val="24"/>
          <w:szCs w:val="24"/>
          <w:lang w:eastAsia="en-GB"/>
        </w:rPr>
        <w:t xml:space="preserve"> and colleagues to provide the </w:t>
      </w:r>
      <w:r w:rsidRPr="00C81C7D">
        <w:rPr>
          <w:rFonts w:ascii="Arial" w:hAnsi="Arial" w:cs="Arial"/>
          <w:sz w:val="24"/>
          <w:szCs w:val="24"/>
        </w:rPr>
        <w:t xml:space="preserve">right support to help manage menopausal symptoms at work. This has been updated to </w:t>
      </w:r>
      <w:r w:rsidRPr="00C81C7D">
        <w:rPr>
          <w:rFonts w:ascii="Arial" w:hAnsi="Arial" w:cs="Arial"/>
          <w:color w:val="0B0C0C"/>
          <w:sz w:val="24"/>
          <w:szCs w:val="24"/>
          <w:lang w:eastAsia="en-GB"/>
        </w:rPr>
        <w:t xml:space="preserve">be </w:t>
      </w:r>
      <w:r w:rsidR="00C34140">
        <w:rPr>
          <w:rFonts w:ascii="Arial" w:hAnsi="Arial" w:cs="Arial"/>
          <w:color w:val="0B0C0C"/>
          <w:sz w:val="24"/>
          <w:szCs w:val="24"/>
          <w:lang w:eastAsia="en-GB"/>
        </w:rPr>
        <w:t xml:space="preserve">more </w:t>
      </w:r>
      <w:r w:rsidRPr="00C81C7D">
        <w:rPr>
          <w:rFonts w:ascii="Arial" w:hAnsi="Arial" w:cs="Arial"/>
          <w:color w:val="0B0C0C"/>
          <w:sz w:val="24"/>
          <w:szCs w:val="24"/>
          <w:lang w:eastAsia="en-GB"/>
        </w:rPr>
        <w:t xml:space="preserve">inclusive to everyone who faces menopausal symptoms and to encourage a safe space for transgender members of staff. The policy and guidance </w:t>
      </w:r>
      <w:r w:rsidR="00FE3501" w:rsidRPr="00C81C7D">
        <w:rPr>
          <w:rFonts w:ascii="Arial" w:hAnsi="Arial" w:cs="Arial"/>
          <w:color w:val="0B0C0C"/>
          <w:sz w:val="24"/>
          <w:szCs w:val="24"/>
          <w:lang w:eastAsia="en-GB"/>
        </w:rPr>
        <w:t>are</w:t>
      </w:r>
      <w:r w:rsidRPr="00C81C7D">
        <w:rPr>
          <w:rFonts w:ascii="Arial" w:hAnsi="Arial" w:cs="Arial"/>
          <w:color w:val="0B0C0C"/>
          <w:sz w:val="24"/>
          <w:szCs w:val="24"/>
          <w:lang w:eastAsia="en-GB"/>
        </w:rPr>
        <w:t xml:space="preserve"> </w:t>
      </w:r>
      <w:r w:rsidRPr="00C81C7D">
        <w:rPr>
          <w:rFonts w:ascii="Arial" w:hAnsi="Arial" w:cs="Arial"/>
          <w:sz w:val="24"/>
          <w:szCs w:val="24"/>
        </w:rPr>
        <w:t xml:space="preserve">supported by dedicated menopause </w:t>
      </w:r>
      <w:r w:rsidRPr="00C81C7D">
        <w:rPr>
          <w:rFonts w:ascii="Arial" w:hAnsi="Arial" w:cs="Arial"/>
          <w:color w:val="0B0C0C"/>
          <w:sz w:val="24"/>
          <w:szCs w:val="24"/>
          <w:lang w:eastAsia="en-GB"/>
        </w:rPr>
        <w:t xml:space="preserve">training events and awareness days to equip everyone to understand the impact of menopause on individuals and their wider family and how to help and support others. </w:t>
      </w:r>
    </w:p>
    <w:p w14:paraId="6F46C512" w14:textId="77777777" w:rsidR="00366B11" w:rsidRPr="00366B11" w:rsidRDefault="00366B11" w:rsidP="00366B11">
      <w:pPr>
        <w:pStyle w:val="ListParagraph"/>
        <w:rPr>
          <w:rFonts w:ascii="Arial" w:hAnsi="Arial" w:cs="Arial"/>
          <w:color w:val="0B0C0C"/>
          <w:sz w:val="24"/>
          <w:szCs w:val="24"/>
          <w:lang w:eastAsia="en-GB"/>
        </w:rPr>
      </w:pPr>
    </w:p>
    <w:p w14:paraId="33200AB0" w14:textId="037117C6" w:rsidR="00366B11" w:rsidRPr="00C81C7D" w:rsidRDefault="001004A6" w:rsidP="00C81C7D">
      <w:pPr>
        <w:pStyle w:val="ListParagraph"/>
        <w:numPr>
          <w:ilvl w:val="0"/>
          <w:numId w:val="15"/>
        </w:numPr>
        <w:shd w:val="clear" w:color="auto" w:fill="FFFFFF"/>
        <w:spacing w:before="300" w:after="300"/>
        <w:rPr>
          <w:rFonts w:ascii="Arial" w:hAnsi="Arial" w:cs="Arial"/>
          <w:color w:val="0B0C0C"/>
          <w:sz w:val="24"/>
          <w:szCs w:val="24"/>
          <w:lang w:eastAsia="en-GB"/>
        </w:rPr>
      </w:pPr>
      <w:r>
        <w:rPr>
          <w:rFonts w:ascii="Arial" w:hAnsi="Arial" w:cs="Arial"/>
          <w:color w:val="0B0C0C"/>
          <w:sz w:val="24"/>
          <w:szCs w:val="24"/>
          <w:lang w:eastAsia="en-GB"/>
        </w:rPr>
        <w:t>We recognise and celebrate key days such as International Women’s Day, using these opportunities to promote inspirational female role models in ONR.</w:t>
      </w:r>
    </w:p>
    <w:p w14:paraId="1AA780D9" w14:textId="77777777" w:rsidR="00C81C7D" w:rsidRPr="00C81C7D" w:rsidRDefault="00C81C7D" w:rsidP="00366B11">
      <w:pPr>
        <w:pStyle w:val="ListParagraph"/>
        <w:contextualSpacing w:val="0"/>
        <w:rPr>
          <w:rFonts w:ascii="Arial" w:hAnsi="Arial" w:cs="Arial"/>
          <w:color w:val="000000" w:themeColor="text1"/>
          <w:sz w:val="24"/>
          <w:szCs w:val="24"/>
        </w:rPr>
      </w:pPr>
    </w:p>
    <w:p w14:paraId="5FEF29C6" w14:textId="77777777" w:rsidR="004A18AD" w:rsidRPr="008519A2" w:rsidRDefault="004A18AD" w:rsidP="004A18AD">
      <w:pPr>
        <w:pStyle w:val="ListParagraph"/>
        <w:rPr>
          <w:rFonts w:ascii="Arial" w:hAnsi="Arial" w:cs="Arial"/>
          <w:b/>
          <w:color w:val="000000" w:themeColor="text1"/>
          <w:sz w:val="24"/>
          <w:szCs w:val="24"/>
        </w:rPr>
      </w:pPr>
    </w:p>
    <w:p w14:paraId="5FEF29C7" w14:textId="77777777" w:rsidR="004A18AD" w:rsidRDefault="00643E53" w:rsidP="00643E53">
      <w:pPr>
        <w:rPr>
          <w:rFonts w:cs="Arial"/>
          <w:b/>
          <w:color w:val="000000" w:themeColor="text1"/>
        </w:rPr>
      </w:pPr>
      <w:r w:rsidRPr="008519A2">
        <w:rPr>
          <w:rFonts w:cs="Arial"/>
          <w:b/>
          <w:color w:val="000000" w:themeColor="text1"/>
        </w:rPr>
        <w:t>Flexible working</w:t>
      </w:r>
    </w:p>
    <w:p w14:paraId="5E01E775" w14:textId="77777777" w:rsidR="004719C4" w:rsidRPr="008519A2" w:rsidRDefault="004719C4" w:rsidP="00643E53">
      <w:pPr>
        <w:rPr>
          <w:rFonts w:cs="Arial"/>
          <w:b/>
          <w:color w:val="000000" w:themeColor="text1"/>
        </w:rPr>
      </w:pPr>
    </w:p>
    <w:p w14:paraId="5FEF29C8" w14:textId="07866F30" w:rsidR="008D020F" w:rsidRDefault="004719C4" w:rsidP="00451208">
      <w:r w:rsidRPr="005463DA">
        <w:t xml:space="preserve">Flexible working: we </w:t>
      </w:r>
      <w:r w:rsidR="001004A6" w:rsidRPr="005463DA">
        <w:t xml:space="preserve">have revised </w:t>
      </w:r>
      <w:r w:rsidR="00A63D80" w:rsidRPr="005463DA">
        <w:t xml:space="preserve">and refreshed </w:t>
      </w:r>
      <w:r w:rsidR="001004A6" w:rsidRPr="005463DA">
        <w:t xml:space="preserve">our flexible working </w:t>
      </w:r>
      <w:r w:rsidR="00451208" w:rsidRPr="005463DA">
        <w:t>policy,</w:t>
      </w:r>
      <w:r w:rsidR="00487820" w:rsidRPr="005463DA">
        <w:t xml:space="preserve"> now called ‘Balancing your Hours</w:t>
      </w:r>
      <w:r w:rsidR="00B17380">
        <w:t>’</w:t>
      </w:r>
      <w:r w:rsidR="00487820" w:rsidRPr="005463DA">
        <w:t xml:space="preserve"> </w:t>
      </w:r>
      <w:r w:rsidR="00FE3501" w:rsidRPr="005463DA">
        <w:t xml:space="preserve">to </w:t>
      </w:r>
      <w:r w:rsidR="00FE3501" w:rsidRPr="005463DA">
        <w:rPr>
          <w:rFonts w:cs="Arial"/>
          <w:color w:val="333333"/>
          <w:shd w:val="clear" w:color="auto" w:fill="FFFFFF"/>
        </w:rPr>
        <w:t>encourage</w:t>
      </w:r>
      <w:r w:rsidR="00D544FA" w:rsidRPr="005463DA">
        <w:rPr>
          <w:rFonts w:cs="Arial"/>
          <w:color w:val="333333"/>
          <w:shd w:val="clear" w:color="auto" w:fill="FFFFFF"/>
        </w:rPr>
        <w:t xml:space="preserve"> and support </w:t>
      </w:r>
      <w:r w:rsidR="00451208" w:rsidRPr="005463DA">
        <w:rPr>
          <w:rFonts w:cs="Arial"/>
          <w:color w:val="333333"/>
          <w:shd w:val="clear" w:color="auto" w:fill="FFFFFF"/>
        </w:rPr>
        <w:t>a h</w:t>
      </w:r>
      <w:r w:rsidR="00D544FA" w:rsidRPr="005463DA">
        <w:rPr>
          <w:rFonts w:cs="Arial"/>
          <w:color w:val="333333"/>
          <w:shd w:val="clear" w:color="auto" w:fill="FFFFFF"/>
        </w:rPr>
        <w:t>ealthy work/life balance</w:t>
      </w:r>
      <w:r w:rsidR="00451208" w:rsidRPr="005463DA">
        <w:rPr>
          <w:rFonts w:cs="Arial"/>
          <w:color w:val="333333"/>
          <w:shd w:val="clear" w:color="auto" w:fill="FFFFFF"/>
        </w:rPr>
        <w:t>, support</w:t>
      </w:r>
      <w:r w:rsidRPr="005463DA">
        <w:t xml:space="preserve"> family commitments, improved </w:t>
      </w:r>
      <w:r w:rsidR="00B52F95" w:rsidRPr="005463DA">
        <w:t>health,</w:t>
      </w:r>
      <w:r w:rsidRPr="005463DA">
        <w:t xml:space="preserve"> and wellbeing and </w:t>
      </w:r>
      <w:r w:rsidR="00B17380">
        <w:t xml:space="preserve">to </w:t>
      </w:r>
      <w:r w:rsidRPr="005463DA">
        <w:t>drive inclusivity</w:t>
      </w:r>
      <w:r w:rsidR="00077BF1" w:rsidRPr="005463DA">
        <w:t>.</w:t>
      </w:r>
    </w:p>
    <w:p w14:paraId="61755ED7" w14:textId="77777777" w:rsidR="00DB7AA2" w:rsidRPr="005463DA" w:rsidRDefault="00DB7AA2" w:rsidP="00451208">
      <w:pPr>
        <w:rPr>
          <w:rFonts w:cs="Arial"/>
          <w:b/>
        </w:rPr>
      </w:pPr>
    </w:p>
    <w:p w14:paraId="420881E1" w14:textId="29DC7D2A" w:rsidR="00DB7AA2" w:rsidRPr="00E72C76" w:rsidRDefault="00DB7AA2" w:rsidP="00DB7AA2">
      <w:pPr>
        <w:numPr>
          <w:ilvl w:val="0"/>
          <w:numId w:val="21"/>
        </w:numPr>
        <w:shd w:val="clear" w:color="auto" w:fill="FCFCFC"/>
        <w:spacing w:after="240"/>
        <w:textAlignment w:val="baseline"/>
        <w:rPr>
          <w:rFonts w:cs="Arial"/>
          <w:shd w:val="clear" w:color="auto" w:fill="FFFFFF"/>
        </w:rPr>
      </w:pPr>
      <w:r w:rsidRPr="006C508C">
        <w:rPr>
          <w:rFonts w:cs="Arial"/>
          <w:color w:val="333333"/>
          <w:lang w:eastAsia="en-GB"/>
        </w:rPr>
        <w:t>Flexible working covers a wide range of working patterns</w:t>
      </w:r>
      <w:r>
        <w:rPr>
          <w:rFonts w:cs="Arial"/>
          <w:color w:val="333333"/>
          <w:lang w:eastAsia="en-GB"/>
        </w:rPr>
        <w:t>,</w:t>
      </w:r>
      <w:r w:rsidRPr="006C508C">
        <w:rPr>
          <w:rFonts w:cs="Arial"/>
          <w:color w:val="333333"/>
          <w:lang w:eastAsia="en-GB"/>
        </w:rPr>
        <w:t xml:space="preserve"> including hybrid working</w:t>
      </w:r>
      <w:r>
        <w:rPr>
          <w:rFonts w:cs="Arial"/>
          <w:color w:val="333333"/>
          <w:lang w:eastAsia="en-GB"/>
        </w:rPr>
        <w:t>.</w:t>
      </w:r>
      <w:r w:rsidRPr="00E72C76">
        <w:rPr>
          <w:rFonts w:cs="Arial"/>
          <w:color w:val="333333"/>
          <w:lang w:eastAsia="en-GB"/>
        </w:rPr>
        <w:t xml:space="preserve"> </w:t>
      </w:r>
      <w:r>
        <w:rPr>
          <w:rFonts w:cs="Arial"/>
          <w:color w:val="333333"/>
          <w:lang w:eastAsia="en-GB"/>
        </w:rPr>
        <w:t>I</w:t>
      </w:r>
      <w:r w:rsidRPr="00E72C76">
        <w:rPr>
          <w:rFonts w:cs="Arial"/>
          <w:color w:val="333333"/>
          <w:lang w:eastAsia="en-GB"/>
        </w:rPr>
        <w:t xml:space="preserve">t </w:t>
      </w:r>
      <w:r w:rsidRPr="006C508C">
        <w:rPr>
          <w:rFonts w:cs="Arial"/>
          <w:color w:val="333333"/>
          <w:lang w:eastAsia="en-GB"/>
        </w:rPr>
        <w:t>allows individuals to be more flexible on when they work their contracted hours to achieve a better work</w:t>
      </w:r>
      <w:r>
        <w:rPr>
          <w:rFonts w:cs="Arial"/>
          <w:color w:val="333333"/>
          <w:lang w:eastAsia="en-GB"/>
        </w:rPr>
        <w:t>-</w:t>
      </w:r>
      <w:r w:rsidRPr="006C508C">
        <w:rPr>
          <w:rFonts w:cs="Arial"/>
          <w:color w:val="333333"/>
          <w:lang w:eastAsia="en-GB"/>
        </w:rPr>
        <w:t>life balance without adversely affecting the overall efficiency and effectiveness of ONR, including the service we provide to the public</w:t>
      </w:r>
      <w:r w:rsidRPr="00E72C76">
        <w:rPr>
          <w:rFonts w:cs="Arial"/>
          <w:color w:val="333333"/>
          <w:lang w:eastAsia="en-GB"/>
        </w:rPr>
        <w:t xml:space="preserve">. </w:t>
      </w:r>
    </w:p>
    <w:p w14:paraId="0B0D8077" w14:textId="2D583569" w:rsidR="00FE6342" w:rsidRPr="00A75C1F" w:rsidRDefault="00A75C1F" w:rsidP="00315A68">
      <w:pPr>
        <w:numPr>
          <w:ilvl w:val="0"/>
          <w:numId w:val="21"/>
        </w:numPr>
        <w:shd w:val="clear" w:color="auto" w:fill="FCFCFC"/>
        <w:spacing w:after="240"/>
        <w:textAlignment w:val="baseline"/>
        <w:rPr>
          <w:rFonts w:asciiTheme="minorBidi" w:hAnsiTheme="minorBidi" w:cstheme="minorBidi"/>
          <w:lang w:eastAsia="en-GB"/>
        </w:rPr>
      </w:pPr>
      <w:r w:rsidRPr="00A75C1F">
        <w:rPr>
          <w:rFonts w:cs="Arial"/>
          <w:color w:val="333333"/>
          <w:lang w:eastAsia="en-GB"/>
        </w:rPr>
        <w:t xml:space="preserve">We are committed to supporting all colleagues to take up hybrid working, harmonising the wider needs of the organisation with individuals’ personal preferences and circumstances. </w:t>
      </w:r>
      <w:r w:rsidR="0022195D" w:rsidRPr="00A75C1F">
        <w:rPr>
          <w:rFonts w:asciiTheme="minorBidi" w:hAnsiTheme="minorBidi" w:cstheme="minorBidi"/>
          <w:color w:val="333333"/>
          <w:shd w:val="clear" w:color="auto" w:fill="FFFFFF"/>
        </w:rPr>
        <w:t xml:space="preserve">Post </w:t>
      </w:r>
      <w:r w:rsidR="00232F2B" w:rsidRPr="00A75C1F">
        <w:rPr>
          <w:rFonts w:asciiTheme="minorBidi" w:hAnsiTheme="minorBidi" w:cstheme="minorBidi"/>
          <w:color w:val="333333"/>
          <w:shd w:val="clear" w:color="auto" w:fill="FFFFFF"/>
        </w:rPr>
        <w:t xml:space="preserve">COVID-19 </w:t>
      </w:r>
      <w:r w:rsidR="0022195D" w:rsidRPr="00A75C1F">
        <w:rPr>
          <w:rFonts w:asciiTheme="minorBidi" w:hAnsiTheme="minorBidi" w:cstheme="minorBidi"/>
          <w:color w:val="333333"/>
          <w:shd w:val="clear" w:color="auto" w:fill="FFFFFF"/>
        </w:rPr>
        <w:t>pandemic</w:t>
      </w:r>
      <w:r w:rsidR="00F55D78" w:rsidRPr="00A75C1F">
        <w:rPr>
          <w:rFonts w:asciiTheme="minorBidi" w:hAnsiTheme="minorBidi" w:cstheme="minorBidi"/>
          <w:color w:val="333333"/>
          <w:shd w:val="clear" w:color="auto" w:fill="FFFFFF"/>
        </w:rPr>
        <w:t>,</w:t>
      </w:r>
      <w:r w:rsidR="0022195D" w:rsidRPr="00A75C1F">
        <w:rPr>
          <w:rFonts w:asciiTheme="minorBidi" w:hAnsiTheme="minorBidi" w:cstheme="minorBidi"/>
          <w:color w:val="333333"/>
          <w:shd w:val="clear" w:color="auto" w:fill="FFFFFF"/>
        </w:rPr>
        <w:t xml:space="preserve"> the </w:t>
      </w:r>
      <w:r w:rsidR="00B87319" w:rsidRPr="00A75C1F">
        <w:rPr>
          <w:rStyle w:val="normaltextrun"/>
          <w:rFonts w:cs="Arial"/>
          <w:color w:val="202020"/>
        </w:rPr>
        <w:t>benefits from hybrid work</w:t>
      </w:r>
      <w:r w:rsidR="005463DA" w:rsidRPr="00A75C1F">
        <w:rPr>
          <w:rStyle w:val="normaltextrun"/>
          <w:rFonts w:cs="Arial"/>
          <w:color w:val="202020"/>
        </w:rPr>
        <w:t xml:space="preserve">ing </w:t>
      </w:r>
      <w:r w:rsidR="0022195D" w:rsidRPr="00A75C1F">
        <w:rPr>
          <w:rStyle w:val="normaltextrun"/>
          <w:rFonts w:cs="Arial"/>
          <w:color w:val="202020"/>
        </w:rPr>
        <w:t xml:space="preserve">have been well documented </w:t>
      </w:r>
      <w:r w:rsidR="00B87319" w:rsidRPr="00A75C1F">
        <w:rPr>
          <w:rStyle w:val="normaltextrun"/>
          <w:rFonts w:cs="Arial"/>
          <w:color w:val="202020"/>
        </w:rPr>
        <w:t>including a better work–life balance, greater ability to focus with fewer distractions, more time for family and friends, saved commuting time and costs and higher levels of motivation.</w:t>
      </w:r>
      <w:r w:rsidR="00B87319" w:rsidRPr="00A75C1F">
        <w:rPr>
          <w:rStyle w:val="eop"/>
          <w:rFonts w:eastAsia="Calibri" w:cs="Arial"/>
          <w:color w:val="202020"/>
        </w:rPr>
        <w:t> </w:t>
      </w:r>
      <w:r w:rsidR="00552651" w:rsidRPr="00A75C1F">
        <w:rPr>
          <w:rStyle w:val="eop"/>
          <w:rFonts w:eastAsia="Calibri" w:cs="Arial"/>
          <w:color w:val="202020"/>
        </w:rPr>
        <w:t xml:space="preserve">We recognise these benefits </w:t>
      </w:r>
      <w:r w:rsidR="00157BF6" w:rsidRPr="00A75C1F">
        <w:rPr>
          <w:rStyle w:val="eop"/>
          <w:rFonts w:eastAsia="Calibri" w:cs="Arial"/>
          <w:color w:val="202020"/>
        </w:rPr>
        <w:t xml:space="preserve">and support a more flexible </w:t>
      </w:r>
      <w:r w:rsidR="0098278E" w:rsidRPr="00A75C1F">
        <w:rPr>
          <w:rFonts w:asciiTheme="minorBidi" w:hAnsiTheme="minorBidi" w:cstheme="minorBidi"/>
          <w:color w:val="333333"/>
          <w:shd w:val="clear" w:color="auto" w:fill="FFFFFF"/>
        </w:rPr>
        <w:t xml:space="preserve">way of working: to support a better work-life balance for all, whilst ensuring we deliver our mission and continue to build a more inclusive culture. This means that, subject to operational and </w:t>
      </w:r>
      <w:r w:rsidR="0098278E" w:rsidRPr="00A75C1F">
        <w:rPr>
          <w:rFonts w:asciiTheme="minorBidi" w:hAnsiTheme="minorBidi" w:cstheme="minorBidi"/>
          <w:color w:val="333333"/>
          <w:shd w:val="clear" w:color="auto" w:fill="FFFFFF"/>
        </w:rPr>
        <w:lastRenderedPageBreak/>
        <w:t xml:space="preserve">business requirements, </w:t>
      </w:r>
      <w:r w:rsidR="00392FF8" w:rsidRPr="00A75C1F">
        <w:rPr>
          <w:rFonts w:asciiTheme="minorBidi" w:hAnsiTheme="minorBidi" w:cstheme="minorBidi"/>
          <w:color w:val="333333"/>
          <w:shd w:val="clear" w:color="auto" w:fill="FFFFFF"/>
        </w:rPr>
        <w:t xml:space="preserve">we </w:t>
      </w:r>
      <w:r w:rsidR="0098278E" w:rsidRPr="00A75C1F">
        <w:rPr>
          <w:rFonts w:asciiTheme="minorBidi" w:hAnsiTheme="minorBidi" w:cstheme="minorBidi"/>
          <w:color w:val="333333"/>
          <w:shd w:val="clear" w:color="auto" w:fill="FFFFFF"/>
        </w:rPr>
        <w:t xml:space="preserve">can enable greater choice to blend the level of </w:t>
      </w:r>
      <w:r w:rsidR="009D7BD8">
        <w:rPr>
          <w:rFonts w:asciiTheme="minorBidi" w:hAnsiTheme="minorBidi" w:cstheme="minorBidi"/>
          <w:color w:val="333333"/>
          <w:shd w:val="clear" w:color="auto" w:fill="FFFFFF"/>
        </w:rPr>
        <w:t>w</w:t>
      </w:r>
      <w:r w:rsidR="0098278E" w:rsidRPr="00A75C1F">
        <w:rPr>
          <w:rFonts w:asciiTheme="minorBidi" w:hAnsiTheme="minorBidi" w:cstheme="minorBidi"/>
          <w:color w:val="333333"/>
          <w:shd w:val="clear" w:color="auto" w:fill="FFFFFF"/>
        </w:rPr>
        <w:t>orking in the office, on site and remotely/at home.</w:t>
      </w:r>
    </w:p>
    <w:p w14:paraId="3B6078CB" w14:textId="77777777" w:rsidR="00797F1E" w:rsidRDefault="00797F1E" w:rsidP="00C336DC">
      <w:pPr>
        <w:rPr>
          <w:rFonts w:cs="Arial"/>
          <w:b/>
          <w:bCs/>
        </w:rPr>
      </w:pPr>
    </w:p>
    <w:p w14:paraId="7CC0A17C" w14:textId="2A19D080" w:rsidR="00D0111E" w:rsidRPr="0049193E" w:rsidRDefault="00471B74" w:rsidP="00C336DC">
      <w:pPr>
        <w:rPr>
          <w:rFonts w:cs="Arial"/>
          <w:b/>
          <w:bCs/>
        </w:rPr>
      </w:pPr>
      <w:r>
        <w:rPr>
          <w:rFonts w:cs="Arial"/>
          <w:b/>
          <w:bCs/>
        </w:rPr>
        <w:t>P</w:t>
      </w:r>
      <w:r w:rsidR="00D0111E" w:rsidRPr="0049193E">
        <w:rPr>
          <w:rFonts w:cs="Arial"/>
          <w:b/>
          <w:bCs/>
        </w:rPr>
        <w:t xml:space="preserve">olicies and Procedures </w:t>
      </w:r>
    </w:p>
    <w:p w14:paraId="34BB2909" w14:textId="3AF9EA69" w:rsidR="00D0111E" w:rsidRPr="0049193E" w:rsidRDefault="00D0111E" w:rsidP="00C336DC">
      <w:pPr>
        <w:rPr>
          <w:rFonts w:cs="Arial"/>
        </w:rPr>
      </w:pPr>
    </w:p>
    <w:p w14:paraId="668434DA" w14:textId="77777777" w:rsidR="00DC462C" w:rsidRPr="0049193E" w:rsidRDefault="00D0111E" w:rsidP="00C336DC">
      <w:pPr>
        <w:rPr>
          <w:rFonts w:cs="Arial"/>
          <w:b/>
          <w:bCs/>
        </w:rPr>
      </w:pPr>
      <w:r w:rsidRPr="0049193E">
        <w:rPr>
          <w:rFonts w:cs="Arial"/>
          <w:b/>
          <w:bCs/>
        </w:rPr>
        <w:t xml:space="preserve">Recruitment </w:t>
      </w:r>
    </w:p>
    <w:p w14:paraId="257FB6A7" w14:textId="77777777" w:rsidR="00DC462C" w:rsidRPr="0049193E" w:rsidRDefault="00DC462C" w:rsidP="00C336DC">
      <w:pPr>
        <w:rPr>
          <w:rFonts w:cs="Arial"/>
          <w:b/>
          <w:bCs/>
        </w:rPr>
      </w:pPr>
    </w:p>
    <w:p w14:paraId="2A640AE4" w14:textId="5BD66957" w:rsidR="006B1A81" w:rsidRPr="0049193E" w:rsidRDefault="00F808A9" w:rsidP="00DC462C">
      <w:pPr>
        <w:pStyle w:val="ListParagraph"/>
        <w:numPr>
          <w:ilvl w:val="0"/>
          <w:numId w:val="19"/>
        </w:numPr>
        <w:rPr>
          <w:rFonts w:ascii="Arial" w:hAnsi="Arial" w:cs="Arial"/>
          <w:sz w:val="24"/>
          <w:szCs w:val="24"/>
        </w:rPr>
      </w:pPr>
      <w:r>
        <w:rPr>
          <w:rFonts w:ascii="Arial" w:hAnsi="Arial" w:cs="Arial"/>
          <w:sz w:val="24"/>
          <w:szCs w:val="24"/>
        </w:rPr>
        <w:t xml:space="preserve">We have </w:t>
      </w:r>
      <w:r w:rsidR="00DF626B">
        <w:rPr>
          <w:rFonts w:ascii="Arial" w:hAnsi="Arial" w:cs="Arial"/>
          <w:sz w:val="24"/>
          <w:szCs w:val="24"/>
        </w:rPr>
        <w:t xml:space="preserve">anonymous </w:t>
      </w:r>
      <w:r w:rsidR="004B0F09">
        <w:rPr>
          <w:rFonts w:ascii="Arial" w:hAnsi="Arial" w:cs="Arial"/>
          <w:sz w:val="24"/>
          <w:szCs w:val="24"/>
        </w:rPr>
        <w:t xml:space="preserve">name and gender </w:t>
      </w:r>
      <w:r w:rsidR="00DF626B">
        <w:rPr>
          <w:rFonts w:ascii="Arial" w:hAnsi="Arial" w:cs="Arial"/>
          <w:sz w:val="24"/>
          <w:szCs w:val="24"/>
        </w:rPr>
        <w:t xml:space="preserve">recruitment and </w:t>
      </w:r>
      <w:r w:rsidR="00E66144">
        <w:rPr>
          <w:rFonts w:ascii="Arial" w:hAnsi="Arial" w:cs="Arial"/>
          <w:sz w:val="24"/>
          <w:szCs w:val="24"/>
        </w:rPr>
        <w:t xml:space="preserve">have </w:t>
      </w:r>
      <w:r>
        <w:rPr>
          <w:rFonts w:ascii="Arial" w:hAnsi="Arial" w:cs="Arial"/>
          <w:sz w:val="24"/>
          <w:szCs w:val="24"/>
        </w:rPr>
        <w:t>g</w:t>
      </w:r>
      <w:r w:rsidR="00D0111E" w:rsidRPr="0049193E">
        <w:rPr>
          <w:rFonts w:ascii="Arial" w:hAnsi="Arial" w:cs="Arial"/>
          <w:sz w:val="24"/>
          <w:szCs w:val="24"/>
        </w:rPr>
        <w:t>ender decod</w:t>
      </w:r>
      <w:r>
        <w:rPr>
          <w:rFonts w:ascii="Arial" w:hAnsi="Arial" w:cs="Arial"/>
          <w:sz w:val="24"/>
          <w:szCs w:val="24"/>
        </w:rPr>
        <w:t>ed</w:t>
      </w:r>
      <w:r w:rsidR="00D0111E" w:rsidRPr="0049193E">
        <w:rPr>
          <w:rFonts w:ascii="Arial" w:hAnsi="Arial" w:cs="Arial"/>
          <w:sz w:val="24"/>
          <w:szCs w:val="24"/>
        </w:rPr>
        <w:t xml:space="preserve"> our job adverts</w:t>
      </w:r>
      <w:r w:rsidR="00D676D9">
        <w:rPr>
          <w:rFonts w:ascii="Arial" w:hAnsi="Arial" w:cs="Arial"/>
          <w:sz w:val="24"/>
          <w:szCs w:val="24"/>
        </w:rPr>
        <w:t xml:space="preserve"> </w:t>
      </w:r>
      <w:r w:rsidR="00A107E0">
        <w:rPr>
          <w:rFonts w:ascii="Arial" w:hAnsi="Arial" w:cs="Arial"/>
          <w:sz w:val="24"/>
          <w:szCs w:val="24"/>
        </w:rPr>
        <w:t>to remove any implicit b</w:t>
      </w:r>
      <w:r w:rsidR="00BA115A">
        <w:rPr>
          <w:rFonts w:ascii="Arial" w:hAnsi="Arial" w:cs="Arial"/>
          <w:sz w:val="24"/>
          <w:szCs w:val="24"/>
        </w:rPr>
        <w:t xml:space="preserve">ias </w:t>
      </w:r>
      <w:r w:rsidR="00D173DD">
        <w:rPr>
          <w:rFonts w:ascii="Arial" w:hAnsi="Arial" w:cs="Arial"/>
          <w:sz w:val="24"/>
          <w:szCs w:val="24"/>
        </w:rPr>
        <w:t xml:space="preserve">while ensuring </w:t>
      </w:r>
      <w:r w:rsidR="00D2606A" w:rsidRPr="0049193E">
        <w:rPr>
          <w:rFonts w:ascii="Arial" w:hAnsi="Arial" w:cs="Arial"/>
          <w:sz w:val="24"/>
          <w:szCs w:val="24"/>
        </w:rPr>
        <w:t>gender</w:t>
      </w:r>
      <w:r w:rsidR="00D2606A">
        <w:rPr>
          <w:rFonts w:ascii="Arial" w:hAnsi="Arial" w:cs="Arial"/>
          <w:sz w:val="24"/>
          <w:szCs w:val="24"/>
        </w:rPr>
        <w:t>-</w:t>
      </w:r>
      <w:r w:rsidR="00A96169">
        <w:rPr>
          <w:rFonts w:ascii="Arial" w:hAnsi="Arial" w:cs="Arial"/>
          <w:sz w:val="24"/>
          <w:szCs w:val="24"/>
        </w:rPr>
        <w:t>neutral language</w:t>
      </w:r>
      <w:r w:rsidR="002C5066">
        <w:rPr>
          <w:rFonts w:ascii="Arial" w:hAnsi="Arial" w:cs="Arial"/>
          <w:sz w:val="24"/>
          <w:szCs w:val="24"/>
        </w:rPr>
        <w:t>,</w:t>
      </w:r>
      <w:r w:rsidR="00A96169">
        <w:rPr>
          <w:rFonts w:ascii="Arial" w:hAnsi="Arial" w:cs="Arial"/>
          <w:sz w:val="24"/>
          <w:szCs w:val="24"/>
        </w:rPr>
        <w:t xml:space="preserve"> and </w:t>
      </w:r>
      <w:r w:rsidR="00BA115A">
        <w:rPr>
          <w:rFonts w:ascii="Arial" w:hAnsi="Arial" w:cs="Arial"/>
          <w:sz w:val="24"/>
          <w:szCs w:val="24"/>
        </w:rPr>
        <w:t>w</w:t>
      </w:r>
      <w:r w:rsidR="00A06B8E">
        <w:rPr>
          <w:rFonts w:ascii="Arial" w:hAnsi="Arial" w:cs="Arial"/>
          <w:sz w:val="24"/>
          <w:szCs w:val="24"/>
        </w:rPr>
        <w:t xml:space="preserve">here </w:t>
      </w:r>
      <w:r w:rsidR="00970008">
        <w:rPr>
          <w:rFonts w:ascii="Arial" w:hAnsi="Arial" w:cs="Arial"/>
          <w:sz w:val="24"/>
          <w:szCs w:val="24"/>
        </w:rPr>
        <w:t>possible w</w:t>
      </w:r>
      <w:r w:rsidR="00BA115A">
        <w:rPr>
          <w:rFonts w:ascii="Arial" w:hAnsi="Arial" w:cs="Arial"/>
          <w:sz w:val="24"/>
          <w:szCs w:val="24"/>
        </w:rPr>
        <w:t xml:space="preserve">e </w:t>
      </w:r>
      <w:r w:rsidR="00B3055C">
        <w:rPr>
          <w:rFonts w:ascii="Arial" w:hAnsi="Arial" w:cs="Arial"/>
          <w:sz w:val="24"/>
          <w:szCs w:val="24"/>
        </w:rPr>
        <w:t xml:space="preserve">have </w:t>
      </w:r>
      <w:r w:rsidR="00A96169">
        <w:rPr>
          <w:rFonts w:ascii="Arial" w:hAnsi="Arial" w:cs="Arial"/>
          <w:sz w:val="24"/>
          <w:szCs w:val="24"/>
        </w:rPr>
        <w:t xml:space="preserve">gender </w:t>
      </w:r>
      <w:r w:rsidR="00D0111E" w:rsidRPr="0049193E">
        <w:rPr>
          <w:rFonts w:ascii="Arial" w:hAnsi="Arial" w:cs="Arial"/>
          <w:sz w:val="24"/>
          <w:szCs w:val="24"/>
        </w:rPr>
        <w:t>balance</w:t>
      </w:r>
      <w:r w:rsidR="00BD6DB6" w:rsidRPr="0049193E">
        <w:rPr>
          <w:rFonts w:ascii="Arial" w:hAnsi="Arial" w:cs="Arial"/>
          <w:sz w:val="24"/>
          <w:szCs w:val="24"/>
        </w:rPr>
        <w:t>d</w:t>
      </w:r>
      <w:r w:rsidR="00D0111E" w:rsidRPr="0049193E">
        <w:rPr>
          <w:rFonts w:ascii="Arial" w:hAnsi="Arial" w:cs="Arial"/>
          <w:sz w:val="24"/>
          <w:szCs w:val="24"/>
        </w:rPr>
        <w:t xml:space="preserve"> interview panels</w:t>
      </w:r>
      <w:r w:rsidR="006B1A81" w:rsidRPr="0049193E">
        <w:rPr>
          <w:rFonts w:ascii="Arial" w:hAnsi="Arial" w:cs="Arial"/>
          <w:sz w:val="24"/>
          <w:szCs w:val="24"/>
        </w:rPr>
        <w:t>.</w:t>
      </w:r>
    </w:p>
    <w:p w14:paraId="332F5C6F" w14:textId="77777777" w:rsidR="00D0111E" w:rsidRPr="0049193E" w:rsidRDefault="00D0111E" w:rsidP="00C336DC">
      <w:pPr>
        <w:rPr>
          <w:rFonts w:cs="Arial"/>
        </w:rPr>
      </w:pPr>
    </w:p>
    <w:p w14:paraId="715CA3E6" w14:textId="199720B6" w:rsidR="005F5589" w:rsidRPr="0049193E" w:rsidRDefault="00836483" w:rsidP="00372180">
      <w:pPr>
        <w:pStyle w:val="NormalWeb"/>
        <w:numPr>
          <w:ilvl w:val="0"/>
          <w:numId w:val="19"/>
        </w:numPr>
        <w:spacing w:after="0"/>
      </w:pPr>
      <w:r>
        <w:rPr>
          <w:rFonts w:ascii="Arial" w:hAnsi="Arial" w:cs="Arial"/>
        </w:rPr>
        <w:t xml:space="preserve">We aim to encourage </w:t>
      </w:r>
      <w:r w:rsidR="00BB141A" w:rsidRPr="001739D1">
        <w:rPr>
          <w:rFonts w:ascii="Arial" w:hAnsi="Arial" w:cs="Arial"/>
        </w:rPr>
        <w:t>more women to stay and progress</w:t>
      </w:r>
      <w:r w:rsidR="001739D1" w:rsidRPr="001739D1">
        <w:rPr>
          <w:rFonts w:ascii="Arial" w:hAnsi="Arial" w:cs="Arial"/>
        </w:rPr>
        <w:t xml:space="preserve"> through employment policies </w:t>
      </w:r>
      <w:r w:rsidR="001739D1" w:rsidRPr="0049193E">
        <w:rPr>
          <w:rFonts w:ascii="Arial" w:hAnsi="Arial" w:cs="Arial"/>
        </w:rPr>
        <w:t>that make it easier to combine a career with a family life.</w:t>
      </w:r>
      <w:r w:rsidR="002918AB" w:rsidRPr="0049193E">
        <w:rPr>
          <w:rFonts w:ascii="Arial" w:eastAsiaTheme="minorEastAsia" w:hAnsi="Arial" w:cs="Arial"/>
          <w:color w:val="000000" w:themeColor="text1"/>
          <w:kern w:val="24"/>
          <w:lang w:val="en-US"/>
        </w:rPr>
        <w:t xml:space="preserve"> We have also </w:t>
      </w:r>
      <w:r w:rsidR="00033349" w:rsidRPr="0049193E">
        <w:rPr>
          <w:rFonts w:ascii="Arial" w:eastAsiaTheme="minorEastAsia" w:hAnsi="Arial" w:cs="Arial"/>
          <w:color w:val="000000" w:themeColor="text1"/>
          <w:kern w:val="24"/>
          <w:lang w:val="en-US"/>
        </w:rPr>
        <w:t xml:space="preserve">sought to introduce policies and toolkits </w:t>
      </w:r>
      <w:r w:rsidR="00A852C1" w:rsidRPr="0049193E">
        <w:rPr>
          <w:rFonts w:ascii="Arial" w:eastAsiaTheme="minorEastAsia" w:hAnsi="Arial" w:cs="Arial"/>
          <w:color w:val="000000" w:themeColor="text1"/>
          <w:kern w:val="24"/>
          <w:lang w:val="en-US"/>
        </w:rPr>
        <w:t>around menopause</w:t>
      </w:r>
      <w:r w:rsidR="00FF2DB0" w:rsidRPr="0049193E">
        <w:rPr>
          <w:rFonts w:ascii="Arial" w:eastAsiaTheme="minorEastAsia" w:hAnsi="Arial" w:cs="Arial"/>
          <w:color w:val="000000" w:themeColor="text1"/>
          <w:kern w:val="24"/>
          <w:lang w:val="en-US"/>
        </w:rPr>
        <w:t xml:space="preserve">, </w:t>
      </w:r>
      <w:r w:rsidR="00753088" w:rsidRPr="0049193E">
        <w:rPr>
          <w:rFonts w:ascii="Arial" w:eastAsiaTheme="minorEastAsia" w:hAnsi="Arial" w:cs="Arial"/>
          <w:color w:val="000000" w:themeColor="text1"/>
          <w:kern w:val="24"/>
          <w:lang w:val="en-US"/>
        </w:rPr>
        <w:t>disability,</w:t>
      </w:r>
      <w:r w:rsidR="00A852C1" w:rsidRPr="0049193E">
        <w:rPr>
          <w:rFonts w:ascii="Arial" w:eastAsiaTheme="minorEastAsia" w:hAnsi="Arial" w:cs="Arial"/>
          <w:color w:val="000000" w:themeColor="text1"/>
          <w:kern w:val="24"/>
          <w:lang w:val="en-US"/>
        </w:rPr>
        <w:t xml:space="preserve"> </w:t>
      </w:r>
      <w:r w:rsidR="00FF2DB0" w:rsidRPr="0049193E">
        <w:rPr>
          <w:rFonts w:ascii="Arial" w:eastAsiaTheme="minorEastAsia" w:hAnsi="Arial" w:cs="Arial"/>
          <w:color w:val="000000" w:themeColor="text1"/>
          <w:kern w:val="24"/>
          <w:lang w:val="en-US"/>
        </w:rPr>
        <w:t xml:space="preserve">and race </w:t>
      </w:r>
      <w:r w:rsidR="00033349" w:rsidRPr="0049193E">
        <w:rPr>
          <w:rFonts w:ascii="Arial" w:eastAsiaTheme="minorEastAsia" w:hAnsi="Arial" w:cs="Arial"/>
          <w:color w:val="000000" w:themeColor="text1"/>
          <w:kern w:val="24"/>
          <w:lang w:val="en-US"/>
        </w:rPr>
        <w:t xml:space="preserve">to help us become </w:t>
      </w:r>
      <w:r w:rsidR="00BB71B6" w:rsidRPr="0049193E">
        <w:rPr>
          <w:rFonts w:ascii="Arial" w:eastAsiaTheme="minorEastAsia" w:hAnsi="Arial" w:cs="Arial"/>
          <w:color w:val="000000" w:themeColor="text1"/>
          <w:kern w:val="24"/>
          <w:lang w:val="en-US"/>
        </w:rPr>
        <w:t xml:space="preserve">a </w:t>
      </w:r>
      <w:r w:rsidR="00033349" w:rsidRPr="0049193E">
        <w:rPr>
          <w:rFonts w:ascii="Arial" w:eastAsiaTheme="minorEastAsia" w:hAnsi="Arial" w:cs="Arial"/>
          <w:color w:val="000000" w:themeColor="text1"/>
          <w:kern w:val="24"/>
          <w:lang w:val="en-US"/>
        </w:rPr>
        <w:t>more inclusive</w:t>
      </w:r>
      <w:r w:rsidR="00BB71B6" w:rsidRPr="0049193E">
        <w:rPr>
          <w:rFonts w:ascii="Arial" w:eastAsiaTheme="minorEastAsia" w:hAnsi="Arial" w:cs="Arial"/>
          <w:color w:val="000000" w:themeColor="text1"/>
          <w:kern w:val="24"/>
          <w:lang w:val="en-US"/>
        </w:rPr>
        <w:t xml:space="preserve"> </w:t>
      </w:r>
      <w:r w:rsidR="00333AB9" w:rsidRPr="0049193E">
        <w:rPr>
          <w:rFonts w:ascii="Arial" w:eastAsiaTheme="minorEastAsia" w:hAnsi="Arial" w:cs="Arial"/>
          <w:color w:val="000000" w:themeColor="text1"/>
          <w:kern w:val="24"/>
          <w:lang w:val="en-US"/>
        </w:rPr>
        <w:t>employer</w:t>
      </w:r>
      <w:r w:rsidR="00A852C1" w:rsidRPr="0049193E">
        <w:rPr>
          <w:rFonts w:ascii="Arial" w:eastAsiaTheme="minorEastAsia" w:hAnsi="Arial" w:cs="Arial"/>
          <w:color w:val="000000" w:themeColor="text1"/>
          <w:kern w:val="24"/>
          <w:lang w:val="en-US"/>
        </w:rPr>
        <w:t>.</w:t>
      </w:r>
    </w:p>
    <w:p w14:paraId="6729203B" w14:textId="2FC67431" w:rsidR="00D0111E" w:rsidRDefault="00D0111E" w:rsidP="00C336DC">
      <w:pPr>
        <w:rPr>
          <w:rFonts w:cs="Arial"/>
        </w:rPr>
      </w:pPr>
    </w:p>
    <w:p w14:paraId="55C2BF7F" w14:textId="5A863CA0" w:rsidR="00B30F49" w:rsidRPr="00B30F49" w:rsidRDefault="00F2075E" w:rsidP="00B30F49">
      <w:pPr>
        <w:pStyle w:val="ListParagraph"/>
        <w:numPr>
          <w:ilvl w:val="0"/>
          <w:numId w:val="19"/>
        </w:numPr>
        <w:rPr>
          <w:rFonts w:cs="Arial"/>
          <w:b/>
        </w:rPr>
      </w:pPr>
      <w:r>
        <w:rPr>
          <w:rFonts w:ascii="Arial" w:hAnsi="Arial" w:cs="Arial"/>
          <w:sz w:val="24"/>
          <w:szCs w:val="24"/>
        </w:rPr>
        <w:t xml:space="preserve">Ensuring </w:t>
      </w:r>
      <w:r w:rsidR="00E93825">
        <w:rPr>
          <w:rFonts w:ascii="Arial" w:hAnsi="Arial" w:cs="Arial"/>
          <w:sz w:val="24"/>
          <w:szCs w:val="24"/>
        </w:rPr>
        <w:t xml:space="preserve">all colleagues </w:t>
      </w:r>
      <w:r w:rsidR="00FE3501">
        <w:rPr>
          <w:rFonts w:ascii="Arial" w:hAnsi="Arial" w:cs="Arial"/>
          <w:sz w:val="24"/>
          <w:szCs w:val="24"/>
        </w:rPr>
        <w:t>are more</w:t>
      </w:r>
      <w:r w:rsidR="00354E93">
        <w:rPr>
          <w:rFonts w:ascii="Arial" w:hAnsi="Arial" w:cs="Arial"/>
          <w:sz w:val="24"/>
          <w:szCs w:val="24"/>
        </w:rPr>
        <w:t xml:space="preserve"> aware and equipped to play their part </w:t>
      </w:r>
      <w:r w:rsidR="00836483">
        <w:rPr>
          <w:rFonts w:ascii="Arial" w:hAnsi="Arial" w:cs="Arial"/>
          <w:sz w:val="24"/>
          <w:szCs w:val="24"/>
        </w:rPr>
        <w:t xml:space="preserve">is key to </w:t>
      </w:r>
      <w:r w:rsidR="00354E93">
        <w:rPr>
          <w:rFonts w:ascii="Arial" w:hAnsi="Arial" w:cs="Arial"/>
          <w:sz w:val="24"/>
          <w:szCs w:val="24"/>
        </w:rPr>
        <w:t xml:space="preserve">creating </w:t>
      </w:r>
      <w:r w:rsidR="003F0050">
        <w:rPr>
          <w:rFonts w:ascii="Arial" w:hAnsi="Arial" w:cs="Arial"/>
          <w:sz w:val="24"/>
          <w:szCs w:val="24"/>
        </w:rPr>
        <w:t xml:space="preserve">an inclusive workplace that is welcoming to women. While the policies we have in place </w:t>
      </w:r>
      <w:r w:rsidR="00345921">
        <w:rPr>
          <w:rFonts w:ascii="Arial" w:hAnsi="Arial" w:cs="Arial"/>
          <w:sz w:val="24"/>
          <w:szCs w:val="24"/>
        </w:rPr>
        <w:t>aim to eliminate any form of discrimination or inappropriate behaviour</w:t>
      </w:r>
      <w:r w:rsidR="00B1772B">
        <w:rPr>
          <w:rFonts w:ascii="Arial" w:hAnsi="Arial" w:cs="Arial"/>
          <w:sz w:val="24"/>
          <w:szCs w:val="24"/>
        </w:rPr>
        <w:t xml:space="preserve">, we recognise that there is more to do. We continue to </w:t>
      </w:r>
      <w:r w:rsidR="005E4085">
        <w:rPr>
          <w:rFonts w:ascii="Arial" w:hAnsi="Arial" w:cs="Arial"/>
          <w:sz w:val="24"/>
          <w:szCs w:val="24"/>
        </w:rPr>
        <w:t xml:space="preserve">promote our revised </w:t>
      </w:r>
      <w:r w:rsidR="00DE0C7D">
        <w:rPr>
          <w:rFonts w:ascii="Arial" w:hAnsi="Arial" w:cs="Arial"/>
          <w:sz w:val="24"/>
          <w:szCs w:val="24"/>
        </w:rPr>
        <w:t xml:space="preserve">and refreshed </w:t>
      </w:r>
      <w:r w:rsidR="005E4085">
        <w:rPr>
          <w:rFonts w:ascii="Arial" w:hAnsi="Arial" w:cs="Arial"/>
          <w:sz w:val="24"/>
          <w:szCs w:val="24"/>
        </w:rPr>
        <w:t xml:space="preserve">Code of </w:t>
      </w:r>
      <w:r w:rsidR="00B52F95">
        <w:rPr>
          <w:rFonts w:ascii="Arial" w:hAnsi="Arial" w:cs="Arial"/>
          <w:sz w:val="24"/>
          <w:szCs w:val="24"/>
        </w:rPr>
        <w:t>Conduct and</w:t>
      </w:r>
      <w:r w:rsidR="005E4085">
        <w:rPr>
          <w:rFonts w:ascii="Arial" w:hAnsi="Arial" w:cs="Arial"/>
          <w:sz w:val="24"/>
          <w:szCs w:val="24"/>
        </w:rPr>
        <w:t xml:space="preserve"> </w:t>
      </w:r>
      <w:r w:rsidR="00B1772B">
        <w:rPr>
          <w:rFonts w:ascii="Arial" w:hAnsi="Arial" w:cs="Arial"/>
          <w:sz w:val="24"/>
          <w:szCs w:val="24"/>
        </w:rPr>
        <w:t xml:space="preserve">ensure that our leadership </w:t>
      </w:r>
      <w:r w:rsidR="007B39CF">
        <w:rPr>
          <w:rFonts w:ascii="Arial" w:hAnsi="Arial" w:cs="Arial"/>
          <w:sz w:val="24"/>
          <w:szCs w:val="24"/>
        </w:rPr>
        <w:t xml:space="preserve">teams are reinforcing </w:t>
      </w:r>
      <w:r w:rsidR="00C26C7B">
        <w:rPr>
          <w:rFonts w:ascii="Arial" w:hAnsi="Arial" w:cs="Arial"/>
          <w:sz w:val="24"/>
          <w:szCs w:val="24"/>
        </w:rPr>
        <w:t xml:space="preserve">appropriate standards throughout their </w:t>
      </w:r>
      <w:r w:rsidR="00FD291C">
        <w:rPr>
          <w:rFonts w:ascii="Arial" w:hAnsi="Arial" w:cs="Arial"/>
          <w:sz w:val="24"/>
          <w:szCs w:val="24"/>
        </w:rPr>
        <w:t>business areas</w:t>
      </w:r>
      <w:r w:rsidR="006B26E8">
        <w:rPr>
          <w:rFonts w:ascii="Arial" w:hAnsi="Arial" w:cs="Arial"/>
          <w:sz w:val="24"/>
          <w:szCs w:val="24"/>
        </w:rPr>
        <w:t>,</w:t>
      </w:r>
      <w:r w:rsidR="00FD291C">
        <w:rPr>
          <w:rFonts w:ascii="Arial" w:hAnsi="Arial" w:cs="Arial"/>
          <w:sz w:val="24"/>
          <w:szCs w:val="24"/>
        </w:rPr>
        <w:t xml:space="preserve"> </w:t>
      </w:r>
      <w:r w:rsidR="00E01705">
        <w:rPr>
          <w:rFonts w:ascii="Arial" w:hAnsi="Arial" w:cs="Arial"/>
          <w:sz w:val="24"/>
          <w:szCs w:val="24"/>
        </w:rPr>
        <w:t xml:space="preserve">and that they are supportive of our </w:t>
      </w:r>
      <w:r w:rsidR="00267EA4">
        <w:rPr>
          <w:rFonts w:ascii="Arial" w:hAnsi="Arial" w:cs="Arial"/>
          <w:sz w:val="24"/>
          <w:szCs w:val="24"/>
        </w:rPr>
        <w:t>diversity and inclusion work</w:t>
      </w:r>
      <w:r w:rsidR="006E6FDB">
        <w:rPr>
          <w:rFonts w:ascii="Arial" w:hAnsi="Arial" w:cs="Arial"/>
          <w:sz w:val="24"/>
          <w:szCs w:val="24"/>
        </w:rPr>
        <w:t>,</w:t>
      </w:r>
      <w:r w:rsidR="00E01705">
        <w:rPr>
          <w:rFonts w:ascii="Arial" w:hAnsi="Arial" w:cs="Arial"/>
          <w:sz w:val="24"/>
          <w:szCs w:val="24"/>
        </w:rPr>
        <w:t xml:space="preserve"> </w:t>
      </w:r>
      <w:r w:rsidR="006B26E8">
        <w:rPr>
          <w:rFonts w:ascii="Arial" w:hAnsi="Arial" w:cs="Arial"/>
          <w:sz w:val="24"/>
          <w:szCs w:val="24"/>
        </w:rPr>
        <w:t xml:space="preserve">such as </w:t>
      </w:r>
      <w:r w:rsidR="00B30F49">
        <w:rPr>
          <w:rFonts w:ascii="Arial" w:hAnsi="Arial" w:cs="Arial"/>
          <w:sz w:val="24"/>
          <w:szCs w:val="24"/>
        </w:rPr>
        <w:t xml:space="preserve">promoting </w:t>
      </w:r>
      <w:r w:rsidR="00725CEE">
        <w:rPr>
          <w:rFonts w:ascii="Arial" w:hAnsi="Arial" w:cs="Arial"/>
          <w:sz w:val="24"/>
          <w:szCs w:val="24"/>
        </w:rPr>
        <w:t xml:space="preserve">our </w:t>
      </w:r>
      <w:r w:rsidR="00333AB9">
        <w:rPr>
          <w:rFonts w:ascii="Arial" w:hAnsi="Arial" w:cs="Arial"/>
          <w:sz w:val="24"/>
          <w:szCs w:val="24"/>
        </w:rPr>
        <w:t>C</w:t>
      </w:r>
      <w:r w:rsidR="00B30F49">
        <w:rPr>
          <w:rFonts w:ascii="Arial" w:hAnsi="Arial" w:cs="Arial"/>
          <w:sz w:val="24"/>
          <w:szCs w:val="24"/>
        </w:rPr>
        <w:t xml:space="preserve">arers policy and </w:t>
      </w:r>
      <w:r w:rsidR="00333AB9">
        <w:rPr>
          <w:rFonts w:ascii="Arial" w:hAnsi="Arial" w:cs="Arial"/>
          <w:sz w:val="24"/>
          <w:szCs w:val="24"/>
        </w:rPr>
        <w:t>P</w:t>
      </w:r>
      <w:r w:rsidR="00B30F49">
        <w:rPr>
          <w:rFonts w:ascii="Arial" w:hAnsi="Arial" w:cs="Arial"/>
          <w:sz w:val="24"/>
          <w:szCs w:val="24"/>
        </w:rPr>
        <w:t>assport,</w:t>
      </w:r>
      <w:r w:rsidR="00333AB9">
        <w:rPr>
          <w:rFonts w:ascii="Arial" w:hAnsi="Arial" w:cs="Arial"/>
          <w:sz w:val="24"/>
          <w:szCs w:val="24"/>
        </w:rPr>
        <w:t xml:space="preserve"> R</w:t>
      </w:r>
      <w:r w:rsidR="00E01705">
        <w:rPr>
          <w:rFonts w:ascii="Arial" w:hAnsi="Arial" w:cs="Arial"/>
          <w:sz w:val="24"/>
          <w:szCs w:val="24"/>
        </w:rPr>
        <w:t>everse mentoring</w:t>
      </w:r>
      <w:r w:rsidR="00D2606A">
        <w:rPr>
          <w:rFonts w:ascii="Arial" w:hAnsi="Arial" w:cs="Arial"/>
          <w:sz w:val="24"/>
          <w:szCs w:val="24"/>
        </w:rPr>
        <w:t xml:space="preserve"> scheme</w:t>
      </w:r>
      <w:r w:rsidR="00E01705">
        <w:rPr>
          <w:rFonts w:ascii="Arial" w:hAnsi="Arial" w:cs="Arial"/>
          <w:sz w:val="24"/>
          <w:szCs w:val="24"/>
        </w:rPr>
        <w:t xml:space="preserve">, </w:t>
      </w:r>
      <w:r w:rsidR="00B30F49">
        <w:rPr>
          <w:rFonts w:ascii="Arial" w:hAnsi="Arial" w:cs="Arial"/>
          <w:sz w:val="24"/>
          <w:szCs w:val="24"/>
        </w:rPr>
        <w:t xml:space="preserve">and </w:t>
      </w:r>
      <w:r w:rsidR="006B26E8">
        <w:rPr>
          <w:rFonts w:ascii="Arial" w:hAnsi="Arial" w:cs="Arial"/>
          <w:sz w:val="24"/>
          <w:szCs w:val="24"/>
        </w:rPr>
        <w:t xml:space="preserve">our </w:t>
      </w:r>
      <w:r w:rsidR="001642C8">
        <w:rPr>
          <w:rFonts w:ascii="Arial" w:hAnsi="Arial" w:cs="Arial"/>
          <w:sz w:val="24"/>
          <w:szCs w:val="24"/>
        </w:rPr>
        <w:t xml:space="preserve">revised </w:t>
      </w:r>
      <w:r w:rsidR="006B26E8">
        <w:rPr>
          <w:rFonts w:ascii="Arial" w:hAnsi="Arial" w:cs="Arial"/>
          <w:sz w:val="24"/>
          <w:szCs w:val="24"/>
        </w:rPr>
        <w:t>approach to performance management, which has a greater focus on wellbeing</w:t>
      </w:r>
      <w:r w:rsidR="005B7408">
        <w:rPr>
          <w:rFonts w:ascii="Arial" w:hAnsi="Arial" w:cs="Arial"/>
          <w:sz w:val="24"/>
          <w:szCs w:val="24"/>
        </w:rPr>
        <w:t>.</w:t>
      </w:r>
    </w:p>
    <w:p w14:paraId="2B39450D" w14:textId="77777777" w:rsidR="00B30F49" w:rsidRPr="00B30F49" w:rsidRDefault="00B30F49" w:rsidP="00B30F49">
      <w:pPr>
        <w:pStyle w:val="ListParagraph"/>
        <w:rPr>
          <w:rFonts w:cs="Arial"/>
          <w:b/>
        </w:rPr>
      </w:pPr>
    </w:p>
    <w:p w14:paraId="5FEF29D3" w14:textId="637776DA" w:rsidR="00940BE9" w:rsidRPr="00B30F49" w:rsidRDefault="00F8514B" w:rsidP="00B30F49">
      <w:pPr>
        <w:rPr>
          <w:rFonts w:cs="Arial"/>
          <w:b/>
        </w:rPr>
      </w:pPr>
      <w:r>
        <w:rPr>
          <w:rFonts w:cs="Arial"/>
          <w:b/>
        </w:rPr>
        <w:t xml:space="preserve"> </w:t>
      </w:r>
      <w:r w:rsidR="00940BE9" w:rsidRPr="00B30F49">
        <w:rPr>
          <w:rFonts w:cs="Arial"/>
          <w:b/>
        </w:rPr>
        <w:t xml:space="preserve">Performance </w:t>
      </w:r>
      <w:r w:rsidR="00E1379B" w:rsidRPr="00B30F49">
        <w:rPr>
          <w:rFonts w:cs="Arial"/>
          <w:b/>
        </w:rPr>
        <w:t xml:space="preserve">Management </w:t>
      </w:r>
    </w:p>
    <w:p w14:paraId="5FEF29D4" w14:textId="77777777" w:rsidR="008D020F" w:rsidRPr="008519A2" w:rsidRDefault="008D020F" w:rsidP="00940BE9">
      <w:pPr>
        <w:rPr>
          <w:rFonts w:cs="Arial"/>
          <w:b/>
        </w:rPr>
      </w:pPr>
    </w:p>
    <w:p w14:paraId="5FEF29D5" w14:textId="281CDC47" w:rsidR="007C422C" w:rsidRPr="008519A2" w:rsidRDefault="008F31D9" w:rsidP="00021273">
      <w:pPr>
        <w:numPr>
          <w:ilvl w:val="0"/>
          <w:numId w:val="16"/>
        </w:numPr>
        <w:shd w:val="clear" w:color="auto" w:fill="FFFFFF"/>
        <w:textAlignment w:val="baseline"/>
        <w:rPr>
          <w:rFonts w:cs="Arial"/>
        </w:rPr>
      </w:pPr>
      <w:r w:rsidRPr="008519A2">
        <w:rPr>
          <w:rFonts w:cs="Arial"/>
          <w:lang w:eastAsia="en-GB"/>
        </w:rPr>
        <w:t xml:space="preserve">We have </w:t>
      </w:r>
      <w:r w:rsidR="00EA385A" w:rsidRPr="008519A2">
        <w:rPr>
          <w:rFonts w:cs="Arial"/>
          <w:lang w:eastAsia="en-GB"/>
        </w:rPr>
        <w:t>i</w:t>
      </w:r>
      <w:r w:rsidR="006E5C20">
        <w:rPr>
          <w:rFonts w:cs="Arial"/>
          <w:lang w:eastAsia="en-GB"/>
        </w:rPr>
        <w:t xml:space="preserve">ntroduced a </w:t>
      </w:r>
      <w:r w:rsidR="00883EFD">
        <w:rPr>
          <w:rFonts w:cs="Arial"/>
          <w:lang w:eastAsia="en-GB"/>
        </w:rPr>
        <w:t xml:space="preserve">new </w:t>
      </w:r>
      <w:r w:rsidR="00A15949" w:rsidRPr="008519A2">
        <w:rPr>
          <w:rFonts w:cs="Arial"/>
          <w:lang w:eastAsia="en-GB"/>
        </w:rPr>
        <w:t>p</w:t>
      </w:r>
      <w:r w:rsidR="00EA385A" w:rsidRPr="008519A2">
        <w:rPr>
          <w:rFonts w:cs="Arial"/>
          <w:lang w:eastAsia="en-GB"/>
        </w:rPr>
        <w:t xml:space="preserve">erformance </w:t>
      </w:r>
      <w:r w:rsidR="00065D34" w:rsidRPr="008519A2">
        <w:rPr>
          <w:rFonts w:cs="Arial"/>
          <w:lang w:eastAsia="en-GB"/>
        </w:rPr>
        <w:t>m</w:t>
      </w:r>
      <w:r w:rsidR="00EA385A" w:rsidRPr="008519A2">
        <w:rPr>
          <w:rFonts w:cs="Arial"/>
          <w:lang w:eastAsia="en-GB"/>
        </w:rPr>
        <w:t xml:space="preserve">anagement </w:t>
      </w:r>
      <w:r w:rsidR="00883EFD">
        <w:rPr>
          <w:rFonts w:cs="Arial"/>
          <w:lang w:eastAsia="en-GB"/>
        </w:rPr>
        <w:t xml:space="preserve">approach, </w:t>
      </w:r>
      <w:r w:rsidR="009A5B64" w:rsidRPr="008519A2">
        <w:rPr>
          <w:rFonts w:cs="Arial"/>
          <w:lang w:eastAsia="en-GB"/>
        </w:rPr>
        <w:t xml:space="preserve">simplifying </w:t>
      </w:r>
      <w:r w:rsidR="00753088" w:rsidRPr="008519A2">
        <w:rPr>
          <w:rFonts w:cs="Arial"/>
          <w:lang w:eastAsia="en-GB"/>
        </w:rPr>
        <w:t>it,</w:t>
      </w:r>
      <w:r w:rsidR="009A5B64" w:rsidRPr="008519A2">
        <w:rPr>
          <w:rFonts w:cs="Arial"/>
          <w:lang w:eastAsia="en-GB"/>
        </w:rPr>
        <w:t xml:space="preserve"> and </w:t>
      </w:r>
      <w:r w:rsidR="008976DC" w:rsidRPr="008519A2">
        <w:rPr>
          <w:rFonts w:cs="Arial"/>
          <w:lang w:eastAsia="en-GB"/>
        </w:rPr>
        <w:t>basing it on</w:t>
      </w:r>
      <w:r w:rsidR="00E1379B" w:rsidRPr="008519A2">
        <w:rPr>
          <w:rFonts w:cs="Arial"/>
          <w:lang w:eastAsia="en-GB"/>
        </w:rPr>
        <w:t xml:space="preserve"> values-based conversations linked to performance</w:t>
      </w:r>
      <w:r w:rsidR="00EA385A" w:rsidRPr="008519A2">
        <w:rPr>
          <w:rFonts w:cs="Arial"/>
          <w:lang w:eastAsia="en-GB"/>
        </w:rPr>
        <w:t xml:space="preserve">, </w:t>
      </w:r>
      <w:r w:rsidR="006E6FDB">
        <w:rPr>
          <w:rFonts w:cs="Arial"/>
          <w:lang w:eastAsia="en-GB"/>
        </w:rPr>
        <w:t xml:space="preserve">increasing the </w:t>
      </w:r>
      <w:r w:rsidR="00EA1B0A" w:rsidRPr="008519A2">
        <w:rPr>
          <w:rFonts w:cs="Arial"/>
          <w:lang w:eastAsia="en-GB"/>
        </w:rPr>
        <w:t xml:space="preserve">focus on wellbeing and career development </w:t>
      </w:r>
      <w:r w:rsidR="00065D34" w:rsidRPr="008519A2">
        <w:rPr>
          <w:rFonts w:cs="Arial"/>
          <w:lang w:eastAsia="en-GB"/>
        </w:rPr>
        <w:t xml:space="preserve">while </w:t>
      </w:r>
      <w:r w:rsidR="005A4F25" w:rsidRPr="008519A2">
        <w:rPr>
          <w:rFonts w:cs="Arial"/>
          <w:lang w:eastAsia="en-GB"/>
        </w:rPr>
        <w:t>provid</w:t>
      </w:r>
      <w:r w:rsidR="00065D34" w:rsidRPr="008519A2">
        <w:rPr>
          <w:rFonts w:cs="Arial"/>
          <w:lang w:eastAsia="en-GB"/>
        </w:rPr>
        <w:t xml:space="preserve">ing </w:t>
      </w:r>
      <w:r w:rsidR="005A4F25" w:rsidRPr="008519A2">
        <w:rPr>
          <w:rFonts w:cs="Arial"/>
          <w:lang w:eastAsia="en-GB"/>
        </w:rPr>
        <w:t xml:space="preserve">the opportunity for more regular coaching discussions. </w:t>
      </w:r>
      <w:r w:rsidR="009A5B64" w:rsidRPr="008519A2">
        <w:rPr>
          <w:rFonts w:cs="Arial"/>
          <w:lang w:eastAsia="en-GB"/>
        </w:rPr>
        <w:t xml:space="preserve">We undertake </w:t>
      </w:r>
      <w:r w:rsidR="00940BE9" w:rsidRPr="008519A2">
        <w:rPr>
          <w:rFonts w:cs="Arial"/>
        </w:rPr>
        <w:t xml:space="preserve">analysis at key stages of our performance management process </w:t>
      </w:r>
      <w:r w:rsidR="00257BCB" w:rsidRPr="008519A2">
        <w:rPr>
          <w:rFonts w:cs="Arial"/>
        </w:rPr>
        <w:t xml:space="preserve">focusing </w:t>
      </w:r>
      <w:r w:rsidR="00650F6B" w:rsidRPr="008519A2">
        <w:rPr>
          <w:rFonts w:cs="Arial"/>
        </w:rPr>
        <w:t>on</w:t>
      </w:r>
      <w:r w:rsidR="007C422C" w:rsidRPr="008519A2">
        <w:rPr>
          <w:rFonts w:cs="Arial"/>
        </w:rPr>
        <w:t xml:space="preserve"> diversity specific issues</w:t>
      </w:r>
      <w:r w:rsidR="00D676D9">
        <w:rPr>
          <w:rFonts w:cs="Arial"/>
        </w:rPr>
        <w:t xml:space="preserve"> </w:t>
      </w:r>
      <w:r w:rsidR="00650F6B" w:rsidRPr="008519A2">
        <w:rPr>
          <w:rFonts w:cs="Arial"/>
        </w:rPr>
        <w:t xml:space="preserve">to ensure there is no </w:t>
      </w:r>
      <w:r w:rsidR="007C422C" w:rsidRPr="008519A2">
        <w:rPr>
          <w:rFonts w:cs="Arial"/>
        </w:rPr>
        <w:t>evidence of conscious or unconscious bias. We have strengthened our guidance to line managers making assessment</w:t>
      </w:r>
      <w:r w:rsidR="003A4085" w:rsidRPr="008519A2">
        <w:rPr>
          <w:rFonts w:cs="Arial"/>
        </w:rPr>
        <w:t xml:space="preserve">s and </w:t>
      </w:r>
      <w:r w:rsidR="007C422C" w:rsidRPr="008519A2">
        <w:rPr>
          <w:rFonts w:cs="Arial"/>
        </w:rPr>
        <w:t>shar</w:t>
      </w:r>
      <w:r w:rsidR="003A4085" w:rsidRPr="008519A2">
        <w:rPr>
          <w:rFonts w:cs="Arial"/>
        </w:rPr>
        <w:t>ed b</w:t>
      </w:r>
      <w:r w:rsidR="007C422C" w:rsidRPr="008519A2">
        <w:rPr>
          <w:rFonts w:cs="Arial"/>
        </w:rPr>
        <w:t>est practice and experiences</w:t>
      </w:r>
      <w:r w:rsidR="003A4085" w:rsidRPr="008519A2">
        <w:rPr>
          <w:rFonts w:cs="Arial"/>
        </w:rPr>
        <w:t xml:space="preserve"> to </w:t>
      </w:r>
      <w:r w:rsidR="00A15949" w:rsidRPr="008519A2">
        <w:rPr>
          <w:rFonts w:cs="Arial"/>
        </w:rPr>
        <w:t xml:space="preserve">ensure a fair and transparent </w:t>
      </w:r>
      <w:r w:rsidR="007C422C" w:rsidRPr="008519A2">
        <w:rPr>
          <w:rFonts w:cs="Arial"/>
        </w:rPr>
        <w:t xml:space="preserve">performance </w:t>
      </w:r>
      <w:r w:rsidR="00A15949" w:rsidRPr="008519A2">
        <w:rPr>
          <w:rFonts w:cs="Arial"/>
        </w:rPr>
        <w:t xml:space="preserve">management </w:t>
      </w:r>
      <w:r w:rsidR="007C422C" w:rsidRPr="008519A2">
        <w:rPr>
          <w:rFonts w:cs="Arial"/>
        </w:rPr>
        <w:t>process.</w:t>
      </w:r>
    </w:p>
    <w:p w14:paraId="5127132F" w14:textId="77777777" w:rsidR="009A5B64" w:rsidRPr="008519A2" w:rsidRDefault="009A5B64" w:rsidP="007C422C">
      <w:pPr>
        <w:pStyle w:val="ListParagraph"/>
        <w:contextualSpacing w:val="0"/>
        <w:rPr>
          <w:rFonts w:ascii="Arial" w:hAnsi="Arial" w:cs="Arial"/>
          <w:color w:val="4F81BD" w:themeColor="accent1"/>
          <w:sz w:val="24"/>
          <w:szCs w:val="24"/>
        </w:rPr>
      </w:pPr>
    </w:p>
    <w:p w14:paraId="255579F8" w14:textId="77777777" w:rsidR="005E09BD" w:rsidRDefault="005E09BD" w:rsidP="00940BE9">
      <w:pPr>
        <w:rPr>
          <w:rFonts w:cs="Arial"/>
          <w:b/>
          <w:color w:val="000000" w:themeColor="text1"/>
        </w:rPr>
      </w:pPr>
    </w:p>
    <w:p w14:paraId="5FEF29D9" w14:textId="39FDFF0A" w:rsidR="00940BE9" w:rsidRPr="008519A2" w:rsidRDefault="00940BE9" w:rsidP="00940BE9">
      <w:pPr>
        <w:rPr>
          <w:rFonts w:cs="Arial"/>
          <w:b/>
          <w:color w:val="000000" w:themeColor="text1"/>
        </w:rPr>
      </w:pPr>
      <w:r w:rsidRPr="008519A2">
        <w:rPr>
          <w:rFonts w:cs="Arial"/>
          <w:b/>
          <w:color w:val="000000" w:themeColor="text1"/>
        </w:rPr>
        <w:t>Pay</w:t>
      </w:r>
      <w:r w:rsidR="005E09BD">
        <w:rPr>
          <w:rFonts w:cs="Arial"/>
          <w:b/>
          <w:color w:val="000000" w:themeColor="text1"/>
        </w:rPr>
        <w:t xml:space="preserve"> and Reward</w:t>
      </w:r>
    </w:p>
    <w:p w14:paraId="5FEF29DA" w14:textId="77777777" w:rsidR="008D020F" w:rsidRPr="008519A2" w:rsidRDefault="008D020F" w:rsidP="00940BE9">
      <w:pPr>
        <w:rPr>
          <w:rFonts w:cs="Arial"/>
          <w:b/>
          <w:color w:val="000000" w:themeColor="text1"/>
        </w:rPr>
      </w:pPr>
    </w:p>
    <w:p w14:paraId="5FEF29DB" w14:textId="5EC9614B" w:rsidR="00940BE9" w:rsidRPr="003009D4" w:rsidRDefault="00334B0D" w:rsidP="00940BE9">
      <w:pPr>
        <w:pStyle w:val="ListParagraph"/>
        <w:numPr>
          <w:ilvl w:val="0"/>
          <w:numId w:val="17"/>
        </w:numPr>
        <w:contextualSpacing w:val="0"/>
        <w:rPr>
          <w:rFonts w:ascii="Arial" w:eastAsia="Times New Roman" w:hAnsi="Arial" w:cs="Arial"/>
          <w:color w:val="000000" w:themeColor="text1"/>
          <w:sz w:val="24"/>
          <w:szCs w:val="24"/>
          <w:lang w:eastAsia="en-GB"/>
        </w:rPr>
      </w:pPr>
      <w:r w:rsidRPr="008519A2">
        <w:rPr>
          <w:rFonts w:ascii="Arial" w:hAnsi="Arial" w:cs="Arial"/>
          <w:color w:val="000000" w:themeColor="text1"/>
          <w:sz w:val="24"/>
          <w:szCs w:val="24"/>
        </w:rPr>
        <w:t>The introduction of competence-based pay progression has had a positive</w:t>
      </w:r>
      <w:r w:rsidR="002E20FD" w:rsidRPr="008519A2">
        <w:rPr>
          <w:rFonts w:ascii="Arial" w:hAnsi="Arial" w:cs="Arial"/>
          <w:color w:val="000000" w:themeColor="text1"/>
          <w:sz w:val="24"/>
          <w:szCs w:val="24"/>
        </w:rPr>
        <w:t xml:space="preserve"> impact</w:t>
      </w:r>
      <w:r w:rsidR="00175F4C" w:rsidRPr="008519A2">
        <w:rPr>
          <w:rFonts w:ascii="Arial" w:hAnsi="Arial" w:cs="Arial"/>
          <w:color w:val="000000" w:themeColor="text1"/>
          <w:sz w:val="24"/>
          <w:szCs w:val="24"/>
        </w:rPr>
        <w:t xml:space="preserve"> in </w:t>
      </w:r>
      <w:r w:rsidR="00311BEA" w:rsidRPr="008519A2">
        <w:rPr>
          <w:rFonts w:ascii="Arial" w:hAnsi="Arial" w:cs="Arial"/>
          <w:color w:val="000000" w:themeColor="text1"/>
          <w:sz w:val="24"/>
          <w:szCs w:val="24"/>
        </w:rPr>
        <w:t xml:space="preserve">helping to address the </w:t>
      </w:r>
      <w:r w:rsidR="00940BE9" w:rsidRPr="008519A2">
        <w:rPr>
          <w:rFonts w:ascii="Arial" w:hAnsi="Arial" w:cs="Arial"/>
          <w:color w:val="000000" w:themeColor="text1"/>
          <w:sz w:val="24"/>
          <w:szCs w:val="24"/>
        </w:rPr>
        <w:t>gender pay gap across grading levels</w:t>
      </w:r>
      <w:r w:rsidR="006A469F">
        <w:rPr>
          <w:rFonts w:ascii="Arial" w:hAnsi="Arial" w:cs="Arial"/>
          <w:color w:val="000000" w:themeColor="text1"/>
          <w:sz w:val="24"/>
          <w:szCs w:val="24"/>
        </w:rPr>
        <w:t>,</w:t>
      </w:r>
      <w:r w:rsidR="00940BE9" w:rsidRPr="008519A2">
        <w:rPr>
          <w:rFonts w:ascii="Arial" w:hAnsi="Arial" w:cs="Arial"/>
          <w:color w:val="000000" w:themeColor="text1"/>
          <w:sz w:val="24"/>
          <w:szCs w:val="24"/>
        </w:rPr>
        <w:t xml:space="preserve"> given the higher ratio of men already at the top of their respective pay scales</w:t>
      </w:r>
      <w:r w:rsidR="00BB4368">
        <w:rPr>
          <w:rFonts w:ascii="Arial" w:hAnsi="Arial" w:cs="Arial"/>
          <w:color w:val="000000" w:themeColor="text1"/>
          <w:sz w:val="24"/>
          <w:szCs w:val="24"/>
        </w:rPr>
        <w:t xml:space="preserve">, a </w:t>
      </w:r>
      <w:r w:rsidR="00940BE9" w:rsidRPr="008519A2">
        <w:rPr>
          <w:rFonts w:ascii="Arial" w:hAnsi="Arial" w:cs="Arial"/>
          <w:color w:val="000000" w:themeColor="text1"/>
          <w:sz w:val="24"/>
          <w:szCs w:val="24"/>
        </w:rPr>
        <w:t xml:space="preserve">legacy based on length of service that has now been removed. </w:t>
      </w:r>
    </w:p>
    <w:p w14:paraId="2A3A031B" w14:textId="77777777" w:rsidR="003009D4" w:rsidRDefault="003009D4" w:rsidP="003009D4">
      <w:pPr>
        <w:rPr>
          <w:rFonts w:cs="Arial"/>
          <w:color w:val="000000" w:themeColor="text1"/>
          <w:lang w:eastAsia="en-GB"/>
        </w:rPr>
      </w:pPr>
    </w:p>
    <w:p w14:paraId="35FDCEBE" w14:textId="5602431A" w:rsidR="003009D4" w:rsidRPr="003009D4" w:rsidRDefault="003009D4" w:rsidP="003009D4">
      <w:pPr>
        <w:pStyle w:val="ListParagraph"/>
        <w:numPr>
          <w:ilvl w:val="0"/>
          <w:numId w:val="17"/>
        </w:numPr>
        <w:rPr>
          <w:rFonts w:ascii="Arial" w:eastAsia="Times New Roman" w:hAnsi="Arial" w:cs="Arial"/>
          <w:color w:val="000000" w:themeColor="text1"/>
          <w:sz w:val="24"/>
          <w:szCs w:val="24"/>
          <w:lang w:eastAsia="en-GB"/>
        </w:rPr>
      </w:pPr>
      <w:r>
        <w:rPr>
          <w:rFonts w:ascii="Arial" w:hAnsi="Arial" w:cs="Arial"/>
          <w:color w:val="333333"/>
          <w:sz w:val="24"/>
          <w:szCs w:val="24"/>
          <w:shd w:val="clear" w:color="auto" w:fill="FCFCFC"/>
        </w:rPr>
        <w:t xml:space="preserve">Our new </w:t>
      </w:r>
      <w:r w:rsidRPr="003009D4">
        <w:rPr>
          <w:rFonts w:ascii="Arial" w:hAnsi="Arial" w:cs="Arial"/>
          <w:color w:val="333333"/>
          <w:sz w:val="24"/>
          <w:szCs w:val="24"/>
          <w:shd w:val="clear" w:color="auto" w:fill="FCFCFC"/>
        </w:rPr>
        <w:t xml:space="preserve">Praise and Recognition approach allows </w:t>
      </w:r>
      <w:r w:rsidR="00BF726A">
        <w:rPr>
          <w:rFonts w:ascii="Arial" w:hAnsi="Arial" w:cs="Arial"/>
          <w:color w:val="333333"/>
          <w:sz w:val="24"/>
          <w:szCs w:val="24"/>
          <w:shd w:val="clear" w:color="auto" w:fill="FCFCFC"/>
        </w:rPr>
        <w:t xml:space="preserve">all </w:t>
      </w:r>
      <w:r w:rsidR="00937C40">
        <w:rPr>
          <w:rFonts w:ascii="Arial" w:hAnsi="Arial" w:cs="Arial"/>
          <w:color w:val="333333"/>
          <w:sz w:val="24"/>
          <w:szCs w:val="24"/>
          <w:shd w:val="clear" w:color="auto" w:fill="FCFCFC"/>
        </w:rPr>
        <w:t>staff to be recogn</w:t>
      </w:r>
      <w:r w:rsidR="00A62292">
        <w:rPr>
          <w:rFonts w:ascii="Arial" w:hAnsi="Arial" w:cs="Arial"/>
          <w:color w:val="333333"/>
          <w:sz w:val="24"/>
          <w:szCs w:val="24"/>
          <w:shd w:val="clear" w:color="auto" w:fill="FCFCFC"/>
        </w:rPr>
        <w:t>i</w:t>
      </w:r>
      <w:r w:rsidR="00937C40">
        <w:rPr>
          <w:rFonts w:ascii="Arial" w:hAnsi="Arial" w:cs="Arial"/>
          <w:color w:val="333333"/>
          <w:sz w:val="24"/>
          <w:szCs w:val="24"/>
          <w:shd w:val="clear" w:color="auto" w:fill="FCFCFC"/>
        </w:rPr>
        <w:t>sed and rewarded in line with our val</w:t>
      </w:r>
      <w:r w:rsidR="00A62292">
        <w:rPr>
          <w:rFonts w:ascii="Arial" w:hAnsi="Arial" w:cs="Arial"/>
          <w:color w:val="333333"/>
          <w:sz w:val="24"/>
          <w:szCs w:val="24"/>
          <w:shd w:val="clear" w:color="auto" w:fill="FCFCFC"/>
        </w:rPr>
        <w:t>u</w:t>
      </w:r>
      <w:r w:rsidR="00937C40">
        <w:rPr>
          <w:rFonts w:ascii="Arial" w:hAnsi="Arial" w:cs="Arial"/>
          <w:color w:val="333333"/>
          <w:sz w:val="24"/>
          <w:szCs w:val="24"/>
          <w:shd w:val="clear" w:color="auto" w:fill="FCFCFC"/>
        </w:rPr>
        <w:t>es</w:t>
      </w:r>
      <w:r w:rsidR="00C233CB">
        <w:rPr>
          <w:rFonts w:ascii="Arial" w:hAnsi="Arial" w:cs="Arial"/>
          <w:color w:val="333333"/>
          <w:sz w:val="24"/>
          <w:szCs w:val="24"/>
          <w:shd w:val="clear" w:color="auto" w:fill="FCFCFC"/>
        </w:rPr>
        <w:t xml:space="preserve"> </w:t>
      </w:r>
      <w:r w:rsidRPr="003009D4">
        <w:rPr>
          <w:rFonts w:ascii="Arial" w:hAnsi="Arial" w:cs="Arial"/>
          <w:color w:val="333333"/>
          <w:sz w:val="24"/>
          <w:szCs w:val="24"/>
          <w:shd w:val="clear" w:color="auto" w:fill="FCFCFC"/>
        </w:rPr>
        <w:t>in a timely way, whilst being celebratory, fair, and equitable</w:t>
      </w:r>
      <w:r w:rsidRPr="003009D4">
        <w:rPr>
          <w:rFonts w:cs="Arial"/>
          <w:color w:val="333333"/>
          <w:sz w:val="23"/>
          <w:szCs w:val="23"/>
          <w:shd w:val="clear" w:color="auto" w:fill="FCFCFC"/>
        </w:rPr>
        <w:t>.</w:t>
      </w:r>
    </w:p>
    <w:p w14:paraId="255B1FF4" w14:textId="77777777" w:rsidR="008946DC" w:rsidRDefault="008946DC" w:rsidP="008E2014">
      <w:pPr>
        <w:rPr>
          <w:rFonts w:cs="Arial"/>
          <w:b/>
          <w:bCs/>
          <w:color w:val="000000" w:themeColor="text1"/>
          <w:lang w:eastAsia="en-GB"/>
        </w:rPr>
      </w:pPr>
    </w:p>
    <w:p w14:paraId="2DC52117" w14:textId="77777777" w:rsidR="00B609F9" w:rsidRDefault="00B609F9" w:rsidP="006A0D12">
      <w:pPr>
        <w:rPr>
          <w:rFonts w:cs="Arial"/>
          <w:b/>
          <w:bCs/>
          <w:color w:val="000000" w:themeColor="text1"/>
          <w:lang w:eastAsia="en-GB"/>
        </w:rPr>
      </w:pPr>
    </w:p>
    <w:p w14:paraId="74184D13" w14:textId="77777777" w:rsidR="00B609F9" w:rsidRDefault="00B609F9" w:rsidP="006A0D12">
      <w:pPr>
        <w:rPr>
          <w:rFonts w:cs="Arial"/>
          <w:b/>
          <w:bCs/>
          <w:color w:val="000000" w:themeColor="text1"/>
          <w:lang w:eastAsia="en-GB"/>
        </w:rPr>
      </w:pPr>
    </w:p>
    <w:p w14:paraId="525B458F" w14:textId="77777777" w:rsidR="00B609F9" w:rsidRDefault="00B609F9" w:rsidP="006A0D12">
      <w:pPr>
        <w:rPr>
          <w:rFonts w:cs="Arial"/>
          <w:b/>
          <w:bCs/>
          <w:color w:val="000000" w:themeColor="text1"/>
          <w:lang w:eastAsia="en-GB"/>
        </w:rPr>
      </w:pPr>
    </w:p>
    <w:p w14:paraId="55E82E11" w14:textId="6351C0B8" w:rsidR="006A0D12" w:rsidRDefault="00797F1E" w:rsidP="006A0D12">
      <w:pPr>
        <w:rPr>
          <w:rFonts w:cs="Arial"/>
          <w:b/>
          <w:bCs/>
          <w:color w:val="000000" w:themeColor="text1"/>
          <w:lang w:eastAsia="en-GB"/>
        </w:rPr>
      </w:pPr>
      <w:r w:rsidRPr="00797F1E">
        <w:rPr>
          <w:rFonts w:cs="Arial"/>
          <w:b/>
          <w:bCs/>
          <w:color w:val="000000" w:themeColor="text1"/>
          <w:lang w:eastAsia="en-GB"/>
        </w:rPr>
        <w:t>Career Progression</w:t>
      </w:r>
    </w:p>
    <w:p w14:paraId="47414037" w14:textId="77777777" w:rsidR="00797F1E" w:rsidRPr="00797F1E" w:rsidRDefault="00797F1E" w:rsidP="006A0D12">
      <w:pPr>
        <w:rPr>
          <w:rFonts w:cs="Arial"/>
          <w:b/>
          <w:bCs/>
          <w:color w:val="000000" w:themeColor="text1"/>
          <w:lang w:eastAsia="en-GB"/>
        </w:rPr>
      </w:pPr>
    </w:p>
    <w:p w14:paraId="5FEF29DC" w14:textId="7652F704" w:rsidR="00643E53" w:rsidRPr="008E7E12" w:rsidRDefault="00414EE0" w:rsidP="00EF5673">
      <w:pPr>
        <w:pStyle w:val="ListParagraph"/>
        <w:numPr>
          <w:ilvl w:val="0"/>
          <w:numId w:val="17"/>
        </w:numPr>
        <w:rPr>
          <w:rFonts w:cs="Arial"/>
          <w:b/>
          <w:color w:val="000000" w:themeColor="text1"/>
        </w:rPr>
      </w:pPr>
      <w:r w:rsidRPr="007723F4">
        <w:rPr>
          <w:rFonts w:asciiTheme="minorBidi" w:hAnsiTheme="minorBidi" w:cstheme="minorBidi"/>
          <w:sz w:val="24"/>
          <w:szCs w:val="24"/>
        </w:rPr>
        <w:t xml:space="preserve">We continually monitor the progression of female </w:t>
      </w:r>
      <w:r w:rsidR="00797F1E" w:rsidRPr="007723F4">
        <w:rPr>
          <w:rFonts w:asciiTheme="minorBidi" w:hAnsiTheme="minorBidi" w:cstheme="minorBidi"/>
          <w:sz w:val="24"/>
          <w:szCs w:val="24"/>
        </w:rPr>
        <w:t>staff</w:t>
      </w:r>
      <w:r w:rsidRPr="007723F4">
        <w:rPr>
          <w:rFonts w:asciiTheme="minorBidi" w:hAnsiTheme="minorBidi" w:cstheme="minorBidi"/>
          <w:sz w:val="24"/>
          <w:szCs w:val="24"/>
        </w:rPr>
        <w:t xml:space="preserve"> through ou</w:t>
      </w:r>
      <w:r w:rsidR="00797F1E" w:rsidRPr="007723F4">
        <w:rPr>
          <w:rFonts w:asciiTheme="minorBidi" w:hAnsiTheme="minorBidi" w:cstheme="minorBidi"/>
          <w:sz w:val="24"/>
          <w:szCs w:val="24"/>
        </w:rPr>
        <w:t>r succession and talent management plans.</w:t>
      </w:r>
      <w:r w:rsidRPr="007723F4">
        <w:rPr>
          <w:rFonts w:asciiTheme="minorBidi" w:hAnsiTheme="minorBidi" w:cstheme="minorBidi"/>
          <w:sz w:val="24"/>
          <w:szCs w:val="24"/>
        </w:rPr>
        <w:t xml:space="preserve"> This helps us to ensure that these are gender neutral, free from </w:t>
      </w:r>
      <w:r w:rsidR="00753088" w:rsidRPr="007723F4">
        <w:rPr>
          <w:rFonts w:asciiTheme="minorBidi" w:hAnsiTheme="minorBidi" w:cstheme="minorBidi"/>
          <w:sz w:val="24"/>
          <w:szCs w:val="24"/>
        </w:rPr>
        <w:t>bias,</w:t>
      </w:r>
      <w:r w:rsidRPr="007723F4">
        <w:rPr>
          <w:rFonts w:asciiTheme="minorBidi" w:hAnsiTheme="minorBidi" w:cstheme="minorBidi"/>
          <w:sz w:val="24"/>
          <w:szCs w:val="24"/>
        </w:rPr>
        <w:t xml:space="preserve"> and encourage</w:t>
      </w:r>
      <w:r w:rsidR="00797F1E" w:rsidRPr="007723F4">
        <w:rPr>
          <w:rFonts w:asciiTheme="minorBidi" w:hAnsiTheme="minorBidi" w:cstheme="minorBidi"/>
          <w:sz w:val="24"/>
          <w:szCs w:val="24"/>
        </w:rPr>
        <w:t xml:space="preserve"> women</w:t>
      </w:r>
      <w:r w:rsidRPr="007723F4">
        <w:rPr>
          <w:rFonts w:asciiTheme="minorBidi" w:hAnsiTheme="minorBidi" w:cstheme="minorBidi"/>
          <w:sz w:val="24"/>
          <w:szCs w:val="24"/>
        </w:rPr>
        <w:t xml:space="preserve"> to progress into more senior roles. This work is supported by a range of other diversity and inclusion measures designed to achieve our 2030 ambitions </w:t>
      </w:r>
      <w:r w:rsidR="007723F4">
        <w:rPr>
          <w:rFonts w:asciiTheme="minorBidi" w:hAnsiTheme="minorBidi" w:cstheme="minorBidi"/>
          <w:sz w:val="24"/>
          <w:szCs w:val="24"/>
        </w:rPr>
        <w:t xml:space="preserve">and </w:t>
      </w:r>
      <w:r w:rsidRPr="007723F4">
        <w:rPr>
          <w:rFonts w:asciiTheme="minorBidi" w:hAnsiTheme="minorBidi" w:cstheme="minorBidi"/>
          <w:sz w:val="24"/>
          <w:szCs w:val="24"/>
        </w:rPr>
        <w:t xml:space="preserve">we remain committed to achieving 40% women in </w:t>
      </w:r>
      <w:r w:rsidR="008E7E12">
        <w:rPr>
          <w:rFonts w:asciiTheme="minorBidi" w:hAnsiTheme="minorBidi" w:cstheme="minorBidi"/>
          <w:sz w:val="24"/>
          <w:szCs w:val="24"/>
        </w:rPr>
        <w:t xml:space="preserve">ONR </w:t>
      </w:r>
      <w:r w:rsidRPr="007723F4">
        <w:rPr>
          <w:rFonts w:asciiTheme="minorBidi" w:hAnsiTheme="minorBidi" w:cstheme="minorBidi"/>
          <w:sz w:val="24"/>
          <w:szCs w:val="24"/>
        </w:rPr>
        <w:t>by 2030</w:t>
      </w:r>
      <w:r w:rsidR="008E7E12">
        <w:rPr>
          <w:rFonts w:asciiTheme="minorBidi" w:hAnsiTheme="minorBidi" w:cstheme="minorBidi"/>
          <w:sz w:val="24"/>
          <w:szCs w:val="24"/>
        </w:rPr>
        <w:t>.</w:t>
      </w:r>
    </w:p>
    <w:p w14:paraId="5F7B6F6F" w14:textId="77777777" w:rsidR="008E7E12" w:rsidRPr="008519A2" w:rsidRDefault="008E7E12" w:rsidP="008E7E12">
      <w:pPr>
        <w:pStyle w:val="ListParagraph"/>
        <w:rPr>
          <w:rFonts w:cs="Arial"/>
          <w:b/>
          <w:color w:val="000000" w:themeColor="text1"/>
        </w:rPr>
      </w:pPr>
    </w:p>
    <w:p w14:paraId="5FEF29DD" w14:textId="77777777" w:rsidR="00940BE9" w:rsidRPr="008519A2" w:rsidRDefault="00940BE9" w:rsidP="00940BE9">
      <w:pPr>
        <w:rPr>
          <w:rFonts w:cs="Arial"/>
          <w:b/>
        </w:rPr>
      </w:pPr>
      <w:r w:rsidRPr="008519A2">
        <w:rPr>
          <w:rFonts w:cs="Arial"/>
          <w:b/>
        </w:rPr>
        <w:t>Why should we do this?</w:t>
      </w:r>
    </w:p>
    <w:p w14:paraId="1DF113DF" w14:textId="77777777" w:rsidR="00831642" w:rsidRDefault="00831642" w:rsidP="00940BE9">
      <w:pPr>
        <w:rPr>
          <w:rFonts w:cs="Arial"/>
        </w:rPr>
      </w:pPr>
    </w:p>
    <w:p w14:paraId="33BF01BF" w14:textId="4A1CF526" w:rsidR="00831642" w:rsidRDefault="00831642" w:rsidP="00831642">
      <w:r>
        <w:t xml:space="preserve">The business case for </w:t>
      </w:r>
      <w:r w:rsidR="009D632F">
        <w:t xml:space="preserve">a </w:t>
      </w:r>
      <w:r>
        <w:t>divers</w:t>
      </w:r>
      <w:r w:rsidR="009D632F">
        <w:t>e and inclusive organisa</w:t>
      </w:r>
      <w:r w:rsidR="00CD3DC4">
        <w:t xml:space="preserve">tion </w:t>
      </w:r>
      <w:r>
        <w:t xml:space="preserve">is already well known and evidenced. From creating a motivated, engaged and more productive workforce, to the positive impact that an increasingly diverse and balanced team has on improved decision making and strategic focus for an organisation. </w:t>
      </w:r>
    </w:p>
    <w:p w14:paraId="7F7B78E1" w14:textId="77777777" w:rsidR="00831642" w:rsidRDefault="00831642" w:rsidP="00831642">
      <w:pPr>
        <w:rPr>
          <w:szCs w:val="22"/>
        </w:rPr>
      </w:pPr>
    </w:p>
    <w:p w14:paraId="32C857B2" w14:textId="6133965E" w:rsidR="00831642" w:rsidRDefault="00831642" w:rsidP="00831642">
      <w:r>
        <w:t>We recognise the benefits of a more gender balanced workforce to help us meet our strategic aims, by enhancing our professional knowledge, bringing challenge and new perspectives, and providing a working environment in which everyone can achieve their full potential</w:t>
      </w:r>
      <w:r w:rsidR="00753088">
        <w:t xml:space="preserve">. </w:t>
      </w:r>
    </w:p>
    <w:p w14:paraId="2C7BB753" w14:textId="77777777" w:rsidR="00831642" w:rsidRDefault="00831642" w:rsidP="00831642"/>
    <w:p w14:paraId="0025CB02" w14:textId="3FF65CCF" w:rsidR="001325B0" w:rsidRDefault="00603C36" w:rsidP="00784174">
      <w:r>
        <w:t xml:space="preserve">Our focus now is creating the building blocks </w:t>
      </w:r>
      <w:r w:rsidR="00F7769A">
        <w:t>for th</w:t>
      </w:r>
      <w:r w:rsidR="00D01003">
        <w:t>e</w:t>
      </w:r>
      <w:r w:rsidR="00F7769A">
        <w:t xml:space="preserve"> future</w:t>
      </w:r>
      <w:r w:rsidR="00D01003">
        <w:t xml:space="preserve">. </w:t>
      </w:r>
      <w:r w:rsidR="00831642">
        <w:t>To do this we are positive that ONR must have a culture which supports women and their progression to greater levels of representation at more senior levels</w:t>
      </w:r>
      <w:r w:rsidR="00784174">
        <w:t xml:space="preserve"> and removing barriers is key to this. ONR is </w:t>
      </w:r>
      <w:r w:rsidR="00831642">
        <w:t xml:space="preserve">committed to its vision of being a modern transparent regulator delivering trusted outcomes and value. </w:t>
      </w:r>
    </w:p>
    <w:p w14:paraId="55592B13" w14:textId="77777777" w:rsidR="001325B0" w:rsidRDefault="001325B0" w:rsidP="00831642"/>
    <w:p w14:paraId="040809CD" w14:textId="3A700BF9" w:rsidR="00831642" w:rsidRDefault="00831642" w:rsidP="001325B0">
      <w:r>
        <w:t xml:space="preserve">We </w:t>
      </w:r>
      <w:r w:rsidR="004A45BA">
        <w:t>know</w:t>
      </w:r>
      <w:r>
        <w:t xml:space="preserve"> the important obligation we have to protect society by securing safe nuclear operations. We do this through our </w:t>
      </w:r>
      <w:r w:rsidR="00FE3501">
        <w:t>people,</w:t>
      </w:r>
      <w:r>
        <w:t xml:space="preserve"> and it is incumbent on us to provide a great workplace and </w:t>
      </w:r>
      <w:r w:rsidR="006440B2">
        <w:t>a</w:t>
      </w:r>
      <w:r w:rsidR="00C43EE5">
        <w:t xml:space="preserve"> </w:t>
      </w:r>
      <w:r>
        <w:t xml:space="preserve">positive </w:t>
      </w:r>
      <w:r w:rsidR="00C43EE5">
        <w:t xml:space="preserve">and inclusive </w:t>
      </w:r>
      <w:r>
        <w:t>culture that enables us to get the best out of all our staff. Identifying and addressing diversity issues, including those highlighted in this report are integral to improving our delivery and influence on issues of nuclear safety and security.</w:t>
      </w:r>
    </w:p>
    <w:p w14:paraId="436C9E11" w14:textId="77777777" w:rsidR="00831642" w:rsidRDefault="00831642" w:rsidP="00831642">
      <w:pPr>
        <w:sectPr w:rsidR="00831642" w:rsidSect="00831642">
          <w:type w:val="continuous"/>
          <w:pgSz w:w="11906" w:h="16838"/>
          <w:pgMar w:top="1531" w:right="1134" w:bottom="1134" w:left="1304" w:header="567" w:footer="397" w:gutter="170"/>
          <w:cols w:space="720"/>
        </w:sectPr>
      </w:pPr>
    </w:p>
    <w:p w14:paraId="0071FDC1" w14:textId="77777777" w:rsidR="00831642" w:rsidRDefault="00831642" w:rsidP="00940BE9">
      <w:pPr>
        <w:rPr>
          <w:rFonts w:cs="Arial"/>
        </w:rPr>
      </w:pPr>
    </w:p>
    <w:p w14:paraId="6BE851BB" w14:textId="77777777" w:rsidR="00831642" w:rsidRDefault="00831642" w:rsidP="00940BE9">
      <w:pPr>
        <w:rPr>
          <w:rFonts w:cs="Arial"/>
        </w:rPr>
      </w:pPr>
    </w:p>
    <w:p w14:paraId="42B66FFE" w14:textId="77777777" w:rsidR="00A045BF" w:rsidRDefault="00A045BF" w:rsidP="00940BE9">
      <w:pPr>
        <w:rPr>
          <w:rFonts w:cs="Arial"/>
        </w:rPr>
      </w:pPr>
    </w:p>
    <w:p w14:paraId="580F16E6" w14:textId="77777777" w:rsidR="00A045BF" w:rsidRDefault="00A045BF" w:rsidP="00940BE9">
      <w:pPr>
        <w:rPr>
          <w:rFonts w:cs="Arial"/>
        </w:rPr>
      </w:pPr>
    </w:p>
    <w:p w14:paraId="35B8A137" w14:textId="77777777" w:rsidR="00A045BF" w:rsidRDefault="00A045BF" w:rsidP="00940BE9">
      <w:pPr>
        <w:rPr>
          <w:rFonts w:cs="Arial"/>
        </w:rPr>
      </w:pPr>
    </w:p>
    <w:p w14:paraId="2B0B1C64" w14:textId="77777777" w:rsidR="00A045BF" w:rsidRDefault="00A045BF" w:rsidP="00940BE9">
      <w:pPr>
        <w:rPr>
          <w:rFonts w:cs="Arial"/>
        </w:rPr>
      </w:pPr>
    </w:p>
    <w:p w14:paraId="76C6BAE8" w14:textId="77777777" w:rsidR="00A045BF" w:rsidRDefault="00A045BF" w:rsidP="00940BE9">
      <w:pPr>
        <w:rPr>
          <w:rFonts w:cs="Arial"/>
        </w:rPr>
      </w:pPr>
    </w:p>
    <w:p w14:paraId="4F8D2001" w14:textId="77777777" w:rsidR="00A045BF" w:rsidRDefault="00A045BF" w:rsidP="00940BE9">
      <w:pPr>
        <w:rPr>
          <w:rFonts w:cs="Arial"/>
        </w:rPr>
      </w:pPr>
    </w:p>
    <w:p w14:paraId="66FEB13C" w14:textId="77777777" w:rsidR="00A045BF" w:rsidRDefault="00A045BF" w:rsidP="00940BE9">
      <w:pPr>
        <w:rPr>
          <w:rFonts w:cs="Arial"/>
        </w:rPr>
      </w:pPr>
    </w:p>
    <w:p w14:paraId="2B69D06A" w14:textId="77777777" w:rsidR="00A045BF" w:rsidRDefault="00A045BF" w:rsidP="00940BE9">
      <w:pPr>
        <w:rPr>
          <w:rFonts w:cs="Arial"/>
        </w:rPr>
      </w:pPr>
    </w:p>
    <w:p w14:paraId="1BC95302" w14:textId="77777777" w:rsidR="00A045BF" w:rsidRDefault="00A045BF" w:rsidP="00940BE9">
      <w:pPr>
        <w:rPr>
          <w:rFonts w:cs="Arial"/>
        </w:rPr>
      </w:pPr>
    </w:p>
    <w:p w14:paraId="3FBBE9D1" w14:textId="77777777" w:rsidR="00A045BF" w:rsidRDefault="00A045BF" w:rsidP="00940BE9">
      <w:pPr>
        <w:rPr>
          <w:rFonts w:cs="Arial"/>
        </w:rPr>
      </w:pPr>
    </w:p>
    <w:p w14:paraId="26C4AE41" w14:textId="77777777" w:rsidR="00A045BF" w:rsidRDefault="00A045BF" w:rsidP="00940BE9">
      <w:pPr>
        <w:rPr>
          <w:rFonts w:cs="Arial"/>
        </w:rPr>
      </w:pPr>
    </w:p>
    <w:p w14:paraId="40DC8CA0" w14:textId="77777777" w:rsidR="00A045BF" w:rsidRDefault="00A045BF" w:rsidP="00940BE9">
      <w:pPr>
        <w:rPr>
          <w:rFonts w:cs="Arial"/>
        </w:rPr>
      </w:pPr>
    </w:p>
    <w:p w14:paraId="25CBCCFD" w14:textId="77777777" w:rsidR="00A045BF" w:rsidRDefault="00A045BF" w:rsidP="00940BE9">
      <w:pPr>
        <w:rPr>
          <w:rFonts w:cs="Arial"/>
        </w:rPr>
      </w:pPr>
    </w:p>
    <w:p w14:paraId="57A80E69" w14:textId="77777777" w:rsidR="00A045BF" w:rsidRDefault="00A045BF" w:rsidP="00940BE9">
      <w:pPr>
        <w:rPr>
          <w:rFonts w:cs="Arial"/>
        </w:rPr>
      </w:pPr>
    </w:p>
    <w:p w14:paraId="0AF8A8D7" w14:textId="77777777" w:rsidR="00A045BF" w:rsidRDefault="00A045BF" w:rsidP="00940BE9">
      <w:pPr>
        <w:rPr>
          <w:rFonts w:cs="Arial"/>
        </w:rPr>
      </w:pPr>
    </w:p>
    <w:p w14:paraId="3BF96899" w14:textId="77777777" w:rsidR="00831642" w:rsidRDefault="00831642" w:rsidP="00940BE9">
      <w:pPr>
        <w:rPr>
          <w:rFonts w:cs="Arial"/>
        </w:rPr>
      </w:pPr>
    </w:p>
    <w:p w14:paraId="469D6681" w14:textId="77777777" w:rsidR="00831642" w:rsidRDefault="00831642" w:rsidP="00940BE9">
      <w:pPr>
        <w:rPr>
          <w:rFonts w:cs="Arial"/>
        </w:rPr>
      </w:pPr>
    </w:p>
    <w:p w14:paraId="7B4505EF" w14:textId="5C427C11" w:rsidR="00831642" w:rsidRPr="00A045BF" w:rsidRDefault="00514C5A" w:rsidP="00940BE9">
      <w:pPr>
        <w:rPr>
          <w:rFonts w:cs="Arial"/>
          <w:b/>
          <w:bCs/>
          <w:sz w:val="28"/>
          <w:szCs w:val="28"/>
        </w:rPr>
      </w:pPr>
      <w:r w:rsidRPr="00A045BF">
        <w:rPr>
          <w:rFonts w:cs="Arial"/>
          <w:b/>
          <w:bCs/>
          <w:sz w:val="28"/>
          <w:szCs w:val="28"/>
        </w:rPr>
        <w:t xml:space="preserve">Declaration </w:t>
      </w:r>
    </w:p>
    <w:p w14:paraId="1D1705B5" w14:textId="77777777" w:rsidR="00514C5A" w:rsidRDefault="00514C5A" w:rsidP="00940BE9">
      <w:pPr>
        <w:rPr>
          <w:rFonts w:cs="Arial"/>
          <w:sz w:val="28"/>
          <w:szCs w:val="28"/>
        </w:rPr>
      </w:pPr>
    </w:p>
    <w:p w14:paraId="7397921C" w14:textId="5E8E82D6" w:rsidR="00514C5A" w:rsidRPr="00A045BF" w:rsidRDefault="00514C5A" w:rsidP="00940BE9">
      <w:pPr>
        <w:rPr>
          <w:rFonts w:cs="Arial"/>
        </w:rPr>
      </w:pPr>
      <w:r w:rsidRPr="00A045BF">
        <w:rPr>
          <w:rFonts w:cs="Arial"/>
        </w:rPr>
        <w:t xml:space="preserve">We confirm that data reported </w:t>
      </w:r>
      <w:r w:rsidR="00AB4AF9" w:rsidRPr="00A045BF">
        <w:rPr>
          <w:rFonts w:cs="Arial"/>
        </w:rPr>
        <w:t xml:space="preserve">by the Office for Nuclear Regulation is accurate and has been calculated to the requirements and </w:t>
      </w:r>
      <w:r w:rsidR="0050173F" w:rsidRPr="00A045BF">
        <w:rPr>
          <w:rFonts w:cs="Arial"/>
        </w:rPr>
        <w:t>methodology set out in the Equality Act 2010 (Specific Duties and Public Authorities</w:t>
      </w:r>
      <w:r w:rsidR="00A045BF" w:rsidRPr="00A045BF">
        <w:rPr>
          <w:rFonts w:cs="Arial"/>
        </w:rPr>
        <w:t>) Regulations 2017.</w:t>
      </w:r>
      <w:r w:rsidR="0050173F" w:rsidRPr="00A045BF">
        <w:rPr>
          <w:rFonts w:cs="Arial"/>
        </w:rPr>
        <w:t xml:space="preserve"> </w:t>
      </w:r>
    </w:p>
    <w:p w14:paraId="2FE903F3" w14:textId="77777777" w:rsidR="00831642" w:rsidRPr="00A045BF" w:rsidRDefault="00831642" w:rsidP="00940BE9">
      <w:pPr>
        <w:rPr>
          <w:rFonts w:cs="Arial"/>
        </w:rPr>
      </w:pPr>
    </w:p>
    <w:p w14:paraId="2BA71D30" w14:textId="77777777" w:rsidR="00831642" w:rsidRDefault="00831642" w:rsidP="00940BE9">
      <w:pPr>
        <w:rPr>
          <w:rFonts w:cs="Arial"/>
        </w:rPr>
      </w:pPr>
    </w:p>
    <w:p w14:paraId="4FBFB394" w14:textId="77777777" w:rsidR="00100CBA" w:rsidRDefault="00100CBA" w:rsidP="00100CBA">
      <w:pPr>
        <w:pStyle w:val="BodyText"/>
        <w:spacing w:before="5"/>
        <w:rPr>
          <w:sz w:val="23"/>
        </w:rPr>
      </w:pPr>
    </w:p>
    <w:p w14:paraId="70BB7C7A" w14:textId="77777777" w:rsidR="006370C6" w:rsidRDefault="00A045BF" w:rsidP="006370C6">
      <w:pPr>
        <w:tabs>
          <w:tab w:val="left" w:pos="7828"/>
        </w:tabs>
        <w:rPr>
          <w:rFonts w:ascii="HelveticaNeueLT Std"/>
          <w:b/>
          <w:color w:val="231F20"/>
          <w:spacing w:val="43"/>
        </w:rPr>
      </w:pPr>
      <w:r>
        <w:rPr>
          <w:rFonts w:ascii="HelveticaNeueLT Std"/>
          <w:b/>
          <w:color w:val="231F20"/>
        </w:rPr>
        <w:t>N</w:t>
      </w:r>
      <w:r w:rsidR="00100CBA">
        <w:rPr>
          <w:rFonts w:ascii="HelveticaNeueLT Std"/>
          <w:b/>
          <w:color w:val="231F20"/>
        </w:rPr>
        <w:t>ame/job title of Signature</w:t>
      </w:r>
      <w:r w:rsidR="00100CBA">
        <w:rPr>
          <w:rFonts w:ascii="HelveticaNeueLT Std"/>
          <w:b/>
          <w:color w:val="231F20"/>
          <w:spacing w:val="43"/>
        </w:rPr>
        <w:t xml:space="preserve"> </w:t>
      </w:r>
    </w:p>
    <w:p w14:paraId="0C672500" w14:textId="77777777" w:rsidR="006370C6" w:rsidRDefault="006370C6" w:rsidP="006370C6">
      <w:pPr>
        <w:tabs>
          <w:tab w:val="left" w:pos="7828"/>
        </w:tabs>
        <w:rPr>
          <w:rFonts w:ascii="HelveticaNeueLT Std"/>
          <w:b/>
          <w:color w:val="231F20"/>
          <w:spacing w:val="43"/>
        </w:rPr>
      </w:pPr>
    </w:p>
    <w:p w14:paraId="4DA424A0" w14:textId="21E670CB" w:rsidR="006370C6" w:rsidRDefault="006370C6" w:rsidP="006370C6">
      <w:pPr>
        <w:tabs>
          <w:tab w:val="left" w:pos="7828"/>
        </w:tabs>
        <w:rPr>
          <w:rFonts w:ascii="HelveticaNeueLT Std"/>
          <w:b/>
          <w:color w:val="231F20"/>
          <w:spacing w:val="43"/>
        </w:rPr>
      </w:pPr>
      <w:r>
        <w:rPr>
          <w:noProof/>
        </w:rPr>
        <w:drawing>
          <wp:inline distT="0" distB="0" distL="0" distR="0" wp14:anchorId="2081EBD9" wp14:editId="084D05C9">
            <wp:extent cx="2211070" cy="317500"/>
            <wp:effectExtent l="0" t="0" r="0" b="6350"/>
            <wp:docPr id="4" name="Picture 4" descr="ONR HR Director signature ">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4" name="Picture 4" descr="ONR HR Director signature ">
                      <a:extLst>
                        <a:ext uri="{C183D7F6-B498-43B3-948B-1728B52AA6E4}">
                          <adec:decorative xmlns:adec="http://schemas.microsoft.com/office/drawing/2017/decorative" val="0"/>
                        </a:ext>
                      </a:extLst>
                    </pic:cNvPr>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11070" cy="317500"/>
                    </a:xfrm>
                    <a:prstGeom prst="rect">
                      <a:avLst/>
                    </a:prstGeom>
                    <a:noFill/>
                    <a:ln>
                      <a:noFill/>
                    </a:ln>
                  </pic:spPr>
                </pic:pic>
              </a:graphicData>
            </a:graphic>
          </wp:inline>
        </w:drawing>
      </w:r>
    </w:p>
    <w:p w14:paraId="6E224E5E" w14:textId="77777777" w:rsidR="006370C6" w:rsidRDefault="006370C6" w:rsidP="006370C6">
      <w:pPr>
        <w:tabs>
          <w:tab w:val="left" w:pos="7828"/>
        </w:tabs>
        <w:rPr>
          <w:rFonts w:ascii="HelveticaNeueLT Std"/>
          <w:b/>
          <w:color w:val="231F20"/>
          <w:spacing w:val="43"/>
        </w:rPr>
      </w:pPr>
    </w:p>
    <w:p w14:paraId="6011C8AC" w14:textId="672DFFE8" w:rsidR="006370C6" w:rsidRDefault="006370C6" w:rsidP="006370C6">
      <w:pPr>
        <w:tabs>
          <w:tab w:val="left" w:pos="7828"/>
        </w:tabs>
        <w:rPr>
          <w:rFonts w:ascii="HelveticaNeueLT Std"/>
          <w:b/>
          <w:color w:val="231F20"/>
          <w:spacing w:val="43"/>
        </w:rPr>
      </w:pPr>
      <w:r>
        <w:rPr>
          <w:rFonts w:ascii="HelveticaNeueLT Std"/>
          <w:b/>
          <w:color w:val="231F20"/>
          <w:spacing w:val="43"/>
        </w:rPr>
        <w:t xml:space="preserve">Dave Caton </w:t>
      </w:r>
    </w:p>
    <w:p w14:paraId="3241B4C1" w14:textId="4AA2BBF7" w:rsidR="00831642" w:rsidRDefault="006370C6" w:rsidP="006370C6">
      <w:pPr>
        <w:tabs>
          <w:tab w:val="left" w:pos="7828"/>
        </w:tabs>
        <w:rPr>
          <w:rFonts w:cs="Arial"/>
        </w:rPr>
      </w:pPr>
      <w:r>
        <w:rPr>
          <w:rFonts w:ascii="HelveticaNeueLT Std"/>
          <w:b/>
          <w:color w:val="231F20"/>
          <w:spacing w:val="43"/>
        </w:rPr>
        <w:t>ONR HR Director</w:t>
      </w:r>
    </w:p>
    <w:sectPr w:rsidR="00831642" w:rsidSect="00EA5EB4">
      <w:type w:val="continuous"/>
      <w:pgSz w:w="11906" w:h="16838" w:code="9"/>
      <w:pgMar w:top="1134" w:right="1134" w:bottom="1134" w:left="1588" w:header="43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90E10" w14:textId="77777777" w:rsidR="007F22B4" w:rsidRDefault="007F22B4">
      <w:r>
        <w:separator/>
      </w:r>
    </w:p>
  </w:endnote>
  <w:endnote w:type="continuationSeparator" w:id="0">
    <w:p w14:paraId="5C041CE3" w14:textId="77777777" w:rsidR="007F22B4" w:rsidRDefault="007F2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rEavesModOT">
    <w:altName w:val="Calibri"/>
    <w:panose1 w:val="00000000000000000000"/>
    <w:charset w:val="00"/>
    <w:family w:val="swiss"/>
    <w:notTrueType/>
    <w:pitch w:val="default"/>
    <w:sig w:usb0="00000003" w:usb1="00000000" w:usb2="00000000" w:usb3="00000000" w:csb0="00000001" w:csb1="00000000"/>
  </w:font>
  <w:font w:name="HelveticaNeueLT Std Lt">
    <w:altName w:val="Arial"/>
    <w:charset w:val="00"/>
    <w:family w:val="swiss"/>
    <w:pitch w:val="variable"/>
  </w:font>
  <w:font w:name="HelveticaNeueLT Std">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F29EE" w14:textId="77777777" w:rsidR="00021273" w:rsidRPr="00D86E4B" w:rsidRDefault="00021273" w:rsidP="00A13205">
    <w:pPr>
      <w:pStyle w:val="Header"/>
      <w:rPr>
        <w:b/>
        <w:color w:val="000000" w:themeColor="text1"/>
        <w:sz w:val="14"/>
        <w:szCs w:val="14"/>
      </w:rPr>
    </w:pPr>
  </w:p>
  <w:p w14:paraId="5FEF29EF" w14:textId="6067A143" w:rsidR="00021273" w:rsidRPr="00D86E4B" w:rsidRDefault="00021273" w:rsidP="0048731E">
    <w:pPr>
      <w:pStyle w:val="Header"/>
      <w:rPr>
        <w:b/>
        <w:color w:val="000000" w:themeColor="text1"/>
      </w:rPr>
    </w:pPr>
  </w:p>
  <w:p w14:paraId="5FEF29F0" w14:textId="77777777" w:rsidR="00021273" w:rsidRPr="00D86E4B" w:rsidRDefault="00021273" w:rsidP="00487A22">
    <w:pPr>
      <w:pStyle w:val="Footer"/>
      <w:tabs>
        <w:tab w:val="clear" w:pos="4153"/>
        <w:tab w:val="clear" w:pos="8306"/>
        <w:tab w:val="right" w:pos="9214"/>
      </w:tabs>
      <w:rPr>
        <w:b/>
        <w:color w:val="000000" w:themeColor="text1"/>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F29F3" w14:textId="2EBF0647" w:rsidR="00021273" w:rsidRDefault="00D306DE" w:rsidP="00442770">
    <w:pPr>
      <w:pStyle w:val="Footer"/>
      <w:tabs>
        <w:tab w:val="clear" w:pos="4153"/>
        <w:tab w:val="clear" w:pos="8306"/>
        <w:tab w:val="right" w:pos="9214"/>
      </w:tabs>
      <w:jc w:val="center"/>
      <w:rPr>
        <w:color w:val="006D68"/>
        <w:sz w:val="14"/>
        <w:szCs w:val="14"/>
      </w:rPr>
    </w:pPr>
    <w:r>
      <w:rPr>
        <w:noProof/>
        <w:color w:val="006D68"/>
        <w:sz w:val="14"/>
        <w:szCs w:val="14"/>
      </w:rPr>
      <mc:AlternateContent>
        <mc:Choice Requires="wps">
          <w:drawing>
            <wp:anchor distT="0" distB="0" distL="114300" distR="114300" simplePos="0" relativeHeight="251656704" behindDoc="0" locked="0" layoutInCell="0" allowOverlap="1" wp14:anchorId="716090F4" wp14:editId="471A09B8">
              <wp:simplePos x="0" y="0"/>
              <wp:positionH relativeFrom="page">
                <wp:posOffset>0</wp:posOffset>
              </wp:positionH>
              <wp:positionV relativeFrom="page">
                <wp:posOffset>10227945</wp:posOffset>
              </wp:positionV>
              <wp:extent cx="7560310" cy="273050"/>
              <wp:effectExtent l="0" t="0" r="0" b="12700"/>
              <wp:wrapNone/>
              <wp:docPr id="3" name="MSIPCMd315483198cdc40b2df9af16" descr="{&quot;HashCode&quot;:121171065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935D53" w14:textId="6CFFFFC7" w:rsidR="00D306DE" w:rsidRPr="00D306DE" w:rsidRDefault="00D306DE" w:rsidP="00D306DE">
                          <w:pPr>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716090F4" id="_x0000_t202" coordsize="21600,21600" o:spt="202" path="m,l,21600r21600,l21600,xe">
              <v:stroke joinstyle="miter"/>
              <v:path gradientshapeok="t" o:connecttype="rect"/>
            </v:shapetype>
            <v:shape id="MSIPCMd315483198cdc40b2df9af16" o:spid="_x0000_s1028" type="#_x0000_t202" alt="{&quot;HashCode&quot;:1211710659,&quot;Height&quot;:841.0,&quot;Width&quot;:595.0,&quot;Placement&quot;:&quot;Footer&quot;,&quot;Index&quot;:&quot;FirstPage&quot;,&quot;Section&quot;:1,&quot;Top&quot;:0.0,&quot;Left&quot;:0.0}" style="position:absolute;left:0;text-align:left;margin-left:0;margin-top:805.35pt;width:595.3pt;height:21.5pt;z-index:25165670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FB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u6Hcz70AsZXwcXy2VKQlVZFtZmY3ksHTGLyL50&#10;r8zZE/wBiXuEQVyseMdCn9ujvdwHkCpRFPHt0TzBjopMzJ1eT5T82/+UdXnji18A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MhrUUEXAgAAKwQAAA4AAAAAAAAAAAAAAAAALgIAAGRycy9lMm9Eb2MueG1sUEsBAi0AFAAG&#10;AAgAAAAhAJ/VQezfAAAACwEAAA8AAAAAAAAAAAAAAAAAcQQAAGRycy9kb3ducmV2LnhtbFBLBQYA&#10;AAAABAAEAPMAAAB9BQAAAAA=&#10;" o:allowincell="f" filled="f" stroked="f" strokeweight=".5pt">
              <v:textbox inset=",0,,0">
                <w:txbxContent>
                  <w:p w14:paraId="0B935D53" w14:textId="6CFFFFC7" w:rsidR="00D306DE" w:rsidRPr="00D306DE" w:rsidRDefault="00D306DE" w:rsidP="00D306DE">
                    <w:pPr>
                      <w:jc w:val="center"/>
                      <w:rPr>
                        <w:rFonts w:ascii="Calibri" w:hAnsi="Calibri" w:cs="Calibri"/>
                        <w:color w:val="000000"/>
                      </w:rPr>
                    </w:pPr>
                  </w:p>
                </w:txbxContent>
              </v:textbox>
              <w10:wrap anchorx="page" anchory="page"/>
            </v:shape>
          </w:pict>
        </mc:Fallback>
      </mc:AlternateContent>
    </w:r>
  </w:p>
  <w:p w14:paraId="5FEF29F4" w14:textId="77777777" w:rsidR="00021273" w:rsidRPr="00D86E4B" w:rsidRDefault="00021273" w:rsidP="00A13205">
    <w:pPr>
      <w:pStyle w:val="Header"/>
      <w:rPr>
        <w:b/>
        <w:color w:val="000000" w:themeColor="text1"/>
        <w:sz w:val="14"/>
        <w:szCs w:val="14"/>
      </w:rPr>
    </w:pPr>
  </w:p>
  <w:p w14:paraId="5FEF29F6" w14:textId="47049845" w:rsidR="00021273" w:rsidRPr="00D86E4B" w:rsidRDefault="00021273" w:rsidP="00B56CCE">
    <w:pPr>
      <w:pStyle w:val="Footer"/>
      <w:tabs>
        <w:tab w:val="clear" w:pos="4153"/>
        <w:tab w:val="clear" w:pos="8306"/>
        <w:tab w:val="right" w:pos="9214"/>
      </w:tabs>
      <w:rPr>
        <w:b/>
        <w:color w:val="000000" w:themeColor="text1"/>
        <w:sz w:val="14"/>
        <w:szCs w:val="14"/>
      </w:rPr>
    </w:pPr>
    <w:r w:rsidRPr="00D86E4B">
      <w:rPr>
        <w:color w:val="000000" w:themeColor="text1"/>
        <w:sz w:val="14"/>
        <w:szCs w:val="14"/>
      </w:rPr>
      <w:tab/>
    </w:r>
    <w:r w:rsidRPr="00D86E4B">
      <w:rPr>
        <w:b/>
        <w:color w:val="000000" w:themeColor="text1"/>
        <w:sz w:val="14"/>
        <w:szCs w:val="14"/>
      </w:rPr>
      <w:t xml:space="preserve">Page </w:t>
    </w:r>
    <w:r w:rsidRPr="00D86E4B">
      <w:rPr>
        <w:b/>
        <w:color w:val="000000" w:themeColor="text1"/>
        <w:sz w:val="14"/>
        <w:szCs w:val="14"/>
      </w:rPr>
      <w:fldChar w:fldCharType="begin"/>
    </w:r>
    <w:r w:rsidRPr="00D86E4B">
      <w:rPr>
        <w:b/>
        <w:color w:val="000000" w:themeColor="text1"/>
        <w:sz w:val="14"/>
        <w:szCs w:val="14"/>
      </w:rPr>
      <w:instrText xml:space="preserve"> PAGE </w:instrText>
    </w:r>
    <w:r w:rsidRPr="00D86E4B">
      <w:rPr>
        <w:b/>
        <w:color w:val="000000" w:themeColor="text1"/>
        <w:sz w:val="14"/>
        <w:szCs w:val="14"/>
      </w:rPr>
      <w:fldChar w:fldCharType="separate"/>
    </w:r>
    <w:r w:rsidRPr="00D86E4B">
      <w:rPr>
        <w:b/>
        <w:noProof/>
        <w:color w:val="000000" w:themeColor="text1"/>
        <w:sz w:val="14"/>
        <w:szCs w:val="14"/>
      </w:rPr>
      <w:t>1</w:t>
    </w:r>
    <w:r w:rsidRPr="00D86E4B">
      <w:rPr>
        <w:b/>
        <w:color w:val="000000" w:themeColor="text1"/>
        <w:sz w:val="14"/>
        <w:szCs w:val="14"/>
      </w:rPr>
      <w:fldChar w:fldCharType="end"/>
    </w:r>
    <w:r w:rsidRPr="00D86E4B">
      <w:rPr>
        <w:b/>
        <w:color w:val="000000" w:themeColor="text1"/>
        <w:sz w:val="14"/>
        <w:szCs w:val="14"/>
      </w:rPr>
      <w:t xml:space="preserve"> of </w:t>
    </w:r>
    <w:r w:rsidRPr="00D86E4B">
      <w:rPr>
        <w:b/>
        <w:color w:val="000000" w:themeColor="text1"/>
        <w:sz w:val="14"/>
        <w:szCs w:val="14"/>
      </w:rPr>
      <w:fldChar w:fldCharType="begin"/>
    </w:r>
    <w:r w:rsidRPr="00D86E4B">
      <w:rPr>
        <w:b/>
        <w:color w:val="000000" w:themeColor="text1"/>
        <w:sz w:val="14"/>
        <w:szCs w:val="14"/>
      </w:rPr>
      <w:instrText xml:space="preserve"> NUMPAGES </w:instrText>
    </w:r>
    <w:r w:rsidRPr="00D86E4B">
      <w:rPr>
        <w:b/>
        <w:color w:val="000000" w:themeColor="text1"/>
        <w:sz w:val="14"/>
        <w:szCs w:val="14"/>
      </w:rPr>
      <w:fldChar w:fldCharType="separate"/>
    </w:r>
    <w:r w:rsidRPr="00D86E4B">
      <w:rPr>
        <w:b/>
        <w:noProof/>
        <w:color w:val="000000" w:themeColor="text1"/>
        <w:sz w:val="14"/>
        <w:szCs w:val="14"/>
      </w:rPr>
      <w:t>12</w:t>
    </w:r>
    <w:r w:rsidRPr="00D86E4B">
      <w:rPr>
        <w:b/>
        <w:color w:val="000000" w:themeColor="text1"/>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5A010" w14:textId="77777777" w:rsidR="007F22B4" w:rsidRDefault="007F22B4">
      <w:r>
        <w:separator/>
      </w:r>
    </w:p>
  </w:footnote>
  <w:footnote w:type="continuationSeparator" w:id="0">
    <w:p w14:paraId="33AD87E3" w14:textId="77777777" w:rsidR="007F22B4" w:rsidRDefault="007F2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F29EC" w14:textId="55631D23" w:rsidR="00021273" w:rsidRPr="00D86E4B" w:rsidRDefault="00B9778A">
    <w:pPr>
      <w:pStyle w:val="Header"/>
      <w:rPr>
        <w:b/>
        <w:color w:val="000000" w:themeColor="text1"/>
        <w:sz w:val="14"/>
        <w:szCs w:val="14"/>
      </w:rPr>
    </w:pPr>
    <w:r w:rsidRPr="00D86E4B">
      <w:rPr>
        <w:b/>
        <w:noProof/>
        <w:color w:val="000000" w:themeColor="text1"/>
        <w:sz w:val="14"/>
        <w:szCs w:val="14"/>
      </w:rPr>
      <mc:AlternateContent>
        <mc:Choice Requires="wps">
          <w:drawing>
            <wp:anchor distT="0" distB="0" distL="114300" distR="114300" simplePos="0" relativeHeight="251658752" behindDoc="0" locked="0" layoutInCell="0" allowOverlap="1" wp14:anchorId="3C9260E9" wp14:editId="6CAA93D6">
              <wp:simplePos x="0" y="0"/>
              <wp:positionH relativeFrom="page">
                <wp:posOffset>0</wp:posOffset>
              </wp:positionH>
              <wp:positionV relativeFrom="page">
                <wp:posOffset>190500</wp:posOffset>
              </wp:positionV>
              <wp:extent cx="7560310" cy="273050"/>
              <wp:effectExtent l="0" t="0" r="0" b="12700"/>
              <wp:wrapNone/>
              <wp:docPr id="6" name="MSIPCMbee1409caec3383e92a0eb8c" descr="{&quot;HashCode&quot;:1187573090,&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B816B5" w14:textId="34047678" w:rsidR="00B9778A" w:rsidRPr="00D86E4B" w:rsidRDefault="00B9778A" w:rsidP="00B9778A">
                          <w:pPr>
                            <w:jc w:val="center"/>
                            <w:rPr>
                              <w:rFonts w:ascii="Calibri" w:hAnsi="Calibri" w:cs="Calibri"/>
                              <w:color w:val="000000" w:themeColor="text1"/>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C9260E9" id="_x0000_t202" coordsize="21600,21600" o:spt="202" path="m,l,21600r21600,l21600,xe">
              <v:stroke joinstyle="miter"/>
              <v:path gradientshapeok="t" o:connecttype="rect"/>
            </v:shapetype>
            <v:shape id="MSIPCMbee1409caec3383e92a0eb8c" o:spid="_x0000_s1026" type="#_x0000_t202" alt="{&quot;HashCode&quot;:1187573090,&quot;Height&quot;:841.0,&quot;Width&quot;:595.0,&quot;Placement&quot;:&quot;Header&quot;,&quot;Index&quot;:&quot;Primary&quot;,&quot;Section&quot;:1,&quot;Top&quot;:0.0,&quot;Left&quot;:0.0}" style="position:absolute;margin-left:0;margin-top:15pt;width:595.3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52B816B5" w14:textId="34047678" w:rsidR="00B9778A" w:rsidRPr="00D86E4B" w:rsidRDefault="00B9778A" w:rsidP="00B9778A">
                    <w:pPr>
                      <w:jc w:val="center"/>
                      <w:rPr>
                        <w:rFonts w:ascii="Calibri" w:hAnsi="Calibri" w:cs="Calibri"/>
                        <w:color w:val="000000" w:themeColor="text1"/>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78F43" w14:textId="4AD9A67B" w:rsidR="00220E7F" w:rsidRPr="00D55197" w:rsidRDefault="00D306DE" w:rsidP="00D42340">
    <w:pPr>
      <w:pStyle w:val="Header"/>
      <w:rPr>
        <w:b/>
        <w:color w:val="006D68"/>
        <w:sz w:val="14"/>
        <w:szCs w:val="14"/>
      </w:rPr>
    </w:pPr>
    <w:r>
      <w:rPr>
        <w:b/>
        <w:noProof/>
        <w:color w:val="008080"/>
        <w:sz w:val="10"/>
        <w:szCs w:val="10"/>
      </w:rPr>
      <mc:AlternateContent>
        <mc:Choice Requires="wps">
          <w:drawing>
            <wp:anchor distT="0" distB="0" distL="114300" distR="114300" simplePos="0" relativeHeight="251657728" behindDoc="0" locked="0" layoutInCell="0" allowOverlap="1" wp14:anchorId="4498E4CB" wp14:editId="4C086447">
              <wp:simplePos x="0" y="0"/>
              <wp:positionH relativeFrom="page">
                <wp:posOffset>0</wp:posOffset>
              </wp:positionH>
              <wp:positionV relativeFrom="page">
                <wp:posOffset>190500</wp:posOffset>
              </wp:positionV>
              <wp:extent cx="7560310" cy="273050"/>
              <wp:effectExtent l="0" t="0" r="0" b="12700"/>
              <wp:wrapNone/>
              <wp:docPr id="5" name="MSIPCM7d80408c8e97996d0d0155b2" descr="{&quot;HashCode&quot;:1187573090,&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0BFD9C" w14:textId="7B61C20A" w:rsidR="00D306DE" w:rsidRPr="00ED0035" w:rsidRDefault="00D306DE" w:rsidP="00D306DE">
                          <w:pPr>
                            <w:jc w:val="center"/>
                            <w:rPr>
                              <w:rFonts w:ascii="Calibri" w:hAnsi="Calibri" w:cs="Calibri"/>
                              <w:color w:val="000000" w:themeColor="text1"/>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498E4CB" id="_x0000_t202" coordsize="21600,21600" o:spt="202" path="m,l,21600r21600,l21600,xe">
              <v:stroke joinstyle="miter"/>
              <v:path gradientshapeok="t" o:connecttype="rect"/>
            </v:shapetype>
            <v:shape id="MSIPCM7d80408c8e97996d0d0155b2" o:spid="_x0000_s1027" type="#_x0000_t202" alt="{&quot;HashCode&quot;:1187573090,&quot;Height&quot;:841.0,&quot;Width&quot;:595.0,&quot;Placement&quot;:&quot;Header&quot;,&quot;Index&quot;:&quot;FirstPage&quot;,&quot;Section&quot;:1,&quot;Top&quot;:0.0,&quot;Left&quot;:0.0}" style="position:absolute;margin-left:0;margin-top:15pt;width:595.3pt;height:21.5pt;z-index:2516577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Z6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" o:allowincell="f" filled="f" stroked="f" strokeweight=".5pt">
              <v:textbox inset=",0,,0">
                <w:txbxContent>
                  <w:p w14:paraId="470BFD9C" w14:textId="7B61C20A" w:rsidR="00D306DE" w:rsidRPr="00ED0035" w:rsidRDefault="00D306DE" w:rsidP="00D306DE">
                    <w:pPr>
                      <w:jc w:val="center"/>
                      <w:rPr>
                        <w:rFonts w:ascii="Calibri" w:hAnsi="Calibri" w:cs="Calibri"/>
                        <w:color w:val="000000" w:themeColor="text1"/>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4A5"/>
    <w:multiLevelType w:val="hybridMultilevel"/>
    <w:tmpl w:val="ECCA9B40"/>
    <w:lvl w:ilvl="0" w:tplc="DD7C743A">
      <w:start w:val="1"/>
      <w:numFmt w:val="lowerLetter"/>
      <w:lvlText w:val="%1)"/>
      <w:lvlJc w:val="left"/>
      <w:pPr>
        <w:tabs>
          <w:tab w:val="num" w:pos="1152"/>
        </w:tabs>
        <w:ind w:left="1152" w:hanging="432"/>
      </w:pPr>
      <w:rPr>
        <w:rFonts w:ascii="Arial" w:hAnsi="Arial" w:hint="default"/>
        <w:sz w:val="24"/>
      </w:rPr>
    </w:lvl>
    <w:lvl w:ilvl="1" w:tplc="559489D2" w:tentative="1">
      <w:start w:val="1"/>
      <w:numFmt w:val="lowerLetter"/>
      <w:lvlText w:val="%2."/>
      <w:lvlJc w:val="left"/>
      <w:pPr>
        <w:tabs>
          <w:tab w:val="num" w:pos="1152"/>
        </w:tabs>
        <w:ind w:left="1152" w:hanging="360"/>
      </w:pPr>
    </w:lvl>
    <w:lvl w:ilvl="2" w:tplc="E144676C" w:tentative="1">
      <w:start w:val="1"/>
      <w:numFmt w:val="lowerRoman"/>
      <w:lvlText w:val="%3."/>
      <w:lvlJc w:val="right"/>
      <w:pPr>
        <w:tabs>
          <w:tab w:val="num" w:pos="1872"/>
        </w:tabs>
        <w:ind w:left="1872" w:hanging="180"/>
      </w:pPr>
    </w:lvl>
    <w:lvl w:ilvl="3" w:tplc="2BE8A7E2" w:tentative="1">
      <w:start w:val="1"/>
      <w:numFmt w:val="decimal"/>
      <w:lvlText w:val="%4."/>
      <w:lvlJc w:val="left"/>
      <w:pPr>
        <w:tabs>
          <w:tab w:val="num" w:pos="2592"/>
        </w:tabs>
        <w:ind w:left="2592" w:hanging="360"/>
      </w:pPr>
    </w:lvl>
    <w:lvl w:ilvl="4" w:tplc="03E8242E" w:tentative="1">
      <w:start w:val="1"/>
      <w:numFmt w:val="lowerLetter"/>
      <w:lvlText w:val="%5."/>
      <w:lvlJc w:val="left"/>
      <w:pPr>
        <w:tabs>
          <w:tab w:val="num" w:pos="3312"/>
        </w:tabs>
        <w:ind w:left="3312" w:hanging="360"/>
      </w:pPr>
    </w:lvl>
    <w:lvl w:ilvl="5" w:tplc="58042C86" w:tentative="1">
      <w:start w:val="1"/>
      <w:numFmt w:val="lowerRoman"/>
      <w:lvlText w:val="%6."/>
      <w:lvlJc w:val="right"/>
      <w:pPr>
        <w:tabs>
          <w:tab w:val="num" w:pos="4032"/>
        </w:tabs>
        <w:ind w:left="4032" w:hanging="180"/>
      </w:pPr>
    </w:lvl>
    <w:lvl w:ilvl="6" w:tplc="95F42686" w:tentative="1">
      <w:start w:val="1"/>
      <w:numFmt w:val="decimal"/>
      <w:lvlText w:val="%7."/>
      <w:lvlJc w:val="left"/>
      <w:pPr>
        <w:tabs>
          <w:tab w:val="num" w:pos="4752"/>
        </w:tabs>
        <w:ind w:left="4752" w:hanging="360"/>
      </w:pPr>
    </w:lvl>
    <w:lvl w:ilvl="7" w:tplc="32CAC66C" w:tentative="1">
      <w:start w:val="1"/>
      <w:numFmt w:val="lowerLetter"/>
      <w:lvlText w:val="%8."/>
      <w:lvlJc w:val="left"/>
      <w:pPr>
        <w:tabs>
          <w:tab w:val="num" w:pos="5472"/>
        </w:tabs>
        <w:ind w:left="5472" w:hanging="360"/>
      </w:pPr>
    </w:lvl>
    <w:lvl w:ilvl="8" w:tplc="AC34CEE0" w:tentative="1">
      <w:start w:val="1"/>
      <w:numFmt w:val="lowerRoman"/>
      <w:lvlText w:val="%9."/>
      <w:lvlJc w:val="right"/>
      <w:pPr>
        <w:tabs>
          <w:tab w:val="num" w:pos="6192"/>
        </w:tabs>
        <w:ind w:left="6192" w:hanging="180"/>
      </w:pPr>
    </w:lvl>
  </w:abstractNum>
  <w:abstractNum w:abstractNumId="1" w15:restartNumberingAfterBreak="0">
    <w:nsid w:val="086A013E"/>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030A1F"/>
    <w:multiLevelType w:val="hybridMultilevel"/>
    <w:tmpl w:val="F9B89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030BAF"/>
    <w:multiLevelType w:val="multilevel"/>
    <w:tmpl w:val="D96A6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700EAF"/>
    <w:multiLevelType w:val="hybridMultilevel"/>
    <w:tmpl w:val="3EBC2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B47DB2"/>
    <w:multiLevelType w:val="multilevel"/>
    <w:tmpl w:val="E550C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B61A3F"/>
    <w:multiLevelType w:val="hybridMultilevel"/>
    <w:tmpl w:val="3CBA2452"/>
    <w:lvl w:ilvl="0" w:tplc="E0B622B2">
      <w:start w:val="1"/>
      <w:numFmt w:val="bullet"/>
      <w:lvlText w:val="•"/>
      <w:lvlJc w:val="left"/>
      <w:pPr>
        <w:tabs>
          <w:tab w:val="num" w:pos="720"/>
        </w:tabs>
        <w:ind w:left="720" w:hanging="360"/>
      </w:pPr>
      <w:rPr>
        <w:rFonts w:ascii="Times New Roman" w:hAnsi="Times New Roman" w:hint="default"/>
      </w:rPr>
    </w:lvl>
    <w:lvl w:ilvl="1" w:tplc="5E8EE8AA" w:tentative="1">
      <w:start w:val="1"/>
      <w:numFmt w:val="bullet"/>
      <w:lvlText w:val="•"/>
      <w:lvlJc w:val="left"/>
      <w:pPr>
        <w:tabs>
          <w:tab w:val="num" w:pos="1440"/>
        </w:tabs>
        <w:ind w:left="1440" w:hanging="360"/>
      </w:pPr>
      <w:rPr>
        <w:rFonts w:ascii="Times New Roman" w:hAnsi="Times New Roman" w:hint="default"/>
      </w:rPr>
    </w:lvl>
    <w:lvl w:ilvl="2" w:tplc="883016C4" w:tentative="1">
      <w:start w:val="1"/>
      <w:numFmt w:val="bullet"/>
      <w:lvlText w:val="•"/>
      <w:lvlJc w:val="left"/>
      <w:pPr>
        <w:tabs>
          <w:tab w:val="num" w:pos="2160"/>
        </w:tabs>
        <w:ind w:left="2160" w:hanging="360"/>
      </w:pPr>
      <w:rPr>
        <w:rFonts w:ascii="Times New Roman" w:hAnsi="Times New Roman" w:hint="default"/>
      </w:rPr>
    </w:lvl>
    <w:lvl w:ilvl="3" w:tplc="B79EA348" w:tentative="1">
      <w:start w:val="1"/>
      <w:numFmt w:val="bullet"/>
      <w:lvlText w:val="•"/>
      <w:lvlJc w:val="left"/>
      <w:pPr>
        <w:tabs>
          <w:tab w:val="num" w:pos="2880"/>
        </w:tabs>
        <w:ind w:left="2880" w:hanging="360"/>
      </w:pPr>
      <w:rPr>
        <w:rFonts w:ascii="Times New Roman" w:hAnsi="Times New Roman" w:hint="default"/>
      </w:rPr>
    </w:lvl>
    <w:lvl w:ilvl="4" w:tplc="983E2D1A" w:tentative="1">
      <w:start w:val="1"/>
      <w:numFmt w:val="bullet"/>
      <w:lvlText w:val="•"/>
      <w:lvlJc w:val="left"/>
      <w:pPr>
        <w:tabs>
          <w:tab w:val="num" w:pos="3600"/>
        </w:tabs>
        <w:ind w:left="3600" w:hanging="360"/>
      </w:pPr>
      <w:rPr>
        <w:rFonts w:ascii="Times New Roman" w:hAnsi="Times New Roman" w:hint="default"/>
      </w:rPr>
    </w:lvl>
    <w:lvl w:ilvl="5" w:tplc="B6A8BB8C" w:tentative="1">
      <w:start w:val="1"/>
      <w:numFmt w:val="bullet"/>
      <w:lvlText w:val="•"/>
      <w:lvlJc w:val="left"/>
      <w:pPr>
        <w:tabs>
          <w:tab w:val="num" w:pos="4320"/>
        </w:tabs>
        <w:ind w:left="4320" w:hanging="360"/>
      </w:pPr>
      <w:rPr>
        <w:rFonts w:ascii="Times New Roman" w:hAnsi="Times New Roman" w:hint="default"/>
      </w:rPr>
    </w:lvl>
    <w:lvl w:ilvl="6" w:tplc="709ECF72" w:tentative="1">
      <w:start w:val="1"/>
      <w:numFmt w:val="bullet"/>
      <w:lvlText w:val="•"/>
      <w:lvlJc w:val="left"/>
      <w:pPr>
        <w:tabs>
          <w:tab w:val="num" w:pos="5040"/>
        </w:tabs>
        <w:ind w:left="5040" w:hanging="360"/>
      </w:pPr>
      <w:rPr>
        <w:rFonts w:ascii="Times New Roman" w:hAnsi="Times New Roman" w:hint="default"/>
      </w:rPr>
    </w:lvl>
    <w:lvl w:ilvl="7" w:tplc="C8701142" w:tentative="1">
      <w:start w:val="1"/>
      <w:numFmt w:val="bullet"/>
      <w:lvlText w:val="•"/>
      <w:lvlJc w:val="left"/>
      <w:pPr>
        <w:tabs>
          <w:tab w:val="num" w:pos="5760"/>
        </w:tabs>
        <w:ind w:left="5760" w:hanging="360"/>
      </w:pPr>
      <w:rPr>
        <w:rFonts w:ascii="Times New Roman" w:hAnsi="Times New Roman" w:hint="default"/>
      </w:rPr>
    </w:lvl>
    <w:lvl w:ilvl="8" w:tplc="6B865DD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31F22F6"/>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8D0730"/>
    <w:multiLevelType w:val="multilevel"/>
    <w:tmpl w:val="03CAB566"/>
    <w:lvl w:ilvl="0">
      <w:start w:val="1"/>
      <w:numFmt w:val="bullet"/>
      <w:lvlText w:val=""/>
      <w:lvlJc w:val="left"/>
      <w:pPr>
        <w:tabs>
          <w:tab w:val="num" w:pos="-31680"/>
        </w:tabs>
        <w:ind w:left="720" w:hanging="720"/>
      </w:pPr>
      <w:rPr>
        <w:rFonts w:ascii="Symbol" w:hAnsi="Symbol" w:hint="default"/>
        <w:b w:val="0"/>
        <w:i w:val="0"/>
        <w:sz w:val="24"/>
      </w:rPr>
    </w:lvl>
    <w:lvl w:ilvl="1">
      <w:start w:val="1"/>
      <w:numFmt w:val="bullet"/>
      <w:lvlText w:val="○"/>
      <w:lvlJc w:val="left"/>
      <w:pPr>
        <w:tabs>
          <w:tab w:val="num" w:pos="-31680"/>
        </w:tabs>
        <w:ind w:left="1440" w:hanging="720"/>
      </w:pPr>
      <w:rPr>
        <w:rFonts w:ascii="Arial" w:hAnsi="Arial"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lowerLetter"/>
      <w:lvlRestart w:val="0"/>
      <w:lvlText w:val="%5)"/>
      <w:lvlJc w:val="left"/>
      <w:pPr>
        <w:tabs>
          <w:tab w:val="num" w:pos="1800"/>
        </w:tabs>
        <w:ind w:left="1800" w:hanging="720"/>
      </w:pPr>
      <w:rPr>
        <w:rFonts w:hint="default"/>
      </w:rPr>
    </w:lvl>
    <w:lvl w:ilvl="5">
      <w:start w:val="1"/>
      <w:numFmt w:val="lowerRoman"/>
      <w:lvlText w:val="%6)"/>
      <w:lvlJc w:val="left"/>
      <w:pPr>
        <w:tabs>
          <w:tab w:val="num" w:pos="2401"/>
        </w:tabs>
        <w:ind w:left="2401" w:hanging="601"/>
      </w:pPr>
      <w:rPr>
        <w:rFonts w:hint="default"/>
      </w:rPr>
    </w:lvl>
    <w:lvl w:ilvl="6">
      <w:start w:val="1"/>
      <w:numFmt w:val="bullet"/>
      <w:lvlText w:val=""/>
      <w:lvlJc w:val="left"/>
      <w:pPr>
        <w:tabs>
          <w:tab w:val="num" w:pos="360"/>
        </w:tabs>
        <w:ind w:left="1080" w:hanging="720"/>
      </w:pPr>
      <w:rPr>
        <w:rFonts w:ascii="Symbol" w:hAnsi="Symbol" w:hint="default"/>
        <w:sz w:val="24"/>
      </w:rPr>
    </w:lvl>
    <w:lvl w:ilvl="7">
      <w:start w:val="1"/>
      <w:numFmt w:val="bullet"/>
      <w:lvlText w:val=""/>
      <w:lvlJc w:val="left"/>
      <w:pPr>
        <w:tabs>
          <w:tab w:val="num" w:pos="1800"/>
        </w:tabs>
        <w:ind w:left="1800" w:hanging="720"/>
      </w:pPr>
      <w:rPr>
        <w:rFonts w:ascii="Symbol" w:hAnsi="Symbol" w:hint="default"/>
        <w:sz w:val="28"/>
      </w:rPr>
    </w:lvl>
    <w:lvl w:ilvl="8">
      <w:start w:val="1"/>
      <w:numFmt w:val="bullet"/>
      <w:lvlText w:val=""/>
      <w:lvlJc w:val="left"/>
      <w:pPr>
        <w:tabs>
          <w:tab w:val="num" w:pos="2401"/>
        </w:tabs>
        <w:ind w:left="2401" w:hanging="601"/>
      </w:pPr>
      <w:rPr>
        <w:rFonts w:ascii="Symbol" w:hAnsi="Symbol" w:hint="default"/>
        <w:sz w:val="28"/>
      </w:rPr>
    </w:lvl>
  </w:abstractNum>
  <w:abstractNum w:abstractNumId="9" w15:restartNumberingAfterBreak="0">
    <w:nsid w:val="36C43B97"/>
    <w:multiLevelType w:val="hybridMultilevel"/>
    <w:tmpl w:val="7E46A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AE5F86"/>
    <w:multiLevelType w:val="hybridMultilevel"/>
    <w:tmpl w:val="BE869862"/>
    <w:lvl w:ilvl="0" w:tplc="0CA46EF4">
      <w:start w:val="1"/>
      <w:numFmt w:val="lowerRoman"/>
      <w:lvlText w:val="%1)"/>
      <w:lvlJc w:val="right"/>
      <w:pPr>
        <w:tabs>
          <w:tab w:val="num" w:pos="1656"/>
        </w:tabs>
        <w:ind w:left="1656" w:hanging="360"/>
      </w:pPr>
      <w:rPr>
        <w:rFonts w:ascii="Arial" w:hAnsi="Arial" w:hint="default"/>
        <w:b w:val="0"/>
        <w:i w:val="0"/>
        <w:sz w:val="24"/>
      </w:rPr>
    </w:lvl>
    <w:lvl w:ilvl="1" w:tplc="284EAE58" w:tentative="1">
      <w:start w:val="1"/>
      <w:numFmt w:val="lowerLetter"/>
      <w:lvlText w:val="%2."/>
      <w:lvlJc w:val="left"/>
      <w:pPr>
        <w:tabs>
          <w:tab w:val="num" w:pos="1440"/>
        </w:tabs>
        <w:ind w:left="1440" w:hanging="360"/>
      </w:pPr>
    </w:lvl>
    <w:lvl w:ilvl="2" w:tplc="EC5C3B40" w:tentative="1">
      <w:start w:val="1"/>
      <w:numFmt w:val="lowerRoman"/>
      <w:lvlText w:val="%3."/>
      <w:lvlJc w:val="right"/>
      <w:pPr>
        <w:tabs>
          <w:tab w:val="num" w:pos="2160"/>
        </w:tabs>
        <w:ind w:left="2160" w:hanging="180"/>
      </w:pPr>
    </w:lvl>
    <w:lvl w:ilvl="3" w:tplc="7A8A8FBC" w:tentative="1">
      <w:start w:val="1"/>
      <w:numFmt w:val="decimal"/>
      <w:lvlText w:val="%4."/>
      <w:lvlJc w:val="left"/>
      <w:pPr>
        <w:tabs>
          <w:tab w:val="num" w:pos="2880"/>
        </w:tabs>
        <w:ind w:left="2880" w:hanging="360"/>
      </w:pPr>
    </w:lvl>
    <w:lvl w:ilvl="4" w:tplc="C2D88370" w:tentative="1">
      <w:start w:val="1"/>
      <w:numFmt w:val="lowerLetter"/>
      <w:lvlText w:val="%5."/>
      <w:lvlJc w:val="left"/>
      <w:pPr>
        <w:tabs>
          <w:tab w:val="num" w:pos="3600"/>
        </w:tabs>
        <w:ind w:left="3600" w:hanging="360"/>
      </w:pPr>
    </w:lvl>
    <w:lvl w:ilvl="5" w:tplc="E3AE4C10" w:tentative="1">
      <w:start w:val="1"/>
      <w:numFmt w:val="lowerRoman"/>
      <w:lvlText w:val="%6."/>
      <w:lvlJc w:val="right"/>
      <w:pPr>
        <w:tabs>
          <w:tab w:val="num" w:pos="4320"/>
        </w:tabs>
        <w:ind w:left="4320" w:hanging="180"/>
      </w:pPr>
    </w:lvl>
    <w:lvl w:ilvl="6" w:tplc="61C8B400" w:tentative="1">
      <w:start w:val="1"/>
      <w:numFmt w:val="decimal"/>
      <w:lvlText w:val="%7."/>
      <w:lvlJc w:val="left"/>
      <w:pPr>
        <w:tabs>
          <w:tab w:val="num" w:pos="5040"/>
        </w:tabs>
        <w:ind w:left="5040" w:hanging="360"/>
      </w:pPr>
    </w:lvl>
    <w:lvl w:ilvl="7" w:tplc="03E00AF4" w:tentative="1">
      <w:start w:val="1"/>
      <w:numFmt w:val="lowerLetter"/>
      <w:lvlText w:val="%8."/>
      <w:lvlJc w:val="left"/>
      <w:pPr>
        <w:tabs>
          <w:tab w:val="num" w:pos="5760"/>
        </w:tabs>
        <w:ind w:left="5760" w:hanging="360"/>
      </w:pPr>
    </w:lvl>
    <w:lvl w:ilvl="8" w:tplc="71507626" w:tentative="1">
      <w:start w:val="1"/>
      <w:numFmt w:val="lowerRoman"/>
      <w:lvlText w:val="%9."/>
      <w:lvlJc w:val="right"/>
      <w:pPr>
        <w:tabs>
          <w:tab w:val="num" w:pos="6480"/>
        </w:tabs>
        <w:ind w:left="6480" w:hanging="180"/>
      </w:pPr>
    </w:lvl>
  </w:abstractNum>
  <w:abstractNum w:abstractNumId="11" w15:restartNumberingAfterBreak="0">
    <w:nsid w:val="37EC096D"/>
    <w:multiLevelType w:val="hybridMultilevel"/>
    <w:tmpl w:val="B7A6C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C57743"/>
    <w:multiLevelType w:val="hybridMultilevel"/>
    <w:tmpl w:val="9FB69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131EFE"/>
    <w:multiLevelType w:val="multilevel"/>
    <w:tmpl w:val="1298B7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Text w:val="(%5)"/>
      <w:lvlJc w:val="left"/>
      <w:pPr>
        <w:tabs>
          <w:tab w:val="num" w:pos="-31680"/>
        </w:tabs>
        <w:ind w:left="1440" w:hanging="720"/>
      </w:pPr>
      <w:rPr>
        <w:rFonts w:hint="default"/>
      </w:rPr>
    </w:lvl>
    <w:lvl w:ilvl="5">
      <w:start w:val="1"/>
      <w:numFmt w:val="lowerRoman"/>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14" w15:restartNumberingAfterBreak="0">
    <w:nsid w:val="3B795D40"/>
    <w:multiLevelType w:val="hybridMultilevel"/>
    <w:tmpl w:val="97D0A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FC74A5"/>
    <w:multiLevelType w:val="hybridMultilevel"/>
    <w:tmpl w:val="79320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534884"/>
    <w:multiLevelType w:val="multilevel"/>
    <w:tmpl w:val="4CB8A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924FB9"/>
    <w:multiLevelType w:val="hybridMultilevel"/>
    <w:tmpl w:val="52668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B505AB8"/>
    <w:multiLevelType w:val="multilevel"/>
    <w:tmpl w:val="DE84116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1"/>
      <w:lvlText w:val="(%5)"/>
      <w:lvlJc w:val="left"/>
      <w:pPr>
        <w:tabs>
          <w:tab w:val="num" w:pos="-31680"/>
        </w:tabs>
        <w:ind w:left="1440" w:hanging="720"/>
      </w:pPr>
      <w:rPr>
        <w:rFonts w:hint="default"/>
      </w:rPr>
    </w:lvl>
    <w:lvl w:ilvl="5">
      <w:start w:val="1"/>
      <w:numFmt w:val="lowerRoman"/>
      <w:lvlRestart w:val="1"/>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19" w15:restartNumberingAfterBreak="0">
    <w:nsid w:val="5BDB2368"/>
    <w:multiLevelType w:val="hybridMultilevel"/>
    <w:tmpl w:val="BEA0B3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A9A6A2A"/>
    <w:multiLevelType w:val="hybridMultilevel"/>
    <w:tmpl w:val="285EE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CF498A"/>
    <w:multiLevelType w:val="hybridMultilevel"/>
    <w:tmpl w:val="EE84B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451CAE"/>
    <w:multiLevelType w:val="multilevel"/>
    <w:tmpl w:val="603C673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0"/>
      <w:lvlText w:val="%5)"/>
      <w:lvlJc w:val="left"/>
      <w:pPr>
        <w:tabs>
          <w:tab w:val="num" w:pos="1440"/>
        </w:tabs>
        <w:ind w:left="1440" w:hanging="720"/>
      </w:pPr>
      <w:rPr>
        <w:rFonts w:hint="default"/>
      </w:rPr>
    </w:lvl>
    <w:lvl w:ilvl="5">
      <w:start w:val="1"/>
      <w:numFmt w:val="lowerRoman"/>
      <w:lvlText w:val="%6)"/>
      <w:lvlJc w:val="left"/>
      <w:pPr>
        <w:tabs>
          <w:tab w:val="num" w:pos="2041"/>
        </w:tabs>
        <w:ind w:left="2041" w:hanging="601"/>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23" w15:restartNumberingAfterBreak="0">
    <w:nsid w:val="752C659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52E4177"/>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662619"/>
    <w:multiLevelType w:val="hybridMultilevel"/>
    <w:tmpl w:val="43F8FBF0"/>
    <w:lvl w:ilvl="0" w:tplc="D44C0BEE">
      <w:start w:val="1"/>
      <w:numFmt w:val="bullet"/>
      <w:lvlText w:val=""/>
      <w:lvlJc w:val="left"/>
      <w:pPr>
        <w:tabs>
          <w:tab w:val="num" w:pos="1191"/>
        </w:tabs>
        <w:ind w:left="1191"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16497C"/>
    <w:multiLevelType w:val="multilevel"/>
    <w:tmpl w:val="BEAEA1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7F762F0A"/>
    <w:multiLevelType w:val="multilevel"/>
    <w:tmpl w:val="83864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36361852">
    <w:abstractNumId w:val="8"/>
  </w:num>
  <w:num w:numId="2" w16cid:durableId="1668481113">
    <w:abstractNumId w:val="25"/>
  </w:num>
  <w:num w:numId="3" w16cid:durableId="39519059">
    <w:abstractNumId w:val="13"/>
  </w:num>
  <w:num w:numId="4" w16cid:durableId="679086101">
    <w:abstractNumId w:val="0"/>
  </w:num>
  <w:num w:numId="5" w16cid:durableId="1612858434">
    <w:abstractNumId w:val="10"/>
  </w:num>
  <w:num w:numId="6" w16cid:durableId="611936743">
    <w:abstractNumId w:val="23"/>
  </w:num>
  <w:num w:numId="7" w16cid:durableId="1737825952">
    <w:abstractNumId w:val="22"/>
  </w:num>
  <w:num w:numId="8" w16cid:durableId="146628401">
    <w:abstractNumId w:val="18"/>
  </w:num>
  <w:num w:numId="9" w16cid:durableId="755633289">
    <w:abstractNumId w:val="24"/>
  </w:num>
  <w:num w:numId="10" w16cid:durableId="1186359271">
    <w:abstractNumId w:val="1"/>
  </w:num>
  <w:num w:numId="11" w16cid:durableId="424765876">
    <w:abstractNumId w:val="7"/>
  </w:num>
  <w:num w:numId="12" w16cid:durableId="605309551">
    <w:abstractNumId w:val="15"/>
  </w:num>
  <w:num w:numId="13" w16cid:durableId="31656561">
    <w:abstractNumId w:val="12"/>
  </w:num>
  <w:num w:numId="14" w16cid:durableId="726222689">
    <w:abstractNumId w:val="21"/>
  </w:num>
  <w:num w:numId="15" w16cid:durableId="1271012288">
    <w:abstractNumId w:val="17"/>
  </w:num>
  <w:num w:numId="16" w16cid:durableId="1600992798">
    <w:abstractNumId w:val="9"/>
  </w:num>
  <w:num w:numId="17" w16cid:durableId="908228354">
    <w:abstractNumId w:val="14"/>
  </w:num>
  <w:num w:numId="18" w16cid:durableId="889804468">
    <w:abstractNumId w:val="20"/>
  </w:num>
  <w:num w:numId="19" w16cid:durableId="1389764722">
    <w:abstractNumId w:val="11"/>
  </w:num>
  <w:num w:numId="20" w16cid:durableId="979454306">
    <w:abstractNumId w:val="27"/>
  </w:num>
  <w:num w:numId="21" w16cid:durableId="411507050">
    <w:abstractNumId w:val="3"/>
  </w:num>
  <w:num w:numId="22" w16cid:durableId="55319700">
    <w:abstractNumId w:val="5"/>
  </w:num>
  <w:num w:numId="23" w16cid:durableId="1164710880">
    <w:abstractNumId w:val="19"/>
  </w:num>
  <w:num w:numId="24" w16cid:durableId="2057390670">
    <w:abstractNumId w:val="16"/>
  </w:num>
  <w:num w:numId="25" w16cid:durableId="62989623">
    <w:abstractNumId w:val="12"/>
  </w:num>
  <w:num w:numId="26" w16cid:durableId="394552258">
    <w:abstractNumId w:val="6"/>
  </w:num>
  <w:num w:numId="27" w16cid:durableId="65424988">
    <w:abstractNumId w:val="26"/>
  </w:num>
  <w:num w:numId="28" w16cid:durableId="1394966109">
    <w:abstractNumId w:val="4"/>
  </w:num>
  <w:num w:numId="29" w16cid:durableId="3148400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22"/>
    <w:rsid w:val="00000166"/>
    <w:rsid w:val="00000595"/>
    <w:rsid w:val="0000180A"/>
    <w:rsid w:val="00001EF8"/>
    <w:rsid w:val="00003955"/>
    <w:rsid w:val="00003C83"/>
    <w:rsid w:val="000041E4"/>
    <w:rsid w:val="0000502B"/>
    <w:rsid w:val="000056B2"/>
    <w:rsid w:val="00006804"/>
    <w:rsid w:val="000068D7"/>
    <w:rsid w:val="00011CA6"/>
    <w:rsid w:val="00012A6C"/>
    <w:rsid w:val="000139BD"/>
    <w:rsid w:val="00014056"/>
    <w:rsid w:val="00014F70"/>
    <w:rsid w:val="000165A2"/>
    <w:rsid w:val="00021273"/>
    <w:rsid w:val="000231E8"/>
    <w:rsid w:val="00024754"/>
    <w:rsid w:val="00024E7B"/>
    <w:rsid w:val="000255D1"/>
    <w:rsid w:val="000263E2"/>
    <w:rsid w:val="00027E09"/>
    <w:rsid w:val="000309D1"/>
    <w:rsid w:val="00030D3C"/>
    <w:rsid w:val="00031001"/>
    <w:rsid w:val="00031487"/>
    <w:rsid w:val="0003196A"/>
    <w:rsid w:val="00031B68"/>
    <w:rsid w:val="00031C56"/>
    <w:rsid w:val="0003205F"/>
    <w:rsid w:val="00033349"/>
    <w:rsid w:val="000346E6"/>
    <w:rsid w:val="000362DA"/>
    <w:rsid w:val="00037B58"/>
    <w:rsid w:val="0004016F"/>
    <w:rsid w:val="000406A1"/>
    <w:rsid w:val="00041188"/>
    <w:rsid w:val="0004136A"/>
    <w:rsid w:val="0004216B"/>
    <w:rsid w:val="00042E1C"/>
    <w:rsid w:val="00043799"/>
    <w:rsid w:val="0004533E"/>
    <w:rsid w:val="00046F03"/>
    <w:rsid w:val="0004774B"/>
    <w:rsid w:val="00050015"/>
    <w:rsid w:val="000548C3"/>
    <w:rsid w:val="00056F7D"/>
    <w:rsid w:val="00057384"/>
    <w:rsid w:val="00057F71"/>
    <w:rsid w:val="0006178E"/>
    <w:rsid w:val="0006369B"/>
    <w:rsid w:val="00065D34"/>
    <w:rsid w:val="00067A43"/>
    <w:rsid w:val="000715BD"/>
    <w:rsid w:val="000715E8"/>
    <w:rsid w:val="00073148"/>
    <w:rsid w:val="0007419B"/>
    <w:rsid w:val="0007488B"/>
    <w:rsid w:val="00075604"/>
    <w:rsid w:val="00075F10"/>
    <w:rsid w:val="00075FFC"/>
    <w:rsid w:val="000770EB"/>
    <w:rsid w:val="00077764"/>
    <w:rsid w:val="00077BF1"/>
    <w:rsid w:val="0008156B"/>
    <w:rsid w:val="0008258C"/>
    <w:rsid w:val="00083AE0"/>
    <w:rsid w:val="00085A67"/>
    <w:rsid w:val="00092BEA"/>
    <w:rsid w:val="0009340F"/>
    <w:rsid w:val="00095D37"/>
    <w:rsid w:val="00096F71"/>
    <w:rsid w:val="000972B0"/>
    <w:rsid w:val="0009766C"/>
    <w:rsid w:val="0009793E"/>
    <w:rsid w:val="000A0496"/>
    <w:rsid w:val="000A0B2C"/>
    <w:rsid w:val="000A160A"/>
    <w:rsid w:val="000A34F5"/>
    <w:rsid w:val="000A3655"/>
    <w:rsid w:val="000A3852"/>
    <w:rsid w:val="000A46A0"/>
    <w:rsid w:val="000A578F"/>
    <w:rsid w:val="000A6566"/>
    <w:rsid w:val="000A6B05"/>
    <w:rsid w:val="000A6E55"/>
    <w:rsid w:val="000B02D0"/>
    <w:rsid w:val="000B0E15"/>
    <w:rsid w:val="000B0EBB"/>
    <w:rsid w:val="000B2233"/>
    <w:rsid w:val="000B2A6E"/>
    <w:rsid w:val="000B36B3"/>
    <w:rsid w:val="000B4E40"/>
    <w:rsid w:val="000B53F0"/>
    <w:rsid w:val="000B57B8"/>
    <w:rsid w:val="000B5A1D"/>
    <w:rsid w:val="000B6673"/>
    <w:rsid w:val="000C172D"/>
    <w:rsid w:val="000C4E12"/>
    <w:rsid w:val="000C5887"/>
    <w:rsid w:val="000C5D3A"/>
    <w:rsid w:val="000C6913"/>
    <w:rsid w:val="000C6F13"/>
    <w:rsid w:val="000D1FC4"/>
    <w:rsid w:val="000D2ADB"/>
    <w:rsid w:val="000D34C0"/>
    <w:rsid w:val="000D426B"/>
    <w:rsid w:val="000D5F03"/>
    <w:rsid w:val="000D6244"/>
    <w:rsid w:val="000D6E3E"/>
    <w:rsid w:val="000D797B"/>
    <w:rsid w:val="000D7D0B"/>
    <w:rsid w:val="000E0C3B"/>
    <w:rsid w:val="000E0FA9"/>
    <w:rsid w:val="000E10A2"/>
    <w:rsid w:val="000E1B05"/>
    <w:rsid w:val="000E1D0B"/>
    <w:rsid w:val="000E2F6F"/>
    <w:rsid w:val="000E382B"/>
    <w:rsid w:val="000E62EF"/>
    <w:rsid w:val="000E6E76"/>
    <w:rsid w:val="000F0BD1"/>
    <w:rsid w:val="000F2490"/>
    <w:rsid w:val="000F338F"/>
    <w:rsid w:val="000F3B81"/>
    <w:rsid w:val="000F5536"/>
    <w:rsid w:val="001004A6"/>
    <w:rsid w:val="00100CBA"/>
    <w:rsid w:val="00101F47"/>
    <w:rsid w:val="00102499"/>
    <w:rsid w:val="00102716"/>
    <w:rsid w:val="00107E24"/>
    <w:rsid w:val="001105F8"/>
    <w:rsid w:val="00113909"/>
    <w:rsid w:val="00115DD1"/>
    <w:rsid w:val="00117583"/>
    <w:rsid w:val="00120FA6"/>
    <w:rsid w:val="001213A5"/>
    <w:rsid w:val="00121B1A"/>
    <w:rsid w:val="00121C8F"/>
    <w:rsid w:val="00122CCB"/>
    <w:rsid w:val="00124C65"/>
    <w:rsid w:val="001252F0"/>
    <w:rsid w:val="001262E5"/>
    <w:rsid w:val="00127C3D"/>
    <w:rsid w:val="00130F3E"/>
    <w:rsid w:val="00131C70"/>
    <w:rsid w:val="00131ECC"/>
    <w:rsid w:val="00132359"/>
    <w:rsid w:val="001325B0"/>
    <w:rsid w:val="00133927"/>
    <w:rsid w:val="00133DBB"/>
    <w:rsid w:val="00135E84"/>
    <w:rsid w:val="00136294"/>
    <w:rsid w:val="001369C2"/>
    <w:rsid w:val="001378D0"/>
    <w:rsid w:val="001410AD"/>
    <w:rsid w:val="00141D86"/>
    <w:rsid w:val="00143D59"/>
    <w:rsid w:val="001440EB"/>
    <w:rsid w:val="001506B4"/>
    <w:rsid w:val="00150B31"/>
    <w:rsid w:val="00151193"/>
    <w:rsid w:val="00151414"/>
    <w:rsid w:val="00152757"/>
    <w:rsid w:val="001535AC"/>
    <w:rsid w:val="001536B6"/>
    <w:rsid w:val="00155C2C"/>
    <w:rsid w:val="00156E66"/>
    <w:rsid w:val="00156EBE"/>
    <w:rsid w:val="0015700A"/>
    <w:rsid w:val="0015715C"/>
    <w:rsid w:val="00157B1B"/>
    <w:rsid w:val="00157BF6"/>
    <w:rsid w:val="00157E47"/>
    <w:rsid w:val="00160FFA"/>
    <w:rsid w:val="00161855"/>
    <w:rsid w:val="001642C8"/>
    <w:rsid w:val="00164F4F"/>
    <w:rsid w:val="001651B1"/>
    <w:rsid w:val="001665C5"/>
    <w:rsid w:val="001671F3"/>
    <w:rsid w:val="00171667"/>
    <w:rsid w:val="00172786"/>
    <w:rsid w:val="0017368E"/>
    <w:rsid w:val="001739D1"/>
    <w:rsid w:val="00174180"/>
    <w:rsid w:val="00175F4C"/>
    <w:rsid w:val="0017651C"/>
    <w:rsid w:val="00177346"/>
    <w:rsid w:val="0018125B"/>
    <w:rsid w:val="00181D98"/>
    <w:rsid w:val="001832F4"/>
    <w:rsid w:val="00183A62"/>
    <w:rsid w:val="00187B4C"/>
    <w:rsid w:val="0019113E"/>
    <w:rsid w:val="00194827"/>
    <w:rsid w:val="00194E9D"/>
    <w:rsid w:val="00195697"/>
    <w:rsid w:val="0019749E"/>
    <w:rsid w:val="001A06F4"/>
    <w:rsid w:val="001A0D31"/>
    <w:rsid w:val="001A171C"/>
    <w:rsid w:val="001A208E"/>
    <w:rsid w:val="001A2C69"/>
    <w:rsid w:val="001A3A40"/>
    <w:rsid w:val="001A431F"/>
    <w:rsid w:val="001A58E2"/>
    <w:rsid w:val="001A592F"/>
    <w:rsid w:val="001B012F"/>
    <w:rsid w:val="001B0137"/>
    <w:rsid w:val="001B47C6"/>
    <w:rsid w:val="001B5E15"/>
    <w:rsid w:val="001B642E"/>
    <w:rsid w:val="001B66EB"/>
    <w:rsid w:val="001B6854"/>
    <w:rsid w:val="001B6F31"/>
    <w:rsid w:val="001B74B4"/>
    <w:rsid w:val="001C2F6B"/>
    <w:rsid w:val="001C3344"/>
    <w:rsid w:val="001C3949"/>
    <w:rsid w:val="001C3AB5"/>
    <w:rsid w:val="001C3DB8"/>
    <w:rsid w:val="001C488D"/>
    <w:rsid w:val="001C5440"/>
    <w:rsid w:val="001C55DD"/>
    <w:rsid w:val="001D13D6"/>
    <w:rsid w:val="001D14E3"/>
    <w:rsid w:val="001D3962"/>
    <w:rsid w:val="001D3D42"/>
    <w:rsid w:val="001D6536"/>
    <w:rsid w:val="001D688E"/>
    <w:rsid w:val="001E0CC4"/>
    <w:rsid w:val="001E1B5A"/>
    <w:rsid w:val="001E6D31"/>
    <w:rsid w:val="001F087B"/>
    <w:rsid w:val="001F0E6D"/>
    <w:rsid w:val="001F0E87"/>
    <w:rsid w:val="001F0EC4"/>
    <w:rsid w:val="001F108A"/>
    <w:rsid w:val="001F2DF7"/>
    <w:rsid w:val="001F307F"/>
    <w:rsid w:val="001F34E3"/>
    <w:rsid w:val="001F3884"/>
    <w:rsid w:val="001F40D6"/>
    <w:rsid w:val="001F4CF8"/>
    <w:rsid w:val="001F5738"/>
    <w:rsid w:val="001F7AC1"/>
    <w:rsid w:val="00200315"/>
    <w:rsid w:val="00200CB7"/>
    <w:rsid w:val="00201A7B"/>
    <w:rsid w:val="0020250B"/>
    <w:rsid w:val="00202668"/>
    <w:rsid w:val="00204D3C"/>
    <w:rsid w:val="002050CD"/>
    <w:rsid w:val="0020584E"/>
    <w:rsid w:val="002078E8"/>
    <w:rsid w:val="00207CBA"/>
    <w:rsid w:val="0021074A"/>
    <w:rsid w:val="00216018"/>
    <w:rsid w:val="00216477"/>
    <w:rsid w:val="002168BB"/>
    <w:rsid w:val="002168DF"/>
    <w:rsid w:val="00220008"/>
    <w:rsid w:val="00220E7F"/>
    <w:rsid w:val="0022195D"/>
    <w:rsid w:val="00222342"/>
    <w:rsid w:val="00224301"/>
    <w:rsid w:val="00224F9B"/>
    <w:rsid w:val="00226379"/>
    <w:rsid w:val="00226A8B"/>
    <w:rsid w:val="00227F7B"/>
    <w:rsid w:val="0023114D"/>
    <w:rsid w:val="00232632"/>
    <w:rsid w:val="00232F2B"/>
    <w:rsid w:val="00234281"/>
    <w:rsid w:val="00234589"/>
    <w:rsid w:val="00234DA1"/>
    <w:rsid w:val="0023581A"/>
    <w:rsid w:val="00235B0C"/>
    <w:rsid w:val="00236A51"/>
    <w:rsid w:val="0024299B"/>
    <w:rsid w:val="00244008"/>
    <w:rsid w:val="002449D2"/>
    <w:rsid w:val="00245B9F"/>
    <w:rsid w:val="00246271"/>
    <w:rsid w:val="00247409"/>
    <w:rsid w:val="00247B4E"/>
    <w:rsid w:val="002503F9"/>
    <w:rsid w:val="00253D82"/>
    <w:rsid w:val="00254433"/>
    <w:rsid w:val="002545CC"/>
    <w:rsid w:val="00254716"/>
    <w:rsid w:val="002547B8"/>
    <w:rsid w:val="0025570D"/>
    <w:rsid w:val="00255CF5"/>
    <w:rsid w:val="00255DF6"/>
    <w:rsid w:val="002576EA"/>
    <w:rsid w:val="00257BCB"/>
    <w:rsid w:val="002600F0"/>
    <w:rsid w:val="002630E0"/>
    <w:rsid w:val="00263521"/>
    <w:rsid w:val="002636CB"/>
    <w:rsid w:val="00264008"/>
    <w:rsid w:val="00267DEC"/>
    <w:rsid w:val="00267EA4"/>
    <w:rsid w:val="0027255C"/>
    <w:rsid w:val="00272FB0"/>
    <w:rsid w:val="002741BA"/>
    <w:rsid w:val="00274BB8"/>
    <w:rsid w:val="002755FB"/>
    <w:rsid w:val="0027612D"/>
    <w:rsid w:val="00276DCF"/>
    <w:rsid w:val="00280B13"/>
    <w:rsid w:val="00281ABD"/>
    <w:rsid w:val="002821C2"/>
    <w:rsid w:val="00282259"/>
    <w:rsid w:val="0028356A"/>
    <w:rsid w:val="00284F70"/>
    <w:rsid w:val="00284FE7"/>
    <w:rsid w:val="0028572A"/>
    <w:rsid w:val="00285A16"/>
    <w:rsid w:val="00285D8C"/>
    <w:rsid w:val="00285EBE"/>
    <w:rsid w:val="00285ECB"/>
    <w:rsid w:val="00290237"/>
    <w:rsid w:val="00290E5A"/>
    <w:rsid w:val="002918AB"/>
    <w:rsid w:val="00292142"/>
    <w:rsid w:val="00292D64"/>
    <w:rsid w:val="002936DA"/>
    <w:rsid w:val="00293739"/>
    <w:rsid w:val="002937DA"/>
    <w:rsid w:val="00294934"/>
    <w:rsid w:val="00294A31"/>
    <w:rsid w:val="00294F67"/>
    <w:rsid w:val="00296CDD"/>
    <w:rsid w:val="00297401"/>
    <w:rsid w:val="00297B14"/>
    <w:rsid w:val="00297B31"/>
    <w:rsid w:val="002A1CEE"/>
    <w:rsid w:val="002A2317"/>
    <w:rsid w:val="002A4B95"/>
    <w:rsid w:val="002A537B"/>
    <w:rsid w:val="002A689A"/>
    <w:rsid w:val="002A7BF9"/>
    <w:rsid w:val="002B0456"/>
    <w:rsid w:val="002B1531"/>
    <w:rsid w:val="002B1D59"/>
    <w:rsid w:val="002B1E89"/>
    <w:rsid w:val="002B3893"/>
    <w:rsid w:val="002B59F3"/>
    <w:rsid w:val="002B5E6C"/>
    <w:rsid w:val="002C03D5"/>
    <w:rsid w:val="002C062A"/>
    <w:rsid w:val="002C0DA1"/>
    <w:rsid w:val="002C27ED"/>
    <w:rsid w:val="002C3663"/>
    <w:rsid w:val="002C495B"/>
    <w:rsid w:val="002C4996"/>
    <w:rsid w:val="002C4A0C"/>
    <w:rsid w:val="002C4A23"/>
    <w:rsid w:val="002C4BEE"/>
    <w:rsid w:val="002C5066"/>
    <w:rsid w:val="002C61A6"/>
    <w:rsid w:val="002C6606"/>
    <w:rsid w:val="002D0E7E"/>
    <w:rsid w:val="002D43DD"/>
    <w:rsid w:val="002D49DC"/>
    <w:rsid w:val="002D66B7"/>
    <w:rsid w:val="002D7F7E"/>
    <w:rsid w:val="002E0040"/>
    <w:rsid w:val="002E0052"/>
    <w:rsid w:val="002E0E64"/>
    <w:rsid w:val="002E10D5"/>
    <w:rsid w:val="002E1329"/>
    <w:rsid w:val="002E20FD"/>
    <w:rsid w:val="002E34B6"/>
    <w:rsid w:val="002E3BD0"/>
    <w:rsid w:val="002E3EEA"/>
    <w:rsid w:val="002E3EF7"/>
    <w:rsid w:val="002E45C9"/>
    <w:rsid w:val="002E4DD1"/>
    <w:rsid w:val="002E67BC"/>
    <w:rsid w:val="002F0007"/>
    <w:rsid w:val="002F0135"/>
    <w:rsid w:val="002F44D6"/>
    <w:rsid w:val="002F5979"/>
    <w:rsid w:val="002F68C5"/>
    <w:rsid w:val="002F6AD7"/>
    <w:rsid w:val="00300183"/>
    <w:rsid w:val="003009D4"/>
    <w:rsid w:val="00300E80"/>
    <w:rsid w:val="003019D3"/>
    <w:rsid w:val="00301F53"/>
    <w:rsid w:val="00301FFF"/>
    <w:rsid w:val="00302526"/>
    <w:rsid w:val="003033FC"/>
    <w:rsid w:val="00304FB6"/>
    <w:rsid w:val="00310D60"/>
    <w:rsid w:val="0031136B"/>
    <w:rsid w:val="003115B2"/>
    <w:rsid w:val="003118A3"/>
    <w:rsid w:val="00311BEA"/>
    <w:rsid w:val="00311FCA"/>
    <w:rsid w:val="003125A0"/>
    <w:rsid w:val="003126B3"/>
    <w:rsid w:val="00313CBA"/>
    <w:rsid w:val="00314762"/>
    <w:rsid w:val="00314828"/>
    <w:rsid w:val="00314F08"/>
    <w:rsid w:val="0031653C"/>
    <w:rsid w:val="0031706E"/>
    <w:rsid w:val="003212FD"/>
    <w:rsid w:val="003225ED"/>
    <w:rsid w:val="003235C7"/>
    <w:rsid w:val="0032399F"/>
    <w:rsid w:val="00323DF8"/>
    <w:rsid w:val="00325240"/>
    <w:rsid w:val="00326113"/>
    <w:rsid w:val="0033262F"/>
    <w:rsid w:val="00332F34"/>
    <w:rsid w:val="00333975"/>
    <w:rsid w:val="00333AB9"/>
    <w:rsid w:val="00334B0D"/>
    <w:rsid w:val="0034099A"/>
    <w:rsid w:val="0034258D"/>
    <w:rsid w:val="00342D91"/>
    <w:rsid w:val="003447E9"/>
    <w:rsid w:val="00345921"/>
    <w:rsid w:val="00345BFE"/>
    <w:rsid w:val="0034661D"/>
    <w:rsid w:val="00346656"/>
    <w:rsid w:val="00346F64"/>
    <w:rsid w:val="00347603"/>
    <w:rsid w:val="00347A5E"/>
    <w:rsid w:val="00350C36"/>
    <w:rsid w:val="0035125C"/>
    <w:rsid w:val="00351BBC"/>
    <w:rsid w:val="00353656"/>
    <w:rsid w:val="00354799"/>
    <w:rsid w:val="00354E93"/>
    <w:rsid w:val="00355AF4"/>
    <w:rsid w:val="003601A9"/>
    <w:rsid w:val="00360896"/>
    <w:rsid w:val="00360B58"/>
    <w:rsid w:val="00361E38"/>
    <w:rsid w:val="003626EA"/>
    <w:rsid w:val="00362ABF"/>
    <w:rsid w:val="00362DA7"/>
    <w:rsid w:val="003632FD"/>
    <w:rsid w:val="00364E2B"/>
    <w:rsid w:val="003668DE"/>
    <w:rsid w:val="00366B11"/>
    <w:rsid w:val="00367C6B"/>
    <w:rsid w:val="003708C8"/>
    <w:rsid w:val="00370B1E"/>
    <w:rsid w:val="003710E7"/>
    <w:rsid w:val="00371B66"/>
    <w:rsid w:val="00377AAA"/>
    <w:rsid w:val="00382884"/>
    <w:rsid w:val="00382AAA"/>
    <w:rsid w:val="00382C0D"/>
    <w:rsid w:val="00382C22"/>
    <w:rsid w:val="00383B63"/>
    <w:rsid w:val="003844FB"/>
    <w:rsid w:val="00385B8A"/>
    <w:rsid w:val="00385EDB"/>
    <w:rsid w:val="003872A4"/>
    <w:rsid w:val="00391E57"/>
    <w:rsid w:val="00391F24"/>
    <w:rsid w:val="00391FD9"/>
    <w:rsid w:val="00392C1E"/>
    <w:rsid w:val="00392FF8"/>
    <w:rsid w:val="00393F0C"/>
    <w:rsid w:val="00394198"/>
    <w:rsid w:val="003956EA"/>
    <w:rsid w:val="00396162"/>
    <w:rsid w:val="00396E23"/>
    <w:rsid w:val="003A08FB"/>
    <w:rsid w:val="003A0F8B"/>
    <w:rsid w:val="003A23CA"/>
    <w:rsid w:val="003A3A0B"/>
    <w:rsid w:val="003A4085"/>
    <w:rsid w:val="003A5277"/>
    <w:rsid w:val="003A5B47"/>
    <w:rsid w:val="003A68B9"/>
    <w:rsid w:val="003A6F9A"/>
    <w:rsid w:val="003A75FD"/>
    <w:rsid w:val="003B393D"/>
    <w:rsid w:val="003B4157"/>
    <w:rsid w:val="003B5C4E"/>
    <w:rsid w:val="003B5CD3"/>
    <w:rsid w:val="003B744F"/>
    <w:rsid w:val="003B77A4"/>
    <w:rsid w:val="003C087E"/>
    <w:rsid w:val="003C1A1D"/>
    <w:rsid w:val="003C442F"/>
    <w:rsid w:val="003C4683"/>
    <w:rsid w:val="003C522A"/>
    <w:rsid w:val="003C59DC"/>
    <w:rsid w:val="003C5D73"/>
    <w:rsid w:val="003C65B9"/>
    <w:rsid w:val="003C736B"/>
    <w:rsid w:val="003D005E"/>
    <w:rsid w:val="003D239E"/>
    <w:rsid w:val="003D75C3"/>
    <w:rsid w:val="003E32D4"/>
    <w:rsid w:val="003E37AD"/>
    <w:rsid w:val="003E4063"/>
    <w:rsid w:val="003E4E97"/>
    <w:rsid w:val="003E629B"/>
    <w:rsid w:val="003E767F"/>
    <w:rsid w:val="003F0050"/>
    <w:rsid w:val="003F0A4F"/>
    <w:rsid w:val="003F0B6D"/>
    <w:rsid w:val="003F1CB4"/>
    <w:rsid w:val="003F1F06"/>
    <w:rsid w:val="003F20D9"/>
    <w:rsid w:val="003F27AD"/>
    <w:rsid w:val="003F2812"/>
    <w:rsid w:val="003F302D"/>
    <w:rsid w:val="003F3944"/>
    <w:rsid w:val="003F67DF"/>
    <w:rsid w:val="003F6A70"/>
    <w:rsid w:val="003F6AE2"/>
    <w:rsid w:val="003F6C5E"/>
    <w:rsid w:val="00400251"/>
    <w:rsid w:val="0040082C"/>
    <w:rsid w:val="0040182A"/>
    <w:rsid w:val="0040205D"/>
    <w:rsid w:val="004023C7"/>
    <w:rsid w:val="00404CFA"/>
    <w:rsid w:val="004051F1"/>
    <w:rsid w:val="004056F1"/>
    <w:rsid w:val="00406ECC"/>
    <w:rsid w:val="00407A83"/>
    <w:rsid w:val="0041225B"/>
    <w:rsid w:val="00412570"/>
    <w:rsid w:val="00414EE0"/>
    <w:rsid w:val="0041583C"/>
    <w:rsid w:val="00415A4F"/>
    <w:rsid w:val="00417688"/>
    <w:rsid w:val="0042148E"/>
    <w:rsid w:val="004222FA"/>
    <w:rsid w:val="00422362"/>
    <w:rsid w:val="00422FCC"/>
    <w:rsid w:val="004256CD"/>
    <w:rsid w:val="00427815"/>
    <w:rsid w:val="0043076A"/>
    <w:rsid w:val="0043135E"/>
    <w:rsid w:val="00432929"/>
    <w:rsid w:val="004361B8"/>
    <w:rsid w:val="00436E3C"/>
    <w:rsid w:val="00440EF9"/>
    <w:rsid w:val="004424FF"/>
    <w:rsid w:val="00442770"/>
    <w:rsid w:val="00442AFF"/>
    <w:rsid w:val="00443D67"/>
    <w:rsid w:val="00444031"/>
    <w:rsid w:val="00444461"/>
    <w:rsid w:val="004454FB"/>
    <w:rsid w:val="00445B46"/>
    <w:rsid w:val="00446472"/>
    <w:rsid w:val="00446867"/>
    <w:rsid w:val="004478BC"/>
    <w:rsid w:val="00451208"/>
    <w:rsid w:val="00454B20"/>
    <w:rsid w:val="00455741"/>
    <w:rsid w:val="00455D5A"/>
    <w:rsid w:val="00456120"/>
    <w:rsid w:val="00456B3F"/>
    <w:rsid w:val="00456FFD"/>
    <w:rsid w:val="0045749E"/>
    <w:rsid w:val="004575E1"/>
    <w:rsid w:val="00461814"/>
    <w:rsid w:val="00462032"/>
    <w:rsid w:val="00463282"/>
    <w:rsid w:val="00464F87"/>
    <w:rsid w:val="004657EA"/>
    <w:rsid w:val="00467420"/>
    <w:rsid w:val="00470AF3"/>
    <w:rsid w:val="004719C4"/>
    <w:rsid w:val="00471B74"/>
    <w:rsid w:val="0047308E"/>
    <w:rsid w:val="0047347A"/>
    <w:rsid w:val="00474880"/>
    <w:rsid w:val="00475154"/>
    <w:rsid w:val="004766DD"/>
    <w:rsid w:val="004802F2"/>
    <w:rsid w:val="0048378A"/>
    <w:rsid w:val="004839A7"/>
    <w:rsid w:val="00483A5A"/>
    <w:rsid w:val="00483B73"/>
    <w:rsid w:val="00484DBF"/>
    <w:rsid w:val="00485137"/>
    <w:rsid w:val="004870AD"/>
    <w:rsid w:val="0048731E"/>
    <w:rsid w:val="00487820"/>
    <w:rsid w:val="00487A22"/>
    <w:rsid w:val="0049193E"/>
    <w:rsid w:val="00491ABA"/>
    <w:rsid w:val="004947B5"/>
    <w:rsid w:val="004947B6"/>
    <w:rsid w:val="00495998"/>
    <w:rsid w:val="00496E2B"/>
    <w:rsid w:val="004A0788"/>
    <w:rsid w:val="004A08EA"/>
    <w:rsid w:val="004A18AD"/>
    <w:rsid w:val="004A1A84"/>
    <w:rsid w:val="004A1B68"/>
    <w:rsid w:val="004A3957"/>
    <w:rsid w:val="004A4479"/>
    <w:rsid w:val="004A45BA"/>
    <w:rsid w:val="004A4B2E"/>
    <w:rsid w:val="004A5129"/>
    <w:rsid w:val="004A52FF"/>
    <w:rsid w:val="004A69F8"/>
    <w:rsid w:val="004A6CF0"/>
    <w:rsid w:val="004A7433"/>
    <w:rsid w:val="004B0D0A"/>
    <w:rsid w:val="004B0F09"/>
    <w:rsid w:val="004B261B"/>
    <w:rsid w:val="004B4732"/>
    <w:rsid w:val="004B5D04"/>
    <w:rsid w:val="004B6128"/>
    <w:rsid w:val="004B64B4"/>
    <w:rsid w:val="004B76BD"/>
    <w:rsid w:val="004C0E6F"/>
    <w:rsid w:val="004C2785"/>
    <w:rsid w:val="004C3A4D"/>
    <w:rsid w:val="004C46D6"/>
    <w:rsid w:val="004C49C3"/>
    <w:rsid w:val="004C4DC7"/>
    <w:rsid w:val="004C4E0A"/>
    <w:rsid w:val="004C7488"/>
    <w:rsid w:val="004D0729"/>
    <w:rsid w:val="004D1B16"/>
    <w:rsid w:val="004D2192"/>
    <w:rsid w:val="004D2351"/>
    <w:rsid w:val="004D28E4"/>
    <w:rsid w:val="004D3828"/>
    <w:rsid w:val="004E24E3"/>
    <w:rsid w:val="004E5D97"/>
    <w:rsid w:val="004E6299"/>
    <w:rsid w:val="004E66F4"/>
    <w:rsid w:val="004E7520"/>
    <w:rsid w:val="004E7F6F"/>
    <w:rsid w:val="004F21DF"/>
    <w:rsid w:val="004F24BC"/>
    <w:rsid w:val="004F2EE4"/>
    <w:rsid w:val="004F2F96"/>
    <w:rsid w:val="004F36FB"/>
    <w:rsid w:val="004F46A7"/>
    <w:rsid w:val="004F6086"/>
    <w:rsid w:val="004F6112"/>
    <w:rsid w:val="004F6AF9"/>
    <w:rsid w:val="004F754C"/>
    <w:rsid w:val="005000A4"/>
    <w:rsid w:val="0050173F"/>
    <w:rsid w:val="00501F17"/>
    <w:rsid w:val="00503D62"/>
    <w:rsid w:val="005056B0"/>
    <w:rsid w:val="0051099F"/>
    <w:rsid w:val="00512C65"/>
    <w:rsid w:val="005132A9"/>
    <w:rsid w:val="00514C5A"/>
    <w:rsid w:val="00516B00"/>
    <w:rsid w:val="00516E80"/>
    <w:rsid w:val="00516F19"/>
    <w:rsid w:val="0051728E"/>
    <w:rsid w:val="00517EA8"/>
    <w:rsid w:val="00521C50"/>
    <w:rsid w:val="005230F3"/>
    <w:rsid w:val="00523512"/>
    <w:rsid w:val="00524683"/>
    <w:rsid w:val="00527E04"/>
    <w:rsid w:val="00530B41"/>
    <w:rsid w:val="00531C64"/>
    <w:rsid w:val="005322E6"/>
    <w:rsid w:val="00534EC8"/>
    <w:rsid w:val="005354F3"/>
    <w:rsid w:val="005355E1"/>
    <w:rsid w:val="00536890"/>
    <w:rsid w:val="00540B97"/>
    <w:rsid w:val="00541C85"/>
    <w:rsid w:val="005422BB"/>
    <w:rsid w:val="00542356"/>
    <w:rsid w:val="00542E3C"/>
    <w:rsid w:val="005452AD"/>
    <w:rsid w:val="005453B1"/>
    <w:rsid w:val="005455EB"/>
    <w:rsid w:val="00545FAD"/>
    <w:rsid w:val="005463DA"/>
    <w:rsid w:val="00546915"/>
    <w:rsid w:val="005508EF"/>
    <w:rsid w:val="00550ECE"/>
    <w:rsid w:val="0055197B"/>
    <w:rsid w:val="00552651"/>
    <w:rsid w:val="00552729"/>
    <w:rsid w:val="0055409D"/>
    <w:rsid w:val="005544FF"/>
    <w:rsid w:val="00555229"/>
    <w:rsid w:val="00555668"/>
    <w:rsid w:val="00555827"/>
    <w:rsid w:val="00557EC3"/>
    <w:rsid w:val="00560EF1"/>
    <w:rsid w:val="00560F74"/>
    <w:rsid w:val="00561ADB"/>
    <w:rsid w:val="00561C79"/>
    <w:rsid w:val="005628E4"/>
    <w:rsid w:val="00562F2F"/>
    <w:rsid w:val="00563DEB"/>
    <w:rsid w:val="0056472E"/>
    <w:rsid w:val="0056516F"/>
    <w:rsid w:val="00565AE0"/>
    <w:rsid w:val="005717EA"/>
    <w:rsid w:val="00571A8A"/>
    <w:rsid w:val="00573042"/>
    <w:rsid w:val="00573EE1"/>
    <w:rsid w:val="0057631B"/>
    <w:rsid w:val="0058146D"/>
    <w:rsid w:val="00583241"/>
    <w:rsid w:val="0058364D"/>
    <w:rsid w:val="005848A3"/>
    <w:rsid w:val="00586662"/>
    <w:rsid w:val="00586955"/>
    <w:rsid w:val="00586EFD"/>
    <w:rsid w:val="00587BE6"/>
    <w:rsid w:val="00590AD5"/>
    <w:rsid w:val="00590F98"/>
    <w:rsid w:val="005915CF"/>
    <w:rsid w:val="00591988"/>
    <w:rsid w:val="0059263C"/>
    <w:rsid w:val="00593699"/>
    <w:rsid w:val="005945FC"/>
    <w:rsid w:val="005A0B21"/>
    <w:rsid w:val="005A1335"/>
    <w:rsid w:val="005A1570"/>
    <w:rsid w:val="005A1AA2"/>
    <w:rsid w:val="005A3A00"/>
    <w:rsid w:val="005A4F25"/>
    <w:rsid w:val="005A5A87"/>
    <w:rsid w:val="005A751E"/>
    <w:rsid w:val="005A79A7"/>
    <w:rsid w:val="005A7C03"/>
    <w:rsid w:val="005B1A16"/>
    <w:rsid w:val="005B3D65"/>
    <w:rsid w:val="005B7408"/>
    <w:rsid w:val="005C1F53"/>
    <w:rsid w:val="005C229D"/>
    <w:rsid w:val="005C2639"/>
    <w:rsid w:val="005C48FF"/>
    <w:rsid w:val="005C5A8A"/>
    <w:rsid w:val="005C5E70"/>
    <w:rsid w:val="005C6467"/>
    <w:rsid w:val="005C667A"/>
    <w:rsid w:val="005C678D"/>
    <w:rsid w:val="005C6826"/>
    <w:rsid w:val="005C7488"/>
    <w:rsid w:val="005C7F6B"/>
    <w:rsid w:val="005D1D87"/>
    <w:rsid w:val="005D2A04"/>
    <w:rsid w:val="005D2AC9"/>
    <w:rsid w:val="005D4136"/>
    <w:rsid w:val="005D4CA1"/>
    <w:rsid w:val="005D57BD"/>
    <w:rsid w:val="005D5955"/>
    <w:rsid w:val="005D6222"/>
    <w:rsid w:val="005D6711"/>
    <w:rsid w:val="005E032E"/>
    <w:rsid w:val="005E09BD"/>
    <w:rsid w:val="005E0EFE"/>
    <w:rsid w:val="005E3452"/>
    <w:rsid w:val="005E4085"/>
    <w:rsid w:val="005E411C"/>
    <w:rsid w:val="005E651A"/>
    <w:rsid w:val="005F01E0"/>
    <w:rsid w:val="005F0646"/>
    <w:rsid w:val="005F1C41"/>
    <w:rsid w:val="005F2385"/>
    <w:rsid w:val="005F344A"/>
    <w:rsid w:val="005F5189"/>
    <w:rsid w:val="005F51EA"/>
    <w:rsid w:val="005F5589"/>
    <w:rsid w:val="005F5675"/>
    <w:rsid w:val="005F62ED"/>
    <w:rsid w:val="005F6B29"/>
    <w:rsid w:val="005F73E8"/>
    <w:rsid w:val="005F79D1"/>
    <w:rsid w:val="005F7BAD"/>
    <w:rsid w:val="00600267"/>
    <w:rsid w:val="00600A2E"/>
    <w:rsid w:val="0060268C"/>
    <w:rsid w:val="00603C36"/>
    <w:rsid w:val="00606A79"/>
    <w:rsid w:val="00610BEB"/>
    <w:rsid w:val="00611AD2"/>
    <w:rsid w:val="00612565"/>
    <w:rsid w:val="006135C9"/>
    <w:rsid w:val="00613AA6"/>
    <w:rsid w:val="0061683E"/>
    <w:rsid w:val="0061684A"/>
    <w:rsid w:val="006168CD"/>
    <w:rsid w:val="00617511"/>
    <w:rsid w:val="00617924"/>
    <w:rsid w:val="00617DB1"/>
    <w:rsid w:val="006208CE"/>
    <w:rsid w:val="00621BA6"/>
    <w:rsid w:val="00622863"/>
    <w:rsid w:val="00623428"/>
    <w:rsid w:val="00623438"/>
    <w:rsid w:val="00624D12"/>
    <w:rsid w:val="006258FB"/>
    <w:rsid w:val="00627527"/>
    <w:rsid w:val="00630A0E"/>
    <w:rsid w:val="00631555"/>
    <w:rsid w:val="00632138"/>
    <w:rsid w:val="00632257"/>
    <w:rsid w:val="00632A3B"/>
    <w:rsid w:val="00633680"/>
    <w:rsid w:val="00633878"/>
    <w:rsid w:val="00633DE8"/>
    <w:rsid w:val="00634202"/>
    <w:rsid w:val="00634718"/>
    <w:rsid w:val="00635345"/>
    <w:rsid w:val="006370C6"/>
    <w:rsid w:val="00637D75"/>
    <w:rsid w:val="006407ED"/>
    <w:rsid w:val="00641527"/>
    <w:rsid w:val="00641A6C"/>
    <w:rsid w:val="00642429"/>
    <w:rsid w:val="006427B4"/>
    <w:rsid w:val="00643BD1"/>
    <w:rsid w:val="00643E53"/>
    <w:rsid w:val="006440B2"/>
    <w:rsid w:val="00644373"/>
    <w:rsid w:val="00646979"/>
    <w:rsid w:val="00647402"/>
    <w:rsid w:val="00647E6E"/>
    <w:rsid w:val="006509D9"/>
    <w:rsid w:val="00650F6B"/>
    <w:rsid w:val="0065151B"/>
    <w:rsid w:val="00653643"/>
    <w:rsid w:val="00653719"/>
    <w:rsid w:val="00654E99"/>
    <w:rsid w:val="00654F03"/>
    <w:rsid w:val="00656454"/>
    <w:rsid w:val="00656FC7"/>
    <w:rsid w:val="00657363"/>
    <w:rsid w:val="00657750"/>
    <w:rsid w:val="00660BF0"/>
    <w:rsid w:val="006615B2"/>
    <w:rsid w:val="00670278"/>
    <w:rsid w:val="0067057B"/>
    <w:rsid w:val="006705A1"/>
    <w:rsid w:val="0067192D"/>
    <w:rsid w:val="00671DA8"/>
    <w:rsid w:val="006721EB"/>
    <w:rsid w:val="00674C4A"/>
    <w:rsid w:val="00674F1E"/>
    <w:rsid w:val="00676021"/>
    <w:rsid w:val="006766ED"/>
    <w:rsid w:val="0067707C"/>
    <w:rsid w:val="00677752"/>
    <w:rsid w:val="00677867"/>
    <w:rsid w:val="00677D69"/>
    <w:rsid w:val="00682060"/>
    <w:rsid w:val="00684335"/>
    <w:rsid w:val="00685A16"/>
    <w:rsid w:val="00687EA5"/>
    <w:rsid w:val="00690267"/>
    <w:rsid w:val="0069139E"/>
    <w:rsid w:val="00691AED"/>
    <w:rsid w:val="00691B25"/>
    <w:rsid w:val="00694AA9"/>
    <w:rsid w:val="00696011"/>
    <w:rsid w:val="006966B4"/>
    <w:rsid w:val="00696C07"/>
    <w:rsid w:val="00696E69"/>
    <w:rsid w:val="006A04B2"/>
    <w:rsid w:val="006A063F"/>
    <w:rsid w:val="006A0D12"/>
    <w:rsid w:val="006A1C33"/>
    <w:rsid w:val="006A2A88"/>
    <w:rsid w:val="006A3EC1"/>
    <w:rsid w:val="006A3EF2"/>
    <w:rsid w:val="006A469F"/>
    <w:rsid w:val="006A5D70"/>
    <w:rsid w:val="006A60B6"/>
    <w:rsid w:val="006A7BA7"/>
    <w:rsid w:val="006A7C4A"/>
    <w:rsid w:val="006B03A2"/>
    <w:rsid w:val="006B1A81"/>
    <w:rsid w:val="006B26E8"/>
    <w:rsid w:val="006B2DA6"/>
    <w:rsid w:val="006B3F6F"/>
    <w:rsid w:val="006B4209"/>
    <w:rsid w:val="006B4541"/>
    <w:rsid w:val="006B47DF"/>
    <w:rsid w:val="006B533A"/>
    <w:rsid w:val="006B60B7"/>
    <w:rsid w:val="006B65D9"/>
    <w:rsid w:val="006B6CBB"/>
    <w:rsid w:val="006B78B6"/>
    <w:rsid w:val="006C01AC"/>
    <w:rsid w:val="006C0F4F"/>
    <w:rsid w:val="006C0F56"/>
    <w:rsid w:val="006C14AE"/>
    <w:rsid w:val="006C3E11"/>
    <w:rsid w:val="006C4365"/>
    <w:rsid w:val="006C4811"/>
    <w:rsid w:val="006C508C"/>
    <w:rsid w:val="006C53E8"/>
    <w:rsid w:val="006C5F81"/>
    <w:rsid w:val="006C6832"/>
    <w:rsid w:val="006C74E3"/>
    <w:rsid w:val="006D1C49"/>
    <w:rsid w:val="006D2600"/>
    <w:rsid w:val="006D30D8"/>
    <w:rsid w:val="006D713F"/>
    <w:rsid w:val="006E06AB"/>
    <w:rsid w:val="006E2109"/>
    <w:rsid w:val="006E21C2"/>
    <w:rsid w:val="006E2E16"/>
    <w:rsid w:val="006E3367"/>
    <w:rsid w:val="006E3C64"/>
    <w:rsid w:val="006E458F"/>
    <w:rsid w:val="006E5C20"/>
    <w:rsid w:val="006E6035"/>
    <w:rsid w:val="006E66F8"/>
    <w:rsid w:val="006E6FDB"/>
    <w:rsid w:val="006E7F57"/>
    <w:rsid w:val="006F0947"/>
    <w:rsid w:val="006F1199"/>
    <w:rsid w:val="006F1B68"/>
    <w:rsid w:val="006F268A"/>
    <w:rsid w:val="006F2F78"/>
    <w:rsid w:val="006F5AF7"/>
    <w:rsid w:val="00700A6A"/>
    <w:rsid w:val="00701873"/>
    <w:rsid w:val="00701F37"/>
    <w:rsid w:val="007022C8"/>
    <w:rsid w:val="0070364F"/>
    <w:rsid w:val="00704A10"/>
    <w:rsid w:val="00704A44"/>
    <w:rsid w:val="00707251"/>
    <w:rsid w:val="00707EE1"/>
    <w:rsid w:val="00712A02"/>
    <w:rsid w:val="00714875"/>
    <w:rsid w:val="00714F91"/>
    <w:rsid w:val="00714FF3"/>
    <w:rsid w:val="00720502"/>
    <w:rsid w:val="00721105"/>
    <w:rsid w:val="00721673"/>
    <w:rsid w:val="0072177B"/>
    <w:rsid w:val="007248D9"/>
    <w:rsid w:val="00725CEE"/>
    <w:rsid w:val="007261CF"/>
    <w:rsid w:val="00726B91"/>
    <w:rsid w:val="00730C57"/>
    <w:rsid w:val="00731FFF"/>
    <w:rsid w:val="00732C1B"/>
    <w:rsid w:val="007335A9"/>
    <w:rsid w:val="00733F00"/>
    <w:rsid w:val="00735227"/>
    <w:rsid w:val="00737F68"/>
    <w:rsid w:val="007410D0"/>
    <w:rsid w:val="00741756"/>
    <w:rsid w:val="007418C2"/>
    <w:rsid w:val="00743240"/>
    <w:rsid w:val="00743FBD"/>
    <w:rsid w:val="007448EC"/>
    <w:rsid w:val="00745020"/>
    <w:rsid w:val="00745B78"/>
    <w:rsid w:val="00745E58"/>
    <w:rsid w:val="00746C55"/>
    <w:rsid w:val="00747DED"/>
    <w:rsid w:val="00751513"/>
    <w:rsid w:val="00753088"/>
    <w:rsid w:val="00755C5E"/>
    <w:rsid w:val="0076002F"/>
    <w:rsid w:val="00760A78"/>
    <w:rsid w:val="00763809"/>
    <w:rsid w:val="0076596E"/>
    <w:rsid w:val="00766AAE"/>
    <w:rsid w:val="00767467"/>
    <w:rsid w:val="00770174"/>
    <w:rsid w:val="00770984"/>
    <w:rsid w:val="007709EA"/>
    <w:rsid w:val="007722ED"/>
    <w:rsid w:val="007723F4"/>
    <w:rsid w:val="00773328"/>
    <w:rsid w:val="00773E9D"/>
    <w:rsid w:val="00774ED6"/>
    <w:rsid w:val="0077634A"/>
    <w:rsid w:val="00777969"/>
    <w:rsid w:val="00777C39"/>
    <w:rsid w:val="00780191"/>
    <w:rsid w:val="007803A7"/>
    <w:rsid w:val="00781028"/>
    <w:rsid w:val="00781634"/>
    <w:rsid w:val="00781692"/>
    <w:rsid w:val="00782DF1"/>
    <w:rsid w:val="007831C5"/>
    <w:rsid w:val="007832D5"/>
    <w:rsid w:val="00783DCC"/>
    <w:rsid w:val="00784174"/>
    <w:rsid w:val="00784356"/>
    <w:rsid w:val="0078598A"/>
    <w:rsid w:val="00787E37"/>
    <w:rsid w:val="00790484"/>
    <w:rsid w:val="00790DE6"/>
    <w:rsid w:val="00790FFA"/>
    <w:rsid w:val="00792044"/>
    <w:rsid w:val="00795089"/>
    <w:rsid w:val="00795985"/>
    <w:rsid w:val="00797F1E"/>
    <w:rsid w:val="007A03C1"/>
    <w:rsid w:val="007A0FC9"/>
    <w:rsid w:val="007A1FB6"/>
    <w:rsid w:val="007A3208"/>
    <w:rsid w:val="007A437F"/>
    <w:rsid w:val="007A50B1"/>
    <w:rsid w:val="007A5A9C"/>
    <w:rsid w:val="007A7526"/>
    <w:rsid w:val="007A7F50"/>
    <w:rsid w:val="007B172D"/>
    <w:rsid w:val="007B34BD"/>
    <w:rsid w:val="007B35C2"/>
    <w:rsid w:val="007B39CF"/>
    <w:rsid w:val="007B3E18"/>
    <w:rsid w:val="007B4EE0"/>
    <w:rsid w:val="007B6DF5"/>
    <w:rsid w:val="007B7BD7"/>
    <w:rsid w:val="007C0871"/>
    <w:rsid w:val="007C0E68"/>
    <w:rsid w:val="007C108F"/>
    <w:rsid w:val="007C1D81"/>
    <w:rsid w:val="007C422C"/>
    <w:rsid w:val="007C4350"/>
    <w:rsid w:val="007C4A2C"/>
    <w:rsid w:val="007C5D29"/>
    <w:rsid w:val="007C6650"/>
    <w:rsid w:val="007C7700"/>
    <w:rsid w:val="007C7808"/>
    <w:rsid w:val="007D07AA"/>
    <w:rsid w:val="007D08CA"/>
    <w:rsid w:val="007D2540"/>
    <w:rsid w:val="007D26A8"/>
    <w:rsid w:val="007D3827"/>
    <w:rsid w:val="007D484E"/>
    <w:rsid w:val="007D50CB"/>
    <w:rsid w:val="007D5A8E"/>
    <w:rsid w:val="007D5AAD"/>
    <w:rsid w:val="007D690D"/>
    <w:rsid w:val="007D6DB4"/>
    <w:rsid w:val="007D73CB"/>
    <w:rsid w:val="007D7B7E"/>
    <w:rsid w:val="007E16AD"/>
    <w:rsid w:val="007E1739"/>
    <w:rsid w:val="007E1C4C"/>
    <w:rsid w:val="007E2071"/>
    <w:rsid w:val="007E2468"/>
    <w:rsid w:val="007E2FA0"/>
    <w:rsid w:val="007E4ECF"/>
    <w:rsid w:val="007E5B02"/>
    <w:rsid w:val="007E63B6"/>
    <w:rsid w:val="007E6923"/>
    <w:rsid w:val="007E72F5"/>
    <w:rsid w:val="007F0569"/>
    <w:rsid w:val="007F120C"/>
    <w:rsid w:val="007F2277"/>
    <w:rsid w:val="007F22B4"/>
    <w:rsid w:val="007F2D90"/>
    <w:rsid w:val="007F48AB"/>
    <w:rsid w:val="007F55FA"/>
    <w:rsid w:val="007F705B"/>
    <w:rsid w:val="007F7246"/>
    <w:rsid w:val="00800CF9"/>
    <w:rsid w:val="00801113"/>
    <w:rsid w:val="00804AD9"/>
    <w:rsid w:val="008059E9"/>
    <w:rsid w:val="008077FD"/>
    <w:rsid w:val="00810FB6"/>
    <w:rsid w:val="008113B4"/>
    <w:rsid w:val="0081435E"/>
    <w:rsid w:val="00817E56"/>
    <w:rsid w:val="008200C1"/>
    <w:rsid w:val="0082045A"/>
    <w:rsid w:val="008207B7"/>
    <w:rsid w:val="00820F3C"/>
    <w:rsid w:val="00822117"/>
    <w:rsid w:val="0082229D"/>
    <w:rsid w:val="008223E4"/>
    <w:rsid w:val="008226AF"/>
    <w:rsid w:val="00825564"/>
    <w:rsid w:val="0082589D"/>
    <w:rsid w:val="008262CA"/>
    <w:rsid w:val="0082683D"/>
    <w:rsid w:val="008268AF"/>
    <w:rsid w:val="00826FE0"/>
    <w:rsid w:val="00827E1E"/>
    <w:rsid w:val="00830740"/>
    <w:rsid w:val="00830F5A"/>
    <w:rsid w:val="008314F3"/>
    <w:rsid w:val="00831642"/>
    <w:rsid w:val="008316B9"/>
    <w:rsid w:val="008319E2"/>
    <w:rsid w:val="00834B3E"/>
    <w:rsid w:val="00836483"/>
    <w:rsid w:val="00836B96"/>
    <w:rsid w:val="008373DF"/>
    <w:rsid w:val="00843305"/>
    <w:rsid w:val="0084434D"/>
    <w:rsid w:val="008445A8"/>
    <w:rsid w:val="008447D8"/>
    <w:rsid w:val="0084584C"/>
    <w:rsid w:val="008458BF"/>
    <w:rsid w:val="00846B3B"/>
    <w:rsid w:val="00847ABD"/>
    <w:rsid w:val="00847E65"/>
    <w:rsid w:val="00850F58"/>
    <w:rsid w:val="00851749"/>
    <w:rsid w:val="008519A2"/>
    <w:rsid w:val="008527F7"/>
    <w:rsid w:val="00852FA6"/>
    <w:rsid w:val="008534E4"/>
    <w:rsid w:val="00854EA9"/>
    <w:rsid w:val="00855136"/>
    <w:rsid w:val="0085745E"/>
    <w:rsid w:val="0085790B"/>
    <w:rsid w:val="00857DE8"/>
    <w:rsid w:val="00860CFC"/>
    <w:rsid w:val="00860F12"/>
    <w:rsid w:val="0086341B"/>
    <w:rsid w:val="00863C79"/>
    <w:rsid w:val="00865E54"/>
    <w:rsid w:val="00866DA5"/>
    <w:rsid w:val="00867564"/>
    <w:rsid w:val="008676BF"/>
    <w:rsid w:val="00867A0E"/>
    <w:rsid w:val="00867A9A"/>
    <w:rsid w:val="00870BFD"/>
    <w:rsid w:val="00870C01"/>
    <w:rsid w:val="00870F21"/>
    <w:rsid w:val="0087144F"/>
    <w:rsid w:val="008718AD"/>
    <w:rsid w:val="00871941"/>
    <w:rsid w:val="0087206A"/>
    <w:rsid w:val="0087232E"/>
    <w:rsid w:val="00872BE7"/>
    <w:rsid w:val="00874902"/>
    <w:rsid w:val="00874F55"/>
    <w:rsid w:val="008751F1"/>
    <w:rsid w:val="00875321"/>
    <w:rsid w:val="00875430"/>
    <w:rsid w:val="00875439"/>
    <w:rsid w:val="0087744B"/>
    <w:rsid w:val="00880647"/>
    <w:rsid w:val="00880E81"/>
    <w:rsid w:val="00883020"/>
    <w:rsid w:val="00883DF3"/>
    <w:rsid w:val="00883EFD"/>
    <w:rsid w:val="00884337"/>
    <w:rsid w:val="00884F8A"/>
    <w:rsid w:val="008854E6"/>
    <w:rsid w:val="00885DC7"/>
    <w:rsid w:val="008874F5"/>
    <w:rsid w:val="00887AF8"/>
    <w:rsid w:val="00890F58"/>
    <w:rsid w:val="00891423"/>
    <w:rsid w:val="0089265A"/>
    <w:rsid w:val="00892FF6"/>
    <w:rsid w:val="0089377C"/>
    <w:rsid w:val="008946DC"/>
    <w:rsid w:val="008956E9"/>
    <w:rsid w:val="0089621E"/>
    <w:rsid w:val="008967FD"/>
    <w:rsid w:val="00896C2A"/>
    <w:rsid w:val="008976DC"/>
    <w:rsid w:val="008A2718"/>
    <w:rsid w:val="008A2EFF"/>
    <w:rsid w:val="008A5157"/>
    <w:rsid w:val="008A58FF"/>
    <w:rsid w:val="008A71FF"/>
    <w:rsid w:val="008A7BDD"/>
    <w:rsid w:val="008A7E74"/>
    <w:rsid w:val="008B1171"/>
    <w:rsid w:val="008B4E03"/>
    <w:rsid w:val="008B7525"/>
    <w:rsid w:val="008B78C5"/>
    <w:rsid w:val="008B792A"/>
    <w:rsid w:val="008B7A01"/>
    <w:rsid w:val="008B7ECD"/>
    <w:rsid w:val="008B7F0E"/>
    <w:rsid w:val="008C19EE"/>
    <w:rsid w:val="008C21BF"/>
    <w:rsid w:val="008C32FA"/>
    <w:rsid w:val="008C3969"/>
    <w:rsid w:val="008C4C6D"/>
    <w:rsid w:val="008C5BB1"/>
    <w:rsid w:val="008C672C"/>
    <w:rsid w:val="008C6E8D"/>
    <w:rsid w:val="008D020F"/>
    <w:rsid w:val="008D1DD6"/>
    <w:rsid w:val="008D425F"/>
    <w:rsid w:val="008D470D"/>
    <w:rsid w:val="008D47C9"/>
    <w:rsid w:val="008D4D34"/>
    <w:rsid w:val="008D520C"/>
    <w:rsid w:val="008D5761"/>
    <w:rsid w:val="008D6223"/>
    <w:rsid w:val="008D6CA8"/>
    <w:rsid w:val="008D6F7F"/>
    <w:rsid w:val="008D7EFC"/>
    <w:rsid w:val="008E0406"/>
    <w:rsid w:val="008E0939"/>
    <w:rsid w:val="008E0A7C"/>
    <w:rsid w:val="008E0EFD"/>
    <w:rsid w:val="008E1739"/>
    <w:rsid w:val="008E2014"/>
    <w:rsid w:val="008E2029"/>
    <w:rsid w:val="008E572A"/>
    <w:rsid w:val="008E5CCE"/>
    <w:rsid w:val="008E7E12"/>
    <w:rsid w:val="008F1384"/>
    <w:rsid w:val="008F2529"/>
    <w:rsid w:val="008F270B"/>
    <w:rsid w:val="008F27C3"/>
    <w:rsid w:val="008F31D9"/>
    <w:rsid w:val="008F3523"/>
    <w:rsid w:val="008F3957"/>
    <w:rsid w:val="008F3B9F"/>
    <w:rsid w:val="008F3CE1"/>
    <w:rsid w:val="008F3CE6"/>
    <w:rsid w:val="008F45CD"/>
    <w:rsid w:val="008F4BC7"/>
    <w:rsid w:val="008F5365"/>
    <w:rsid w:val="008F6541"/>
    <w:rsid w:val="008F7876"/>
    <w:rsid w:val="00900346"/>
    <w:rsid w:val="00900C3C"/>
    <w:rsid w:val="00901347"/>
    <w:rsid w:val="00901F8B"/>
    <w:rsid w:val="00904E8B"/>
    <w:rsid w:val="0090611D"/>
    <w:rsid w:val="00906F74"/>
    <w:rsid w:val="0091041C"/>
    <w:rsid w:val="00911662"/>
    <w:rsid w:val="0091329F"/>
    <w:rsid w:val="00913776"/>
    <w:rsid w:val="00914F2B"/>
    <w:rsid w:val="00915AF3"/>
    <w:rsid w:val="0091600A"/>
    <w:rsid w:val="00920601"/>
    <w:rsid w:val="00921BF5"/>
    <w:rsid w:val="00922A27"/>
    <w:rsid w:val="00923942"/>
    <w:rsid w:val="00924DFE"/>
    <w:rsid w:val="00925CD4"/>
    <w:rsid w:val="00926272"/>
    <w:rsid w:val="009262FF"/>
    <w:rsid w:val="0093092E"/>
    <w:rsid w:val="00931095"/>
    <w:rsid w:val="00932851"/>
    <w:rsid w:val="0093321D"/>
    <w:rsid w:val="00933A6E"/>
    <w:rsid w:val="0093431C"/>
    <w:rsid w:val="009362DD"/>
    <w:rsid w:val="009363EA"/>
    <w:rsid w:val="00936DEC"/>
    <w:rsid w:val="00937117"/>
    <w:rsid w:val="00937C40"/>
    <w:rsid w:val="00940BE9"/>
    <w:rsid w:val="00942A0A"/>
    <w:rsid w:val="00942CA8"/>
    <w:rsid w:val="00943ABE"/>
    <w:rsid w:val="00944A6D"/>
    <w:rsid w:val="00944FE1"/>
    <w:rsid w:val="00945031"/>
    <w:rsid w:val="009514A7"/>
    <w:rsid w:val="009529B9"/>
    <w:rsid w:val="0095308F"/>
    <w:rsid w:val="0095326B"/>
    <w:rsid w:val="00955748"/>
    <w:rsid w:val="009606AF"/>
    <w:rsid w:val="00960859"/>
    <w:rsid w:val="0096097B"/>
    <w:rsid w:val="00962D3E"/>
    <w:rsid w:val="00962F51"/>
    <w:rsid w:val="00962FC2"/>
    <w:rsid w:val="00964CA9"/>
    <w:rsid w:val="00970008"/>
    <w:rsid w:val="0097235F"/>
    <w:rsid w:val="00972DA7"/>
    <w:rsid w:val="0097415B"/>
    <w:rsid w:val="00974D46"/>
    <w:rsid w:val="00975356"/>
    <w:rsid w:val="0097591A"/>
    <w:rsid w:val="00977001"/>
    <w:rsid w:val="00977647"/>
    <w:rsid w:val="00977A6C"/>
    <w:rsid w:val="00980D05"/>
    <w:rsid w:val="009825C9"/>
    <w:rsid w:val="0098278E"/>
    <w:rsid w:val="00982938"/>
    <w:rsid w:val="00982F85"/>
    <w:rsid w:val="00982FCD"/>
    <w:rsid w:val="00984567"/>
    <w:rsid w:val="009858F8"/>
    <w:rsid w:val="00985942"/>
    <w:rsid w:val="009871D0"/>
    <w:rsid w:val="009901F3"/>
    <w:rsid w:val="00990B22"/>
    <w:rsid w:val="00992B5F"/>
    <w:rsid w:val="00992F0B"/>
    <w:rsid w:val="0099307D"/>
    <w:rsid w:val="00993AF2"/>
    <w:rsid w:val="00994428"/>
    <w:rsid w:val="0099559D"/>
    <w:rsid w:val="00995686"/>
    <w:rsid w:val="00997D7A"/>
    <w:rsid w:val="009A0671"/>
    <w:rsid w:val="009A08E5"/>
    <w:rsid w:val="009A1E14"/>
    <w:rsid w:val="009A26BC"/>
    <w:rsid w:val="009A4CE3"/>
    <w:rsid w:val="009A51F6"/>
    <w:rsid w:val="009A5B64"/>
    <w:rsid w:val="009A61B6"/>
    <w:rsid w:val="009A7C1C"/>
    <w:rsid w:val="009A7E86"/>
    <w:rsid w:val="009B044E"/>
    <w:rsid w:val="009B044F"/>
    <w:rsid w:val="009B0545"/>
    <w:rsid w:val="009B1153"/>
    <w:rsid w:val="009B19E1"/>
    <w:rsid w:val="009B261B"/>
    <w:rsid w:val="009B57BC"/>
    <w:rsid w:val="009B6829"/>
    <w:rsid w:val="009C0331"/>
    <w:rsid w:val="009C0DFE"/>
    <w:rsid w:val="009C14CB"/>
    <w:rsid w:val="009C214D"/>
    <w:rsid w:val="009C30BD"/>
    <w:rsid w:val="009C3AC4"/>
    <w:rsid w:val="009C5AC1"/>
    <w:rsid w:val="009C6918"/>
    <w:rsid w:val="009D04EA"/>
    <w:rsid w:val="009D0DAC"/>
    <w:rsid w:val="009D24F6"/>
    <w:rsid w:val="009D42F6"/>
    <w:rsid w:val="009D5D51"/>
    <w:rsid w:val="009D632F"/>
    <w:rsid w:val="009D7059"/>
    <w:rsid w:val="009D7BD8"/>
    <w:rsid w:val="009D7C18"/>
    <w:rsid w:val="009E4081"/>
    <w:rsid w:val="009E5458"/>
    <w:rsid w:val="009E62A8"/>
    <w:rsid w:val="009E6F1B"/>
    <w:rsid w:val="009F0DFD"/>
    <w:rsid w:val="009F13C5"/>
    <w:rsid w:val="009F1B6F"/>
    <w:rsid w:val="009F1BC1"/>
    <w:rsid w:val="009F396C"/>
    <w:rsid w:val="009F4EF8"/>
    <w:rsid w:val="009F546D"/>
    <w:rsid w:val="009F7BC1"/>
    <w:rsid w:val="00A0046C"/>
    <w:rsid w:val="00A017CD"/>
    <w:rsid w:val="00A032BE"/>
    <w:rsid w:val="00A03C44"/>
    <w:rsid w:val="00A042A6"/>
    <w:rsid w:val="00A045BF"/>
    <w:rsid w:val="00A06B8E"/>
    <w:rsid w:val="00A07C81"/>
    <w:rsid w:val="00A1074F"/>
    <w:rsid w:val="00A107E0"/>
    <w:rsid w:val="00A10C46"/>
    <w:rsid w:val="00A10D8A"/>
    <w:rsid w:val="00A115C6"/>
    <w:rsid w:val="00A11B2B"/>
    <w:rsid w:val="00A11DD3"/>
    <w:rsid w:val="00A13205"/>
    <w:rsid w:val="00A13E1E"/>
    <w:rsid w:val="00A151FD"/>
    <w:rsid w:val="00A15949"/>
    <w:rsid w:val="00A161F7"/>
    <w:rsid w:val="00A20AEF"/>
    <w:rsid w:val="00A22529"/>
    <w:rsid w:val="00A22F60"/>
    <w:rsid w:val="00A23046"/>
    <w:rsid w:val="00A2311B"/>
    <w:rsid w:val="00A23814"/>
    <w:rsid w:val="00A23946"/>
    <w:rsid w:val="00A23DE1"/>
    <w:rsid w:val="00A23FFC"/>
    <w:rsid w:val="00A25396"/>
    <w:rsid w:val="00A2549E"/>
    <w:rsid w:val="00A254F4"/>
    <w:rsid w:val="00A25610"/>
    <w:rsid w:val="00A25E10"/>
    <w:rsid w:val="00A27E84"/>
    <w:rsid w:val="00A32A8C"/>
    <w:rsid w:val="00A371B7"/>
    <w:rsid w:val="00A37FF4"/>
    <w:rsid w:val="00A4121B"/>
    <w:rsid w:val="00A442D1"/>
    <w:rsid w:val="00A44560"/>
    <w:rsid w:val="00A447F6"/>
    <w:rsid w:val="00A44CA3"/>
    <w:rsid w:val="00A450DF"/>
    <w:rsid w:val="00A45FEB"/>
    <w:rsid w:val="00A46DD5"/>
    <w:rsid w:val="00A470B8"/>
    <w:rsid w:val="00A52D98"/>
    <w:rsid w:val="00A5376E"/>
    <w:rsid w:val="00A53AA6"/>
    <w:rsid w:val="00A53C29"/>
    <w:rsid w:val="00A54C60"/>
    <w:rsid w:val="00A5703E"/>
    <w:rsid w:val="00A57778"/>
    <w:rsid w:val="00A57A48"/>
    <w:rsid w:val="00A610D8"/>
    <w:rsid w:val="00A62292"/>
    <w:rsid w:val="00A62C3C"/>
    <w:rsid w:val="00A63D80"/>
    <w:rsid w:val="00A646A8"/>
    <w:rsid w:val="00A64A20"/>
    <w:rsid w:val="00A6515C"/>
    <w:rsid w:val="00A6556C"/>
    <w:rsid w:val="00A6642D"/>
    <w:rsid w:val="00A67A66"/>
    <w:rsid w:val="00A70CE1"/>
    <w:rsid w:val="00A71ABB"/>
    <w:rsid w:val="00A72CA5"/>
    <w:rsid w:val="00A72D80"/>
    <w:rsid w:val="00A7477D"/>
    <w:rsid w:val="00A75343"/>
    <w:rsid w:val="00A755D6"/>
    <w:rsid w:val="00A75C1F"/>
    <w:rsid w:val="00A77979"/>
    <w:rsid w:val="00A8036E"/>
    <w:rsid w:val="00A80C4C"/>
    <w:rsid w:val="00A81DEC"/>
    <w:rsid w:val="00A82226"/>
    <w:rsid w:val="00A85024"/>
    <w:rsid w:val="00A852C1"/>
    <w:rsid w:val="00A87FF0"/>
    <w:rsid w:val="00A903FB"/>
    <w:rsid w:val="00A905AB"/>
    <w:rsid w:val="00A90A5B"/>
    <w:rsid w:val="00A90B9E"/>
    <w:rsid w:val="00A91389"/>
    <w:rsid w:val="00A91D43"/>
    <w:rsid w:val="00A92FEF"/>
    <w:rsid w:val="00A95056"/>
    <w:rsid w:val="00A96169"/>
    <w:rsid w:val="00AA08F6"/>
    <w:rsid w:val="00AA09DC"/>
    <w:rsid w:val="00AA126F"/>
    <w:rsid w:val="00AA1AD3"/>
    <w:rsid w:val="00AA29FD"/>
    <w:rsid w:val="00AA397F"/>
    <w:rsid w:val="00AA4C26"/>
    <w:rsid w:val="00AA6834"/>
    <w:rsid w:val="00AB1205"/>
    <w:rsid w:val="00AB22E1"/>
    <w:rsid w:val="00AB2BB0"/>
    <w:rsid w:val="00AB4AF9"/>
    <w:rsid w:val="00AB4C32"/>
    <w:rsid w:val="00AB57EF"/>
    <w:rsid w:val="00AB6CD8"/>
    <w:rsid w:val="00AB7399"/>
    <w:rsid w:val="00AB782B"/>
    <w:rsid w:val="00AC05E3"/>
    <w:rsid w:val="00AC0B72"/>
    <w:rsid w:val="00AC16BB"/>
    <w:rsid w:val="00AC2B99"/>
    <w:rsid w:val="00AC4B06"/>
    <w:rsid w:val="00AC4BFB"/>
    <w:rsid w:val="00AC579E"/>
    <w:rsid w:val="00AC5BED"/>
    <w:rsid w:val="00AC7114"/>
    <w:rsid w:val="00AD40A5"/>
    <w:rsid w:val="00AD4215"/>
    <w:rsid w:val="00AD4E38"/>
    <w:rsid w:val="00AD50CD"/>
    <w:rsid w:val="00AD5743"/>
    <w:rsid w:val="00AD63BD"/>
    <w:rsid w:val="00AD6D76"/>
    <w:rsid w:val="00AD7E6B"/>
    <w:rsid w:val="00AE1AD2"/>
    <w:rsid w:val="00AE1F6F"/>
    <w:rsid w:val="00AE23D8"/>
    <w:rsid w:val="00AE2DCE"/>
    <w:rsid w:val="00AE4028"/>
    <w:rsid w:val="00AE4040"/>
    <w:rsid w:val="00AE5534"/>
    <w:rsid w:val="00AE573B"/>
    <w:rsid w:val="00AE7D9E"/>
    <w:rsid w:val="00AE7E9B"/>
    <w:rsid w:val="00AF1864"/>
    <w:rsid w:val="00AF3012"/>
    <w:rsid w:val="00AF3EE0"/>
    <w:rsid w:val="00AF5988"/>
    <w:rsid w:val="00AF64E7"/>
    <w:rsid w:val="00AF747C"/>
    <w:rsid w:val="00AF77A5"/>
    <w:rsid w:val="00AF7C3B"/>
    <w:rsid w:val="00B004AE"/>
    <w:rsid w:val="00B00D3A"/>
    <w:rsid w:val="00B01E1E"/>
    <w:rsid w:val="00B01F92"/>
    <w:rsid w:val="00B0288D"/>
    <w:rsid w:val="00B043A4"/>
    <w:rsid w:val="00B04ADA"/>
    <w:rsid w:val="00B04C4B"/>
    <w:rsid w:val="00B04E72"/>
    <w:rsid w:val="00B0672F"/>
    <w:rsid w:val="00B06A4B"/>
    <w:rsid w:val="00B06EDB"/>
    <w:rsid w:val="00B07912"/>
    <w:rsid w:val="00B122D7"/>
    <w:rsid w:val="00B123B9"/>
    <w:rsid w:val="00B12F52"/>
    <w:rsid w:val="00B138EB"/>
    <w:rsid w:val="00B15911"/>
    <w:rsid w:val="00B171CA"/>
    <w:rsid w:val="00B17380"/>
    <w:rsid w:val="00B17396"/>
    <w:rsid w:val="00B1772B"/>
    <w:rsid w:val="00B20BB9"/>
    <w:rsid w:val="00B20D29"/>
    <w:rsid w:val="00B21659"/>
    <w:rsid w:val="00B2187A"/>
    <w:rsid w:val="00B2381C"/>
    <w:rsid w:val="00B24142"/>
    <w:rsid w:val="00B244BA"/>
    <w:rsid w:val="00B24B17"/>
    <w:rsid w:val="00B25F91"/>
    <w:rsid w:val="00B26397"/>
    <w:rsid w:val="00B276CC"/>
    <w:rsid w:val="00B27BAE"/>
    <w:rsid w:val="00B3055C"/>
    <w:rsid w:val="00B3072F"/>
    <w:rsid w:val="00B30F49"/>
    <w:rsid w:val="00B31237"/>
    <w:rsid w:val="00B31753"/>
    <w:rsid w:val="00B317CF"/>
    <w:rsid w:val="00B31D79"/>
    <w:rsid w:val="00B32003"/>
    <w:rsid w:val="00B32238"/>
    <w:rsid w:val="00B33DA1"/>
    <w:rsid w:val="00B34885"/>
    <w:rsid w:val="00B357F5"/>
    <w:rsid w:val="00B371AF"/>
    <w:rsid w:val="00B40571"/>
    <w:rsid w:val="00B422AB"/>
    <w:rsid w:val="00B438AA"/>
    <w:rsid w:val="00B4480A"/>
    <w:rsid w:val="00B4499B"/>
    <w:rsid w:val="00B44C58"/>
    <w:rsid w:val="00B500FC"/>
    <w:rsid w:val="00B5264B"/>
    <w:rsid w:val="00B52F95"/>
    <w:rsid w:val="00B53DFE"/>
    <w:rsid w:val="00B54448"/>
    <w:rsid w:val="00B54770"/>
    <w:rsid w:val="00B55A51"/>
    <w:rsid w:val="00B563CC"/>
    <w:rsid w:val="00B56CCE"/>
    <w:rsid w:val="00B56DEB"/>
    <w:rsid w:val="00B5754A"/>
    <w:rsid w:val="00B575D0"/>
    <w:rsid w:val="00B609F9"/>
    <w:rsid w:val="00B62DB0"/>
    <w:rsid w:val="00B63ACE"/>
    <w:rsid w:val="00B640A5"/>
    <w:rsid w:val="00B64BBA"/>
    <w:rsid w:val="00B65419"/>
    <w:rsid w:val="00B66842"/>
    <w:rsid w:val="00B675D1"/>
    <w:rsid w:val="00B70C1E"/>
    <w:rsid w:val="00B70E56"/>
    <w:rsid w:val="00B720AC"/>
    <w:rsid w:val="00B73DE9"/>
    <w:rsid w:val="00B7495E"/>
    <w:rsid w:val="00B75B87"/>
    <w:rsid w:val="00B763BD"/>
    <w:rsid w:val="00B77BB7"/>
    <w:rsid w:val="00B813C1"/>
    <w:rsid w:val="00B81B18"/>
    <w:rsid w:val="00B846C7"/>
    <w:rsid w:val="00B87319"/>
    <w:rsid w:val="00B878AE"/>
    <w:rsid w:val="00B87C84"/>
    <w:rsid w:val="00B923A1"/>
    <w:rsid w:val="00B92DC6"/>
    <w:rsid w:val="00B92F88"/>
    <w:rsid w:val="00B93F7C"/>
    <w:rsid w:val="00B94DAD"/>
    <w:rsid w:val="00B9778A"/>
    <w:rsid w:val="00BA115A"/>
    <w:rsid w:val="00BA1500"/>
    <w:rsid w:val="00BA21D6"/>
    <w:rsid w:val="00BA283D"/>
    <w:rsid w:val="00BA3B0A"/>
    <w:rsid w:val="00BA7FFC"/>
    <w:rsid w:val="00BB05B2"/>
    <w:rsid w:val="00BB141A"/>
    <w:rsid w:val="00BB1786"/>
    <w:rsid w:val="00BB1F7E"/>
    <w:rsid w:val="00BB4368"/>
    <w:rsid w:val="00BB4519"/>
    <w:rsid w:val="00BB50A0"/>
    <w:rsid w:val="00BB578A"/>
    <w:rsid w:val="00BB62FB"/>
    <w:rsid w:val="00BB646D"/>
    <w:rsid w:val="00BB694F"/>
    <w:rsid w:val="00BB6A47"/>
    <w:rsid w:val="00BB6F47"/>
    <w:rsid w:val="00BB71B6"/>
    <w:rsid w:val="00BB7BC6"/>
    <w:rsid w:val="00BB7C80"/>
    <w:rsid w:val="00BB7D4A"/>
    <w:rsid w:val="00BC1DD3"/>
    <w:rsid w:val="00BC237A"/>
    <w:rsid w:val="00BC29FD"/>
    <w:rsid w:val="00BC2BAD"/>
    <w:rsid w:val="00BC3C8B"/>
    <w:rsid w:val="00BC70C9"/>
    <w:rsid w:val="00BD04A7"/>
    <w:rsid w:val="00BD0C82"/>
    <w:rsid w:val="00BD13B7"/>
    <w:rsid w:val="00BD2CD5"/>
    <w:rsid w:val="00BD35FF"/>
    <w:rsid w:val="00BD496B"/>
    <w:rsid w:val="00BD54AE"/>
    <w:rsid w:val="00BD6390"/>
    <w:rsid w:val="00BD69A7"/>
    <w:rsid w:val="00BD6DB6"/>
    <w:rsid w:val="00BE016C"/>
    <w:rsid w:val="00BE0777"/>
    <w:rsid w:val="00BE16B1"/>
    <w:rsid w:val="00BE3038"/>
    <w:rsid w:val="00BE3673"/>
    <w:rsid w:val="00BE43AC"/>
    <w:rsid w:val="00BE488F"/>
    <w:rsid w:val="00BE623E"/>
    <w:rsid w:val="00BE6734"/>
    <w:rsid w:val="00BE7082"/>
    <w:rsid w:val="00BE740A"/>
    <w:rsid w:val="00BE742D"/>
    <w:rsid w:val="00BF0CC1"/>
    <w:rsid w:val="00BF0FEC"/>
    <w:rsid w:val="00BF1AE6"/>
    <w:rsid w:val="00BF262D"/>
    <w:rsid w:val="00BF48EC"/>
    <w:rsid w:val="00BF513F"/>
    <w:rsid w:val="00BF6560"/>
    <w:rsid w:val="00BF726A"/>
    <w:rsid w:val="00C000AA"/>
    <w:rsid w:val="00C00EF3"/>
    <w:rsid w:val="00C01D86"/>
    <w:rsid w:val="00C03F27"/>
    <w:rsid w:val="00C055AE"/>
    <w:rsid w:val="00C066A5"/>
    <w:rsid w:val="00C1260F"/>
    <w:rsid w:val="00C146D5"/>
    <w:rsid w:val="00C1473F"/>
    <w:rsid w:val="00C14982"/>
    <w:rsid w:val="00C1651F"/>
    <w:rsid w:val="00C16DE4"/>
    <w:rsid w:val="00C20100"/>
    <w:rsid w:val="00C22A34"/>
    <w:rsid w:val="00C233CB"/>
    <w:rsid w:val="00C25583"/>
    <w:rsid w:val="00C26ACF"/>
    <w:rsid w:val="00C26C7B"/>
    <w:rsid w:val="00C2728A"/>
    <w:rsid w:val="00C30B42"/>
    <w:rsid w:val="00C3138C"/>
    <w:rsid w:val="00C317A0"/>
    <w:rsid w:val="00C31D38"/>
    <w:rsid w:val="00C32612"/>
    <w:rsid w:val="00C336DC"/>
    <w:rsid w:val="00C34140"/>
    <w:rsid w:val="00C349B5"/>
    <w:rsid w:val="00C34D2A"/>
    <w:rsid w:val="00C3673E"/>
    <w:rsid w:val="00C37924"/>
    <w:rsid w:val="00C40CF4"/>
    <w:rsid w:val="00C413A1"/>
    <w:rsid w:val="00C42410"/>
    <w:rsid w:val="00C43EE5"/>
    <w:rsid w:val="00C441EB"/>
    <w:rsid w:val="00C44311"/>
    <w:rsid w:val="00C449D0"/>
    <w:rsid w:val="00C44BB4"/>
    <w:rsid w:val="00C44FC4"/>
    <w:rsid w:val="00C4525B"/>
    <w:rsid w:val="00C45ED1"/>
    <w:rsid w:val="00C50B0B"/>
    <w:rsid w:val="00C517C5"/>
    <w:rsid w:val="00C51C61"/>
    <w:rsid w:val="00C51D9F"/>
    <w:rsid w:val="00C533B6"/>
    <w:rsid w:val="00C537CA"/>
    <w:rsid w:val="00C539BD"/>
    <w:rsid w:val="00C541C3"/>
    <w:rsid w:val="00C5444A"/>
    <w:rsid w:val="00C55194"/>
    <w:rsid w:val="00C55C89"/>
    <w:rsid w:val="00C560F9"/>
    <w:rsid w:val="00C56F42"/>
    <w:rsid w:val="00C60581"/>
    <w:rsid w:val="00C63A4C"/>
    <w:rsid w:val="00C63C4F"/>
    <w:rsid w:val="00C707B2"/>
    <w:rsid w:val="00C70CD0"/>
    <w:rsid w:val="00C710B0"/>
    <w:rsid w:val="00C715FE"/>
    <w:rsid w:val="00C722E4"/>
    <w:rsid w:val="00C72470"/>
    <w:rsid w:val="00C74485"/>
    <w:rsid w:val="00C75661"/>
    <w:rsid w:val="00C75A1C"/>
    <w:rsid w:val="00C75EE0"/>
    <w:rsid w:val="00C76AEB"/>
    <w:rsid w:val="00C76D9D"/>
    <w:rsid w:val="00C772C4"/>
    <w:rsid w:val="00C77420"/>
    <w:rsid w:val="00C77789"/>
    <w:rsid w:val="00C77EC2"/>
    <w:rsid w:val="00C77F2C"/>
    <w:rsid w:val="00C813B8"/>
    <w:rsid w:val="00C81C7D"/>
    <w:rsid w:val="00C8257C"/>
    <w:rsid w:val="00C84907"/>
    <w:rsid w:val="00C84A99"/>
    <w:rsid w:val="00C84DAC"/>
    <w:rsid w:val="00C86173"/>
    <w:rsid w:val="00C90C79"/>
    <w:rsid w:val="00C91B7B"/>
    <w:rsid w:val="00C932EC"/>
    <w:rsid w:val="00C950FB"/>
    <w:rsid w:val="00C956AC"/>
    <w:rsid w:val="00C96D17"/>
    <w:rsid w:val="00C9719C"/>
    <w:rsid w:val="00C97C9B"/>
    <w:rsid w:val="00CA21A2"/>
    <w:rsid w:val="00CA2A88"/>
    <w:rsid w:val="00CA3C28"/>
    <w:rsid w:val="00CA4F0B"/>
    <w:rsid w:val="00CA523A"/>
    <w:rsid w:val="00CA5BD2"/>
    <w:rsid w:val="00CA5DE7"/>
    <w:rsid w:val="00CB013F"/>
    <w:rsid w:val="00CB30BE"/>
    <w:rsid w:val="00CB3A30"/>
    <w:rsid w:val="00CB4881"/>
    <w:rsid w:val="00CB4FBF"/>
    <w:rsid w:val="00CB532F"/>
    <w:rsid w:val="00CB68EA"/>
    <w:rsid w:val="00CC0006"/>
    <w:rsid w:val="00CC0354"/>
    <w:rsid w:val="00CC0513"/>
    <w:rsid w:val="00CC106D"/>
    <w:rsid w:val="00CC242A"/>
    <w:rsid w:val="00CC27C6"/>
    <w:rsid w:val="00CC28C7"/>
    <w:rsid w:val="00CC33B1"/>
    <w:rsid w:val="00CC69A6"/>
    <w:rsid w:val="00CC69D6"/>
    <w:rsid w:val="00CD163A"/>
    <w:rsid w:val="00CD1643"/>
    <w:rsid w:val="00CD240D"/>
    <w:rsid w:val="00CD3DC4"/>
    <w:rsid w:val="00CD4FCA"/>
    <w:rsid w:val="00CD5AA8"/>
    <w:rsid w:val="00CD604F"/>
    <w:rsid w:val="00CD7704"/>
    <w:rsid w:val="00CE1FE7"/>
    <w:rsid w:val="00CE2C9E"/>
    <w:rsid w:val="00CE3BEF"/>
    <w:rsid w:val="00CE3CE0"/>
    <w:rsid w:val="00CE4E12"/>
    <w:rsid w:val="00CE5958"/>
    <w:rsid w:val="00CE7336"/>
    <w:rsid w:val="00CE73C1"/>
    <w:rsid w:val="00CE7F0A"/>
    <w:rsid w:val="00CF0283"/>
    <w:rsid w:val="00CF0B10"/>
    <w:rsid w:val="00CF0D8F"/>
    <w:rsid w:val="00CF2D09"/>
    <w:rsid w:val="00CF4EAE"/>
    <w:rsid w:val="00CF6901"/>
    <w:rsid w:val="00CF6CCB"/>
    <w:rsid w:val="00CF6DA0"/>
    <w:rsid w:val="00CF781A"/>
    <w:rsid w:val="00CF7C17"/>
    <w:rsid w:val="00CF7CD9"/>
    <w:rsid w:val="00CF7E5E"/>
    <w:rsid w:val="00CF7ECC"/>
    <w:rsid w:val="00D01003"/>
    <w:rsid w:val="00D0111E"/>
    <w:rsid w:val="00D015B0"/>
    <w:rsid w:val="00D01DAB"/>
    <w:rsid w:val="00D032FD"/>
    <w:rsid w:val="00D05518"/>
    <w:rsid w:val="00D05D3E"/>
    <w:rsid w:val="00D06750"/>
    <w:rsid w:val="00D109FE"/>
    <w:rsid w:val="00D12E0C"/>
    <w:rsid w:val="00D13C93"/>
    <w:rsid w:val="00D13D90"/>
    <w:rsid w:val="00D13FB6"/>
    <w:rsid w:val="00D144FB"/>
    <w:rsid w:val="00D15176"/>
    <w:rsid w:val="00D1582B"/>
    <w:rsid w:val="00D15E68"/>
    <w:rsid w:val="00D16351"/>
    <w:rsid w:val="00D172A7"/>
    <w:rsid w:val="00D173DD"/>
    <w:rsid w:val="00D17CEE"/>
    <w:rsid w:val="00D17E7C"/>
    <w:rsid w:val="00D21053"/>
    <w:rsid w:val="00D239B9"/>
    <w:rsid w:val="00D249F5"/>
    <w:rsid w:val="00D2589D"/>
    <w:rsid w:val="00D26031"/>
    <w:rsid w:val="00D2606A"/>
    <w:rsid w:val="00D272EC"/>
    <w:rsid w:val="00D3061A"/>
    <w:rsid w:val="00D306DE"/>
    <w:rsid w:val="00D30FA2"/>
    <w:rsid w:val="00D35830"/>
    <w:rsid w:val="00D35B98"/>
    <w:rsid w:val="00D36E2F"/>
    <w:rsid w:val="00D40A56"/>
    <w:rsid w:val="00D41098"/>
    <w:rsid w:val="00D42340"/>
    <w:rsid w:val="00D4249E"/>
    <w:rsid w:val="00D4250D"/>
    <w:rsid w:val="00D46191"/>
    <w:rsid w:val="00D46788"/>
    <w:rsid w:val="00D50E2A"/>
    <w:rsid w:val="00D50FE7"/>
    <w:rsid w:val="00D53DD2"/>
    <w:rsid w:val="00D54125"/>
    <w:rsid w:val="00D544FA"/>
    <w:rsid w:val="00D55197"/>
    <w:rsid w:val="00D556A2"/>
    <w:rsid w:val="00D56731"/>
    <w:rsid w:val="00D56A87"/>
    <w:rsid w:val="00D56E17"/>
    <w:rsid w:val="00D61605"/>
    <w:rsid w:val="00D61FA0"/>
    <w:rsid w:val="00D62947"/>
    <w:rsid w:val="00D63C90"/>
    <w:rsid w:val="00D676D9"/>
    <w:rsid w:val="00D67E94"/>
    <w:rsid w:val="00D70517"/>
    <w:rsid w:val="00D72609"/>
    <w:rsid w:val="00D72F4A"/>
    <w:rsid w:val="00D73CF3"/>
    <w:rsid w:val="00D73F4E"/>
    <w:rsid w:val="00D747CA"/>
    <w:rsid w:val="00D751AF"/>
    <w:rsid w:val="00D75B84"/>
    <w:rsid w:val="00D7620A"/>
    <w:rsid w:val="00D76FE9"/>
    <w:rsid w:val="00D7747E"/>
    <w:rsid w:val="00D774E3"/>
    <w:rsid w:val="00D80DE4"/>
    <w:rsid w:val="00D837E6"/>
    <w:rsid w:val="00D83F3B"/>
    <w:rsid w:val="00D850FA"/>
    <w:rsid w:val="00D85BE1"/>
    <w:rsid w:val="00D85FF4"/>
    <w:rsid w:val="00D86E4B"/>
    <w:rsid w:val="00D8780F"/>
    <w:rsid w:val="00D90207"/>
    <w:rsid w:val="00D91B6B"/>
    <w:rsid w:val="00D91B9F"/>
    <w:rsid w:val="00D9276A"/>
    <w:rsid w:val="00D927E8"/>
    <w:rsid w:val="00D9425F"/>
    <w:rsid w:val="00D952E6"/>
    <w:rsid w:val="00D96043"/>
    <w:rsid w:val="00D96131"/>
    <w:rsid w:val="00D9677F"/>
    <w:rsid w:val="00D96805"/>
    <w:rsid w:val="00D97241"/>
    <w:rsid w:val="00D97D6C"/>
    <w:rsid w:val="00DA0B12"/>
    <w:rsid w:val="00DA15AB"/>
    <w:rsid w:val="00DA2B9C"/>
    <w:rsid w:val="00DA3117"/>
    <w:rsid w:val="00DA4211"/>
    <w:rsid w:val="00DA5C98"/>
    <w:rsid w:val="00DA5DA8"/>
    <w:rsid w:val="00DB021F"/>
    <w:rsid w:val="00DB0C4A"/>
    <w:rsid w:val="00DB1C41"/>
    <w:rsid w:val="00DB34DC"/>
    <w:rsid w:val="00DB35A6"/>
    <w:rsid w:val="00DB38F0"/>
    <w:rsid w:val="00DB3E8F"/>
    <w:rsid w:val="00DB5312"/>
    <w:rsid w:val="00DB588C"/>
    <w:rsid w:val="00DB5CF6"/>
    <w:rsid w:val="00DB5F39"/>
    <w:rsid w:val="00DB6973"/>
    <w:rsid w:val="00DB6A48"/>
    <w:rsid w:val="00DB6D39"/>
    <w:rsid w:val="00DB789C"/>
    <w:rsid w:val="00DB7AA2"/>
    <w:rsid w:val="00DC0E0F"/>
    <w:rsid w:val="00DC2669"/>
    <w:rsid w:val="00DC462C"/>
    <w:rsid w:val="00DC4CCD"/>
    <w:rsid w:val="00DC5121"/>
    <w:rsid w:val="00DC523A"/>
    <w:rsid w:val="00DC5670"/>
    <w:rsid w:val="00DC58A0"/>
    <w:rsid w:val="00DC5DBB"/>
    <w:rsid w:val="00DC6611"/>
    <w:rsid w:val="00DD1F07"/>
    <w:rsid w:val="00DD29B1"/>
    <w:rsid w:val="00DD55B3"/>
    <w:rsid w:val="00DD5659"/>
    <w:rsid w:val="00DD6134"/>
    <w:rsid w:val="00DD66FC"/>
    <w:rsid w:val="00DD6CD5"/>
    <w:rsid w:val="00DD7860"/>
    <w:rsid w:val="00DE0C7D"/>
    <w:rsid w:val="00DE4417"/>
    <w:rsid w:val="00DE6DD0"/>
    <w:rsid w:val="00DE7393"/>
    <w:rsid w:val="00DE7943"/>
    <w:rsid w:val="00DF075B"/>
    <w:rsid w:val="00DF0BAA"/>
    <w:rsid w:val="00DF1364"/>
    <w:rsid w:val="00DF1859"/>
    <w:rsid w:val="00DF1ED4"/>
    <w:rsid w:val="00DF21CD"/>
    <w:rsid w:val="00DF2A9A"/>
    <w:rsid w:val="00DF2F1F"/>
    <w:rsid w:val="00DF3697"/>
    <w:rsid w:val="00DF626B"/>
    <w:rsid w:val="00DF7985"/>
    <w:rsid w:val="00E01705"/>
    <w:rsid w:val="00E01CB2"/>
    <w:rsid w:val="00E02316"/>
    <w:rsid w:val="00E02809"/>
    <w:rsid w:val="00E036C3"/>
    <w:rsid w:val="00E054CE"/>
    <w:rsid w:val="00E0620D"/>
    <w:rsid w:val="00E06F3F"/>
    <w:rsid w:val="00E06F89"/>
    <w:rsid w:val="00E077FF"/>
    <w:rsid w:val="00E119E2"/>
    <w:rsid w:val="00E1258A"/>
    <w:rsid w:val="00E12A39"/>
    <w:rsid w:val="00E1379B"/>
    <w:rsid w:val="00E13C40"/>
    <w:rsid w:val="00E141DD"/>
    <w:rsid w:val="00E14446"/>
    <w:rsid w:val="00E145B4"/>
    <w:rsid w:val="00E14B3B"/>
    <w:rsid w:val="00E15BEE"/>
    <w:rsid w:val="00E164C5"/>
    <w:rsid w:val="00E228AA"/>
    <w:rsid w:val="00E230F7"/>
    <w:rsid w:val="00E2335B"/>
    <w:rsid w:val="00E235EB"/>
    <w:rsid w:val="00E23F6C"/>
    <w:rsid w:val="00E245CD"/>
    <w:rsid w:val="00E24731"/>
    <w:rsid w:val="00E268BC"/>
    <w:rsid w:val="00E2717C"/>
    <w:rsid w:val="00E27837"/>
    <w:rsid w:val="00E27C96"/>
    <w:rsid w:val="00E32350"/>
    <w:rsid w:val="00E329CF"/>
    <w:rsid w:val="00E33D27"/>
    <w:rsid w:val="00E345CD"/>
    <w:rsid w:val="00E3517B"/>
    <w:rsid w:val="00E35A74"/>
    <w:rsid w:val="00E36D32"/>
    <w:rsid w:val="00E37D72"/>
    <w:rsid w:val="00E465BB"/>
    <w:rsid w:val="00E5015E"/>
    <w:rsid w:val="00E50714"/>
    <w:rsid w:val="00E5135C"/>
    <w:rsid w:val="00E522D3"/>
    <w:rsid w:val="00E52745"/>
    <w:rsid w:val="00E53ABF"/>
    <w:rsid w:val="00E545EB"/>
    <w:rsid w:val="00E562BB"/>
    <w:rsid w:val="00E57471"/>
    <w:rsid w:val="00E57D73"/>
    <w:rsid w:val="00E57F39"/>
    <w:rsid w:val="00E62CB6"/>
    <w:rsid w:val="00E62F75"/>
    <w:rsid w:val="00E66144"/>
    <w:rsid w:val="00E67630"/>
    <w:rsid w:val="00E67A30"/>
    <w:rsid w:val="00E67A9E"/>
    <w:rsid w:val="00E70CA5"/>
    <w:rsid w:val="00E7138E"/>
    <w:rsid w:val="00E720BD"/>
    <w:rsid w:val="00E72C76"/>
    <w:rsid w:val="00E73FD0"/>
    <w:rsid w:val="00E74E05"/>
    <w:rsid w:val="00E7667A"/>
    <w:rsid w:val="00E769EA"/>
    <w:rsid w:val="00E814EE"/>
    <w:rsid w:val="00E84A90"/>
    <w:rsid w:val="00E85C0F"/>
    <w:rsid w:val="00E85DC4"/>
    <w:rsid w:val="00E87C8C"/>
    <w:rsid w:val="00E9012B"/>
    <w:rsid w:val="00E9027D"/>
    <w:rsid w:val="00E90E1F"/>
    <w:rsid w:val="00E92C99"/>
    <w:rsid w:val="00E93473"/>
    <w:rsid w:val="00E93825"/>
    <w:rsid w:val="00E9499C"/>
    <w:rsid w:val="00E94C47"/>
    <w:rsid w:val="00E95C11"/>
    <w:rsid w:val="00EA0442"/>
    <w:rsid w:val="00EA0C76"/>
    <w:rsid w:val="00EA0E87"/>
    <w:rsid w:val="00EA1357"/>
    <w:rsid w:val="00EA1596"/>
    <w:rsid w:val="00EA1B0A"/>
    <w:rsid w:val="00EA2ED5"/>
    <w:rsid w:val="00EA385A"/>
    <w:rsid w:val="00EA3D55"/>
    <w:rsid w:val="00EA5539"/>
    <w:rsid w:val="00EA5C74"/>
    <w:rsid w:val="00EA5EB4"/>
    <w:rsid w:val="00EA6C92"/>
    <w:rsid w:val="00EB0DF2"/>
    <w:rsid w:val="00EB164A"/>
    <w:rsid w:val="00EB3D24"/>
    <w:rsid w:val="00EB5DFD"/>
    <w:rsid w:val="00EB6354"/>
    <w:rsid w:val="00EC0375"/>
    <w:rsid w:val="00EC3CA3"/>
    <w:rsid w:val="00EC48AD"/>
    <w:rsid w:val="00EC4C50"/>
    <w:rsid w:val="00ED0035"/>
    <w:rsid w:val="00ED07E2"/>
    <w:rsid w:val="00ED189D"/>
    <w:rsid w:val="00ED45A6"/>
    <w:rsid w:val="00ED4773"/>
    <w:rsid w:val="00ED5F2B"/>
    <w:rsid w:val="00ED6FFA"/>
    <w:rsid w:val="00ED7877"/>
    <w:rsid w:val="00EE087C"/>
    <w:rsid w:val="00EE1AB4"/>
    <w:rsid w:val="00EE4606"/>
    <w:rsid w:val="00EE6834"/>
    <w:rsid w:val="00EE75E5"/>
    <w:rsid w:val="00EF07EC"/>
    <w:rsid w:val="00EF085B"/>
    <w:rsid w:val="00EF18A1"/>
    <w:rsid w:val="00EF2A3B"/>
    <w:rsid w:val="00EF3103"/>
    <w:rsid w:val="00EF48E8"/>
    <w:rsid w:val="00EF60E8"/>
    <w:rsid w:val="00EF73AB"/>
    <w:rsid w:val="00F003D6"/>
    <w:rsid w:val="00F011E8"/>
    <w:rsid w:val="00F012B5"/>
    <w:rsid w:val="00F037F6"/>
    <w:rsid w:val="00F03C5D"/>
    <w:rsid w:val="00F0577F"/>
    <w:rsid w:val="00F06810"/>
    <w:rsid w:val="00F1052F"/>
    <w:rsid w:val="00F12842"/>
    <w:rsid w:val="00F133B2"/>
    <w:rsid w:val="00F156E3"/>
    <w:rsid w:val="00F16A44"/>
    <w:rsid w:val="00F170A5"/>
    <w:rsid w:val="00F2075E"/>
    <w:rsid w:val="00F22B6E"/>
    <w:rsid w:val="00F304A3"/>
    <w:rsid w:val="00F30FC5"/>
    <w:rsid w:val="00F31A65"/>
    <w:rsid w:val="00F31C77"/>
    <w:rsid w:val="00F32805"/>
    <w:rsid w:val="00F332DC"/>
    <w:rsid w:val="00F33E4A"/>
    <w:rsid w:val="00F34F6C"/>
    <w:rsid w:val="00F35677"/>
    <w:rsid w:val="00F35ABF"/>
    <w:rsid w:val="00F3697C"/>
    <w:rsid w:val="00F36A05"/>
    <w:rsid w:val="00F375A4"/>
    <w:rsid w:val="00F42B45"/>
    <w:rsid w:val="00F433A6"/>
    <w:rsid w:val="00F44DBB"/>
    <w:rsid w:val="00F465A5"/>
    <w:rsid w:val="00F47890"/>
    <w:rsid w:val="00F505AF"/>
    <w:rsid w:val="00F51474"/>
    <w:rsid w:val="00F51579"/>
    <w:rsid w:val="00F51659"/>
    <w:rsid w:val="00F516DE"/>
    <w:rsid w:val="00F52270"/>
    <w:rsid w:val="00F55D78"/>
    <w:rsid w:val="00F570C9"/>
    <w:rsid w:val="00F6161F"/>
    <w:rsid w:val="00F63AAC"/>
    <w:rsid w:val="00F66896"/>
    <w:rsid w:val="00F67068"/>
    <w:rsid w:val="00F67178"/>
    <w:rsid w:val="00F6735E"/>
    <w:rsid w:val="00F70FC8"/>
    <w:rsid w:val="00F71AB5"/>
    <w:rsid w:val="00F722DD"/>
    <w:rsid w:val="00F725E7"/>
    <w:rsid w:val="00F73371"/>
    <w:rsid w:val="00F7653C"/>
    <w:rsid w:val="00F7769A"/>
    <w:rsid w:val="00F803A0"/>
    <w:rsid w:val="00F808A9"/>
    <w:rsid w:val="00F80975"/>
    <w:rsid w:val="00F81BC7"/>
    <w:rsid w:val="00F8514B"/>
    <w:rsid w:val="00F85339"/>
    <w:rsid w:val="00F86A66"/>
    <w:rsid w:val="00F90E55"/>
    <w:rsid w:val="00F913A3"/>
    <w:rsid w:val="00F91CEB"/>
    <w:rsid w:val="00F944A8"/>
    <w:rsid w:val="00F950EB"/>
    <w:rsid w:val="00F96235"/>
    <w:rsid w:val="00F9684D"/>
    <w:rsid w:val="00F971FD"/>
    <w:rsid w:val="00FA00B8"/>
    <w:rsid w:val="00FA0436"/>
    <w:rsid w:val="00FA067F"/>
    <w:rsid w:val="00FA090D"/>
    <w:rsid w:val="00FA21DD"/>
    <w:rsid w:val="00FA241E"/>
    <w:rsid w:val="00FA3392"/>
    <w:rsid w:val="00FA3F2F"/>
    <w:rsid w:val="00FA4447"/>
    <w:rsid w:val="00FA49B4"/>
    <w:rsid w:val="00FA4EC6"/>
    <w:rsid w:val="00FA5DC6"/>
    <w:rsid w:val="00FA6277"/>
    <w:rsid w:val="00FA6839"/>
    <w:rsid w:val="00FA6CC6"/>
    <w:rsid w:val="00FA7D52"/>
    <w:rsid w:val="00FA7E07"/>
    <w:rsid w:val="00FB2928"/>
    <w:rsid w:val="00FB4482"/>
    <w:rsid w:val="00FB7C0C"/>
    <w:rsid w:val="00FC0AA1"/>
    <w:rsid w:val="00FC13B5"/>
    <w:rsid w:val="00FC1803"/>
    <w:rsid w:val="00FC293A"/>
    <w:rsid w:val="00FC781C"/>
    <w:rsid w:val="00FD0B36"/>
    <w:rsid w:val="00FD0C4A"/>
    <w:rsid w:val="00FD1166"/>
    <w:rsid w:val="00FD28D1"/>
    <w:rsid w:val="00FD291C"/>
    <w:rsid w:val="00FD32E1"/>
    <w:rsid w:val="00FD3679"/>
    <w:rsid w:val="00FD3F8A"/>
    <w:rsid w:val="00FD4FC2"/>
    <w:rsid w:val="00FD67B2"/>
    <w:rsid w:val="00FD7716"/>
    <w:rsid w:val="00FE19D1"/>
    <w:rsid w:val="00FE1A2E"/>
    <w:rsid w:val="00FE2610"/>
    <w:rsid w:val="00FE28F9"/>
    <w:rsid w:val="00FE3501"/>
    <w:rsid w:val="00FE3DF0"/>
    <w:rsid w:val="00FE6342"/>
    <w:rsid w:val="00FE685B"/>
    <w:rsid w:val="00FF0C5A"/>
    <w:rsid w:val="00FF1AA0"/>
    <w:rsid w:val="00FF1AFB"/>
    <w:rsid w:val="00FF1AFE"/>
    <w:rsid w:val="00FF2DB0"/>
    <w:rsid w:val="00FF3E03"/>
    <w:rsid w:val="00FF5EB3"/>
    <w:rsid w:val="00FF67B2"/>
    <w:rsid w:val="00FF7D3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EF26DD"/>
  <w15:docId w15:val="{C6F782A8-D4A1-4424-9300-A3FB095F3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7A22"/>
    <w:rPr>
      <w:rFonts w:ascii="Arial" w:hAnsi="Arial"/>
      <w:sz w:val="24"/>
      <w:szCs w:val="24"/>
      <w:lang w:eastAsia="en-US"/>
    </w:rPr>
  </w:style>
  <w:style w:type="paragraph" w:styleId="Heading1">
    <w:name w:val="heading 1"/>
    <w:aliases w:val="Centre"/>
    <w:basedOn w:val="Normal"/>
    <w:next w:val="Normal"/>
    <w:qFormat/>
    <w:rsid w:val="00200CB7"/>
    <w:pPr>
      <w:keepNext/>
      <w:jc w:val="center"/>
      <w:outlineLvl w:val="0"/>
    </w:pPr>
    <w:rPr>
      <w:rFonts w:cs="Arial"/>
      <w:b/>
      <w:bCs/>
      <w:caps/>
      <w:kern w:val="32"/>
      <w:sz w:val="28"/>
      <w:szCs w:val="32"/>
    </w:rPr>
  </w:style>
  <w:style w:type="paragraph" w:styleId="Heading2">
    <w:name w:val="heading 2"/>
    <w:aliases w:val="Left"/>
    <w:basedOn w:val="Normal"/>
    <w:next w:val="Normal"/>
    <w:qFormat/>
    <w:rsid w:val="00200CB7"/>
    <w:pPr>
      <w:keepNext/>
      <w:outlineLvl w:val="1"/>
    </w:pPr>
    <w:rPr>
      <w:rFonts w:cs="Arial"/>
      <w:b/>
      <w:bCs/>
      <w:iCs/>
      <w:caps/>
      <w:szCs w:val="28"/>
    </w:rPr>
  </w:style>
  <w:style w:type="paragraph" w:styleId="Heading3">
    <w:name w:val="heading 3"/>
    <w:aliases w:val="Sub"/>
    <w:basedOn w:val="Normal"/>
    <w:next w:val="Normal"/>
    <w:qFormat/>
    <w:rsid w:val="00200CB7"/>
    <w:pPr>
      <w:keepNext/>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87A22"/>
    <w:pPr>
      <w:tabs>
        <w:tab w:val="center" w:pos="4153"/>
        <w:tab w:val="right" w:pos="8306"/>
      </w:tabs>
    </w:pPr>
  </w:style>
  <w:style w:type="table" w:styleId="TableGrid">
    <w:name w:val="Table Grid"/>
    <w:basedOn w:val="TableNormal"/>
    <w:rsid w:val="00131EC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styleId="Footer">
    <w:name w:val="footer"/>
    <w:basedOn w:val="Normal"/>
    <w:link w:val="FooterChar"/>
    <w:uiPriority w:val="99"/>
    <w:rsid w:val="00487A22"/>
    <w:pPr>
      <w:tabs>
        <w:tab w:val="center" w:pos="4153"/>
        <w:tab w:val="right" w:pos="8306"/>
      </w:tabs>
    </w:pPr>
  </w:style>
  <w:style w:type="paragraph" w:styleId="ListParagraph">
    <w:name w:val="List Paragraph"/>
    <w:aliases w:val="F5 List Paragraph,List Paragraph1,Dot pt,No Spacing1,List Paragraph Char Char Char,Indicator Text,Numbered Para 1,Bullet 1,Bullet Points,MAIN CONTENT,List Paragraph12,Colorful List - Accent 11,Normal numbered,List Paragraph11,OBC Bullet"/>
    <w:basedOn w:val="Normal"/>
    <w:link w:val="ListParagraphChar"/>
    <w:uiPriority w:val="34"/>
    <w:qFormat/>
    <w:rsid w:val="00940BE9"/>
    <w:pPr>
      <w:ind w:left="720"/>
      <w:contextualSpacing/>
    </w:pPr>
    <w:rPr>
      <w:rFonts w:ascii="Calibri" w:eastAsia="Calibri" w:hAnsi="Calibri"/>
      <w:sz w:val="22"/>
      <w:szCs w:val="22"/>
    </w:rPr>
  </w:style>
  <w:style w:type="character" w:customStyle="1" w:styleId="ListParagraphChar">
    <w:name w:val="List Paragraph Char"/>
    <w:aliases w:val="F5 List Paragraph Char,List Paragraph1 Char,Dot pt Char,No Spacing1 Char,List Paragraph Char Char Char Char,Indicator Text Char,Numbered Para 1 Char,Bullet 1 Char,Bullet Points Char,MAIN CONTENT Char,List Paragraph12 Char"/>
    <w:link w:val="ListParagraph"/>
    <w:uiPriority w:val="34"/>
    <w:locked/>
    <w:rsid w:val="00940BE9"/>
    <w:rPr>
      <w:rFonts w:ascii="Calibri" w:eastAsia="Calibri" w:hAnsi="Calibri"/>
      <w:sz w:val="22"/>
      <w:szCs w:val="22"/>
      <w:lang w:eastAsia="en-US"/>
    </w:rPr>
  </w:style>
  <w:style w:type="paragraph" w:customStyle="1" w:styleId="Number">
    <w:name w:val="Number"/>
    <w:basedOn w:val="Normal"/>
    <w:rsid w:val="00940BE9"/>
    <w:pPr>
      <w:spacing w:after="240"/>
      <w:ind w:left="720" w:hanging="720"/>
    </w:pPr>
    <w:rPr>
      <w:lang w:eastAsia="en-GB"/>
    </w:rPr>
  </w:style>
  <w:style w:type="paragraph" w:styleId="NormalWeb">
    <w:name w:val="Normal (Web)"/>
    <w:basedOn w:val="Normal"/>
    <w:uiPriority w:val="99"/>
    <w:unhideWhenUsed/>
    <w:rsid w:val="00940BE9"/>
    <w:pPr>
      <w:spacing w:after="225"/>
    </w:pPr>
    <w:rPr>
      <w:rFonts w:ascii="Times New Roman" w:hAnsi="Times New Roman"/>
      <w:lang w:eastAsia="en-GB"/>
    </w:rPr>
  </w:style>
  <w:style w:type="paragraph" w:styleId="BalloonText">
    <w:name w:val="Balloon Text"/>
    <w:basedOn w:val="Normal"/>
    <w:link w:val="BalloonTextChar"/>
    <w:rsid w:val="00BF513F"/>
    <w:rPr>
      <w:rFonts w:ascii="Tahoma" w:hAnsi="Tahoma" w:cs="Tahoma"/>
      <w:sz w:val="16"/>
      <w:szCs w:val="16"/>
    </w:rPr>
  </w:style>
  <w:style w:type="character" w:customStyle="1" w:styleId="BalloonTextChar">
    <w:name w:val="Balloon Text Char"/>
    <w:basedOn w:val="DefaultParagraphFont"/>
    <w:link w:val="BalloonText"/>
    <w:rsid w:val="00BF513F"/>
    <w:rPr>
      <w:rFonts w:ascii="Tahoma" w:hAnsi="Tahoma" w:cs="Tahoma"/>
      <w:sz w:val="16"/>
      <w:szCs w:val="16"/>
      <w:lang w:eastAsia="en-US"/>
    </w:rPr>
  </w:style>
  <w:style w:type="character" w:customStyle="1" w:styleId="HeaderChar">
    <w:name w:val="Header Char"/>
    <w:basedOn w:val="DefaultParagraphFont"/>
    <w:link w:val="Header"/>
    <w:uiPriority w:val="99"/>
    <w:rsid w:val="00BD13B7"/>
    <w:rPr>
      <w:rFonts w:ascii="Arial" w:hAnsi="Arial"/>
      <w:sz w:val="24"/>
      <w:szCs w:val="24"/>
      <w:lang w:eastAsia="en-US"/>
    </w:rPr>
  </w:style>
  <w:style w:type="character" w:styleId="Hyperlink">
    <w:name w:val="Hyperlink"/>
    <w:basedOn w:val="DefaultParagraphFont"/>
    <w:rsid w:val="00A755D6"/>
    <w:rPr>
      <w:color w:val="0000FF" w:themeColor="hyperlink"/>
      <w:u w:val="single"/>
    </w:rPr>
  </w:style>
  <w:style w:type="character" w:styleId="CommentReference">
    <w:name w:val="annotation reference"/>
    <w:basedOn w:val="DefaultParagraphFont"/>
    <w:rsid w:val="00F6735E"/>
    <w:rPr>
      <w:sz w:val="16"/>
      <w:szCs w:val="16"/>
    </w:rPr>
  </w:style>
  <w:style w:type="paragraph" w:styleId="CommentText">
    <w:name w:val="annotation text"/>
    <w:basedOn w:val="Normal"/>
    <w:link w:val="CommentTextChar"/>
    <w:rsid w:val="00F6735E"/>
    <w:rPr>
      <w:sz w:val="20"/>
      <w:szCs w:val="20"/>
    </w:rPr>
  </w:style>
  <w:style w:type="character" w:customStyle="1" w:styleId="CommentTextChar">
    <w:name w:val="Comment Text Char"/>
    <w:basedOn w:val="DefaultParagraphFont"/>
    <w:link w:val="CommentText"/>
    <w:rsid w:val="00F6735E"/>
    <w:rPr>
      <w:rFonts w:ascii="Arial" w:hAnsi="Arial"/>
      <w:lang w:eastAsia="en-US"/>
    </w:rPr>
  </w:style>
  <w:style w:type="paragraph" w:styleId="CommentSubject">
    <w:name w:val="annotation subject"/>
    <w:basedOn w:val="CommentText"/>
    <w:next w:val="CommentText"/>
    <w:link w:val="CommentSubjectChar"/>
    <w:rsid w:val="00F6735E"/>
    <w:rPr>
      <w:b/>
      <w:bCs/>
    </w:rPr>
  </w:style>
  <w:style w:type="character" w:customStyle="1" w:styleId="CommentSubjectChar">
    <w:name w:val="Comment Subject Char"/>
    <w:basedOn w:val="CommentTextChar"/>
    <w:link w:val="CommentSubject"/>
    <w:rsid w:val="00F6735E"/>
    <w:rPr>
      <w:rFonts w:ascii="Arial" w:hAnsi="Arial"/>
      <w:b/>
      <w:bCs/>
      <w:lang w:eastAsia="en-US"/>
    </w:rPr>
  </w:style>
  <w:style w:type="character" w:customStyle="1" w:styleId="FooterChar">
    <w:name w:val="Footer Char"/>
    <w:basedOn w:val="DefaultParagraphFont"/>
    <w:link w:val="Footer"/>
    <w:uiPriority w:val="99"/>
    <w:rsid w:val="00A13205"/>
    <w:rPr>
      <w:rFonts w:ascii="Arial" w:hAnsi="Arial"/>
      <w:sz w:val="24"/>
      <w:szCs w:val="24"/>
      <w:lang w:eastAsia="en-US"/>
    </w:rPr>
  </w:style>
  <w:style w:type="paragraph" w:customStyle="1" w:styleId="Pa2">
    <w:name w:val="Pa2"/>
    <w:basedOn w:val="Normal"/>
    <w:next w:val="Normal"/>
    <w:uiPriority w:val="99"/>
    <w:rsid w:val="00E85C0F"/>
    <w:pPr>
      <w:autoSpaceDE w:val="0"/>
      <w:autoSpaceDN w:val="0"/>
      <w:adjustRightInd w:val="0"/>
      <w:spacing w:line="281" w:lineRule="atLeast"/>
    </w:pPr>
    <w:rPr>
      <w:rFonts w:ascii="MrEavesModOT" w:hAnsi="MrEavesModOT"/>
      <w:lang w:eastAsia="en-GB"/>
    </w:rPr>
  </w:style>
  <w:style w:type="character" w:styleId="UnresolvedMention">
    <w:name w:val="Unresolved Mention"/>
    <w:basedOn w:val="DefaultParagraphFont"/>
    <w:uiPriority w:val="99"/>
    <w:semiHidden/>
    <w:unhideWhenUsed/>
    <w:rsid w:val="00BF1AE6"/>
    <w:rPr>
      <w:color w:val="605E5C"/>
      <w:shd w:val="clear" w:color="auto" w:fill="E1DFDD"/>
    </w:rPr>
  </w:style>
  <w:style w:type="character" w:styleId="FollowedHyperlink">
    <w:name w:val="FollowedHyperlink"/>
    <w:basedOn w:val="DefaultParagraphFont"/>
    <w:semiHidden/>
    <w:unhideWhenUsed/>
    <w:rsid w:val="00A91D43"/>
    <w:rPr>
      <w:color w:val="800080" w:themeColor="followedHyperlink"/>
      <w:u w:val="single"/>
    </w:rPr>
  </w:style>
  <w:style w:type="paragraph" w:styleId="Revision">
    <w:name w:val="Revision"/>
    <w:hidden/>
    <w:uiPriority w:val="99"/>
    <w:semiHidden/>
    <w:rsid w:val="00311FCA"/>
    <w:rPr>
      <w:rFonts w:ascii="Arial" w:hAnsi="Arial"/>
      <w:sz w:val="24"/>
      <w:szCs w:val="24"/>
      <w:lang w:eastAsia="en-US"/>
    </w:rPr>
  </w:style>
  <w:style w:type="paragraph" w:customStyle="1" w:styleId="paragraph">
    <w:name w:val="paragraph"/>
    <w:basedOn w:val="Normal"/>
    <w:rsid w:val="00A903FB"/>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A903FB"/>
  </w:style>
  <w:style w:type="character" w:customStyle="1" w:styleId="eop">
    <w:name w:val="eop"/>
    <w:basedOn w:val="DefaultParagraphFont"/>
    <w:rsid w:val="00A903FB"/>
  </w:style>
  <w:style w:type="paragraph" w:styleId="BodyText">
    <w:name w:val="Body Text"/>
    <w:basedOn w:val="Normal"/>
    <w:link w:val="BodyTextChar"/>
    <w:uiPriority w:val="1"/>
    <w:qFormat/>
    <w:rsid w:val="00100CBA"/>
    <w:pPr>
      <w:widowControl w:val="0"/>
      <w:autoSpaceDE w:val="0"/>
      <w:autoSpaceDN w:val="0"/>
    </w:pPr>
    <w:rPr>
      <w:rFonts w:ascii="HelveticaNeueLT Std Lt" w:eastAsia="HelveticaNeueLT Std Lt" w:hAnsi="HelveticaNeueLT Std Lt" w:cs="HelveticaNeueLT Std Lt"/>
      <w:lang w:val="en-US"/>
    </w:rPr>
  </w:style>
  <w:style w:type="character" w:customStyle="1" w:styleId="BodyTextChar">
    <w:name w:val="Body Text Char"/>
    <w:basedOn w:val="DefaultParagraphFont"/>
    <w:link w:val="BodyText"/>
    <w:uiPriority w:val="1"/>
    <w:rsid w:val="00100CBA"/>
    <w:rPr>
      <w:rFonts w:ascii="HelveticaNeueLT Std Lt" w:eastAsia="HelveticaNeueLT Std Lt" w:hAnsi="HelveticaNeueLT Std Lt" w:cs="HelveticaNeueLT Std Lt"/>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1908">
      <w:bodyDiv w:val="1"/>
      <w:marLeft w:val="0"/>
      <w:marRight w:val="0"/>
      <w:marTop w:val="0"/>
      <w:marBottom w:val="0"/>
      <w:divBdr>
        <w:top w:val="none" w:sz="0" w:space="0" w:color="auto"/>
        <w:left w:val="none" w:sz="0" w:space="0" w:color="auto"/>
        <w:bottom w:val="none" w:sz="0" w:space="0" w:color="auto"/>
        <w:right w:val="none" w:sz="0" w:space="0" w:color="auto"/>
      </w:divBdr>
    </w:div>
    <w:div w:id="95489837">
      <w:bodyDiv w:val="1"/>
      <w:marLeft w:val="0"/>
      <w:marRight w:val="0"/>
      <w:marTop w:val="0"/>
      <w:marBottom w:val="0"/>
      <w:divBdr>
        <w:top w:val="none" w:sz="0" w:space="0" w:color="auto"/>
        <w:left w:val="none" w:sz="0" w:space="0" w:color="auto"/>
        <w:bottom w:val="none" w:sz="0" w:space="0" w:color="auto"/>
        <w:right w:val="none" w:sz="0" w:space="0" w:color="auto"/>
      </w:divBdr>
    </w:div>
    <w:div w:id="217596886">
      <w:bodyDiv w:val="1"/>
      <w:marLeft w:val="0"/>
      <w:marRight w:val="0"/>
      <w:marTop w:val="0"/>
      <w:marBottom w:val="0"/>
      <w:divBdr>
        <w:top w:val="none" w:sz="0" w:space="0" w:color="auto"/>
        <w:left w:val="none" w:sz="0" w:space="0" w:color="auto"/>
        <w:bottom w:val="none" w:sz="0" w:space="0" w:color="auto"/>
        <w:right w:val="none" w:sz="0" w:space="0" w:color="auto"/>
      </w:divBdr>
    </w:div>
    <w:div w:id="222834685">
      <w:bodyDiv w:val="1"/>
      <w:marLeft w:val="0"/>
      <w:marRight w:val="0"/>
      <w:marTop w:val="0"/>
      <w:marBottom w:val="0"/>
      <w:divBdr>
        <w:top w:val="none" w:sz="0" w:space="0" w:color="auto"/>
        <w:left w:val="none" w:sz="0" w:space="0" w:color="auto"/>
        <w:bottom w:val="none" w:sz="0" w:space="0" w:color="auto"/>
        <w:right w:val="none" w:sz="0" w:space="0" w:color="auto"/>
      </w:divBdr>
    </w:div>
    <w:div w:id="314843553">
      <w:bodyDiv w:val="1"/>
      <w:marLeft w:val="0"/>
      <w:marRight w:val="0"/>
      <w:marTop w:val="0"/>
      <w:marBottom w:val="0"/>
      <w:divBdr>
        <w:top w:val="none" w:sz="0" w:space="0" w:color="auto"/>
        <w:left w:val="none" w:sz="0" w:space="0" w:color="auto"/>
        <w:bottom w:val="none" w:sz="0" w:space="0" w:color="auto"/>
        <w:right w:val="none" w:sz="0" w:space="0" w:color="auto"/>
      </w:divBdr>
    </w:div>
    <w:div w:id="319506503">
      <w:bodyDiv w:val="1"/>
      <w:marLeft w:val="0"/>
      <w:marRight w:val="0"/>
      <w:marTop w:val="0"/>
      <w:marBottom w:val="0"/>
      <w:divBdr>
        <w:top w:val="none" w:sz="0" w:space="0" w:color="auto"/>
        <w:left w:val="none" w:sz="0" w:space="0" w:color="auto"/>
        <w:bottom w:val="none" w:sz="0" w:space="0" w:color="auto"/>
        <w:right w:val="none" w:sz="0" w:space="0" w:color="auto"/>
      </w:divBdr>
    </w:div>
    <w:div w:id="341860144">
      <w:bodyDiv w:val="1"/>
      <w:marLeft w:val="0"/>
      <w:marRight w:val="0"/>
      <w:marTop w:val="0"/>
      <w:marBottom w:val="0"/>
      <w:divBdr>
        <w:top w:val="none" w:sz="0" w:space="0" w:color="auto"/>
        <w:left w:val="none" w:sz="0" w:space="0" w:color="auto"/>
        <w:bottom w:val="none" w:sz="0" w:space="0" w:color="auto"/>
        <w:right w:val="none" w:sz="0" w:space="0" w:color="auto"/>
      </w:divBdr>
    </w:div>
    <w:div w:id="373627181">
      <w:bodyDiv w:val="1"/>
      <w:marLeft w:val="0"/>
      <w:marRight w:val="0"/>
      <w:marTop w:val="0"/>
      <w:marBottom w:val="0"/>
      <w:divBdr>
        <w:top w:val="none" w:sz="0" w:space="0" w:color="auto"/>
        <w:left w:val="none" w:sz="0" w:space="0" w:color="auto"/>
        <w:bottom w:val="none" w:sz="0" w:space="0" w:color="auto"/>
        <w:right w:val="none" w:sz="0" w:space="0" w:color="auto"/>
      </w:divBdr>
    </w:div>
    <w:div w:id="375742784">
      <w:bodyDiv w:val="1"/>
      <w:marLeft w:val="0"/>
      <w:marRight w:val="0"/>
      <w:marTop w:val="0"/>
      <w:marBottom w:val="0"/>
      <w:divBdr>
        <w:top w:val="none" w:sz="0" w:space="0" w:color="auto"/>
        <w:left w:val="none" w:sz="0" w:space="0" w:color="auto"/>
        <w:bottom w:val="none" w:sz="0" w:space="0" w:color="auto"/>
        <w:right w:val="none" w:sz="0" w:space="0" w:color="auto"/>
      </w:divBdr>
    </w:div>
    <w:div w:id="388964718">
      <w:bodyDiv w:val="1"/>
      <w:marLeft w:val="0"/>
      <w:marRight w:val="0"/>
      <w:marTop w:val="0"/>
      <w:marBottom w:val="0"/>
      <w:divBdr>
        <w:top w:val="none" w:sz="0" w:space="0" w:color="auto"/>
        <w:left w:val="none" w:sz="0" w:space="0" w:color="auto"/>
        <w:bottom w:val="none" w:sz="0" w:space="0" w:color="auto"/>
        <w:right w:val="none" w:sz="0" w:space="0" w:color="auto"/>
      </w:divBdr>
    </w:div>
    <w:div w:id="399406104">
      <w:bodyDiv w:val="1"/>
      <w:marLeft w:val="0"/>
      <w:marRight w:val="0"/>
      <w:marTop w:val="0"/>
      <w:marBottom w:val="0"/>
      <w:divBdr>
        <w:top w:val="none" w:sz="0" w:space="0" w:color="auto"/>
        <w:left w:val="none" w:sz="0" w:space="0" w:color="auto"/>
        <w:bottom w:val="none" w:sz="0" w:space="0" w:color="auto"/>
        <w:right w:val="none" w:sz="0" w:space="0" w:color="auto"/>
      </w:divBdr>
    </w:div>
    <w:div w:id="440497112">
      <w:bodyDiv w:val="1"/>
      <w:marLeft w:val="0"/>
      <w:marRight w:val="0"/>
      <w:marTop w:val="0"/>
      <w:marBottom w:val="0"/>
      <w:divBdr>
        <w:top w:val="none" w:sz="0" w:space="0" w:color="auto"/>
        <w:left w:val="none" w:sz="0" w:space="0" w:color="auto"/>
        <w:bottom w:val="none" w:sz="0" w:space="0" w:color="auto"/>
        <w:right w:val="none" w:sz="0" w:space="0" w:color="auto"/>
      </w:divBdr>
    </w:div>
    <w:div w:id="458306568">
      <w:bodyDiv w:val="1"/>
      <w:marLeft w:val="0"/>
      <w:marRight w:val="0"/>
      <w:marTop w:val="0"/>
      <w:marBottom w:val="0"/>
      <w:divBdr>
        <w:top w:val="none" w:sz="0" w:space="0" w:color="auto"/>
        <w:left w:val="none" w:sz="0" w:space="0" w:color="auto"/>
        <w:bottom w:val="none" w:sz="0" w:space="0" w:color="auto"/>
        <w:right w:val="none" w:sz="0" w:space="0" w:color="auto"/>
      </w:divBdr>
    </w:div>
    <w:div w:id="467473344">
      <w:bodyDiv w:val="1"/>
      <w:marLeft w:val="0"/>
      <w:marRight w:val="0"/>
      <w:marTop w:val="0"/>
      <w:marBottom w:val="0"/>
      <w:divBdr>
        <w:top w:val="none" w:sz="0" w:space="0" w:color="auto"/>
        <w:left w:val="none" w:sz="0" w:space="0" w:color="auto"/>
        <w:bottom w:val="none" w:sz="0" w:space="0" w:color="auto"/>
        <w:right w:val="none" w:sz="0" w:space="0" w:color="auto"/>
      </w:divBdr>
    </w:div>
    <w:div w:id="548300540">
      <w:bodyDiv w:val="1"/>
      <w:marLeft w:val="0"/>
      <w:marRight w:val="0"/>
      <w:marTop w:val="0"/>
      <w:marBottom w:val="0"/>
      <w:divBdr>
        <w:top w:val="none" w:sz="0" w:space="0" w:color="auto"/>
        <w:left w:val="none" w:sz="0" w:space="0" w:color="auto"/>
        <w:bottom w:val="none" w:sz="0" w:space="0" w:color="auto"/>
        <w:right w:val="none" w:sz="0" w:space="0" w:color="auto"/>
      </w:divBdr>
    </w:div>
    <w:div w:id="596910771">
      <w:bodyDiv w:val="1"/>
      <w:marLeft w:val="0"/>
      <w:marRight w:val="0"/>
      <w:marTop w:val="0"/>
      <w:marBottom w:val="0"/>
      <w:divBdr>
        <w:top w:val="none" w:sz="0" w:space="0" w:color="auto"/>
        <w:left w:val="none" w:sz="0" w:space="0" w:color="auto"/>
        <w:bottom w:val="none" w:sz="0" w:space="0" w:color="auto"/>
        <w:right w:val="none" w:sz="0" w:space="0" w:color="auto"/>
      </w:divBdr>
    </w:div>
    <w:div w:id="614407819">
      <w:bodyDiv w:val="1"/>
      <w:marLeft w:val="0"/>
      <w:marRight w:val="0"/>
      <w:marTop w:val="0"/>
      <w:marBottom w:val="0"/>
      <w:divBdr>
        <w:top w:val="none" w:sz="0" w:space="0" w:color="auto"/>
        <w:left w:val="none" w:sz="0" w:space="0" w:color="auto"/>
        <w:bottom w:val="none" w:sz="0" w:space="0" w:color="auto"/>
        <w:right w:val="none" w:sz="0" w:space="0" w:color="auto"/>
      </w:divBdr>
    </w:div>
    <w:div w:id="638533069">
      <w:bodyDiv w:val="1"/>
      <w:marLeft w:val="0"/>
      <w:marRight w:val="0"/>
      <w:marTop w:val="0"/>
      <w:marBottom w:val="0"/>
      <w:divBdr>
        <w:top w:val="none" w:sz="0" w:space="0" w:color="auto"/>
        <w:left w:val="none" w:sz="0" w:space="0" w:color="auto"/>
        <w:bottom w:val="none" w:sz="0" w:space="0" w:color="auto"/>
        <w:right w:val="none" w:sz="0" w:space="0" w:color="auto"/>
      </w:divBdr>
    </w:div>
    <w:div w:id="653531045">
      <w:bodyDiv w:val="1"/>
      <w:marLeft w:val="0"/>
      <w:marRight w:val="0"/>
      <w:marTop w:val="0"/>
      <w:marBottom w:val="0"/>
      <w:divBdr>
        <w:top w:val="none" w:sz="0" w:space="0" w:color="auto"/>
        <w:left w:val="none" w:sz="0" w:space="0" w:color="auto"/>
        <w:bottom w:val="none" w:sz="0" w:space="0" w:color="auto"/>
        <w:right w:val="none" w:sz="0" w:space="0" w:color="auto"/>
      </w:divBdr>
    </w:div>
    <w:div w:id="752319467">
      <w:bodyDiv w:val="1"/>
      <w:marLeft w:val="0"/>
      <w:marRight w:val="0"/>
      <w:marTop w:val="0"/>
      <w:marBottom w:val="0"/>
      <w:divBdr>
        <w:top w:val="none" w:sz="0" w:space="0" w:color="auto"/>
        <w:left w:val="none" w:sz="0" w:space="0" w:color="auto"/>
        <w:bottom w:val="none" w:sz="0" w:space="0" w:color="auto"/>
        <w:right w:val="none" w:sz="0" w:space="0" w:color="auto"/>
      </w:divBdr>
    </w:div>
    <w:div w:id="791242065">
      <w:bodyDiv w:val="1"/>
      <w:marLeft w:val="0"/>
      <w:marRight w:val="0"/>
      <w:marTop w:val="0"/>
      <w:marBottom w:val="0"/>
      <w:divBdr>
        <w:top w:val="none" w:sz="0" w:space="0" w:color="auto"/>
        <w:left w:val="none" w:sz="0" w:space="0" w:color="auto"/>
        <w:bottom w:val="none" w:sz="0" w:space="0" w:color="auto"/>
        <w:right w:val="none" w:sz="0" w:space="0" w:color="auto"/>
      </w:divBdr>
    </w:div>
    <w:div w:id="813718575">
      <w:bodyDiv w:val="1"/>
      <w:marLeft w:val="0"/>
      <w:marRight w:val="0"/>
      <w:marTop w:val="0"/>
      <w:marBottom w:val="0"/>
      <w:divBdr>
        <w:top w:val="none" w:sz="0" w:space="0" w:color="auto"/>
        <w:left w:val="none" w:sz="0" w:space="0" w:color="auto"/>
        <w:bottom w:val="none" w:sz="0" w:space="0" w:color="auto"/>
        <w:right w:val="none" w:sz="0" w:space="0" w:color="auto"/>
      </w:divBdr>
    </w:div>
    <w:div w:id="814106504">
      <w:bodyDiv w:val="1"/>
      <w:marLeft w:val="0"/>
      <w:marRight w:val="0"/>
      <w:marTop w:val="0"/>
      <w:marBottom w:val="0"/>
      <w:divBdr>
        <w:top w:val="none" w:sz="0" w:space="0" w:color="auto"/>
        <w:left w:val="none" w:sz="0" w:space="0" w:color="auto"/>
        <w:bottom w:val="none" w:sz="0" w:space="0" w:color="auto"/>
        <w:right w:val="none" w:sz="0" w:space="0" w:color="auto"/>
      </w:divBdr>
    </w:div>
    <w:div w:id="817652957">
      <w:bodyDiv w:val="1"/>
      <w:marLeft w:val="0"/>
      <w:marRight w:val="0"/>
      <w:marTop w:val="0"/>
      <w:marBottom w:val="0"/>
      <w:divBdr>
        <w:top w:val="none" w:sz="0" w:space="0" w:color="auto"/>
        <w:left w:val="none" w:sz="0" w:space="0" w:color="auto"/>
        <w:bottom w:val="none" w:sz="0" w:space="0" w:color="auto"/>
        <w:right w:val="none" w:sz="0" w:space="0" w:color="auto"/>
      </w:divBdr>
    </w:div>
    <w:div w:id="857618464">
      <w:bodyDiv w:val="1"/>
      <w:marLeft w:val="0"/>
      <w:marRight w:val="0"/>
      <w:marTop w:val="0"/>
      <w:marBottom w:val="0"/>
      <w:divBdr>
        <w:top w:val="none" w:sz="0" w:space="0" w:color="auto"/>
        <w:left w:val="none" w:sz="0" w:space="0" w:color="auto"/>
        <w:bottom w:val="none" w:sz="0" w:space="0" w:color="auto"/>
        <w:right w:val="none" w:sz="0" w:space="0" w:color="auto"/>
      </w:divBdr>
    </w:div>
    <w:div w:id="889153202">
      <w:bodyDiv w:val="1"/>
      <w:marLeft w:val="0"/>
      <w:marRight w:val="0"/>
      <w:marTop w:val="0"/>
      <w:marBottom w:val="0"/>
      <w:divBdr>
        <w:top w:val="none" w:sz="0" w:space="0" w:color="auto"/>
        <w:left w:val="none" w:sz="0" w:space="0" w:color="auto"/>
        <w:bottom w:val="none" w:sz="0" w:space="0" w:color="auto"/>
        <w:right w:val="none" w:sz="0" w:space="0" w:color="auto"/>
      </w:divBdr>
    </w:div>
    <w:div w:id="987782458">
      <w:bodyDiv w:val="1"/>
      <w:marLeft w:val="0"/>
      <w:marRight w:val="0"/>
      <w:marTop w:val="0"/>
      <w:marBottom w:val="0"/>
      <w:divBdr>
        <w:top w:val="none" w:sz="0" w:space="0" w:color="auto"/>
        <w:left w:val="none" w:sz="0" w:space="0" w:color="auto"/>
        <w:bottom w:val="none" w:sz="0" w:space="0" w:color="auto"/>
        <w:right w:val="none" w:sz="0" w:space="0" w:color="auto"/>
      </w:divBdr>
    </w:div>
    <w:div w:id="994266174">
      <w:bodyDiv w:val="1"/>
      <w:marLeft w:val="0"/>
      <w:marRight w:val="0"/>
      <w:marTop w:val="0"/>
      <w:marBottom w:val="0"/>
      <w:divBdr>
        <w:top w:val="none" w:sz="0" w:space="0" w:color="auto"/>
        <w:left w:val="none" w:sz="0" w:space="0" w:color="auto"/>
        <w:bottom w:val="none" w:sz="0" w:space="0" w:color="auto"/>
        <w:right w:val="none" w:sz="0" w:space="0" w:color="auto"/>
      </w:divBdr>
    </w:div>
    <w:div w:id="1000620731">
      <w:bodyDiv w:val="1"/>
      <w:marLeft w:val="0"/>
      <w:marRight w:val="0"/>
      <w:marTop w:val="0"/>
      <w:marBottom w:val="0"/>
      <w:divBdr>
        <w:top w:val="none" w:sz="0" w:space="0" w:color="auto"/>
        <w:left w:val="none" w:sz="0" w:space="0" w:color="auto"/>
        <w:bottom w:val="none" w:sz="0" w:space="0" w:color="auto"/>
        <w:right w:val="none" w:sz="0" w:space="0" w:color="auto"/>
      </w:divBdr>
    </w:div>
    <w:div w:id="1056470463">
      <w:bodyDiv w:val="1"/>
      <w:marLeft w:val="0"/>
      <w:marRight w:val="0"/>
      <w:marTop w:val="0"/>
      <w:marBottom w:val="0"/>
      <w:divBdr>
        <w:top w:val="none" w:sz="0" w:space="0" w:color="auto"/>
        <w:left w:val="none" w:sz="0" w:space="0" w:color="auto"/>
        <w:bottom w:val="none" w:sz="0" w:space="0" w:color="auto"/>
        <w:right w:val="none" w:sz="0" w:space="0" w:color="auto"/>
      </w:divBdr>
    </w:div>
    <w:div w:id="1095126361">
      <w:bodyDiv w:val="1"/>
      <w:marLeft w:val="0"/>
      <w:marRight w:val="0"/>
      <w:marTop w:val="0"/>
      <w:marBottom w:val="0"/>
      <w:divBdr>
        <w:top w:val="none" w:sz="0" w:space="0" w:color="auto"/>
        <w:left w:val="none" w:sz="0" w:space="0" w:color="auto"/>
        <w:bottom w:val="none" w:sz="0" w:space="0" w:color="auto"/>
        <w:right w:val="none" w:sz="0" w:space="0" w:color="auto"/>
      </w:divBdr>
    </w:div>
    <w:div w:id="1118185850">
      <w:bodyDiv w:val="1"/>
      <w:marLeft w:val="0"/>
      <w:marRight w:val="0"/>
      <w:marTop w:val="0"/>
      <w:marBottom w:val="0"/>
      <w:divBdr>
        <w:top w:val="none" w:sz="0" w:space="0" w:color="auto"/>
        <w:left w:val="none" w:sz="0" w:space="0" w:color="auto"/>
        <w:bottom w:val="none" w:sz="0" w:space="0" w:color="auto"/>
        <w:right w:val="none" w:sz="0" w:space="0" w:color="auto"/>
      </w:divBdr>
    </w:div>
    <w:div w:id="1164972481">
      <w:bodyDiv w:val="1"/>
      <w:marLeft w:val="0"/>
      <w:marRight w:val="0"/>
      <w:marTop w:val="0"/>
      <w:marBottom w:val="0"/>
      <w:divBdr>
        <w:top w:val="none" w:sz="0" w:space="0" w:color="auto"/>
        <w:left w:val="none" w:sz="0" w:space="0" w:color="auto"/>
        <w:bottom w:val="none" w:sz="0" w:space="0" w:color="auto"/>
        <w:right w:val="none" w:sz="0" w:space="0" w:color="auto"/>
      </w:divBdr>
    </w:div>
    <w:div w:id="1199128362">
      <w:bodyDiv w:val="1"/>
      <w:marLeft w:val="0"/>
      <w:marRight w:val="0"/>
      <w:marTop w:val="0"/>
      <w:marBottom w:val="0"/>
      <w:divBdr>
        <w:top w:val="none" w:sz="0" w:space="0" w:color="auto"/>
        <w:left w:val="none" w:sz="0" w:space="0" w:color="auto"/>
        <w:bottom w:val="none" w:sz="0" w:space="0" w:color="auto"/>
        <w:right w:val="none" w:sz="0" w:space="0" w:color="auto"/>
      </w:divBdr>
    </w:div>
    <w:div w:id="1284845955">
      <w:bodyDiv w:val="1"/>
      <w:marLeft w:val="0"/>
      <w:marRight w:val="0"/>
      <w:marTop w:val="0"/>
      <w:marBottom w:val="0"/>
      <w:divBdr>
        <w:top w:val="none" w:sz="0" w:space="0" w:color="auto"/>
        <w:left w:val="none" w:sz="0" w:space="0" w:color="auto"/>
        <w:bottom w:val="none" w:sz="0" w:space="0" w:color="auto"/>
        <w:right w:val="none" w:sz="0" w:space="0" w:color="auto"/>
      </w:divBdr>
      <w:divsChild>
        <w:div w:id="286663528">
          <w:marLeft w:val="547"/>
          <w:marRight w:val="0"/>
          <w:marTop w:val="0"/>
          <w:marBottom w:val="0"/>
          <w:divBdr>
            <w:top w:val="none" w:sz="0" w:space="0" w:color="auto"/>
            <w:left w:val="none" w:sz="0" w:space="0" w:color="auto"/>
            <w:bottom w:val="none" w:sz="0" w:space="0" w:color="auto"/>
            <w:right w:val="none" w:sz="0" w:space="0" w:color="auto"/>
          </w:divBdr>
        </w:div>
      </w:divsChild>
    </w:div>
    <w:div w:id="1303343396">
      <w:bodyDiv w:val="1"/>
      <w:marLeft w:val="0"/>
      <w:marRight w:val="0"/>
      <w:marTop w:val="0"/>
      <w:marBottom w:val="0"/>
      <w:divBdr>
        <w:top w:val="none" w:sz="0" w:space="0" w:color="auto"/>
        <w:left w:val="none" w:sz="0" w:space="0" w:color="auto"/>
        <w:bottom w:val="none" w:sz="0" w:space="0" w:color="auto"/>
        <w:right w:val="none" w:sz="0" w:space="0" w:color="auto"/>
      </w:divBdr>
    </w:div>
    <w:div w:id="1342510048">
      <w:bodyDiv w:val="1"/>
      <w:marLeft w:val="0"/>
      <w:marRight w:val="0"/>
      <w:marTop w:val="0"/>
      <w:marBottom w:val="0"/>
      <w:divBdr>
        <w:top w:val="none" w:sz="0" w:space="0" w:color="auto"/>
        <w:left w:val="none" w:sz="0" w:space="0" w:color="auto"/>
        <w:bottom w:val="none" w:sz="0" w:space="0" w:color="auto"/>
        <w:right w:val="none" w:sz="0" w:space="0" w:color="auto"/>
      </w:divBdr>
    </w:div>
    <w:div w:id="1424566178">
      <w:bodyDiv w:val="1"/>
      <w:marLeft w:val="0"/>
      <w:marRight w:val="0"/>
      <w:marTop w:val="0"/>
      <w:marBottom w:val="0"/>
      <w:divBdr>
        <w:top w:val="none" w:sz="0" w:space="0" w:color="auto"/>
        <w:left w:val="none" w:sz="0" w:space="0" w:color="auto"/>
        <w:bottom w:val="none" w:sz="0" w:space="0" w:color="auto"/>
        <w:right w:val="none" w:sz="0" w:space="0" w:color="auto"/>
      </w:divBdr>
    </w:div>
    <w:div w:id="1427580355">
      <w:bodyDiv w:val="1"/>
      <w:marLeft w:val="0"/>
      <w:marRight w:val="0"/>
      <w:marTop w:val="0"/>
      <w:marBottom w:val="0"/>
      <w:divBdr>
        <w:top w:val="none" w:sz="0" w:space="0" w:color="auto"/>
        <w:left w:val="none" w:sz="0" w:space="0" w:color="auto"/>
        <w:bottom w:val="none" w:sz="0" w:space="0" w:color="auto"/>
        <w:right w:val="none" w:sz="0" w:space="0" w:color="auto"/>
      </w:divBdr>
    </w:div>
    <w:div w:id="1456371582">
      <w:bodyDiv w:val="1"/>
      <w:marLeft w:val="0"/>
      <w:marRight w:val="0"/>
      <w:marTop w:val="0"/>
      <w:marBottom w:val="0"/>
      <w:divBdr>
        <w:top w:val="none" w:sz="0" w:space="0" w:color="auto"/>
        <w:left w:val="none" w:sz="0" w:space="0" w:color="auto"/>
        <w:bottom w:val="none" w:sz="0" w:space="0" w:color="auto"/>
        <w:right w:val="none" w:sz="0" w:space="0" w:color="auto"/>
      </w:divBdr>
    </w:div>
    <w:div w:id="1495998765">
      <w:bodyDiv w:val="1"/>
      <w:marLeft w:val="0"/>
      <w:marRight w:val="0"/>
      <w:marTop w:val="0"/>
      <w:marBottom w:val="0"/>
      <w:divBdr>
        <w:top w:val="none" w:sz="0" w:space="0" w:color="auto"/>
        <w:left w:val="none" w:sz="0" w:space="0" w:color="auto"/>
        <w:bottom w:val="none" w:sz="0" w:space="0" w:color="auto"/>
        <w:right w:val="none" w:sz="0" w:space="0" w:color="auto"/>
      </w:divBdr>
    </w:div>
    <w:div w:id="1500077874">
      <w:bodyDiv w:val="1"/>
      <w:marLeft w:val="0"/>
      <w:marRight w:val="0"/>
      <w:marTop w:val="0"/>
      <w:marBottom w:val="0"/>
      <w:divBdr>
        <w:top w:val="none" w:sz="0" w:space="0" w:color="auto"/>
        <w:left w:val="none" w:sz="0" w:space="0" w:color="auto"/>
        <w:bottom w:val="none" w:sz="0" w:space="0" w:color="auto"/>
        <w:right w:val="none" w:sz="0" w:space="0" w:color="auto"/>
      </w:divBdr>
    </w:div>
    <w:div w:id="1541744517">
      <w:bodyDiv w:val="1"/>
      <w:marLeft w:val="0"/>
      <w:marRight w:val="0"/>
      <w:marTop w:val="0"/>
      <w:marBottom w:val="0"/>
      <w:divBdr>
        <w:top w:val="none" w:sz="0" w:space="0" w:color="auto"/>
        <w:left w:val="none" w:sz="0" w:space="0" w:color="auto"/>
        <w:bottom w:val="none" w:sz="0" w:space="0" w:color="auto"/>
        <w:right w:val="none" w:sz="0" w:space="0" w:color="auto"/>
      </w:divBdr>
    </w:div>
    <w:div w:id="1624461180">
      <w:bodyDiv w:val="1"/>
      <w:marLeft w:val="0"/>
      <w:marRight w:val="0"/>
      <w:marTop w:val="0"/>
      <w:marBottom w:val="0"/>
      <w:divBdr>
        <w:top w:val="none" w:sz="0" w:space="0" w:color="auto"/>
        <w:left w:val="none" w:sz="0" w:space="0" w:color="auto"/>
        <w:bottom w:val="none" w:sz="0" w:space="0" w:color="auto"/>
        <w:right w:val="none" w:sz="0" w:space="0" w:color="auto"/>
      </w:divBdr>
      <w:divsChild>
        <w:div w:id="460003979">
          <w:marLeft w:val="0"/>
          <w:marRight w:val="0"/>
          <w:marTop w:val="0"/>
          <w:marBottom w:val="0"/>
          <w:divBdr>
            <w:top w:val="none" w:sz="0" w:space="0" w:color="auto"/>
            <w:left w:val="none" w:sz="0" w:space="0" w:color="auto"/>
            <w:bottom w:val="none" w:sz="0" w:space="0" w:color="auto"/>
            <w:right w:val="none" w:sz="0" w:space="0" w:color="auto"/>
          </w:divBdr>
        </w:div>
        <w:div w:id="1556890027">
          <w:marLeft w:val="0"/>
          <w:marRight w:val="0"/>
          <w:marTop w:val="0"/>
          <w:marBottom w:val="0"/>
          <w:divBdr>
            <w:top w:val="none" w:sz="0" w:space="0" w:color="auto"/>
            <w:left w:val="none" w:sz="0" w:space="0" w:color="auto"/>
            <w:bottom w:val="none" w:sz="0" w:space="0" w:color="auto"/>
            <w:right w:val="none" w:sz="0" w:space="0" w:color="auto"/>
          </w:divBdr>
        </w:div>
      </w:divsChild>
    </w:div>
    <w:div w:id="1631863101">
      <w:bodyDiv w:val="1"/>
      <w:marLeft w:val="0"/>
      <w:marRight w:val="0"/>
      <w:marTop w:val="0"/>
      <w:marBottom w:val="0"/>
      <w:divBdr>
        <w:top w:val="none" w:sz="0" w:space="0" w:color="auto"/>
        <w:left w:val="none" w:sz="0" w:space="0" w:color="auto"/>
        <w:bottom w:val="none" w:sz="0" w:space="0" w:color="auto"/>
        <w:right w:val="none" w:sz="0" w:space="0" w:color="auto"/>
      </w:divBdr>
    </w:div>
    <w:div w:id="1655599197">
      <w:bodyDiv w:val="1"/>
      <w:marLeft w:val="0"/>
      <w:marRight w:val="0"/>
      <w:marTop w:val="0"/>
      <w:marBottom w:val="0"/>
      <w:divBdr>
        <w:top w:val="none" w:sz="0" w:space="0" w:color="auto"/>
        <w:left w:val="none" w:sz="0" w:space="0" w:color="auto"/>
        <w:bottom w:val="none" w:sz="0" w:space="0" w:color="auto"/>
        <w:right w:val="none" w:sz="0" w:space="0" w:color="auto"/>
      </w:divBdr>
    </w:div>
    <w:div w:id="1666123621">
      <w:bodyDiv w:val="1"/>
      <w:marLeft w:val="0"/>
      <w:marRight w:val="0"/>
      <w:marTop w:val="0"/>
      <w:marBottom w:val="0"/>
      <w:divBdr>
        <w:top w:val="none" w:sz="0" w:space="0" w:color="auto"/>
        <w:left w:val="none" w:sz="0" w:space="0" w:color="auto"/>
        <w:bottom w:val="none" w:sz="0" w:space="0" w:color="auto"/>
        <w:right w:val="none" w:sz="0" w:space="0" w:color="auto"/>
      </w:divBdr>
    </w:div>
    <w:div w:id="1721587861">
      <w:bodyDiv w:val="1"/>
      <w:marLeft w:val="0"/>
      <w:marRight w:val="0"/>
      <w:marTop w:val="0"/>
      <w:marBottom w:val="0"/>
      <w:divBdr>
        <w:top w:val="none" w:sz="0" w:space="0" w:color="auto"/>
        <w:left w:val="none" w:sz="0" w:space="0" w:color="auto"/>
        <w:bottom w:val="none" w:sz="0" w:space="0" w:color="auto"/>
        <w:right w:val="none" w:sz="0" w:space="0" w:color="auto"/>
      </w:divBdr>
    </w:div>
    <w:div w:id="1758473768">
      <w:bodyDiv w:val="1"/>
      <w:marLeft w:val="0"/>
      <w:marRight w:val="0"/>
      <w:marTop w:val="0"/>
      <w:marBottom w:val="0"/>
      <w:divBdr>
        <w:top w:val="none" w:sz="0" w:space="0" w:color="auto"/>
        <w:left w:val="none" w:sz="0" w:space="0" w:color="auto"/>
        <w:bottom w:val="none" w:sz="0" w:space="0" w:color="auto"/>
        <w:right w:val="none" w:sz="0" w:space="0" w:color="auto"/>
      </w:divBdr>
    </w:div>
    <w:div w:id="1774738275">
      <w:bodyDiv w:val="1"/>
      <w:marLeft w:val="0"/>
      <w:marRight w:val="0"/>
      <w:marTop w:val="0"/>
      <w:marBottom w:val="0"/>
      <w:divBdr>
        <w:top w:val="none" w:sz="0" w:space="0" w:color="auto"/>
        <w:left w:val="none" w:sz="0" w:space="0" w:color="auto"/>
        <w:bottom w:val="none" w:sz="0" w:space="0" w:color="auto"/>
        <w:right w:val="none" w:sz="0" w:space="0" w:color="auto"/>
      </w:divBdr>
    </w:div>
    <w:div w:id="1795323254">
      <w:bodyDiv w:val="1"/>
      <w:marLeft w:val="0"/>
      <w:marRight w:val="0"/>
      <w:marTop w:val="0"/>
      <w:marBottom w:val="0"/>
      <w:divBdr>
        <w:top w:val="none" w:sz="0" w:space="0" w:color="auto"/>
        <w:left w:val="none" w:sz="0" w:space="0" w:color="auto"/>
        <w:bottom w:val="none" w:sz="0" w:space="0" w:color="auto"/>
        <w:right w:val="none" w:sz="0" w:space="0" w:color="auto"/>
      </w:divBdr>
    </w:div>
    <w:div w:id="1854110172">
      <w:bodyDiv w:val="1"/>
      <w:marLeft w:val="0"/>
      <w:marRight w:val="0"/>
      <w:marTop w:val="0"/>
      <w:marBottom w:val="0"/>
      <w:divBdr>
        <w:top w:val="none" w:sz="0" w:space="0" w:color="auto"/>
        <w:left w:val="none" w:sz="0" w:space="0" w:color="auto"/>
        <w:bottom w:val="none" w:sz="0" w:space="0" w:color="auto"/>
        <w:right w:val="none" w:sz="0" w:space="0" w:color="auto"/>
      </w:divBdr>
    </w:div>
    <w:div w:id="1868791104">
      <w:bodyDiv w:val="1"/>
      <w:marLeft w:val="0"/>
      <w:marRight w:val="0"/>
      <w:marTop w:val="0"/>
      <w:marBottom w:val="0"/>
      <w:divBdr>
        <w:top w:val="none" w:sz="0" w:space="0" w:color="auto"/>
        <w:left w:val="none" w:sz="0" w:space="0" w:color="auto"/>
        <w:bottom w:val="none" w:sz="0" w:space="0" w:color="auto"/>
        <w:right w:val="none" w:sz="0" w:space="0" w:color="auto"/>
      </w:divBdr>
    </w:div>
    <w:div w:id="1883662929">
      <w:bodyDiv w:val="1"/>
      <w:marLeft w:val="0"/>
      <w:marRight w:val="0"/>
      <w:marTop w:val="0"/>
      <w:marBottom w:val="0"/>
      <w:divBdr>
        <w:top w:val="none" w:sz="0" w:space="0" w:color="auto"/>
        <w:left w:val="none" w:sz="0" w:space="0" w:color="auto"/>
        <w:bottom w:val="none" w:sz="0" w:space="0" w:color="auto"/>
        <w:right w:val="none" w:sz="0" w:space="0" w:color="auto"/>
      </w:divBdr>
    </w:div>
    <w:div w:id="1887569205">
      <w:bodyDiv w:val="1"/>
      <w:marLeft w:val="0"/>
      <w:marRight w:val="0"/>
      <w:marTop w:val="0"/>
      <w:marBottom w:val="0"/>
      <w:divBdr>
        <w:top w:val="none" w:sz="0" w:space="0" w:color="auto"/>
        <w:left w:val="none" w:sz="0" w:space="0" w:color="auto"/>
        <w:bottom w:val="none" w:sz="0" w:space="0" w:color="auto"/>
        <w:right w:val="none" w:sz="0" w:space="0" w:color="auto"/>
      </w:divBdr>
    </w:div>
    <w:div w:id="1897667515">
      <w:bodyDiv w:val="1"/>
      <w:marLeft w:val="0"/>
      <w:marRight w:val="0"/>
      <w:marTop w:val="0"/>
      <w:marBottom w:val="0"/>
      <w:divBdr>
        <w:top w:val="none" w:sz="0" w:space="0" w:color="auto"/>
        <w:left w:val="none" w:sz="0" w:space="0" w:color="auto"/>
        <w:bottom w:val="none" w:sz="0" w:space="0" w:color="auto"/>
        <w:right w:val="none" w:sz="0" w:space="0" w:color="auto"/>
      </w:divBdr>
    </w:div>
    <w:div w:id="1920094241">
      <w:bodyDiv w:val="1"/>
      <w:marLeft w:val="0"/>
      <w:marRight w:val="0"/>
      <w:marTop w:val="0"/>
      <w:marBottom w:val="0"/>
      <w:divBdr>
        <w:top w:val="none" w:sz="0" w:space="0" w:color="auto"/>
        <w:left w:val="none" w:sz="0" w:space="0" w:color="auto"/>
        <w:bottom w:val="none" w:sz="0" w:space="0" w:color="auto"/>
        <w:right w:val="none" w:sz="0" w:space="0" w:color="auto"/>
      </w:divBdr>
    </w:div>
    <w:div w:id="1952932316">
      <w:bodyDiv w:val="1"/>
      <w:marLeft w:val="0"/>
      <w:marRight w:val="0"/>
      <w:marTop w:val="0"/>
      <w:marBottom w:val="0"/>
      <w:divBdr>
        <w:top w:val="none" w:sz="0" w:space="0" w:color="auto"/>
        <w:left w:val="none" w:sz="0" w:space="0" w:color="auto"/>
        <w:bottom w:val="none" w:sz="0" w:space="0" w:color="auto"/>
        <w:right w:val="none" w:sz="0" w:space="0" w:color="auto"/>
      </w:divBdr>
    </w:div>
    <w:div w:id="1954437835">
      <w:bodyDiv w:val="1"/>
      <w:marLeft w:val="0"/>
      <w:marRight w:val="0"/>
      <w:marTop w:val="0"/>
      <w:marBottom w:val="0"/>
      <w:divBdr>
        <w:top w:val="none" w:sz="0" w:space="0" w:color="auto"/>
        <w:left w:val="none" w:sz="0" w:space="0" w:color="auto"/>
        <w:bottom w:val="none" w:sz="0" w:space="0" w:color="auto"/>
        <w:right w:val="none" w:sz="0" w:space="0" w:color="auto"/>
      </w:divBdr>
    </w:div>
    <w:div w:id="1979451100">
      <w:bodyDiv w:val="1"/>
      <w:marLeft w:val="0"/>
      <w:marRight w:val="0"/>
      <w:marTop w:val="0"/>
      <w:marBottom w:val="0"/>
      <w:divBdr>
        <w:top w:val="none" w:sz="0" w:space="0" w:color="auto"/>
        <w:left w:val="none" w:sz="0" w:space="0" w:color="auto"/>
        <w:bottom w:val="none" w:sz="0" w:space="0" w:color="auto"/>
        <w:right w:val="none" w:sz="0" w:space="0" w:color="auto"/>
      </w:divBdr>
    </w:div>
    <w:div w:id="1992832413">
      <w:bodyDiv w:val="1"/>
      <w:marLeft w:val="0"/>
      <w:marRight w:val="0"/>
      <w:marTop w:val="0"/>
      <w:marBottom w:val="0"/>
      <w:divBdr>
        <w:top w:val="none" w:sz="0" w:space="0" w:color="auto"/>
        <w:left w:val="none" w:sz="0" w:space="0" w:color="auto"/>
        <w:bottom w:val="none" w:sz="0" w:space="0" w:color="auto"/>
        <w:right w:val="none" w:sz="0" w:space="0" w:color="auto"/>
      </w:divBdr>
    </w:div>
    <w:div w:id="2029288522">
      <w:bodyDiv w:val="1"/>
      <w:marLeft w:val="0"/>
      <w:marRight w:val="0"/>
      <w:marTop w:val="0"/>
      <w:marBottom w:val="0"/>
      <w:divBdr>
        <w:top w:val="none" w:sz="0" w:space="0" w:color="auto"/>
        <w:left w:val="none" w:sz="0" w:space="0" w:color="auto"/>
        <w:bottom w:val="none" w:sz="0" w:space="0" w:color="auto"/>
        <w:right w:val="none" w:sz="0" w:space="0" w:color="auto"/>
      </w:divBdr>
    </w:div>
    <w:div w:id="2087536036">
      <w:bodyDiv w:val="1"/>
      <w:marLeft w:val="0"/>
      <w:marRight w:val="0"/>
      <w:marTop w:val="0"/>
      <w:marBottom w:val="0"/>
      <w:divBdr>
        <w:top w:val="none" w:sz="0" w:space="0" w:color="auto"/>
        <w:left w:val="none" w:sz="0" w:space="0" w:color="auto"/>
        <w:bottom w:val="none" w:sz="0" w:space="0" w:color="auto"/>
        <w:right w:val="none" w:sz="0" w:space="0" w:color="auto"/>
      </w:divBdr>
    </w:div>
    <w:div w:id="2098403879">
      <w:bodyDiv w:val="1"/>
      <w:marLeft w:val="0"/>
      <w:marRight w:val="0"/>
      <w:marTop w:val="0"/>
      <w:marBottom w:val="0"/>
      <w:divBdr>
        <w:top w:val="none" w:sz="0" w:space="0" w:color="auto"/>
        <w:left w:val="none" w:sz="0" w:space="0" w:color="auto"/>
        <w:bottom w:val="none" w:sz="0" w:space="0" w:color="auto"/>
        <w:right w:val="none" w:sz="0" w:space="0" w:color="auto"/>
      </w:divBdr>
    </w:div>
    <w:div w:id="2099716337">
      <w:bodyDiv w:val="1"/>
      <w:marLeft w:val="0"/>
      <w:marRight w:val="0"/>
      <w:marTop w:val="0"/>
      <w:marBottom w:val="0"/>
      <w:divBdr>
        <w:top w:val="none" w:sz="0" w:space="0" w:color="auto"/>
        <w:left w:val="none" w:sz="0" w:space="0" w:color="auto"/>
        <w:bottom w:val="none" w:sz="0" w:space="0" w:color="auto"/>
        <w:right w:val="none" w:sz="0" w:space="0" w:color="auto"/>
      </w:divBdr>
    </w:div>
    <w:div w:id="2101632879">
      <w:bodyDiv w:val="1"/>
      <w:marLeft w:val="0"/>
      <w:marRight w:val="0"/>
      <w:marTop w:val="0"/>
      <w:marBottom w:val="0"/>
      <w:divBdr>
        <w:top w:val="none" w:sz="0" w:space="0" w:color="auto"/>
        <w:left w:val="none" w:sz="0" w:space="0" w:color="auto"/>
        <w:bottom w:val="none" w:sz="0" w:space="0" w:color="auto"/>
        <w:right w:val="none" w:sz="0" w:space="0" w:color="auto"/>
      </w:divBdr>
    </w:div>
    <w:div w:id="213871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s://gender-pay-gap.service.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4626176D315544C94C699C7AD409AA1" ma:contentTypeVersion="12" ma:contentTypeDescription="Create a new document." ma:contentTypeScope="" ma:versionID="349f5b989fa612a2e258d4e0a7a1e782">
  <xsd:schema xmlns:xsd="http://www.w3.org/2001/XMLSchema" xmlns:xs="http://www.w3.org/2001/XMLSchema" xmlns:p="http://schemas.microsoft.com/office/2006/metadata/properties" xmlns:ns1="http://schemas.microsoft.com/sharepoint/v3" xmlns:ns3="e7136045-8404-4488-8b75-837c2c7b996a" xmlns:ns4="685cf995-a182-41a5-9cd4-89464fa213d3" targetNamespace="http://schemas.microsoft.com/office/2006/metadata/properties" ma:root="true" ma:fieldsID="54ddbdf8272ba0af922cf3186429c132" ns1:_="" ns3:_="" ns4:_="">
    <xsd:import namespace="http://schemas.microsoft.com/sharepoint/v3"/>
    <xsd:import namespace="e7136045-8404-4488-8b75-837c2c7b996a"/>
    <xsd:import namespace="685cf995-a182-41a5-9cd4-89464fa213d3"/>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136045-8404-4488-8b75-837c2c7b99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5cf995-a182-41a5-9cd4-89464fa213d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FBB5AF-7ED9-4600-991F-F3CA8CC084F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85C262C-704D-4684-B011-1B79252CE908}">
  <ds:schemaRefs>
    <ds:schemaRef ds:uri="http://schemas.openxmlformats.org/officeDocument/2006/bibliography"/>
  </ds:schemaRefs>
</ds:datastoreItem>
</file>

<file path=customXml/itemProps3.xml><?xml version="1.0" encoding="utf-8"?>
<ds:datastoreItem xmlns:ds="http://schemas.openxmlformats.org/officeDocument/2006/customXml" ds:itemID="{96EC49C0-435B-47E3-ADD1-ED3104F7F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136045-8404-4488-8b75-837c2c7b996a"/>
    <ds:schemaRef ds:uri="685cf995-a182-41a5-9cd4-89464fa21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7F6FE9-DE59-4FB3-A0A3-EA38D0AD93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5731</Words>
  <Characters>32673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First page content goes here</vt:lpstr>
    </vt:vector>
  </TitlesOfParts>
  <Company>Health and Safety Executive</Company>
  <LinksUpToDate>false</LinksUpToDate>
  <CharactersWithSpaces>38328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page content goes here</dc:title>
  <dc:creator>Pam Paul</dc:creator>
  <cp:lastModifiedBy>Carol Boyle</cp:lastModifiedBy>
  <cp:revision>2</cp:revision>
  <cp:lastPrinted>2019-06-11T10:24:00Z</cp:lastPrinted>
  <dcterms:created xsi:type="dcterms:W3CDTF">2023-12-04T16:25:00Z</dcterms:created>
  <dcterms:modified xsi:type="dcterms:W3CDTF">2023-12-04T16:25:00Z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0x010100F4626176D315544C94C699C7AD409AA1</vt:lpwstr>
  </property>
  <property fmtid="{D5CDD505-2E9C-101B-9397-08002B2CF9AE}" pid="4" name="MSIP_Label_30823a3f-2604-4291-9498-507e39d8fe41_Enabled">
    <vt:lpwstr>true</vt:lpwstr>
  </property>
  <property fmtid="{D5CDD505-2E9C-101B-9397-08002B2CF9AE}" pid="5" name="MSIP_Label_30823a3f-2604-4291-9498-507e39d8fe41_SetDate">
    <vt:lpwstr>2022-11-21T13:34:26Z</vt:lpwstr>
  </property>
  <property fmtid="{D5CDD505-2E9C-101B-9397-08002B2CF9AE}" pid="6" name="MSIP_Label_30823a3f-2604-4291-9498-507e39d8fe41_Method">
    <vt:lpwstr>Privileged</vt:lpwstr>
  </property>
  <property fmtid="{D5CDD505-2E9C-101B-9397-08002B2CF9AE}" pid="7" name="MSIP_Label_30823a3f-2604-4291-9498-507e39d8fe41_Name">
    <vt:lpwstr>OFFICIAL-SENSITIVE - OFFICIAL-SENSITIVE</vt:lpwstr>
  </property>
  <property fmtid="{D5CDD505-2E9C-101B-9397-08002B2CF9AE}" pid="8" name="MSIP_Label_30823a3f-2604-4291-9498-507e39d8fe41_SiteId">
    <vt:lpwstr>742775df-8077-48d6-81d0-1e82a1f52cb8</vt:lpwstr>
  </property>
  <property fmtid="{D5CDD505-2E9C-101B-9397-08002B2CF9AE}" pid="9" name="MSIP_Label_30823a3f-2604-4291-9498-507e39d8fe41_ActionId">
    <vt:lpwstr>e2af3e17-ac84-4874-af4d-b01cc04881d0</vt:lpwstr>
  </property>
  <property fmtid="{D5CDD505-2E9C-101B-9397-08002B2CF9AE}" pid="10" name="MSIP_Label_30823a3f-2604-4291-9498-507e39d8fe41_ContentBits">
    <vt:lpwstr>3</vt:lpwstr>
  </property>
</Properties>
</file>