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5B9A6040">
        <w:trPr>
          <w:trHeight w:val="211"/>
        </w:trPr>
        <w:tc>
          <w:tcPr>
            <w:tcW w:w="9897" w:type="dxa"/>
            <w:gridSpan w:val="2"/>
            <w:vAlign w:val="center"/>
          </w:tcPr>
          <w:p w14:paraId="4573E01D" w14:textId="2825D1DF" w:rsidR="00220466" w:rsidRPr="00627D12" w:rsidRDefault="0048438C" w:rsidP="0048438C">
            <w:pPr>
              <w:jc w:val="center"/>
              <w:rPr>
                <w:b/>
                <w:sz w:val="28"/>
                <w:szCs w:val="28"/>
              </w:rPr>
            </w:pPr>
            <w:r>
              <w:rPr>
                <w:b/>
                <w:sz w:val="28"/>
                <w:szCs w:val="28"/>
              </w:rPr>
              <w:t>GDA Regulatory Observation</w:t>
            </w:r>
          </w:p>
        </w:tc>
      </w:tr>
      <w:tr w:rsidR="00220466" w:rsidRPr="0048438C" w14:paraId="4573E020" w14:textId="77777777" w:rsidTr="5B9A6040">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5B9A6040">
        <w:trPr>
          <w:trHeight w:val="202"/>
        </w:trPr>
        <w:tc>
          <w:tcPr>
            <w:tcW w:w="4948" w:type="dxa"/>
          </w:tcPr>
          <w:p w14:paraId="4573E021" w14:textId="77777777" w:rsidR="00220466" w:rsidRPr="0048438C" w:rsidRDefault="00C34CBC" w:rsidP="0048438C">
            <w:pPr>
              <w:spacing w:before="60" w:after="60"/>
              <w:rPr>
                <w:b/>
                <w:szCs w:val="24"/>
              </w:rPr>
            </w:pPr>
            <w:r w:rsidRPr="0048438C">
              <w:rPr>
                <w:b/>
                <w:szCs w:val="24"/>
              </w:rPr>
              <w:t>RO</w:t>
            </w:r>
            <w:r w:rsidR="00220466" w:rsidRPr="0048438C">
              <w:rPr>
                <w:b/>
                <w:szCs w:val="24"/>
              </w:rPr>
              <w:t xml:space="preserve"> unique no.:</w:t>
            </w:r>
          </w:p>
        </w:tc>
        <w:tc>
          <w:tcPr>
            <w:tcW w:w="4949" w:type="dxa"/>
          </w:tcPr>
          <w:p w14:paraId="4573E022" w14:textId="0967BC1B" w:rsidR="00220466" w:rsidRPr="0048438C" w:rsidRDefault="00684E8C" w:rsidP="0048438C">
            <w:pPr>
              <w:spacing w:before="60" w:after="60"/>
              <w:rPr>
                <w:szCs w:val="24"/>
              </w:rPr>
            </w:pPr>
            <w:r w:rsidRPr="0048438C">
              <w:rPr>
                <w:szCs w:val="24"/>
              </w:rPr>
              <w:t>RO-</w:t>
            </w:r>
            <w:r w:rsidR="00FA4C46">
              <w:rPr>
                <w:szCs w:val="24"/>
              </w:rPr>
              <w:t>HOLTEC</w:t>
            </w:r>
            <w:r w:rsidR="00EE0A6A">
              <w:rPr>
                <w:szCs w:val="24"/>
              </w:rPr>
              <w:t>SMR300</w:t>
            </w:r>
            <w:r w:rsidR="005933F1">
              <w:rPr>
                <w:szCs w:val="24"/>
              </w:rPr>
              <w:t>-</w:t>
            </w:r>
            <w:r w:rsidR="00807D4F">
              <w:rPr>
                <w:szCs w:val="24"/>
              </w:rPr>
              <w:t>005</w:t>
            </w:r>
          </w:p>
        </w:tc>
      </w:tr>
      <w:tr w:rsidR="00220466" w:rsidRPr="0048438C" w14:paraId="4573E026" w14:textId="77777777" w:rsidTr="5B9A6040">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2EAD73AC" w:rsidR="00220466" w:rsidRPr="00F5772A" w:rsidRDefault="00F71A6F" w:rsidP="0048438C">
            <w:pPr>
              <w:spacing w:before="60" w:after="60"/>
              <w:rPr>
                <w:i/>
                <w:iCs/>
                <w:szCs w:val="24"/>
              </w:rPr>
            </w:pPr>
            <w:r>
              <w:rPr>
                <w:szCs w:val="24"/>
              </w:rPr>
              <w:t>1.0</w:t>
            </w:r>
          </w:p>
        </w:tc>
      </w:tr>
      <w:tr w:rsidR="00850471" w:rsidRPr="0048438C" w14:paraId="3FF001D1" w14:textId="77777777" w:rsidTr="5B9A6040">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1CBC7095" w:rsidR="00850471" w:rsidRPr="0048438C" w:rsidRDefault="00F71A6F" w:rsidP="6D3347D7">
            <w:pPr>
              <w:spacing w:before="60" w:after="60"/>
            </w:pPr>
            <w:r>
              <w:t>1</w:t>
            </w:r>
            <w:r w:rsidR="16302FCB">
              <w:t>7</w:t>
            </w:r>
            <w:r>
              <w:t>/09/2025</w:t>
            </w:r>
          </w:p>
        </w:tc>
      </w:tr>
      <w:tr w:rsidR="00220466" w:rsidRPr="0048438C" w14:paraId="4573E029" w14:textId="77777777" w:rsidTr="5B9A6040">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26F441ED" w:rsidR="00220466" w:rsidRPr="0048438C" w:rsidRDefault="0C5B923C" w:rsidP="0048438C">
            <w:pPr>
              <w:spacing w:before="60" w:after="60"/>
            </w:pPr>
            <w:r>
              <w:t>30</w:t>
            </w:r>
            <w:r w:rsidR="00850471">
              <w:t>/</w:t>
            </w:r>
            <w:r w:rsidR="1826C369">
              <w:t>07</w:t>
            </w:r>
            <w:r w:rsidR="00850471">
              <w:t>/</w:t>
            </w:r>
            <w:r w:rsidR="274585DB">
              <w:t>2025</w:t>
            </w:r>
            <w:r w:rsidR="00850471">
              <w:t xml:space="preserve"> </w:t>
            </w:r>
            <w:r w:rsidR="00F5772A" w:rsidRPr="00F5772A">
              <w:rPr>
                <w:i/>
                <w:iCs/>
              </w:rPr>
              <w:t>(unchanged at revision 1.0</w:t>
            </w:r>
            <w:r w:rsidR="00E643BD">
              <w:rPr>
                <w:i/>
                <w:iCs/>
              </w:rPr>
              <w:t xml:space="preserve"> as there are no substantive changes in technical content or impact on the resolution plan</w:t>
            </w:r>
            <w:r w:rsidR="00F5772A" w:rsidRPr="00F5772A">
              <w:rPr>
                <w:i/>
                <w:iCs/>
              </w:rPr>
              <w:t>)</w:t>
            </w:r>
          </w:p>
        </w:tc>
      </w:tr>
      <w:tr w:rsidR="00220466" w:rsidRPr="0048438C" w14:paraId="4573E02C" w14:textId="77777777" w:rsidTr="5B9A6040">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73CEFA7D" w:rsidR="0000781D" w:rsidRPr="0048438C" w:rsidRDefault="49B736B3" w:rsidP="6D3347D7">
            <w:pPr>
              <w:spacing w:before="60" w:after="60"/>
            </w:pPr>
            <w:r>
              <w:t>20</w:t>
            </w:r>
            <w:r w:rsidR="00850471">
              <w:t>/</w:t>
            </w:r>
            <w:r w:rsidR="13D23C12">
              <w:t>08</w:t>
            </w:r>
            <w:r w:rsidR="00850471">
              <w:t>/</w:t>
            </w:r>
            <w:r w:rsidR="7FA007EA">
              <w:t>2025</w:t>
            </w:r>
            <w:r w:rsidR="00F5772A">
              <w:t xml:space="preserve"> </w:t>
            </w:r>
            <w:r w:rsidR="00E643BD" w:rsidRPr="00F5772A">
              <w:rPr>
                <w:i/>
                <w:iCs/>
              </w:rPr>
              <w:t>(unchanged at revision 1.0</w:t>
            </w:r>
            <w:r w:rsidR="00E643BD">
              <w:rPr>
                <w:i/>
                <w:iCs/>
              </w:rPr>
              <w:t xml:space="preserve"> as there are no substantive changes in technical content or impact on the resolution plan</w:t>
            </w:r>
            <w:r w:rsidR="00E643BD" w:rsidRPr="00F5772A">
              <w:rPr>
                <w:i/>
                <w:iCs/>
              </w:rPr>
              <w:t>)</w:t>
            </w:r>
          </w:p>
        </w:tc>
      </w:tr>
      <w:tr w:rsidR="00220466" w:rsidRPr="0048438C" w14:paraId="4573E032" w14:textId="77777777" w:rsidTr="5B9A6040">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2433EA97" w:rsidR="00220466" w:rsidRPr="0048438C" w:rsidRDefault="05D8B672" w:rsidP="0DCF3A39">
            <w:pPr>
              <w:spacing w:before="60" w:after="60"/>
            </w:pPr>
            <w:r>
              <w:t>AR-01743</w:t>
            </w:r>
          </w:p>
        </w:tc>
      </w:tr>
      <w:tr w:rsidR="0040443F" w:rsidRPr="0048438C" w14:paraId="4573E035" w14:textId="77777777" w:rsidTr="5B9A6040">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4573E034" w14:textId="0F6B24FA" w:rsidR="0040443F" w:rsidRPr="0040443F" w:rsidRDefault="00272E0F" w:rsidP="0040443F">
            <w:pPr>
              <w:spacing w:before="60" w:after="60"/>
              <w:rPr>
                <w:szCs w:val="24"/>
                <w:highlight w:val="yellow"/>
              </w:rPr>
            </w:pPr>
            <w:r w:rsidRPr="00F7216D">
              <w:t xml:space="preserve">RQ-01850, </w:t>
            </w:r>
            <w:r w:rsidR="00F7216D" w:rsidRPr="00F7216D">
              <w:t>Compliance with Rod-Average Fuel Burnup Limit</w:t>
            </w:r>
          </w:p>
        </w:tc>
      </w:tr>
      <w:tr w:rsidR="00850471" w:rsidRPr="0048438C" w14:paraId="4573E03E" w14:textId="77777777" w:rsidTr="5B9A6040">
        <w:trPr>
          <w:trHeight w:val="202"/>
        </w:trPr>
        <w:tc>
          <w:tcPr>
            <w:tcW w:w="4948" w:type="dxa"/>
          </w:tcPr>
          <w:p w14:paraId="4573E03C" w14:textId="77777777" w:rsidR="00850471" w:rsidRPr="0048438C" w:rsidRDefault="00850471" w:rsidP="0048438C">
            <w:pPr>
              <w:spacing w:before="60" w:after="60"/>
              <w:rPr>
                <w:b/>
                <w:szCs w:val="24"/>
              </w:rPr>
            </w:pPr>
            <w:r w:rsidRPr="0048438C">
              <w:rPr>
                <w:b/>
                <w:szCs w:val="24"/>
              </w:rPr>
              <w:t>Observation title:</w:t>
            </w:r>
          </w:p>
        </w:tc>
        <w:tc>
          <w:tcPr>
            <w:tcW w:w="4949" w:type="dxa"/>
          </w:tcPr>
          <w:p w14:paraId="4573E03D" w14:textId="1ED604A2" w:rsidR="0040443F" w:rsidRPr="0048438C" w:rsidRDefault="004F1590" w:rsidP="0048438C">
            <w:pPr>
              <w:spacing w:before="60" w:after="60"/>
              <w:rPr>
                <w:szCs w:val="24"/>
              </w:rPr>
            </w:pPr>
            <w:r>
              <w:rPr>
                <w:szCs w:val="24"/>
              </w:rPr>
              <w:t>F</w:t>
            </w:r>
            <w:r w:rsidR="00B168F5">
              <w:rPr>
                <w:szCs w:val="24"/>
              </w:rPr>
              <w:t xml:space="preserve">uel </w:t>
            </w:r>
            <w:r>
              <w:rPr>
                <w:szCs w:val="24"/>
              </w:rPr>
              <w:t>R</w:t>
            </w:r>
            <w:r w:rsidR="00B168F5">
              <w:rPr>
                <w:szCs w:val="24"/>
              </w:rPr>
              <w:t xml:space="preserve">od </w:t>
            </w:r>
            <w:r>
              <w:rPr>
                <w:szCs w:val="24"/>
              </w:rPr>
              <w:t>B</w:t>
            </w:r>
            <w:r w:rsidR="00B168F5">
              <w:rPr>
                <w:szCs w:val="24"/>
              </w:rPr>
              <w:t>urnup</w:t>
            </w:r>
          </w:p>
        </w:tc>
      </w:tr>
      <w:tr w:rsidR="00CC67B6" w:rsidRPr="0048438C" w14:paraId="4573E043" w14:textId="77777777" w:rsidTr="5B9A6040">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4573E040" w14:textId="6172DF11" w:rsidR="00CC67B6" w:rsidRPr="0048438C" w:rsidRDefault="0087645C" w:rsidP="00692921">
            <w:pPr>
              <w:spacing w:before="60" w:after="60"/>
              <w:rPr>
                <w:szCs w:val="24"/>
              </w:rPr>
            </w:pPr>
            <w:r w:rsidRPr="0087645C">
              <w:rPr>
                <w:szCs w:val="24"/>
              </w:rPr>
              <w:t xml:space="preserve">Fuel and </w:t>
            </w:r>
            <w:r w:rsidR="00692921">
              <w:rPr>
                <w:szCs w:val="24"/>
              </w:rPr>
              <w:t>Core</w:t>
            </w:r>
          </w:p>
        </w:tc>
        <w:tc>
          <w:tcPr>
            <w:tcW w:w="4949" w:type="dxa"/>
          </w:tcPr>
          <w:p w14:paraId="411BB36A" w14:textId="28BD700B" w:rsidR="003A6935" w:rsidRPr="00692921" w:rsidRDefault="00CC67B6" w:rsidP="00692921">
            <w:pPr>
              <w:spacing w:before="60" w:after="60"/>
              <w:rPr>
                <w:b/>
                <w:szCs w:val="24"/>
              </w:rPr>
            </w:pPr>
            <w:r w:rsidRPr="0048438C">
              <w:rPr>
                <w:b/>
                <w:szCs w:val="24"/>
              </w:rPr>
              <w:t>Related technical topic(s):</w:t>
            </w:r>
          </w:p>
          <w:p w14:paraId="4573E042" w14:textId="3022CE12" w:rsidR="00CC67B6" w:rsidRPr="0048438C" w:rsidRDefault="00CC67B6" w:rsidP="003A6935">
            <w:pPr>
              <w:pStyle w:val="ListParagraph"/>
              <w:spacing w:before="60" w:after="60"/>
              <w:ind w:left="0"/>
              <w:rPr>
                <w:szCs w:val="24"/>
              </w:rPr>
            </w:pPr>
            <w:r w:rsidRPr="0048438C">
              <w:rPr>
                <w:szCs w:val="24"/>
                <w:lang w:eastAsia="en-GB"/>
              </w:rPr>
              <w:fldChar w:fldCharType="begin"/>
            </w:r>
            <w:r w:rsidRPr="0048438C">
              <w:rPr>
                <w:szCs w:val="24"/>
                <w:lang w:eastAsia="en-GB"/>
              </w:rPr>
              <w:instrText xml:space="preserve"> MERGEFIELD F10 </w:instrText>
            </w:r>
            <w:r w:rsidRPr="0048438C">
              <w:rPr>
                <w:szCs w:val="24"/>
                <w:lang w:eastAsia="en-GB"/>
              </w:rPr>
              <w:fldChar w:fldCharType="end"/>
            </w:r>
          </w:p>
        </w:tc>
      </w:tr>
      <w:tr w:rsidR="00850471" w:rsidRPr="0048438C" w14:paraId="4573E045" w14:textId="77777777" w:rsidTr="5B9A6040">
        <w:trPr>
          <w:trHeight w:val="242"/>
        </w:trPr>
        <w:tc>
          <w:tcPr>
            <w:tcW w:w="9897" w:type="dxa"/>
            <w:gridSpan w:val="2"/>
            <w:shd w:val="clear" w:color="auto" w:fill="CCCCCC"/>
          </w:tcPr>
          <w:p w14:paraId="4573E044" w14:textId="7ECC632F" w:rsidR="00850471" w:rsidRPr="00581D5B" w:rsidRDefault="00581D5B" w:rsidP="0048438C">
            <w:pPr>
              <w:spacing w:before="60" w:after="60"/>
              <w:rPr>
                <w:b/>
                <w:iCs/>
                <w:szCs w:val="24"/>
              </w:rPr>
            </w:pPr>
            <w:r w:rsidRPr="00581D5B">
              <w:rPr>
                <w:b/>
                <w:iCs/>
                <w:szCs w:val="24"/>
              </w:rPr>
              <w:t>REGULATORY OBSERVATION:</w:t>
            </w:r>
          </w:p>
        </w:tc>
      </w:tr>
      <w:tr w:rsidR="00850471" w:rsidRPr="0048438C" w14:paraId="4573E049" w14:textId="77777777" w:rsidTr="5B9A6040">
        <w:tc>
          <w:tcPr>
            <w:tcW w:w="9897" w:type="dxa"/>
            <w:gridSpan w:val="2"/>
          </w:tcPr>
          <w:p w14:paraId="4F3F6A8D" w14:textId="162229E0" w:rsidR="00850471" w:rsidRDefault="00CC67B6" w:rsidP="0048438C">
            <w:pPr>
              <w:spacing w:before="60" w:after="60"/>
              <w:rPr>
                <w:b/>
                <w:szCs w:val="24"/>
                <w:u w:val="single"/>
              </w:rPr>
            </w:pPr>
            <w:r w:rsidRPr="0048438C">
              <w:rPr>
                <w:b/>
                <w:szCs w:val="24"/>
                <w:u w:val="single"/>
              </w:rPr>
              <w:t>Background</w:t>
            </w:r>
          </w:p>
          <w:p w14:paraId="660EB75B" w14:textId="77777777" w:rsidR="00994095" w:rsidRPr="0048438C" w:rsidRDefault="00994095" w:rsidP="0048438C">
            <w:pPr>
              <w:spacing w:before="60" w:after="60"/>
              <w:rPr>
                <w:b/>
                <w:szCs w:val="24"/>
                <w:u w:val="single"/>
              </w:rPr>
            </w:pPr>
          </w:p>
          <w:p w14:paraId="7590D70C" w14:textId="581C60E0" w:rsidR="009842BA" w:rsidRPr="00FA17AB" w:rsidRDefault="0041262F" w:rsidP="00235D8C">
            <w:pPr>
              <w:pStyle w:val="Numberedparagraph"/>
            </w:pPr>
            <w:r>
              <w:t>The requesting party (RP)</w:t>
            </w:r>
            <w:r w:rsidR="009842BA">
              <w:t xml:space="preserve"> has presented a structured set of safety-related limits on fuel </w:t>
            </w:r>
            <w:r w:rsidR="009842BA" w:rsidRPr="00FA17AB">
              <w:t xml:space="preserve">and core design parameters in </w:t>
            </w:r>
            <w:r w:rsidR="00E30E28" w:rsidRPr="00FA17AB">
              <w:t>the</w:t>
            </w:r>
            <w:r w:rsidR="0023318B" w:rsidRPr="00FA17AB">
              <w:t xml:space="preserve"> UK GDA SMR-300 Fuel</w:t>
            </w:r>
            <w:r w:rsidR="0003257C" w:rsidRPr="00FA17AB">
              <w:t xml:space="preserve"> Design </w:t>
            </w:r>
            <w:r w:rsidR="0023318B" w:rsidRPr="00FA17AB">
              <w:t xml:space="preserve">Criteria and Limits report (Ref </w:t>
            </w:r>
            <w:r w:rsidR="00466E50" w:rsidRPr="00FA17AB">
              <w:t>[1]</w:t>
            </w:r>
            <w:r w:rsidR="0023318B" w:rsidRPr="00FA17AB">
              <w:t>)</w:t>
            </w:r>
            <w:r w:rsidR="0003257C" w:rsidRPr="00FA17AB">
              <w:t xml:space="preserve">. </w:t>
            </w:r>
            <w:r w:rsidR="004234AF" w:rsidRPr="00FA17AB">
              <w:t xml:space="preserve">It includes limits on the maximum fuel burnup (irradiation) </w:t>
            </w:r>
            <w:r w:rsidR="00A51936" w:rsidRPr="00FA17AB">
              <w:t>allowable on an assembly-average basis and on a rod-average basis</w:t>
            </w:r>
            <w:r w:rsidR="00E6606C" w:rsidRPr="00FA17AB">
              <w:t>.</w:t>
            </w:r>
            <w:r w:rsidR="00A51936" w:rsidRPr="00FA17AB">
              <w:t xml:space="preserve"> </w:t>
            </w:r>
            <w:r w:rsidR="00E6606C" w:rsidRPr="00FA17AB">
              <w:t>Different limits apply to</w:t>
            </w:r>
            <w:r w:rsidR="00A51936" w:rsidRPr="00FA17AB">
              <w:t xml:space="preserve"> fuel rods containing only UO</w:t>
            </w:r>
            <w:r w:rsidR="00A51936" w:rsidRPr="00FA17AB">
              <w:rPr>
                <w:vertAlign w:val="subscript"/>
              </w:rPr>
              <w:t>2</w:t>
            </w:r>
            <w:r w:rsidR="00A51936" w:rsidRPr="00FA17AB">
              <w:t xml:space="preserve"> fuel pellets and for those </w:t>
            </w:r>
            <w:r w:rsidR="005C29AF" w:rsidRPr="00FA17AB">
              <w:t xml:space="preserve">with </w:t>
            </w:r>
            <w:r w:rsidR="00B70970" w:rsidRPr="00FA17AB">
              <w:t xml:space="preserve">fuel </w:t>
            </w:r>
            <w:r w:rsidR="005C29AF" w:rsidRPr="00FA17AB">
              <w:t xml:space="preserve">pellets </w:t>
            </w:r>
            <w:r w:rsidR="00A51936" w:rsidRPr="00FA17AB">
              <w:t xml:space="preserve">containing </w:t>
            </w:r>
            <w:r w:rsidR="004E06D4" w:rsidRPr="00FA17AB">
              <w:t>UO</w:t>
            </w:r>
            <w:r w:rsidR="004E06D4" w:rsidRPr="00FA17AB">
              <w:rPr>
                <w:vertAlign w:val="subscript"/>
              </w:rPr>
              <w:t xml:space="preserve">2 </w:t>
            </w:r>
            <w:r w:rsidR="004E06D4" w:rsidRPr="00FA17AB">
              <w:t>and gadolinia neutron poison.</w:t>
            </w:r>
          </w:p>
          <w:p w14:paraId="63660DFB" w14:textId="0C21AF2C" w:rsidR="0090704F" w:rsidRDefault="000E187A" w:rsidP="00235D8C">
            <w:pPr>
              <w:pStyle w:val="Numberedparagraph"/>
            </w:pPr>
            <w:r w:rsidRPr="00FA17AB">
              <w:t>The SMR</w:t>
            </w:r>
            <w:r w:rsidR="007E6CFD" w:rsidRPr="00FA17AB">
              <w:t>-300</w:t>
            </w:r>
            <w:r w:rsidRPr="00FA17AB">
              <w:t xml:space="preserve"> nuclear design basis report presents the nuclear design of the reactor core, the nuclear design methods used and predictions of </w:t>
            </w:r>
            <w:r w:rsidR="00FA3A71" w:rsidRPr="00FA17AB">
              <w:t>safety margins</w:t>
            </w:r>
            <w:r w:rsidRPr="00FA17AB">
              <w:t xml:space="preserve"> against the applicable limits and criteria. </w:t>
            </w:r>
            <w:r w:rsidR="0090704F" w:rsidRPr="00FA17AB">
              <w:t>Through review of the SMR-300 nuclear design basis report at revision 0 (Ref [</w:t>
            </w:r>
            <w:r w:rsidR="001D27BE" w:rsidRPr="00FA17AB">
              <w:t>2</w:t>
            </w:r>
            <w:r w:rsidR="0090704F" w:rsidRPr="00FA17AB">
              <w:t xml:space="preserve">]) I found that the SMR-300 core design for cycle 5 (representing the equilibrium cycle) </w:t>
            </w:r>
            <w:r w:rsidR="00800716" w:rsidRPr="00FA17AB">
              <w:t>was predicted to be non-compliant</w:t>
            </w:r>
            <w:r w:rsidR="0090704F" w:rsidRPr="00FA17AB">
              <w:t xml:space="preserve"> with the</w:t>
            </w:r>
            <w:r w:rsidR="00FA56CC" w:rsidRPr="00FA17AB">
              <w:t xml:space="preserve"> </w:t>
            </w:r>
            <w:r w:rsidR="0090704F" w:rsidRPr="00FA17AB">
              <w:t xml:space="preserve">design limit </w:t>
            </w:r>
            <w:r w:rsidR="00C21759" w:rsidRPr="00FA17AB">
              <w:t xml:space="preserve">set by </w:t>
            </w:r>
            <w:r w:rsidR="0041262F" w:rsidRPr="00FA17AB">
              <w:t>the RP</w:t>
            </w:r>
            <w:r w:rsidR="00C21759" w:rsidRPr="00FA17AB">
              <w:t xml:space="preserve"> on</w:t>
            </w:r>
            <w:r w:rsidR="0090704F" w:rsidRPr="00FA17AB">
              <w:t xml:space="preserve"> maximum rod</w:t>
            </w:r>
            <w:r w:rsidR="0090704F">
              <w:t>-average</w:t>
            </w:r>
            <w:r w:rsidR="00800716">
              <w:t xml:space="preserve"> fuel</w:t>
            </w:r>
            <w:r w:rsidR="0090704F">
              <w:t xml:space="preserve"> burnup</w:t>
            </w:r>
            <w:r w:rsidR="00112677">
              <w:t xml:space="preserve">. I raised </w:t>
            </w:r>
            <w:r w:rsidR="00B712D0">
              <w:t>regulatory query (RQ)</w:t>
            </w:r>
            <w:r w:rsidR="00660218">
              <w:t>-</w:t>
            </w:r>
            <w:r w:rsidR="00112677">
              <w:t xml:space="preserve">01850 </w:t>
            </w:r>
            <w:r w:rsidR="00C92386">
              <w:t>to seek evidence that it was possible to achieve a compliant core</w:t>
            </w:r>
            <w:r w:rsidR="00350E56">
              <w:t xml:space="preserve"> nuclear</w:t>
            </w:r>
            <w:r w:rsidR="00C92386">
              <w:t xml:space="preserve"> design </w:t>
            </w:r>
            <w:r w:rsidR="00E63720">
              <w:t>with</w:t>
            </w:r>
            <w:r w:rsidR="00B712D0">
              <w:t>in</w:t>
            </w:r>
            <w:r w:rsidR="00E63720">
              <w:t xml:space="preserve"> the constrain</w:t>
            </w:r>
            <w:r w:rsidR="00800716">
              <w:t>t</w:t>
            </w:r>
            <w:r w:rsidR="00E63720">
              <w:t>s of the SMR-300</w:t>
            </w:r>
            <w:r w:rsidR="00B712D0">
              <w:t xml:space="preserve"> core</w:t>
            </w:r>
            <w:r w:rsidR="00E63720">
              <w:t xml:space="preserve"> (size, </w:t>
            </w:r>
            <w:r w:rsidR="00EB1F23">
              <w:lastRenderedPageBreak/>
              <w:t xml:space="preserve">thermal </w:t>
            </w:r>
            <w:r w:rsidR="00E63720">
              <w:t>power</w:t>
            </w:r>
            <w:r w:rsidR="00EB1F23">
              <w:t>, etc</w:t>
            </w:r>
            <w:r w:rsidR="00E63720">
              <w:t>)</w:t>
            </w:r>
            <w:r w:rsidR="00800716">
              <w:t>.</w:t>
            </w:r>
            <w:r w:rsidR="00C21759">
              <w:t xml:space="preserve"> In responding to RQ</w:t>
            </w:r>
            <w:r w:rsidR="00E00DC3">
              <w:t>-01850</w:t>
            </w:r>
            <w:r w:rsidR="00C21759">
              <w:t xml:space="preserve">, </w:t>
            </w:r>
            <w:r w:rsidR="0041262F">
              <w:t>the RP</w:t>
            </w:r>
            <w:r w:rsidR="00B712D0">
              <w:t xml:space="preserve"> </w:t>
            </w:r>
            <w:r w:rsidR="00F57BCA">
              <w:t>submitted</w:t>
            </w:r>
            <w:r w:rsidR="008D0943">
              <w:t xml:space="preserve"> design basis report </w:t>
            </w:r>
            <w:r w:rsidR="008D0943" w:rsidRPr="00FA17AB">
              <w:t>revision 1 (Ref [</w:t>
            </w:r>
            <w:r w:rsidR="001D27BE" w:rsidRPr="00FA17AB">
              <w:t>3</w:t>
            </w:r>
            <w:r w:rsidR="008D0943" w:rsidRPr="00FA17AB">
              <w:t xml:space="preserve">].) In this report the non-compliance has been </w:t>
            </w:r>
            <w:r w:rsidR="00B07C2C" w:rsidRPr="00FA17AB">
              <w:t xml:space="preserve">partially </w:t>
            </w:r>
            <w:r w:rsidR="00F57BCA" w:rsidRPr="00FA17AB">
              <w:t>addressed</w:t>
            </w:r>
            <w:r w:rsidR="005E5697" w:rsidRPr="00FA17AB">
              <w:t>,</w:t>
            </w:r>
            <w:r w:rsidR="008D0943" w:rsidRPr="00FA17AB">
              <w:t xml:space="preserve"> but a non-compliance</w:t>
            </w:r>
            <w:r w:rsidR="00266373" w:rsidRPr="00FA17AB">
              <w:t xml:space="preserve"> </w:t>
            </w:r>
            <w:r w:rsidR="00266373">
              <w:t>remains</w:t>
            </w:r>
            <w:r w:rsidR="008D0943">
              <w:t xml:space="preserve"> with </w:t>
            </w:r>
            <w:r w:rsidR="005E5697">
              <w:t xml:space="preserve">the rod-average fuel burnup limit for fuel rods </w:t>
            </w:r>
            <w:r w:rsidR="00266373">
              <w:t>containing gadolinia poison.</w:t>
            </w:r>
          </w:p>
          <w:p w14:paraId="2E252A50" w14:textId="42797D66" w:rsidR="00235D8C" w:rsidRPr="00FA17AB" w:rsidRDefault="008B1555" w:rsidP="00994095">
            <w:pPr>
              <w:pStyle w:val="Numberedparagraph"/>
            </w:pPr>
            <w:r>
              <w:t>The</w:t>
            </w:r>
            <w:r w:rsidR="00235D8C">
              <w:t xml:space="preserve"> burnup limit for a fuel rod effectively sets a safe working life (as referred to by </w:t>
            </w:r>
            <w:r w:rsidR="00C02487">
              <w:t xml:space="preserve">Safety Assessment </w:t>
            </w:r>
            <w:r w:rsidR="00C02487" w:rsidRPr="00FA17AB">
              <w:t>Principle (</w:t>
            </w:r>
            <w:r w:rsidR="00235D8C" w:rsidRPr="00FA17AB">
              <w:t>SAP</w:t>
            </w:r>
            <w:r w:rsidR="00C02487" w:rsidRPr="00FA17AB">
              <w:t>)</w:t>
            </w:r>
            <w:r w:rsidR="00235D8C" w:rsidRPr="00FA17AB">
              <w:t xml:space="preserve"> EAD.1</w:t>
            </w:r>
            <w:r w:rsidR="00C02487" w:rsidRPr="00FA17AB">
              <w:t>, Ref [4]</w:t>
            </w:r>
            <w:r w:rsidR="00235D8C" w:rsidRPr="00FA17AB">
              <w:t xml:space="preserve">) for the fuel in terms of irradiation. Compliance with the limit is necessary to ensure </w:t>
            </w:r>
            <w:r w:rsidR="000B28EE" w:rsidRPr="00FA17AB">
              <w:t xml:space="preserve">adequate margins for </w:t>
            </w:r>
            <w:r w:rsidR="00BC19C0" w:rsidRPr="00FA17AB">
              <w:t>the effects of ageing and degradation of the fuel and clad (SAP EAD.2</w:t>
            </w:r>
            <w:r w:rsidR="00502D25" w:rsidRPr="00FA17AB">
              <w:t>). Compliance with the limit is also necessary to ensure the</w:t>
            </w:r>
            <w:r w:rsidR="00235D8C" w:rsidRPr="00FA17AB">
              <w:t xml:space="preserve"> validity of some fuel performance calculations that justify fuel integrity in normal operation and faults. </w:t>
            </w:r>
            <w:r w:rsidR="008C15DA" w:rsidRPr="00FA17AB">
              <w:t>The RP</w:t>
            </w:r>
            <w:r w:rsidR="00235D8C" w:rsidRPr="00FA17AB">
              <w:t xml:space="preserve"> has recognised th</w:t>
            </w:r>
            <w:r w:rsidR="00F03B66" w:rsidRPr="00FA17AB">
              <w:t xml:space="preserve">e non-compliance </w:t>
            </w:r>
            <w:r w:rsidR="00235D8C" w:rsidRPr="00FA17AB">
              <w:t xml:space="preserve">and </w:t>
            </w:r>
            <w:r w:rsidR="0011607F" w:rsidRPr="00FA17AB">
              <w:t xml:space="preserve">(as reported within Ref </w:t>
            </w:r>
            <w:r w:rsidR="000279AA" w:rsidRPr="00FA17AB">
              <w:t>[3]</w:t>
            </w:r>
            <w:r w:rsidR="0011607F" w:rsidRPr="00FA17AB">
              <w:t xml:space="preserve">) </w:t>
            </w:r>
            <w:r w:rsidR="006F169F" w:rsidRPr="00FA17AB">
              <w:t>intends to raise</w:t>
            </w:r>
            <w:r w:rsidR="00235D8C" w:rsidRPr="00FA17AB">
              <w:t xml:space="preserve"> an internal design challenge paper</w:t>
            </w:r>
            <w:r w:rsidR="002D681B" w:rsidRPr="00FA17AB">
              <w:t xml:space="preserve"> (DC33)</w:t>
            </w:r>
            <w:r w:rsidR="00235D8C" w:rsidRPr="00FA17AB">
              <w:t xml:space="preserve"> to determine how the topic should be addressed. It has also raised a GDA commitment (C_Fuel_128) to track the issue.</w:t>
            </w:r>
          </w:p>
          <w:p w14:paraId="62D509D7" w14:textId="2D23185E" w:rsidR="00235D8C" w:rsidRPr="00FA17AB" w:rsidRDefault="00235D8C" w:rsidP="00235D8C">
            <w:pPr>
              <w:pStyle w:val="Numberedparagraph"/>
            </w:pPr>
            <w:r w:rsidRPr="00FA17AB">
              <w:t xml:space="preserve">During GDA Step 2, </w:t>
            </w:r>
            <w:r w:rsidR="0041262F" w:rsidRPr="00FA17AB">
              <w:t>the RP</w:t>
            </w:r>
            <w:r w:rsidRPr="00FA17AB">
              <w:t xml:space="preserve"> has no</w:t>
            </w:r>
            <w:r w:rsidR="0082658B" w:rsidRPr="00FA17AB">
              <w:t>t provided</w:t>
            </w:r>
            <w:r w:rsidRPr="00FA17AB">
              <w:t xml:space="preserve"> a demonstration that the</w:t>
            </w:r>
            <w:r w:rsidR="002F3D04" w:rsidRPr="00FA17AB">
              <w:t xml:space="preserve"> </w:t>
            </w:r>
            <w:r w:rsidR="00007D00" w:rsidRPr="00FA17AB">
              <w:t>non-compliance</w:t>
            </w:r>
            <w:r w:rsidRPr="00FA17AB">
              <w:t xml:space="preserve"> can be addressed </w:t>
            </w:r>
            <w:r w:rsidR="001B78E7" w:rsidRPr="00FA17AB">
              <w:t>through core design optimisation</w:t>
            </w:r>
            <w:r w:rsidR="0082658B" w:rsidRPr="00FA17AB">
              <w:t xml:space="preserve"> </w:t>
            </w:r>
            <w:r w:rsidR="00954269" w:rsidRPr="00FA17AB">
              <w:t>alone</w:t>
            </w:r>
            <w:r w:rsidR="00922389" w:rsidRPr="00FA17AB">
              <w:t xml:space="preserve">. </w:t>
            </w:r>
            <w:r w:rsidR="007D23E9" w:rsidRPr="00FA17AB">
              <w:t>However, w</w:t>
            </w:r>
            <w:r w:rsidR="00DD37E3" w:rsidRPr="00FA17AB">
              <w:t xml:space="preserve">ithin Ref [3], </w:t>
            </w:r>
            <w:r w:rsidR="00E71669" w:rsidRPr="00FA17AB">
              <w:t>the RP</w:t>
            </w:r>
            <w:r w:rsidR="00DD37E3" w:rsidRPr="00FA17AB">
              <w:t xml:space="preserve"> has reported new analysis to show that if core thermal power was reduced </w:t>
            </w:r>
            <w:r w:rsidR="00524F31" w:rsidRPr="00FA17AB">
              <w:t>slightly</w:t>
            </w:r>
            <w:r w:rsidR="00DD37E3" w:rsidRPr="00FA17AB">
              <w:t>, the fuel burnup limits would be met.</w:t>
            </w:r>
            <w:r w:rsidR="006348DF" w:rsidRPr="00FA17AB">
              <w:t xml:space="preserve"> Alternatively, it may be possible to address the </w:t>
            </w:r>
            <w:r w:rsidR="005D1057" w:rsidRPr="00FA17AB">
              <w:t>non-compliance</w:t>
            </w:r>
            <w:r w:rsidR="00486410" w:rsidRPr="00FA17AB">
              <w:t xml:space="preserve"> by introducing an advanced fuel design. </w:t>
            </w:r>
            <w:r w:rsidR="008A034C" w:rsidRPr="00FA17AB">
              <w:t>These</w:t>
            </w:r>
            <w:r w:rsidR="00486410" w:rsidRPr="00FA17AB">
              <w:t xml:space="preserve"> options</w:t>
            </w:r>
            <w:r w:rsidR="000123B7">
              <w:t xml:space="preserve"> could have</w:t>
            </w:r>
            <w:r w:rsidR="00486410" w:rsidRPr="00FA17AB">
              <w:t xml:space="preserve"> </w:t>
            </w:r>
            <w:r w:rsidR="000123B7" w:rsidRPr="000123B7">
              <w:t>implications for the plant design outside of core nuclear design scope</w:t>
            </w:r>
            <w:r w:rsidR="00486410" w:rsidRPr="00FA17AB">
              <w:t>.</w:t>
            </w:r>
          </w:p>
          <w:p w14:paraId="3ABA3EB1" w14:textId="247C7B00" w:rsidR="00235D8C" w:rsidRPr="00FA17AB" w:rsidRDefault="00982414" w:rsidP="007E6CFD">
            <w:pPr>
              <w:pStyle w:val="Numberedparagraph"/>
            </w:pPr>
            <w:r w:rsidRPr="00FA17AB">
              <w:t>Overall,</w:t>
            </w:r>
            <w:r w:rsidR="0077565C" w:rsidRPr="00FA17AB">
              <w:t xml:space="preserve"> </w:t>
            </w:r>
            <w:r w:rsidRPr="00FA17AB">
              <w:t>t</w:t>
            </w:r>
            <w:r w:rsidR="00B91F1A" w:rsidRPr="00FA17AB">
              <w:t>he RP</w:t>
            </w:r>
            <w:r w:rsidR="00500AE9" w:rsidRPr="00FA17AB">
              <w:t xml:space="preserve"> has </w:t>
            </w:r>
            <w:r w:rsidR="00524EA5" w:rsidRPr="00FA17AB">
              <w:t>several</w:t>
            </w:r>
            <w:r w:rsidR="00500AE9" w:rsidRPr="00FA17AB">
              <w:t xml:space="preserve"> potential options to resolve this </w:t>
            </w:r>
            <w:r w:rsidR="000123B7">
              <w:t>matter</w:t>
            </w:r>
            <w:r w:rsidR="00500AE9" w:rsidRPr="00FA17AB">
              <w:t xml:space="preserve">. However, it is not clear whether </w:t>
            </w:r>
            <w:r w:rsidR="007E6967" w:rsidRPr="00FA17AB">
              <w:t xml:space="preserve">the </w:t>
            </w:r>
            <w:r w:rsidR="000123B7">
              <w:t>matter</w:t>
            </w:r>
            <w:r w:rsidR="00500AE9" w:rsidRPr="00FA17AB">
              <w:t xml:space="preserve"> can be resolved without any impact on the wider SMR-300 plant or its </w:t>
            </w:r>
            <w:r w:rsidR="006F2328" w:rsidRPr="00FA17AB">
              <w:t>design characteristics</w:t>
            </w:r>
            <w:r w:rsidR="00500AE9" w:rsidRPr="00FA17AB">
              <w:t>.</w:t>
            </w:r>
            <w:r w:rsidR="000A3F24" w:rsidRPr="00FA17AB">
              <w:t xml:space="preserve"> I therefore judge it appropriate to manage </w:t>
            </w:r>
            <w:r w:rsidR="000123B7">
              <w:t>it</w:t>
            </w:r>
            <w:r w:rsidR="000A3F24" w:rsidRPr="00FA17AB">
              <w:t xml:space="preserve"> using a regulatory observation (RO).</w:t>
            </w:r>
          </w:p>
          <w:p w14:paraId="25806AA4" w14:textId="6EE0AECA" w:rsidR="000758E9" w:rsidRPr="00FA17AB" w:rsidRDefault="000758E9" w:rsidP="0048438C">
            <w:pPr>
              <w:spacing w:before="60" w:after="60"/>
              <w:rPr>
                <w:b/>
                <w:szCs w:val="24"/>
                <w:u w:val="single"/>
              </w:rPr>
            </w:pPr>
            <w:r w:rsidRPr="00FA17AB">
              <w:rPr>
                <w:b/>
                <w:szCs w:val="24"/>
                <w:u w:val="single"/>
              </w:rPr>
              <w:t>Relevant Legislation, Standards and Guidance</w:t>
            </w:r>
          </w:p>
          <w:p w14:paraId="5B1546E5" w14:textId="3B5D9A4F" w:rsidR="000758E9" w:rsidRPr="00FA17AB" w:rsidRDefault="000758E9" w:rsidP="0048438C">
            <w:pPr>
              <w:spacing w:before="60" w:after="60"/>
              <w:rPr>
                <w:szCs w:val="24"/>
              </w:rPr>
            </w:pPr>
          </w:p>
          <w:p w14:paraId="72CAE27A" w14:textId="3B52F81D" w:rsidR="00C143E7" w:rsidRPr="00994095" w:rsidRDefault="00967428" w:rsidP="00D434BB">
            <w:pPr>
              <w:pStyle w:val="Numberedparagraph"/>
            </w:pPr>
            <w:r w:rsidRPr="00FA17AB">
              <w:t>ONR Safety Assessment Principle (</w:t>
            </w:r>
            <w:r w:rsidR="00B576C3" w:rsidRPr="00FA17AB">
              <w:t>SAP</w:t>
            </w:r>
            <w:r w:rsidRPr="00FA17AB">
              <w:t>)</w:t>
            </w:r>
            <w:r w:rsidR="00B576C3" w:rsidRPr="00FA17AB">
              <w:t xml:space="preserve"> EAD.1</w:t>
            </w:r>
            <w:r w:rsidR="00C5045F" w:rsidRPr="00FA17AB">
              <w:t xml:space="preserve"> </w:t>
            </w:r>
            <w:r w:rsidR="00C143E7" w:rsidRPr="00FA17AB">
              <w:t>states that the safe working life of structures, systems and components that are important to safety should be evaluated and defined at the design stage</w:t>
            </w:r>
            <w:r w:rsidRPr="00FA17AB">
              <w:t xml:space="preserve"> (Ref [</w:t>
            </w:r>
            <w:r w:rsidR="00E13B26" w:rsidRPr="00FA17AB">
              <w:t>4</w:t>
            </w:r>
            <w:r w:rsidRPr="00FA17AB">
              <w:t>])</w:t>
            </w:r>
            <w:r w:rsidR="00C143E7" w:rsidRPr="00FA17AB">
              <w:t xml:space="preserve">. For fuel, the specified burnup limit effectively constitutes the safe working life, defined </w:t>
            </w:r>
            <w:r w:rsidR="00C143E7" w:rsidRPr="00994095">
              <w:t>in terms of irradiation.</w:t>
            </w:r>
          </w:p>
          <w:p w14:paraId="7F4C6BD6" w14:textId="2D002127" w:rsidR="00994DA3" w:rsidRPr="00994095" w:rsidRDefault="00C5045F" w:rsidP="00D434BB">
            <w:pPr>
              <w:pStyle w:val="Numberedparagraph"/>
            </w:pPr>
            <w:r w:rsidRPr="00994095">
              <w:t xml:space="preserve">SAP EAD.2 </w:t>
            </w:r>
            <w:r w:rsidR="00E91BE0" w:rsidRPr="00994095">
              <w:t>states that adequate margins should exist throughout the life of a facility to allow for the effects of materials ageing and degradation processes on structures, systems and components.</w:t>
            </w:r>
          </w:p>
          <w:p w14:paraId="383A47F1" w14:textId="777DDE80" w:rsidR="006C6825" w:rsidRDefault="000B2424" w:rsidP="00D434BB">
            <w:pPr>
              <w:pStyle w:val="Numberedparagraph"/>
            </w:pPr>
            <w:r w:rsidRPr="00994095">
              <w:t xml:space="preserve">SAR ERC.1 </w:t>
            </w:r>
            <w:r w:rsidR="000A37C5" w:rsidRPr="00994095">
              <w:t>states that the</w:t>
            </w:r>
            <w:r w:rsidR="000A37C5" w:rsidRPr="000A37C5">
              <w:t xml:space="preserve"> </w:t>
            </w:r>
            <w:r w:rsidR="000A37C5" w:rsidRPr="00994095">
              <w:t>design and operation of the reactor should ensure the fundamental safety functions are delivered with an appropriate degree of confidence for permitted operating modes of the reactor.</w:t>
            </w:r>
            <w:r w:rsidR="00001A06" w:rsidRPr="00994095">
              <w:t xml:space="preserve"> One of the fundamental functions is the confinement of radioactive material, which could be compromised if degradation of the fuel and clad is </w:t>
            </w:r>
            <w:r w:rsidR="004E4909" w:rsidRPr="00994095">
              <w:t>not adequately allowed for.</w:t>
            </w:r>
          </w:p>
          <w:p w14:paraId="6A75F243" w14:textId="77777777" w:rsidR="005D1057" w:rsidRPr="00AC37F2" w:rsidRDefault="120E60C4" w:rsidP="005D1057">
            <w:pPr>
              <w:pStyle w:val="Numberedparagraph"/>
            </w:pPr>
            <w:r>
              <w:lastRenderedPageBreak/>
              <w:t>IAEA specific safety guide SSG-</w:t>
            </w:r>
            <w:r w:rsidRPr="26EBAE10">
              <w:t>52 (Ref [5]) para</w:t>
            </w:r>
            <w:r>
              <w:t>graph 3.70 states “Fuel discharge burnup limits, which depend on the performance of the fuel rods and fuel assembly, and on the fuel management approach, should be assessed and justified accordingly.”</w:t>
            </w:r>
          </w:p>
          <w:p w14:paraId="244CC189" w14:textId="5B2B9447" w:rsidR="000B2424" w:rsidRDefault="000B2424" w:rsidP="00D434BB">
            <w:pPr>
              <w:pStyle w:val="Numberedparagraph"/>
              <w:rPr>
                <w:szCs w:val="24"/>
              </w:rPr>
            </w:pPr>
            <w:r w:rsidRPr="00994095">
              <w:t>SAP</w:t>
            </w:r>
            <w:r w:rsidR="006C6825" w:rsidRPr="00994095">
              <w:t>s paragraph 681 (supporting SAPs AV.1 and AV.2) states “the limits of applicability of analytical models should be identified.”</w:t>
            </w:r>
            <w:r w:rsidR="00994DA3" w:rsidRPr="00994095">
              <w:t xml:space="preserve"> The applicability of some fuel safety limits and </w:t>
            </w:r>
            <w:r w:rsidR="00BA3A60" w:rsidRPr="00994095">
              <w:t>analytical model</w:t>
            </w:r>
            <w:r w:rsidR="00994DA3" w:rsidRPr="00994095">
              <w:t>s is likely to be limited to a certain burnup range because of the limitations of experimental data</w:t>
            </w:r>
            <w:r w:rsidR="00994DA3">
              <w:rPr>
                <w:szCs w:val="24"/>
              </w:rPr>
              <w:t>.</w:t>
            </w:r>
          </w:p>
          <w:p w14:paraId="268B2B85" w14:textId="2A98076B" w:rsidR="00CC67B6" w:rsidRDefault="00F65462" w:rsidP="0048438C">
            <w:pPr>
              <w:spacing w:before="60" w:after="60"/>
              <w:rPr>
                <w:b/>
                <w:szCs w:val="24"/>
                <w:u w:val="single"/>
              </w:rPr>
            </w:pPr>
            <w:r w:rsidRPr="006A766E">
              <w:rPr>
                <w:b/>
                <w:szCs w:val="24"/>
                <w:u w:val="single"/>
              </w:rPr>
              <w:t>Regulatory Expectations</w:t>
            </w:r>
          </w:p>
          <w:p w14:paraId="47A7211B" w14:textId="77777777" w:rsidR="00D434BB" w:rsidRPr="006A766E" w:rsidRDefault="00D434BB" w:rsidP="0048438C">
            <w:pPr>
              <w:spacing w:before="60" w:after="60"/>
              <w:rPr>
                <w:b/>
                <w:szCs w:val="24"/>
                <w:u w:val="single"/>
              </w:rPr>
            </w:pPr>
          </w:p>
          <w:p w14:paraId="02C4C91E" w14:textId="7733D34A" w:rsidR="006A766E" w:rsidRPr="00FA17AB" w:rsidRDefault="00E76349" w:rsidP="00D434BB">
            <w:pPr>
              <w:pStyle w:val="Numberedparagraph"/>
            </w:pPr>
            <w:r w:rsidRPr="00FD2CA3">
              <w:t xml:space="preserve">Informed by SAP </w:t>
            </w:r>
            <w:r w:rsidR="00EC0BC6" w:rsidRPr="00FD2CA3">
              <w:t>EAD.2</w:t>
            </w:r>
            <w:r w:rsidR="005D1057">
              <w:t xml:space="preserve"> and SSG-52</w:t>
            </w:r>
            <w:r w:rsidR="00EC0BC6" w:rsidRPr="00FD2CA3">
              <w:t xml:space="preserve">, I expect </w:t>
            </w:r>
            <w:r w:rsidR="0041262F">
              <w:t>the RP</w:t>
            </w:r>
            <w:r w:rsidR="00EC0BC6" w:rsidRPr="00FD2CA3">
              <w:t xml:space="preserve"> to </w:t>
            </w:r>
            <w:r w:rsidR="00974CDF" w:rsidRPr="00FD2CA3">
              <w:t xml:space="preserve">present a core design with evidence that adequate margins </w:t>
            </w:r>
            <w:r w:rsidR="00627F5F" w:rsidRPr="00FD2CA3">
              <w:t xml:space="preserve">exist to allow for the effects of irradiation on the fuel and clad, by demonstrating compliance with the relevant </w:t>
            </w:r>
            <w:r w:rsidR="00C4164A" w:rsidRPr="00FD2CA3">
              <w:t>fuel burnup limits</w:t>
            </w:r>
            <w:r w:rsidR="00627F5F" w:rsidRPr="00FD2CA3">
              <w:t>.</w:t>
            </w:r>
          </w:p>
          <w:p w14:paraId="68823CFF" w14:textId="297AB005" w:rsidR="006A766E" w:rsidRPr="00FA17AB" w:rsidRDefault="00C4164A" w:rsidP="00D434BB">
            <w:pPr>
              <w:pStyle w:val="Numberedparagraph"/>
            </w:pPr>
            <w:r w:rsidRPr="00FA17AB">
              <w:t>I</w:t>
            </w:r>
            <w:r w:rsidR="001F1429" w:rsidRPr="00FA17AB">
              <w:t>nformed by SAP EAD.1</w:t>
            </w:r>
            <w:r w:rsidR="005D1057" w:rsidRPr="00FA17AB">
              <w:t xml:space="preserve"> and SSG-52</w:t>
            </w:r>
            <w:r w:rsidR="001F1429" w:rsidRPr="00FA17AB">
              <w:t>, i</w:t>
            </w:r>
            <w:r w:rsidRPr="00FA17AB">
              <w:t xml:space="preserve">f the fuel burnup limits </w:t>
            </w:r>
            <w:r w:rsidR="001F1429" w:rsidRPr="00FA17AB">
              <w:t>are</w:t>
            </w:r>
            <w:r w:rsidRPr="00FA17AB">
              <w:t xml:space="preserve"> modified</w:t>
            </w:r>
            <w:r w:rsidR="001F1429" w:rsidRPr="00FA17AB">
              <w:t xml:space="preserve"> from those presented in Ref [</w:t>
            </w:r>
            <w:r w:rsidR="00E13B26" w:rsidRPr="00FA17AB">
              <w:t>1</w:t>
            </w:r>
            <w:r w:rsidR="001F1429" w:rsidRPr="00FA17AB">
              <w:t>] then I would expect the modification to be justified.</w:t>
            </w:r>
            <w:r w:rsidR="009318A7" w:rsidRPr="00FA17AB">
              <w:t xml:space="preserve"> This justification </w:t>
            </w:r>
            <w:r w:rsidR="00934B43" w:rsidRPr="00FA17AB">
              <w:t>should</w:t>
            </w:r>
            <w:r w:rsidR="009318A7" w:rsidRPr="00FA17AB">
              <w:t xml:space="preserve"> give consideration</w:t>
            </w:r>
            <w:r w:rsidR="0053120B" w:rsidRPr="00FA17AB">
              <w:t xml:space="preserve"> both to anticipated degradation of the fuel and clad, and to the limits of applicability of relevant safety analysis methods.</w:t>
            </w:r>
          </w:p>
          <w:p w14:paraId="1F2C0164" w14:textId="2AD3CCD4" w:rsidR="00C80200" w:rsidRPr="00FA17AB" w:rsidRDefault="002C32EA" w:rsidP="00D434BB">
            <w:pPr>
              <w:pStyle w:val="Numberedparagraph"/>
            </w:pPr>
            <w:r w:rsidRPr="00FA17AB">
              <w:t xml:space="preserve">Informed by SAP ERC.1, if the core </w:t>
            </w:r>
            <w:r w:rsidR="00164BC4" w:rsidRPr="00FA17AB">
              <w:t>nuclear designs (fuel loading patterns) are modified from those presented in Ref [</w:t>
            </w:r>
            <w:r w:rsidR="007C0127" w:rsidRPr="00FA17AB">
              <w:t>3</w:t>
            </w:r>
            <w:r w:rsidR="00164BC4" w:rsidRPr="00FA17AB">
              <w:t xml:space="preserve">] to achieve compliance with fuel burnup limits, </w:t>
            </w:r>
            <w:r w:rsidR="004D6F38" w:rsidRPr="00FA17AB">
              <w:t xml:space="preserve">then I would expect </w:t>
            </w:r>
            <w:r w:rsidR="0041262F" w:rsidRPr="00FA17AB">
              <w:t>the RP</w:t>
            </w:r>
            <w:r w:rsidR="004D6F38" w:rsidRPr="00FA17AB">
              <w:t xml:space="preserve"> to provide a demonstration that compliance with other nuclear design criteria in Ref [</w:t>
            </w:r>
            <w:r w:rsidR="007C0127" w:rsidRPr="00FA17AB">
              <w:t>1</w:t>
            </w:r>
            <w:r w:rsidR="004D6F38" w:rsidRPr="00FA17AB">
              <w:t xml:space="preserve">] </w:t>
            </w:r>
            <w:r w:rsidR="0019793F" w:rsidRPr="00FA17AB">
              <w:t>i</w:t>
            </w:r>
            <w:r w:rsidR="004D6F38" w:rsidRPr="00FA17AB">
              <w:t>s also maintained</w:t>
            </w:r>
            <w:r w:rsidR="003B721C" w:rsidRPr="00FA17AB">
              <w:t xml:space="preserve"> (</w:t>
            </w:r>
            <w:r w:rsidR="009010B8" w:rsidRPr="00FA17AB">
              <w:t>this being</w:t>
            </w:r>
            <w:r w:rsidR="003B721C" w:rsidRPr="00FA17AB">
              <w:t xml:space="preserve"> necessary </w:t>
            </w:r>
            <w:r w:rsidR="0019793F" w:rsidRPr="00FA17AB">
              <w:t>to support</w:t>
            </w:r>
            <w:r w:rsidR="004D6F38" w:rsidRPr="00FA17AB">
              <w:t xml:space="preserve"> a demonstration that the </w:t>
            </w:r>
            <w:r w:rsidR="00C80200" w:rsidRPr="00FA17AB">
              <w:t>fundamental safety functions will be delivered with an appropriate degree of confidence.</w:t>
            </w:r>
            <w:r w:rsidR="003B721C" w:rsidRPr="00FA17AB">
              <w:t>)</w:t>
            </w:r>
          </w:p>
          <w:p w14:paraId="584B4F6E" w14:textId="69E28468" w:rsidR="000977CC" w:rsidRPr="00FD2CA3" w:rsidRDefault="000C2BE2" w:rsidP="00D434BB">
            <w:pPr>
              <w:pStyle w:val="Numberedparagraph"/>
            </w:pPr>
            <w:r w:rsidRPr="00FD2CA3">
              <w:t xml:space="preserve">The scope of the response to this RO should be limited to a demonstration that the SMR-300 fuel burnup limits can be met, </w:t>
            </w:r>
            <w:r w:rsidR="00C143ED" w:rsidRPr="00FD2CA3">
              <w:t>with</w:t>
            </w:r>
            <w:r w:rsidRPr="00FD2CA3">
              <w:t xml:space="preserve"> justification of any changes to the fuel burnup limits or the core</w:t>
            </w:r>
            <w:r w:rsidR="00926615" w:rsidRPr="00FD2CA3">
              <w:t xml:space="preserve"> nuclear</w:t>
            </w:r>
            <w:r w:rsidRPr="00FD2CA3">
              <w:t xml:space="preserve"> design required to achieve this. If </w:t>
            </w:r>
            <w:r w:rsidR="003B0692">
              <w:t>oth</w:t>
            </w:r>
            <w:r w:rsidR="00124351" w:rsidRPr="00FD2CA3">
              <w:t xml:space="preserve">er changes </w:t>
            </w:r>
            <w:r w:rsidR="003B0692">
              <w:t xml:space="preserve">to the plant design or safety case </w:t>
            </w:r>
            <w:r w:rsidR="00124351" w:rsidRPr="00FD2CA3">
              <w:t>are required</w:t>
            </w:r>
            <w:r w:rsidR="00F51A2E" w:rsidRPr="00FD2CA3">
              <w:t xml:space="preserve"> </w:t>
            </w:r>
            <w:r w:rsidR="003B0692">
              <w:t>due to the solution adopted</w:t>
            </w:r>
            <w:r w:rsidR="00F51A2E" w:rsidRPr="00FD2CA3">
              <w:t xml:space="preserve"> </w:t>
            </w:r>
            <w:r w:rsidR="0093586D" w:rsidRPr="00FD2CA3">
              <w:t>then full implementation of th</w:t>
            </w:r>
            <w:r w:rsidR="00D65662" w:rsidRPr="00FD2CA3">
              <w:t>o</w:t>
            </w:r>
            <w:r w:rsidR="0093586D" w:rsidRPr="00FD2CA3">
              <w:t xml:space="preserve">se changes is not </w:t>
            </w:r>
            <w:r w:rsidR="008937C3">
              <w:t>within the scope of</w:t>
            </w:r>
            <w:r w:rsidR="0093586D" w:rsidRPr="00FD2CA3">
              <w:t xml:space="preserve"> this RO. However, an impact assessment should be undertaken and </w:t>
            </w:r>
            <w:r w:rsidR="00C143ED" w:rsidRPr="00FD2CA3">
              <w:t>affected areas of the design and safety case should be identified.</w:t>
            </w:r>
          </w:p>
          <w:p w14:paraId="2993E5C2" w14:textId="77777777" w:rsidR="00EC409B" w:rsidRDefault="00EC409B" w:rsidP="0048438C">
            <w:pPr>
              <w:spacing w:before="60" w:after="60"/>
              <w:rPr>
                <w:b/>
                <w:szCs w:val="24"/>
                <w:u w:val="single"/>
              </w:rPr>
            </w:pPr>
            <w:r w:rsidRPr="0048438C">
              <w:rPr>
                <w:b/>
                <w:szCs w:val="24"/>
                <w:u w:val="single"/>
              </w:rPr>
              <w:t>References</w:t>
            </w:r>
          </w:p>
          <w:p w14:paraId="112BA697" w14:textId="77777777" w:rsidR="00D434BB" w:rsidRPr="0048438C" w:rsidRDefault="00D434BB" w:rsidP="0048438C">
            <w:pPr>
              <w:spacing w:before="60" w:after="60"/>
              <w:rPr>
                <w:b/>
                <w:szCs w:val="24"/>
                <w:u w:val="single"/>
              </w:rPr>
            </w:pPr>
          </w:p>
          <w:p w14:paraId="7FE00E41" w14:textId="042B6AA6" w:rsidR="00466E50" w:rsidRDefault="00EC409B" w:rsidP="00D434BB">
            <w:pPr>
              <w:spacing w:before="60" w:after="60"/>
              <w:ind w:left="426"/>
            </w:pPr>
            <w:r w:rsidRPr="0048438C">
              <w:rPr>
                <w:szCs w:val="24"/>
              </w:rPr>
              <w:t xml:space="preserve">[1] </w:t>
            </w:r>
            <w:r w:rsidR="004941F3" w:rsidRPr="004941F3">
              <w:rPr>
                <w:szCs w:val="24"/>
              </w:rPr>
              <w:t>HI-2241327</w:t>
            </w:r>
            <w:r w:rsidR="004941F3">
              <w:rPr>
                <w:szCs w:val="24"/>
              </w:rPr>
              <w:t xml:space="preserve">, </w:t>
            </w:r>
            <w:r w:rsidR="00500370">
              <w:t>UK GDA SMR-300 Fuel Design Criteria and Limits report, Revision 1,</w:t>
            </w:r>
            <w:r w:rsidR="004941F3">
              <w:t xml:space="preserve"> May 2025. CM9 Ref. 2025/</w:t>
            </w:r>
            <w:r w:rsidR="00256B96">
              <w:t>19596</w:t>
            </w:r>
            <w:r w:rsidR="004941F3">
              <w:t>.</w:t>
            </w:r>
          </w:p>
          <w:p w14:paraId="18297D7B" w14:textId="6D37391B" w:rsidR="00946E10" w:rsidRDefault="00946E10" w:rsidP="00D434BB">
            <w:pPr>
              <w:spacing w:before="60" w:after="60"/>
              <w:ind w:left="426"/>
            </w:pPr>
            <w:r>
              <w:t xml:space="preserve">[2] </w:t>
            </w:r>
            <w:r w:rsidRPr="003F3212">
              <w:t>HI-2241458</w:t>
            </w:r>
            <w:r>
              <w:t xml:space="preserve">, </w:t>
            </w:r>
            <w:r w:rsidRPr="003F3212">
              <w:t>Holtec SMR-300 GDA Nuclear Design Basis</w:t>
            </w:r>
            <w:r>
              <w:t>, Revision 0,</w:t>
            </w:r>
            <w:r w:rsidRPr="003F3212">
              <w:t xml:space="preserve"> </w:t>
            </w:r>
            <w:r w:rsidR="001D27BE">
              <w:t>February</w:t>
            </w:r>
            <w:r w:rsidRPr="003F3212">
              <w:t xml:space="preserve"> 2025</w:t>
            </w:r>
            <w:r>
              <w:t>. CM9 Ref. 2025/</w:t>
            </w:r>
            <w:r w:rsidR="0047665E">
              <w:t>6</w:t>
            </w:r>
            <w:r w:rsidR="001D27BE">
              <w:t>85</w:t>
            </w:r>
            <w:r w:rsidR="0047665E">
              <w:t>0</w:t>
            </w:r>
            <w:r>
              <w:t xml:space="preserve">.  </w:t>
            </w:r>
          </w:p>
          <w:p w14:paraId="0D74EB5A" w14:textId="77777777" w:rsidR="00946E10" w:rsidRDefault="00256B96" w:rsidP="00D434BB">
            <w:pPr>
              <w:spacing w:before="60" w:after="60"/>
              <w:ind w:left="426"/>
            </w:pPr>
            <w:r>
              <w:t>[</w:t>
            </w:r>
            <w:r w:rsidR="00946E10">
              <w:t>3</w:t>
            </w:r>
            <w:r>
              <w:t xml:space="preserve">] </w:t>
            </w:r>
            <w:r w:rsidR="003F3212" w:rsidRPr="003F3212">
              <w:t>HI-2241458</w:t>
            </w:r>
            <w:r w:rsidR="003F3212">
              <w:t xml:space="preserve">, </w:t>
            </w:r>
            <w:r w:rsidR="003F3212" w:rsidRPr="003F3212">
              <w:t>Holtec SMR-300 GDA Nuclear Design Basis</w:t>
            </w:r>
            <w:r w:rsidR="003F3212">
              <w:t>, Revision 1,</w:t>
            </w:r>
            <w:r w:rsidR="003F3212" w:rsidRPr="003F3212">
              <w:t xml:space="preserve"> June 2025</w:t>
            </w:r>
            <w:r w:rsidR="00946E10">
              <w:t>. CM9 Ref. 2025/21138.</w:t>
            </w:r>
          </w:p>
          <w:p w14:paraId="17F89FC8" w14:textId="77777777" w:rsidR="008E7329" w:rsidRDefault="00946E10" w:rsidP="00D434BB">
            <w:pPr>
              <w:spacing w:before="60" w:after="60"/>
              <w:ind w:left="426"/>
            </w:pPr>
            <w:r>
              <w:lastRenderedPageBreak/>
              <w:t xml:space="preserve">[4] </w:t>
            </w:r>
            <w:r w:rsidR="005F1591">
              <w:t xml:space="preserve">ONR Safety Assessment Principles, 2014 Edition </w:t>
            </w:r>
            <w:r w:rsidR="00A44EFA">
              <w:t>Issue</w:t>
            </w:r>
            <w:r w:rsidR="005F1591">
              <w:t xml:space="preserve"> 1, 2020.</w:t>
            </w:r>
            <w:r w:rsidR="00A44EFA">
              <w:t xml:space="preserve"> </w:t>
            </w:r>
            <w:hyperlink r:id="rId12" w:history="1">
              <w:r w:rsidR="008E7329" w:rsidRPr="00520BE4">
                <w:rPr>
                  <w:rStyle w:val="Hyperlink"/>
                </w:rPr>
                <w:t>https://www.onr.org.uk/media/pobf24xm/saps2014.pdf</w:t>
              </w:r>
            </w:hyperlink>
            <w:r w:rsidR="008E7329">
              <w:t xml:space="preserve"> </w:t>
            </w:r>
          </w:p>
          <w:p w14:paraId="4573E048" w14:textId="62BF731A" w:rsidR="00500370" w:rsidRPr="005C4B6A" w:rsidRDefault="005D1057" w:rsidP="005D1057">
            <w:pPr>
              <w:spacing w:before="60" w:after="60"/>
              <w:ind w:left="426"/>
            </w:pPr>
            <w:r>
              <w:t>[5] IAEA Specific Safety Guide SSG-52, Design of the Reactor Core for Nuclear Power Plants, 2019.</w:t>
            </w:r>
          </w:p>
        </w:tc>
      </w:tr>
      <w:tr w:rsidR="00850471" w:rsidRPr="00581D5B" w14:paraId="4573E04B" w14:textId="77777777" w:rsidTr="5B9A6040">
        <w:tc>
          <w:tcPr>
            <w:tcW w:w="9897" w:type="dxa"/>
            <w:gridSpan w:val="2"/>
            <w:shd w:val="clear" w:color="auto" w:fill="D9D9D9" w:themeFill="background1" w:themeFillShade="D9"/>
          </w:tcPr>
          <w:p w14:paraId="4573E04A" w14:textId="6BD52BAF" w:rsidR="00850471" w:rsidRPr="00581D5B" w:rsidRDefault="00581D5B" w:rsidP="0048438C">
            <w:pPr>
              <w:spacing w:before="60" w:after="60"/>
              <w:rPr>
                <w:b/>
                <w:iCs/>
                <w:szCs w:val="24"/>
              </w:rPr>
            </w:pPr>
            <w:r w:rsidRPr="00581D5B">
              <w:rPr>
                <w:b/>
                <w:iCs/>
                <w:szCs w:val="24"/>
              </w:rPr>
              <w:lastRenderedPageBreak/>
              <w:t>REGULATORY OBSERVATION ACTIONS</w:t>
            </w:r>
          </w:p>
        </w:tc>
      </w:tr>
      <w:tr w:rsidR="00850471" w:rsidRPr="0048438C" w14:paraId="4573E04E" w14:textId="77777777" w:rsidTr="5B9A6040">
        <w:trPr>
          <w:trHeight w:val="242"/>
        </w:trPr>
        <w:tc>
          <w:tcPr>
            <w:tcW w:w="9897" w:type="dxa"/>
            <w:gridSpan w:val="2"/>
          </w:tcPr>
          <w:p w14:paraId="4573E04C" w14:textId="4331060E" w:rsidR="00850471" w:rsidRPr="0048438C" w:rsidRDefault="00850471" w:rsidP="0048438C">
            <w:pPr>
              <w:spacing w:before="60" w:after="60"/>
              <w:rPr>
                <w:b/>
                <w:noProof/>
                <w:szCs w:val="24"/>
              </w:rPr>
            </w:pPr>
            <w:r w:rsidRPr="0048438C">
              <w:rPr>
                <w:b/>
                <w:noProof/>
                <w:szCs w:val="24"/>
              </w:rPr>
              <w:t>RO-</w:t>
            </w:r>
            <w:r w:rsidR="0075487C">
              <w:rPr>
                <w:b/>
                <w:noProof/>
                <w:szCs w:val="24"/>
              </w:rPr>
              <w:t>HOLTEC</w:t>
            </w:r>
            <w:r w:rsidR="00581D5B">
              <w:rPr>
                <w:b/>
                <w:noProof/>
                <w:szCs w:val="24"/>
              </w:rPr>
              <w:t>SMR</w:t>
            </w:r>
            <w:r w:rsidR="005933F1">
              <w:rPr>
                <w:b/>
                <w:noProof/>
                <w:szCs w:val="24"/>
              </w:rPr>
              <w:t>300</w:t>
            </w:r>
            <w:r w:rsidR="0075487C">
              <w:rPr>
                <w:b/>
                <w:noProof/>
                <w:szCs w:val="24"/>
              </w:rPr>
              <w:t>-</w:t>
            </w:r>
            <w:r w:rsidR="00807D4F">
              <w:rPr>
                <w:b/>
                <w:noProof/>
                <w:szCs w:val="24"/>
              </w:rPr>
              <w:t>005</w:t>
            </w:r>
            <w:r w:rsidRPr="0048438C">
              <w:rPr>
                <w:b/>
                <w:noProof/>
                <w:szCs w:val="24"/>
              </w:rPr>
              <w:t>.A1</w:t>
            </w:r>
            <w:r w:rsidR="000977CC" w:rsidRPr="0048438C">
              <w:rPr>
                <w:b/>
                <w:noProof/>
                <w:szCs w:val="24"/>
              </w:rPr>
              <w:t xml:space="preserve"> – </w:t>
            </w:r>
            <w:r w:rsidR="004D1534">
              <w:rPr>
                <w:b/>
                <w:noProof/>
                <w:szCs w:val="24"/>
              </w:rPr>
              <w:t xml:space="preserve">optioneering of </w:t>
            </w:r>
            <w:r w:rsidR="00C31181">
              <w:rPr>
                <w:b/>
                <w:noProof/>
                <w:szCs w:val="24"/>
              </w:rPr>
              <w:t xml:space="preserve">the means </w:t>
            </w:r>
            <w:r w:rsidR="009574A4">
              <w:rPr>
                <w:b/>
                <w:noProof/>
                <w:szCs w:val="24"/>
              </w:rPr>
              <w:t xml:space="preserve">by which to address the non-compliance against </w:t>
            </w:r>
            <w:r w:rsidR="00807D4F">
              <w:rPr>
                <w:b/>
                <w:noProof/>
                <w:szCs w:val="24"/>
              </w:rPr>
              <w:t xml:space="preserve">the </w:t>
            </w:r>
            <w:r w:rsidR="009574A4">
              <w:rPr>
                <w:b/>
                <w:noProof/>
                <w:szCs w:val="24"/>
              </w:rPr>
              <w:t>fuel burnup limit</w:t>
            </w:r>
          </w:p>
          <w:p w14:paraId="0BCA0B23" w14:textId="4C329FFE" w:rsidR="004F0AA0" w:rsidRPr="00936D8C" w:rsidRDefault="00875755" w:rsidP="0048438C">
            <w:pPr>
              <w:spacing w:before="60" w:after="60"/>
              <w:rPr>
                <w:noProof/>
                <w:szCs w:val="24"/>
              </w:rPr>
            </w:pPr>
            <w:r w:rsidRPr="0048438C">
              <w:rPr>
                <w:noProof/>
                <w:szCs w:val="24"/>
              </w:rPr>
              <w:t xml:space="preserve">In </w:t>
            </w:r>
            <w:r w:rsidRPr="00936D8C">
              <w:rPr>
                <w:noProof/>
                <w:szCs w:val="24"/>
              </w:rPr>
              <w:t xml:space="preserve">response to this Regulatory Observation Action, </w:t>
            </w:r>
            <w:r w:rsidR="0041262F">
              <w:rPr>
                <w:noProof/>
                <w:szCs w:val="24"/>
              </w:rPr>
              <w:t>the RP</w:t>
            </w:r>
            <w:r w:rsidRPr="00936D8C">
              <w:rPr>
                <w:noProof/>
                <w:szCs w:val="24"/>
              </w:rPr>
              <w:t xml:space="preserve"> should</w:t>
            </w:r>
            <w:r w:rsidR="004F0AA0" w:rsidRPr="00936D8C">
              <w:rPr>
                <w:noProof/>
                <w:szCs w:val="24"/>
              </w:rPr>
              <w:t>:</w:t>
            </w:r>
          </w:p>
          <w:p w14:paraId="02A52B18" w14:textId="1EA0A71D" w:rsidR="004F0AA0" w:rsidRPr="00936D8C" w:rsidRDefault="006D04BB" w:rsidP="004F0AA0">
            <w:pPr>
              <w:pStyle w:val="ListParagraph"/>
              <w:numPr>
                <w:ilvl w:val="0"/>
                <w:numId w:val="27"/>
              </w:numPr>
              <w:spacing w:before="60" w:after="60"/>
              <w:rPr>
                <w:noProof/>
                <w:szCs w:val="24"/>
              </w:rPr>
            </w:pPr>
            <w:r w:rsidRPr="00936D8C">
              <w:rPr>
                <w:noProof/>
                <w:szCs w:val="24"/>
              </w:rPr>
              <w:t xml:space="preserve">undertake optioneering to determine </w:t>
            </w:r>
            <w:r w:rsidR="00CC019E" w:rsidRPr="00936D8C">
              <w:rPr>
                <w:noProof/>
                <w:szCs w:val="24"/>
              </w:rPr>
              <w:t>a preferred means</w:t>
            </w:r>
            <w:r w:rsidR="002A5081" w:rsidRPr="00936D8C">
              <w:rPr>
                <w:noProof/>
                <w:szCs w:val="24"/>
              </w:rPr>
              <w:t xml:space="preserve"> by which to address the </w:t>
            </w:r>
            <w:r w:rsidR="002E3C2E" w:rsidRPr="00936D8C">
              <w:rPr>
                <w:noProof/>
                <w:szCs w:val="24"/>
              </w:rPr>
              <w:t xml:space="preserve">identified non-compliance with </w:t>
            </w:r>
            <w:r w:rsidR="00807D4F">
              <w:rPr>
                <w:noProof/>
                <w:szCs w:val="24"/>
              </w:rPr>
              <w:t xml:space="preserve">the </w:t>
            </w:r>
            <w:r w:rsidR="002E3C2E" w:rsidRPr="00936D8C">
              <w:rPr>
                <w:noProof/>
                <w:szCs w:val="24"/>
              </w:rPr>
              <w:t>fuel burnup limit</w:t>
            </w:r>
            <w:r w:rsidR="004F0AA0" w:rsidRPr="00936D8C">
              <w:rPr>
                <w:noProof/>
                <w:szCs w:val="24"/>
              </w:rPr>
              <w:t>;</w:t>
            </w:r>
            <w:r w:rsidR="002E3C2E" w:rsidRPr="00936D8C">
              <w:rPr>
                <w:noProof/>
                <w:szCs w:val="24"/>
              </w:rPr>
              <w:t xml:space="preserve"> </w:t>
            </w:r>
            <w:r w:rsidR="00AB7AED" w:rsidRPr="00936D8C">
              <w:rPr>
                <w:noProof/>
                <w:szCs w:val="24"/>
              </w:rPr>
              <w:t>and</w:t>
            </w:r>
          </w:p>
          <w:p w14:paraId="2DCB501B" w14:textId="51DA70FD" w:rsidR="00875755" w:rsidRPr="00936D8C" w:rsidRDefault="002B5817" w:rsidP="004F0AA0">
            <w:pPr>
              <w:pStyle w:val="ListParagraph"/>
              <w:numPr>
                <w:ilvl w:val="0"/>
                <w:numId w:val="27"/>
              </w:numPr>
              <w:spacing w:before="60" w:after="60"/>
              <w:rPr>
                <w:noProof/>
                <w:szCs w:val="24"/>
              </w:rPr>
            </w:pPr>
            <w:r w:rsidRPr="00936D8C">
              <w:rPr>
                <w:noProof/>
                <w:szCs w:val="24"/>
              </w:rPr>
              <w:t xml:space="preserve">explain why the chosen option is preferred, to support a future demonstration that </w:t>
            </w:r>
            <w:r w:rsidR="00AB7AED" w:rsidRPr="00936D8C">
              <w:rPr>
                <w:noProof/>
                <w:szCs w:val="24"/>
              </w:rPr>
              <w:t xml:space="preserve">risks </w:t>
            </w:r>
            <w:r w:rsidRPr="00936D8C">
              <w:rPr>
                <w:noProof/>
                <w:szCs w:val="24"/>
              </w:rPr>
              <w:t>are</w:t>
            </w:r>
            <w:r w:rsidR="00AB7AED" w:rsidRPr="00936D8C">
              <w:rPr>
                <w:noProof/>
                <w:szCs w:val="24"/>
              </w:rPr>
              <w:t xml:space="preserve"> reduced to </w:t>
            </w:r>
            <w:r w:rsidR="007646C5">
              <w:rPr>
                <w:noProof/>
                <w:szCs w:val="24"/>
              </w:rPr>
              <w:t>as low as reasonably practicable (</w:t>
            </w:r>
            <w:r w:rsidR="00AB7AED" w:rsidRPr="00936D8C">
              <w:rPr>
                <w:noProof/>
                <w:szCs w:val="24"/>
              </w:rPr>
              <w:t>ALARP</w:t>
            </w:r>
            <w:r w:rsidR="007646C5">
              <w:rPr>
                <w:noProof/>
                <w:szCs w:val="24"/>
              </w:rPr>
              <w:t>)</w:t>
            </w:r>
            <w:r w:rsidR="00AB7AED" w:rsidRPr="00936D8C">
              <w:rPr>
                <w:noProof/>
                <w:szCs w:val="24"/>
              </w:rPr>
              <w:t>.</w:t>
            </w:r>
          </w:p>
          <w:p w14:paraId="20AA25FA" w14:textId="50D3C8FA" w:rsidR="003C7579" w:rsidRPr="00936D8C" w:rsidRDefault="003C7579" w:rsidP="0048438C">
            <w:pPr>
              <w:spacing w:before="60" w:after="60"/>
              <w:rPr>
                <w:noProof/>
                <w:szCs w:val="24"/>
              </w:rPr>
            </w:pPr>
          </w:p>
          <w:p w14:paraId="2676437C" w14:textId="3F7493E8" w:rsidR="004D1BCC" w:rsidRDefault="004D1BCC" w:rsidP="0048438C">
            <w:pPr>
              <w:spacing w:before="60" w:after="60"/>
              <w:rPr>
                <w:b/>
                <w:noProof/>
                <w:szCs w:val="24"/>
              </w:rPr>
            </w:pPr>
            <w:r w:rsidRPr="00936D8C">
              <w:rPr>
                <w:b/>
                <w:noProof/>
                <w:szCs w:val="24"/>
              </w:rPr>
              <w:t>RO-HOLTECSMR300</w:t>
            </w:r>
            <w:r>
              <w:rPr>
                <w:b/>
                <w:noProof/>
                <w:szCs w:val="24"/>
              </w:rPr>
              <w:t>-</w:t>
            </w:r>
            <w:r w:rsidR="00807D4F">
              <w:rPr>
                <w:b/>
                <w:noProof/>
                <w:szCs w:val="24"/>
              </w:rPr>
              <w:t>005</w:t>
            </w:r>
            <w:r w:rsidRPr="0048438C">
              <w:rPr>
                <w:b/>
                <w:noProof/>
                <w:szCs w:val="24"/>
              </w:rPr>
              <w:t>.A</w:t>
            </w:r>
            <w:r>
              <w:rPr>
                <w:b/>
                <w:noProof/>
                <w:szCs w:val="24"/>
              </w:rPr>
              <w:t>2</w:t>
            </w:r>
            <w:r w:rsidRPr="0048438C">
              <w:rPr>
                <w:b/>
                <w:noProof/>
                <w:szCs w:val="24"/>
              </w:rPr>
              <w:t xml:space="preserve"> –</w:t>
            </w:r>
            <w:r>
              <w:rPr>
                <w:b/>
                <w:noProof/>
                <w:szCs w:val="24"/>
              </w:rPr>
              <w:t xml:space="preserve"> evidence </w:t>
            </w:r>
            <w:r w:rsidR="008545C8">
              <w:rPr>
                <w:b/>
                <w:noProof/>
                <w:szCs w:val="24"/>
              </w:rPr>
              <w:t xml:space="preserve">of compliance with </w:t>
            </w:r>
            <w:r w:rsidR="00807D4F">
              <w:rPr>
                <w:b/>
                <w:noProof/>
                <w:szCs w:val="24"/>
              </w:rPr>
              <w:t xml:space="preserve">the </w:t>
            </w:r>
            <w:r w:rsidR="008545C8">
              <w:rPr>
                <w:b/>
                <w:noProof/>
                <w:szCs w:val="24"/>
              </w:rPr>
              <w:t>fuel burnup limit</w:t>
            </w:r>
          </w:p>
          <w:p w14:paraId="06827C61" w14:textId="6038AA0D" w:rsidR="00B72558" w:rsidRPr="00936D8C" w:rsidRDefault="004434A9" w:rsidP="0048438C">
            <w:pPr>
              <w:spacing w:before="60" w:after="60"/>
              <w:rPr>
                <w:noProof/>
                <w:szCs w:val="24"/>
              </w:rPr>
            </w:pPr>
            <w:r w:rsidRPr="0048438C">
              <w:rPr>
                <w:noProof/>
                <w:szCs w:val="24"/>
              </w:rPr>
              <w:t xml:space="preserve">In response </w:t>
            </w:r>
            <w:r w:rsidRPr="00936D8C">
              <w:rPr>
                <w:noProof/>
                <w:szCs w:val="24"/>
              </w:rPr>
              <w:t xml:space="preserve">to this Regulatory Observation Action, </w:t>
            </w:r>
            <w:r w:rsidR="0041262F">
              <w:rPr>
                <w:noProof/>
                <w:szCs w:val="24"/>
              </w:rPr>
              <w:t>the RP</w:t>
            </w:r>
            <w:r w:rsidRPr="00936D8C">
              <w:rPr>
                <w:noProof/>
                <w:szCs w:val="24"/>
              </w:rPr>
              <w:t xml:space="preserve"> should provide evidence that after </w:t>
            </w:r>
            <w:r w:rsidR="001547A9" w:rsidRPr="00936D8C">
              <w:rPr>
                <w:noProof/>
                <w:szCs w:val="24"/>
              </w:rPr>
              <w:t>pursuing the chosen option</w:t>
            </w:r>
            <w:r w:rsidR="00711EDD" w:rsidRPr="00936D8C">
              <w:rPr>
                <w:noProof/>
                <w:szCs w:val="24"/>
              </w:rPr>
              <w:t xml:space="preserve"> to address this shortfall</w:t>
            </w:r>
            <w:r w:rsidR="00B72558" w:rsidRPr="00936D8C">
              <w:rPr>
                <w:noProof/>
                <w:szCs w:val="24"/>
              </w:rPr>
              <w:t>:</w:t>
            </w:r>
          </w:p>
          <w:p w14:paraId="3D704803" w14:textId="6AEF22A6" w:rsidR="00740B50" w:rsidRPr="00936D8C" w:rsidRDefault="00B72558" w:rsidP="00740B50">
            <w:pPr>
              <w:pStyle w:val="ListParagraph"/>
              <w:numPr>
                <w:ilvl w:val="0"/>
                <w:numId w:val="26"/>
              </w:numPr>
              <w:spacing w:before="60" w:after="60"/>
              <w:rPr>
                <w:noProof/>
                <w:szCs w:val="24"/>
              </w:rPr>
            </w:pPr>
            <w:r w:rsidRPr="00936D8C">
              <w:rPr>
                <w:noProof/>
                <w:szCs w:val="24"/>
              </w:rPr>
              <w:t>t</w:t>
            </w:r>
            <w:r w:rsidR="001547A9" w:rsidRPr="00936D8C">
              <w:rPr>
                <w:noProof/>
                <w:szCs w:val="24"/>
              </w:rPr>
              <w:t>he SMR-300 core nuclear design is compliant with</w:t>
            </w:r>
            <w:r w:rsidRPr="00936D8C">
              <w:rPr>
                <w:noProof/>
                <w:szCs w:val="24"/>
              </w:rPr>
              <w:t xml:space="preserve"> the relevan</w:t>
            </w:r>
            <w:r w:rsidR="00740B50" w:rsidRPr="00936D8C">
              <w:rPr>
                <w:noProof/>
                <w:szCs w:val="24"/>
              </w:rPr>
              <w:t>t</w:t>
            </w:r>
            <w:r w:rsidRPr="00936D8C">
              <w:rPr>
                <w:noProof/>
                <w:szCs w:val="24"/>
              </w:rPr>
              <w:t xml:space="preserve"> fu</w:t>
            </w:r>
            <w:r w:rsidR="00740B50" w:rsidRPr="00936D8C">
              <w:rPr>
                <w:noProof/>
                <w:szCs w:val="24"/>
              </w:rPr>
              <w:t>e</w:t>
            </w:r>
            <w:r w:rsidRPr="00936D8C">
              <w:rPr>
                <w:noProof/>
                <w:szCs w:val="24"/>
              </w:rPr>
              <w:t>l burnup limit</w:t>
            </w:r>
            <w:r w:rsidR="00740B50" w:rsidRPr="00936D8C">
              <w:rPr>
                <w:noProof/>
                <w:szCs w:val="24"/>
              </w:rPr>
              <w:t>;</w:t>
            </w:r>
          </w:p>
          <w:p w14:paraId="7652A461" w14:textId="0D11BD25" w:rsidR="004434A9" w:rsidRPr="00936D8C" w:rsidRDefault="00740B50" w:rsidP="00740B50">
            <w:pPr>
              <w:pStyle w:val="ListParagraph"/>
              <w:numPr>
                <w:ilvl w:val="0"/>
                <w:numId w:val="26"/>
              </w:numPr>
              <w:spacing w:before="60" w:after="60"/>
              <w:rPr>
                <w:noProof/>
                <w:szCs w:val="24"/>
              </w:rPr>
            </w:pPr>
            <w:r w:rsidRPr="00936D8C">
              <w:rPr>
                <w:noProof/>
                <w:szCs w:val="24"/>
              </w:rPr>
              <w:t xml:space="preserve">the SMR-300 core nuclear design remains compliant with all other </w:t>
            </w:r>
            <w:r w:rsidR="001547A9" w:rsidRPr="00936D8C">
              <w:rPr>
                <w:noProof/>
                <w:szCs w:val="24"/>
              </w:rPr>
              <w:t>relevant nuclear design criteria and limits</w:t>
            </w:r>
            <w:r w:rsidRPr="00936D8C">
              <w:rPr>
                <w:noProof/>
                <w:szCs w:val="24"/>
              </w:rPr>
              <w:t>; and</w:t>
            </w:r>
          </w:p>
          <w:p w14:paraId="078BB0BE" w14:textId="0FC06C3D" w:rsidR="00740B50" w:rsidRPr="00936D8C" w:rsidRDefault="00740B50" w:rsidP="00740B50">
            <w:pPr>
              <w:pStyle w:val="ListParagraph"/>
              <w:numPr>
                <w:ilvl w:val="0"/>
                <w:numId w:val="26"/>
              </w:numPr>
              <w:spacing w:before="60" w:after="60"/>
              <w:rPr>
                <w:noProof/>
                <w:szCs w:val="24"/>
              </w:rPr>
            </w:pPr>
            <w:r w:rsidRPr="00936D8C">
              <w:rPr>
                <w:noProof/>
                <w:szCs w:val="24"/>
              </w:rPr>
              <w:t xml:space="preserve">any changes to </w:t>
            </w:r>
            <w:r w:rsidR="009F44C3" w:rsidRPr="00936D8C">
              <w:rPr>
                <w:noProof/>
                <w:szCs w:val="24"/>
              </w:rPr>
              <w:t xml:space="preserve">the SMR-300 </w:t>
            </w:r>
            <w:r w:rsidRPr="00936D8C">
              <w:rPr>
                <w:noProof/>
                <w:szCs w:val="24"/>
              </w:rPr>
              <w:t>nuclear design criteria and limits have been justified.</w:t>
            </w:r>
          </w:p>
          <w:p w14:paraId="6202BAE1" w14:textId="77777777" w:rsidR="004D1BCC" w:rsidRPr="00936D8C" w:rsidRDefault="004D1BCC" w:rsidP="0048438C">
            <w:pPr>
              <w:spacing w:before="60" w:after="60"/>
              <w:rPr>
                <w:noProof/>
                <w:szCs w:val="24"/>
              </w:rPr>
            </w:pPr>
          </w:p>
          <w:p w14:paraId="613FEBC5" w14:textId="76DEDC5E" w:rsidR="009F44C3" w:rsidRPr="009F44C3" w:rsidRDefault="009F44C3" w:rsidP="009F44C3">
            <w:pPr>
              <w:spacing w:before="60" w:after="60"/>
              <w:rPr>
                <w:b/>
                <w:noProof/>
                <w:szCs w:val="24"/>
              </w:rPr>
            </w:pPr>
            <w:r w:rsidRPr="00936D8C">
              <w:rPr>
                <w:b/>
                <w:noProof/>
                <w:szCs w:val="24"/>
              </w:rPr>
              <w:t>RO-HOLTECSMR300</w:t>
            </w:r>
            <w:r w:rsidRPr="009F44C3">
              <w:rPr>
                <w:b/>
                <w:noProof/>
                <w:szCs w:val="24"/>
              </w:rPr>
              <w:t>-</w:t>
            </w:r>
            <w:r w:rsidR="00807D4F">
              <w:rPr>
                <w:b/>
                <w:noProof/>
                <w:szCs w:val="24"/>
              </w:rPr>
              <w:t>005</w:t>
            </w:r>
            <w:r w:rsidRPr="009F44C3">
              <w:rPr>
                <w:b/>
                <w:noProof/>
                <w:szCs w:val="24"/>
              </w:rPr>
              <w:t>.A</w:t>
            </w:r>
            <w:r w:rsidR="00B33C15">
              <w:rPr>
                <w:b/>
                <w:noProof/>
                <w:szCs w:val="24"/>
              </w:rPr>
              <w:t>3</w:t>
            </w:r>
            <w:r w:rsidRPr="009F44C3">
              <w:rPr>
                <w:b/>
                <w:noProof/>
                <w:szCs w:val="24"/>
              </w:rPr>
              <w:t xml:space="preserve"> – assessment of </w:t>
            </w:r>
            <w:r>
              <w:rPr>
                <w:b/>
                <w:noProof/>
                <w:szCs w:val="24"/>
              </w:rPr>
              <w:t>wider impact of the chosen option</w:t>
            </w:r>
          </w:p>
          <w:p w14:paraId="08ED061B" w14:textId="5BA72684" w:rsidR="000661E7" w:rsidRDefault="000661E7" w:rsidP="0048438C">
            <w:pPr>
              <w:spacing w:before="60" w:after="60"/>
              <w:rPr>
                <w:noProof/>
                <w:szCs w:val="24"/>
              </w:rPr>
            </w:pPr>
            <w:r w:rsidRPr="0048438C">
              <w:rPr>
                <w:noProof/>
                <w:szCs w:val="24"/>
              </w:rPr>
              <w:t xml:space="preserve">In response to this Regulatory Observation Action, </w:t>
            </w:r>
            <w:r w:rsidR="0041262F">
              <w:rPr>
                <w:noProof/>
                <w:szCs w:val="24"/>
              </w:rPr>
              <w:t>the RP</w:t>
            </w:r>
            <w:r w:rsidRPr="0048438C">
              <w:rPr>
                <w:noProof/>
                <w:szCs w:val="24"/>
              </w:rPr>
              <w:t xml:space="preserve"> should</w:t>
            </w:r>
            <w:r>
              <w:rPr>
                <w:noProof/>
                <w:szCs w:val="24"/>
              </w:rPr>
              <w:t>:</w:t>
            </w:r>
          </w:p>
          <w:p w14:paraId="26F4B1EC" w14:textId="3C2A36C7" w:rsidR="000661E7" w:rsidRDefault="00BC7E53" w:rsidP="000661E7">
            <w:pPr>
              <w:pStyle w:val="ListParagraph"/>
              <w:numPr>
                <w:ilvl w:val="0"/>
                <w:numId w:val="28"/>
              </w:numPr>
              <w:spacing w:before="60" w:after="60"/>
              <w:rPr>
                <w:noProof/>
                <w:szCs w:val="24"/>
              </w:rPr>
            </w:pPr>
            <w:r>
              <w:rPr>
                <w:noProof/>
                <w:szCs w:val="24"/>
              </w:rPr>
              <w:t xml:space="preserve">identify whether the chosen option </w:t>
            </w:r>
            <w:r w:rsidR="00711EDD">
              <w:rPr>
                <w:noProof/>
                <w:szCs w:val="24"/>
              </w:rPr>
              <w:t>to address this shortfall has</w:t>
            </w:r>
            <w:r>
              <w:rPr>
                <w:noProof/>
                <w:szCs w:val="24"/>
              </w:rPr>
              <w:t xml:space="preserve"> any impact on </w:t>
            </w:r>
            <w:r w:rsidR="00711EDD">
              <w:rPr>
                <w:noProof/>
                <w:szCs w:val="24"/>
              </w:rPr>
              <w:t>the SMR-300 plant outside of the co</w:t>
            </w:r>
            <w:r w:rsidR="00B17581">
              <w:rPr>
                <w:noProof/>
                <w:szCs w:val="24"/>
              </w:rPr>
              <w:t>r</w:t>
            </w:r>
            <w:r w:rsidR="00711EDD">
              <w:rPr>
                <w:noProof/>
                <w:szCs w:val="24"/>
              </w:rPr>
              <w:t>e nuclear design, or on the SMR-300’s design characteristics</w:t>
            </w:r>
            <w:r w:rsidR="00B17581">
              <w:rPr>
                <w:noProof/>
                <w:szCs w:val="24"/>
              </w:rPr>
              <w:t>; and</w:t>
            </w:r>
          </w:p>
          <w:p w14:paraId="082DAA92" w14:textId="78B081BD" w:rsidR="00B17581" w:rsidRPr="000661E7" w:rsidRDefault="000123B7" w:rsidP="000661E7">
            <w:pPr>
              <w:pStyle w:val="ListParagraph"/>
              <w:numPr>
                <w:ilvl w:val="0"/>
                <w:numId w:val="28"/>
              </w:numPr>
              <w:spacing w:before="60" w:after="60"/>
              <w:rPr>
                <w:noProof/>
                <w:szCs w:val="24"/>
              </w:rPr>
            </w:pPr>
            <w:r w:rsidRPr="000123B7">
              <w:rPr>
                <w:noProof/>
                <w:szCs w:val="24"/>
              </w:rPr>
              <w:t xml:space="preserve">describe any additional work </w:t>
            </w:r>
            <w:r>
              <w:rPr>
                <w:noProof/>
                <w:szCs w:val="24"/>
              </w:rPr>
              <w:t>necessary</w:t>
            </w:r>
            <w:r w:rsidRPr="000123B7">
              <w:rPr>
                <w:noProof/>
                <w:szCs w:val="24"/>
              </w:rPr>
              <w:t xml:space="preserve"> to support full implementation of the chosen option, including consideration of its potential impacts on the wider plant and safety, security and environment case</w:t>
            </w:r>
            <w:r w:rsidR="00936D8C">
              <w:rPr>
                <w:noProof/>
                <w:szCs w:val="24"/>
              </w:rPr>
              <w:t>.</w:t>
            </w:r>
          </w:p>
          <w:p w14:paraId="4573E04D" w14:textId="79A415FC" w:rsidR="00850471" w:rsidRPr="00FD0CB5" w:rsidRDefault="00850471" w:rsidP="0048438C">
            <w:pPr>
              <w:spacing w:before="60" w:after="60"/>
              <w:rPr>
                <w:bCs/>
                <w:noProof/>
                <w:szCs w:val="24"/>
              </w:rPr>
            </w:pPr>
            <w:r w:rsidRPr="0048438C">
              <w:rPr>
                <w:noProof/>
                <w:szCs w:val="24"/>
              </w:rPr>
              <w:br/>
            </w:r>
            <w:r w:rsidRPr="00FD0CB5">
              <w:rPr>
                <w:bCs/>
                <w:noProof/>
                <w:szCs w:val="24"/>
              </w:rPr>
              <w:t>Resolution required by '</w:t>
            </w:r>
            <w:r w:rsidRPr="00FD0CB5">
              <w:rPr>
                <w:bCs/>
                <w:i/>
                <w:noProof/>
                <w:szCs w:val="24"/>
              </w:rPr>
              <w:t xml:space="preserve">to be determined by </w:t>
            </w:r>
            <w:r w:rsidR="00AB1EA2">
              <w:rPr>
                <w:bCs/>
                <w:i/>
                <w:noProof/>
                <w:szCs w:val="24"/>
              </w:rPr>
              <w:t>Holtec</w:t>
            </w:r>
            <w:r w:rsidRPr="00FD0CB5">
              <w:rPr>
                <w:bCs/>
                <w:i/>
                <w:noProof/>
                <w:szCs w:val="24"/>
              </w:rPr>
              <w:t xml:space="preserve"> Resolution Plan</w:t>
            </w:r>
            <w:r w:rsidRPr="00FD0CB5">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w:t>
            </w:r>
            <w:proofErr w:type="spellStart"/>
            <w:r w:rsidR="00367C32" w:rsidRPr="009459D7">
              <w:rPr>
                <w:bCs/>
                <w:szCs w:val="24"/>
              </w:rPr>
              <w:t>yy</w:t>
            </w:r>
            <w:proofErr w:type="spellEnd"/>
            <w:r w:rsidR="00367C32" w:rsidRPr="009459D7">
              <w:rPr>
                <w:bCs/>
                <w:szCs w:val="24"/>
              </w:rPr>
              <w:t>)</w:t>
            </w:r>
            <w:r w:rsidRPr="0048438C">
              <w:rPr>
                <w:b/>
                <w:szCs w:val="24"/>
              </w:rPr>
              <w:t>:</w:t>
            </w:r>
          </w:p>
        </w:tc>
        <w:tc>
          <w:tcPr>
            <w:tcW w:w="3461" w:type="dxa"/>
          </w:tcPr>
          <w:p w14:paraId="4573E052" w14:textId="77777777"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w:t>
            </w:r>
            <w:proofErr w:type="spellStart"/>
            <w:r w:rsidR="009459D7" w:rsidRPr="009459D7">
              <w:rPr>
                <w:bCs/>
                <w:szCs w:val="24"/>
              </w:rPr>
              <w:t>yy</w:t>
            </w:r>
            <w:proofErr w:type="spellEnd"/>
            <w:r w:rsidR="009459D7" w:rsidRPr="009459D7">
              <w:rPr>
                <w:bCs/>
                <w:szCs w:val="24"/>
              </w:rPr>
              <w:t>)</w:t>
            </w:r>
            <w:r w:rsidRPr="0048438C">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headerReference w:type="default" r:id="rId13"/>
      <w:footerReference w:type="even" r:id="rId14"/>
      <w:footerReference w:type="default" r:id="rId15"/>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6A62" w14:textId="77777777" w:rsidR="001521AF" w:rsidRDefault="001521AF">
      <w:r>
        <w:separator/>
      </w:r>
    </w:p>
  </w:endnote>
  <w:endnote w:type="continuationSeparator" w:id="0">
    <w:p w14:paraId="514DC5FC" w14:textId="77777777" w:rsidR="001521AF" w:rsidRDefault="0015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43155AC4" w:rsidR="00C15B6D" w:rsidRDefault="00C15B6D">
    <w:pPr>
      <w:pStyle w:val="Footer"/>
      <w:tabs>
        <w:tab w:val="clear" w:pos="8306"/>
        <w:tab w:val="right" w:pos="9840"/>
      </w:tabs>
      <w:spacing w:before="120"/>
      <w:rPr>
        <w:lang w:val="en-US"/>
      </w:rPr>
    </w:pPr>
    <w:r>
      <w:rPr>
        <w:lang w:val="en-US"/>
      </w:rPr>
      <w:tab/>
    </w:r>
    <w:r w:rsidR="006300E5">
      <w:rPr>
        <w:lang w:val="en-US"/>
      </w:rPr>
      <w:t xml:space="preserve">                           </w:t>
    </w:r>
    <w:r>
      <w:rPr>
        <w:lang w:val="en-US"/>
      </w:rPr>
      <w:tab/>
    </w:r>
    <w:r w:rsidR="005A547C" w:rsidRPr="009D128E">
      <w:rPr>
        <w:sz w:val="22"/>
        <w:szCs w:val="22"/>
        <w:lang w:val="en-US"/>
      </w:rPr>
      <w:t xml:space="preserve">Page </w:t>
    </w:r>
    <w:r w:rsidR="005A547C" w:rsidRPr="009D128E">
      <w:rPr>
        <w:sz w:val="22"/>
        <w:szCs w:val="22"/>
        <w:lang w:val="en-US"/>
      </w:rPr>
      <w:fldChar w:fldCharType="begin"/>
    </w:r>
    <w:r w:rsidR="005A547C" w:rsidRPr="009D128E">
      <w:rPr>
        <w:sz w:val="22"/>
        <w:szCs w:val="22"/>
        <w:lang w:val="en-US"/>
      </w:rPr>
      <w:instrText xml:space="preserve"> PAGE </w:instrText>
    </w:r>
    <w:r w:rsidR="005A547C" w:rsidRPr="009D128E">
      <w:rPr>
        <w:sz w:val="22"/>
        <w:szCs w:val="22"/>
        <w:lang w:val="en-US"/>
      </w:rPr>
      <w:fldChar w:fldCharType="separate"/>
    </w:r>
    <w:r w:rsidR="005A547C">
      <w:rPr>
        <w:sz w:val="22"/>
        <w:lang w:val="en-US"/>
      </w:rPr>
      <w:t>1</w:t>
    </w:r>
    <w:r w:rsidR="005A547C" w:rsidRPr="009D128E">
      <w:rPr>
        <w:sz w:val="22"/>
        <w:szCs w:val="22"/>
        <w:lang w:val="en-US"/>
      </w:rPr>
      <w:fldChar w:fldCharType="end"/>
    </w:r>
    <w:r w:rsidR="005A547C" w:rsidRPr="009D128E">
      <w:rPr>
        <w:sz w:val="22"/>
        <w:szCs w:val="22"/>
        <w:lang w:val="en-US"/>
      </w:rPr>
      <w:t xml:space="preserve"> of </w:t>
    </w:r>
    <w:r w:rsidR="005A547C" w:rsidRPr="009D128E">
      <w:rPr>
        <w:sz w:val="22"/>
        <w:szCs w:val="22"/>
        <w:lang w:val="en-US"/>
      </w:rPr>
      <w:fldChar w:fldCharType="begin"/>
    </w:r>
    <w:r w:rsidR="005A547C" w:rsidRPr="009D128E">
      <w:rPr>
        <w:sz w:val="22"/>
        <w:szCs w:val="22"/>
        <w:lang w:val="en-US"/>
      </w:rPr>
      <w:instrText xml:space="preserve"> NUMPAGES </w:instrText>
    </w:r>
    <w:r w:rsidR="005A547C" w:rsidRPr="009D128E">
      <w:rPr>
        <w:sz w:val="22"/>
        <w:szCs w:val="22"/>
        <w:lang w:val="en-US"/>
      </w:rPr>
      <w:fldChar w:fldCharType="separate"/>
    </w:r>
    <w:r w:rsidR="005A547C">
      <w:rPr>
        <w:sz w:val="22"/>
        <w:lang w:val="en-US"/>
      </w:rPr>
      <w:t>3</w:t>
    </w:r>
    <w:r w:rsidR="005A547C" w:rsidRPr="009D128E">
      <w:rPr>
        <w:sz w:val="22"/>
        <w:szCs w:val="22"/>
        <w:lang w:val="en-US"/>
      </w:rPr>
      <w:fldChar w:fldCharType="end"/>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982C" w14:textId="77777777" w:rsidR="001521AF" w:rsidRDefault="001521AF">
      <w:r>
        <w:separator/>
      </w:r>
    </w:p>
  </w:footnote>
  <w:footnote w:type="continuationSeparator" w:id="0">
    <w:p w14:paraId="6C2B3702" w14:textId="77777777" w:rsidR="001521AF" w:rsidRDefault="0015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77777777"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7A729E">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48921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C1D71"/>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850EC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96F95"/>
    <w:multiLevelType w:val="hybridMultilevel"/>
    <w:tmpl w:val="5A5CD1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C4502E"/>
    <w:multiLevelType w:val="hybridMultilevel"/>
    <w:tmpl w:val="CAE07FEA"/>
    <w:lvl w:ilvl="0" w:tplc="9E70A020">
      <w:start w:val="1"/>
      <w:numFmt w:val="decimal"/>
      <w:pStyle w:val="Numberedparagraph"/>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C85557"/>
    <w:multiLevelType w:val="hybridMultilevel"/>
    <w:tmpl w:val="84ECD3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6AE7A4C"/>
    <w:multiLevelType w:val="hybridMultilevel"/>
    <w:tmpl w:val="F88CC07C"/>
    <w:lvl w:ilvl="0" w:tplc="1D165186">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37156349"/>
    <w:multiLevelType w:val="multilevel"/>
    <w:tmpl w:val="3948D6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22B04"/>
    <w:multiLevelType w:val="hybridMultilevel"/>
    <w:tmpl w:val="DE6ED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1F62E2"/>
    <w:multiLevelType w:val="hybridMultilevel"/>
    <w:tmpl w:val="81CA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B7294"/>
    <w:multiLevelType w:val="hybridMultilevel"/>
    <w:tmpl w:val="0680C2AC"/>
    <w:lvl w:ilvl="0" w:tplc="9D7AF4A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4580136">
    <w:abstractNumId w:val="19"/>
  </w:num>
  <w:num w:numId="2" w16cid:durableId="1038162188">
    <w:abstractNumId w:val="19"/>
  </w:num>
  <w:num w:numId="3" w16cid:durableId="1457485129">
    <w:abstractNumId w:val="19"/>
  </w:num>
  <w:num w:numId="4" w16cid:durableId="605386637">
    <w:abstractNumId w:val="18"/>
  </w:num>
  <w:num w:numId="5" w16cid:durableId="642780601">
    <w:abstractNumId w:val="14"/>
  </w:num>
  <w:num w:numId="6" w16cid:durableId="1993218993">
    <w:abstractNumId w:val="19"/>
  </w:num>
  <w:num w:numId="7" w16cid:durableId="1210649461">
    <w:abstractNumId w:val="19"/>
  </w:num>
  <w:num w:numId="8" w16cid:durableId="777143800">
    <w:abstractNumId w:val="19"/>
  </w:num>
  <w:num w:numId="9" w16cid:durableId="416095553">
    <w:abstractNumId w:val="19"/>
  </w:num>
  <w:num w:numId="10" w16cid:durableId="157312330">
    <w:abstractNumId w:val="19"/>
  </w:num>
  <w:num w:numId="11" w16cid:durableId="272445445">
    <w:abstractNumId w:val="19"/>
  </w:num>
  <w:num w:numId="12" w16cid:durableId="1954940256">
    <w:abstractNumId w:val="4"/>
  </w:num>
  <w:num w:numId="13" w16cid:durableId="228197380">
    <w:abstractNumId w:val="3"/>
  </w:num>
  <w:num w:numId="14" w16cid:durableId="717900545">
    <w:abstractNumId w:val="2"/>
  </w:num>
  <w:num w:numId="15" w16cid:durableId="936597274">
    <w:abstractNumId w:val="1"/>
  </w:num>
  <w:num w:numId="16" w16cid:durableId="1357922998">
    <w:abstractNumId w:val="0"/>
  </w:num>
  <w:num w:numId="17" w16cid:durableId="833574136">
    <w:abstractNumId w:val="9"/>
  </w:num>
  <w:num w:numId="18" w16cid:durableId="1027683759">
    <w:abstractNumId w:val="8"/>
  </w:num>
  <w:num w:numId="19" w16cid:durableId="1637100462">
    <w:abstractNumId w:val="17"/>
  </w:num>
  <w:num w:numId="20" w16cid:durableId="1174806318">
    <w:abstractNumId w:val="12"/>
  </w:num>
  <w:num w:numId="21" w16cid:durableId="945313271">
    <w:abstractNumId w:val="6"/>
  </w:num>
  <w:num w:numId="22" w16cid:durableId="1200700022">
    <w:abstractNumId w:val="7"/>
  </w:num>
  <w:num w:numId="23" w16cid:durableId="645672170">
    <w:abstractNumId w:val="5"/>
  </w:num>
  <w:num w:numId="24" w16cid:durableId="1840466613">
    <w:abstractNumId w:val="13"/>
  </w:num>
  <w:num w:numId="25" w16cid:durableId="126319480">
    <w:abstractNumId w:val="10"/>
  </w:num>
  <w:num w:numId="26" w16cid:durableId="2084640176">
    <w:abstractNumId w:val="15"/>
  </w:num>
  <w:num w:numId="27" w16cid:durableId="542443607">
    <w:abstractNumId w:val="11"/>
  </w:num>
  <w:num w:numId="28" w16cid:durableId="522210661">
    <w:abstractNumId w:val="16"/>
  </w:num>
  <w:num w:numId="29" w16cid:durableId="1871448824">
    <w:abstractNumId w:val="10"/>
  </w:num>
  <w:num w:numId="30" w16cid:durableId="253900878">
    <w:abstractNumId w:val="10"/>
  </w:num>
  <w:num w:numId="31" w16cid:durableId="1060515929">
    <w:abstractNumId w:val="10"/>
  </w:num>
  <w:num w:numId="32" w16cid:durableId="569577984">
    <w:abstractNumId w:val="10"/>
  </w:num>
  <w:num w:numId="33" w16cid:durableId="1684084470">
    <w:abstractNumId w:val="10"/>
  </w:num>
  <w:num w:numId="34" w16cid:durableId="1567034448">
    <w:abstractNumId w:val="10"/>
  </w:num>
  <w:num w:numId="35" w16cid:durableId="1694308847">
    <w:abstractNumId w:val="10"/>
  </w:num>
  <w:num w:numId="36" w16cid:durableId="113600593">
    <w:abstractNumId w:val="10"/>
  </w:num>
  <w:num w:numId="37" w16cid:durableId="859589129">
    <w:abstractNumId w:val="10"/>
  </w:num>
  <w:num w:numId="38" w16cid:durableId="1461538350">
    <w:abstractNumId w:val="10"/>
  </w:num>
  <w:num w:numId="39" w16cid:durableId="913974635">
    <w:abstractNumId w:val="10"/>
  </w:num>
  <w:num w:numId="40" w16cid:durableId="652949907">
    <w:abstractNumId w:val="10"/>
  </w:num>
  <w:num w:numId="41" w16cid:durableId="1450007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365"/>
    <w:rsid w:val="00001A06"/>
    <w:rsid w:val="0000781D"/>
    <w:rsid w:val="00007D00"/>
    <w:rsid w:val="000123B7"/>
    <w:rsid w:val="00016DF9"/>
    <w:rsid w:val="000279AA"/>
    <w:rsid w:val="0003257C"/>
    <w:rsid w:val="0004732D"/>
    <w:rsid w:val="00047346"/>
    <w:rsid w:val="00055BAF"/>
    <w:rsid w:val="000661E7"/>
    <w:rsid w:val="0007136E"/>
    <w:rsid w:val="000758E9"/>
    <w:rsid w:val="00077F66"/>
    <w:rsid w:val="00090BAB"/>
    <w:rsid w:val="0009685C"/>
    <w:rsid w:val="000977CC"/>
    <w:rsid w:val="000A37C5"/>
    <w:rsid w:val="000A3F24"/>
    <w:rsid w:val="000B2424"/>
    <w:rsid w:val="000B28EE"/>
    <w:rsid w:val="000C2BE2"/>
    <w:rsid w:val="000D23C3"/>
    <w:rsid w:val="000E187A"/>
    <w:rsid w:val="000E5BF6"/>
    <w:rsid w:val="00112677"/>
    <w:rsid w:val="00112B11"/>
    <w:rsid w:val="0011607F"/>
    <w:rsid w:val="001178D5"/>
    <w:rsid w:val="00121984"/>
    <w:rsid w:val="00124351"/>
    <w:rsid w:val="00125578"/>
    <w:rsid w:val="00141E00"/>
    <w:rsid w:val="001438BC"/>
    <w:rsid w:val="001521AF"/>
    <w:rsid w:val="0015300B"/>
    <w:rsid w:val="001547A9"/>
    <w:rsid w:val="00164BC4"/>
    <w:rsid w:val="00170A05"/>
    <w:rsid w:val="001804FF"/>
    <w:rsid w:val="00185D10"/>
    <w:rsid w:val="0019793F"/>
    <w:rsid w:val="00197E5B"/>
    <w:rsid w:val="001B0F79"/>
    <w:rsid w:val="001B78E7"/>
    <w:rsid w:val="001D27BE"/>
    <w:rsid w:val="001E45D3"/>
    <w:rsid w:val="001F1429"/>
    <w:rsid w:val="001F685B"/>
    <w:rsid w:val="0020150E"/>
    <w:rsid w:val="00211D29"/>
    <w:rsid w:val="00212157"/>
    <w:rsid w:val="00220466"/>
    <w:rsid w:val="00221347"/>
    <w:rsid w:val="0023318B"/>
    <w:rsid w:val="00235D8C"/>
    <w:rsid w:val="00245F8D"/>
    <w:rsid w:val="002537E6"/>
    <w:rsid w:val="00256B96"/>
    <w:rsid w:val="002633A6"/>
    <w:rsid w:val="00266373"/>
    <w:rsid w:val="00272E0F"/>
    <w:rsid w:val="002815C5"/>
    <w:rsid w:val="00282753"/>
    <w:rsid w:val="00284747"/>
    <w:rsid w:val="002860FC"/>
    <w:rsid w:val="002A5081"/>
    <w:rsid w:val="002A596C"/>
    <w:rsid w:val="002B5817"/>
    <w:rsid w:val="002C0193"/>
    <w:rsid w:val="002C0396"/>
    <w:rsid w:val="002C32EA"/>
    <w:rsid w:val="002D036E"/>
    <w:rsid w:val="002D681B"/>
    <w:rsid w:val="002E3C2E"/>
    <w:rsid w:val="002E4F26"/>
    <w:rsid w:val="002F3D04"/>
    <w:rsid w:val="00313FDD"/>
    <w:rsid w:val="00336590"/>
    <w:rsid w:val="00337A6D"/>
    <w:rsid w:val="00347213"/>
    <w:rsid w:val="00350E56"/>
    <w:rsid w:val="00356A2C"/>
    <w:rsid w:val="00366AEB"/>
    <w:rsid w:val="00367C32"/>
    <w:rsid w:val="00391055"/>
    <w:rsid w:val="003A6935"/>
    <w:rsid w:val="003B0692"/>
    <w:rsid w:val="003B5825"/>
    <w:rsid w:val="003B6ACD"/>
    <w:rsid w:val="003B721C"/>
    <w:rsid w:val="003C7579"/>
    <w:rsid w:val="003E3F70"/>
    <w:rsid w:val="003E66C3"/>
    <w:rsid w:val="003F3212"/>
    <w:rsid w:val="004019BD"/>
    <w:rsid w:val="0040443F"/>
    <w:rsid w:val="004046A8"/>
    <w:rsid w:val="0041262F"/>
    <w:rsid w:val="00417391"/>
    <w:rsid w:val="004214AE"/>
    <w:rsid w:val="004234AF"/>
    <w:rsid w:val="00423DB8"/>
    <w:rsid w:val="00441E02"/>
    <w:rsid w:val="004434A9"/>
    <w:rsid w:val="00444C41"/>
    <w:rsid w:val="00466E50"/>
    <w:rsid w:val="0047665E"/>
    <w:rsid w:val="0048438C"/>
    <w:rsid w:val="00486410"/>
    <w:rsid w:val="004941F3"/>
    <w:rsid w:val="00494EE4"/>
    <w:rsid w:val="004A2090"/>
    <w:rsid w:val="004B1861"/>
    <w:rsid w:val="004B328D"/>
    <w:rsid w:val="004C1227"/>
    <w:rsid w:val="004C515B"/>
    <w:rsid w:val="004C592A"/>
    <w:rsid w:val="004D1534"/>
    <w:rsid w:val="004D1BCC"/>
    <w:rsid w:val="004D6E8F"/>
    <w:rsid w:val="004D6F38"/>
    <w:rsid w:val="004E06D4"/>
    <w:rsid w:val="004E4909"/>
    <w:rsid w:val="004E5017"/>
    <w:rsid w:val="004F0AA0"/>
    <w:rsid w:val="004F1590"/>
    <w:rsid w:val="00500370"/>
    <w:rsid w:val="00500AE9"/>
    <w:rsid w:val="00502D25"/>
    <w:rsid w:val="00524EA5"/>
    <w:rsid w:val="00524F31"/>
    <w:rsid w:val="0053120B"/>
    <w:rsid w:val="00542CA2"/>
    <w:rsid w:val="0055746B"/>
    <w:rsid w:val="0058155E"/>
    <w:rsid w:val="00581D5B"/>
    <w:rsid w:val="005933F1"/>
    <w:rsid w:val="005A35C2"/>
    <w:rsid w:val="005A547C"/>
    <w:rsid w:val="005C29AF"/>
    <w:rsid w:val="005C4812"/>
    <w:rsid w:val="005C4B6A"/>
    <w:rsid w:val="005C74A1"/>
    <w:rsid w:val="005D1057"/>
    <w:rsid w:val="005E5697"/>
    <w:rsid w:val="005F1591"/>
    <w:rsid w:val="005F2D88"/>
    <w:rsid w:val="005F4CBD"/>
    <w:rsid w:val="005F56D3"/>
    <w:rsid w:val="006006BE"/>
    <w:rsid w:val="0060248A"/>
    <w:rsid w:val="00621ABA"/>
    <w:rsid w:val="0062208F"/>
    <w:rsid w:val="00627D12"/>
    <w:rsid w:val="00627F5F"/>
    <w:rsid w:val="006300E5"/>
    <w:rsid w:val="00633F14"/>
    <w:rsid w:val="006348DF"/>
    <w:rsid w:val="0064743E"/>
    <w:rsid w:val="00650C46"/>
    <w:rsid w:val="00657B2C"/>
    <w:rsid w:val="00660218"/>
    <w:rsid w:val="00660949"/>
    <w:rsid w:val="00684E8C"/>
    <w:rsid w:val="00692921"/>
    <w:rsid w:val="0069375A"/>
    <w:rsid w:val="0069433F"/>
    <w:rsid w:val="006A5E66"/>
    <w:rsid w:val="006A766E"/>
    <w:rsid w:val="006B5F31"/>
    <w:rsid w:val="006C5D63"/>
    <w:rsid w:val="006C6825"/>
    <w:rsid w:val="006D04BB"/>
    <w:rsid w:val="006F169F"/>
    <w:rsid w:val="006F2328"/>
    <w:rsid w:val="006F7EE0"/>
    <w:rsid w:val="00706C65"/>
    <w:rsid w:val="007102C7"/>
    <w:rsid w:val="00711EDD"/>
    <w:rsid w:val="00712A6F"/>
    <w:rsid w:val="00714061"/>
    <w:rsid w:val="00716762"/>
    <w:rsid w:val="00740B50"/>
    <w:rsid w:val="00744AA9"/>
    <w:rsid w:val="0075487C"/>
    <w:rsid w:val="007646C5"/>
    <w:rsid w:val="00771D99"/>
    <w:rsid w:val="0077565C"/>
    <w:rsid w:val="007816F1"/>
    <w:rsid w:val="00787199"/>
    <w:rsid w:val="007A5ECD"/>
    <w:rsid w:val="007B08E3"/>
    <w:rsid w:val="007B25FF"/>
    <w:rsid w:val="007B4B69"/>
    <w:rsid w:val="007B6133"/>
    <w:rsid w:val="007B66BD"/>
    <w:rsid w:val="007C0127"/>
    <w:rsid w:val="007C7AA0"/>
    <w:rsid w:val="007D23E9"/>
    <w:rsid w:val="007D49D8"/>
    <w:rsid w:val="007E5EB6"/>
    <w:rsid w:val="007E6967"/>
    <w:rsid w:val="007E6CFD"/>
    <w:rsid w:val="007F2F63"/>
    <w:rsid w:val="00800716"/>
    <w:rsid w:val="00805723"/>
    <w:rsid w:val="00805D1E"/>
    <w:rsid w:val="00807D4F"/>
    <w:rsid w:val="0081099A"/>
    <w:rsid w:val="008112FF"/>
    <w:rsid w:val="0082658B"/>
    <w:rsid w:val="00850471"/>
    <w:rsid w:val="00854437"/>
    <w:rsid w:val="008545C8"/>
    <w:rsid w:val="008605C3"/>
    <w:rsid w:val="008634D8"/>
    <w:rsid w:val="00867341"/>
    <w:rsid w:val="00873BFD"/>
    <w:rsid w:val="00875755"/>
    <w:rsid w:val="0087645C"/>
    <w:rsid w:val="00881172"/>
    <w:rsid w:val="008832A1"/>
    <w:rsid w:val="008838DE"/>
    <w:rsid w:val="008937C3"/>
    <w:rsid w:val="0089701F"/>
    <w:rsid w:val="008A034C"/>
    <w:rsid w:val="008A7913"/>
    <w:rsid w:val="008B1555"/>
    <w:rsid w:val="008B7C2C"/>
    <w:rsid w:val="008C00B9"/>
    <w:rsid w:val="008C03F9"/>
    <w:rsid w:val="008C15DA"/>
    <w:rsid w:val="008C3F5E"/>
    <w:rsid w:val="008D0943"/>
    <w:rsid w:val="008E1F9E"/>
    <w:rsid w:val="008E3BB3"/>
    <w:rsid w:val="008E7329"/>
    <w:rsid w:val="008F7AEF"/>
    <w:rsid w:val="00900EDE"/>
    <w:rsid w:val="009010B8"/>
    <w:rsid w:val="00902B4D"/>
    <w:rsid w:val="0090704F"/>
    <w:rsid w:val="009073A7"/>
    <w:rsid w:val="00912E11"/>
    <w:rsid w:val="0092073F"/>
    <w:rsid w:val="00922389"/>
    <w:rsid w:val="00926615"/>
    <w:rsid w:val="009318A7"/>
    <w:rsid w:val="00934B43"/>
    <w:rsid w:val="0093586D"/>
    <w:rsid w:val="00936D8C"/>
    <w:rsid w:val="009459D7"/>
    <w:rsid w:val="00946E10"/>
    <w:rsid w:val="00947293"/>
    <w:rsid w:val="0095305D"/>
    <w:rsid w:val="00954269"/>
    <w:rsid w:val="009574A4"/>
    <w:rsid w:val="009607F5"/>
    <w:rsid w:val="00967428"/>
    <w:rsid w:val="00974CDF"/>
    <w:rsid w:val="00981A0B"/>
    <w:rsid w:val="00982275"/>
    <w:rsid w:val="00982414"/>
    <w:rsid w:val="009842BA"/>
    <w:rsid w:val="00994095"/>
    <w:rsid w:val="00994DA3"/>
    <w:rsid w:val="009A270D"/>
    <w:rsid w:val="009B1DDB"/>
    <w:rsid w:val="009B4EFB"/>
    <w:rsid w:val="009B5A9C"/>
    <w:rsid w:val="009B77BB"/>
    <w:rsid w:val="009E6D65"/>
    <w:rsid w:val="009F44C3"/>
    <w:rsid w:val="009F63CA"/>
    <w:rsid w:val="00A153F6"/>
    <w:rsid w:val="00A44EFA"/>
    <w:rsid w:val="00A51936"/>
    <w:rsid w:val="00A54E8E"/>
    <w:rsid w:val="00AA11D2"/>
    <w:rsid w:val="00AA5365"/>
    <w:rsid w:val="00AB17DC"/>
    <w:rsid w:val="00AB1E81"/>
    <w:rsid w:val="00AB1EA2"/>
    <w:rsid w:val="00AB7AED"/>
    <w:rsid w:val="00AC37F2"/>
    <w:rsid w:val="00AD689B"/>
    <w:rsid w:val="00AE3B77"/>
    <w:rsid w:val="00B07C2C"/>
    <w:rsid w:val="00B168F5"/>
    <w:rsid w:val="00B16D46"/>
    <w:rsid w:val="00B17581"/>
    <w:rsid w:val="00B33C15"/>
    <w:rsid w:val="00B409FD"/>
    <w:rsid w:val="00B446E7"/>
    <w:rsid w:val="00B576C3"/>
    <w:rsid w:val="00B639C6"/>
    <w:rsid w:val="00B70970"/>
    <w:rsid w:val="00B712D0"/>
    <w:rsid w:val="00B71824"/>
    <w:rsid w:val="00B72558"/>
    <w:rsid w:val="00B85D99"/>
    <w:rsid w:val="00B91F1A"/>
    <w:rsid w:val="00BA1B78"/>
    <w:rsid w:val="00BA3A60"/>
    <w:rsid w:val="00BB2D8B"/>
    <w:rsid w:val="00BB2F17"/>
    <w:rsid w:val="00BB36B0"/>
    <w:rsid w:val="00BC19C0"/>
    <w:rsid w:val="00BC7AFA"/>
    <w:rsid w:val="00BC7E53"/>
    <w:rsid w:val="00BD08B9"/>
    <w:rsid w:val="00C02487"/>
    <w:rsid w:val="00C143E7"/>
    <w:rsid w:val="00C143ED"/>
    <w:rsid w:val="00C14744"/>
    <w:rsid w:val="00C15B6D"/>
    <w:rsid w:val="00C21759"/>
    <w:rsid w:val="00C31181"/>
    <w:rsid w:val="00C34CBC"/>
    <w:rsid w:val="00C4164A"/>
    <w:rsid w:val="00C4222C"/>
    <w:rsid w:val="00C43B41"/>
    <w:rsid w:val="00C4709D"/>
    <w:rsid w:val="00C5045F"/>
    <w:rsid w:val="00C73242"/>
    <w:rsid w:val="00C80200"/>
    <w:rsid w:val="00C8710E"/>
    <w:rsid w:val="00C92386"/>
    <w:rsid w:val="00CC019E"/>
    <w:rsid w:val="00CC345A"/>
    <w:rsid w:val="00CC67B6"/>
    <w:rsid w:val="00CD305F"/>
    <w:rsid w:val="00CE3CEB"/>
    <w:rsid w:val="00CE66DC"/>
    <w:rsid w:val="00CF0C0F"/>
    <w:rsid w:val="00D01AFC"/>
    <w:rsid w:val="00D11F40"/>
    <w:rsid w:val="00D164F5"/>
    <w:rsid w:val="00D2193B"/>
    <w:rsid w:val="00D21D58"/>
    <w:rsid w:val="00D23FF2"/>
    <w:rsid w:val="00D266E9"/>
    <w:rsid w:val="00D31B7C"/>
    <w:rsid w:val="00D434BB"/>
    <w:rsid w:val="00D65662"/>
    <w:rsid w:val="00D66F6C"/>
    <w:rsid w:val="00D67882"/>
    <w:rsid w:val="00D72846"/>
    <w:rsid w:val="00D74369"/>
    <w:rsid w:val="00D837C8"/>
    <w:rsid w:val="00DB340F"/>
    <w:rsid w:val="00DC6A24"/>
    <w:rsid w:val="00DC7F75"/>
    <w:rsid w:val="00DD37E3"/>
    <w:rsid w:val="00DD4EA3"/>
    <w:rsid w:val="00DE6CF5"/>
    <w:rsid w:val="00DF64B7"/>
    <w:rsid w:val="00E00DC3"/>
    <w:rsid w:val="00E06076"/>
    <w:rsid w:val="00E13B26"/>
    <w:rsid w:val="00E14772"/>
    <w:rsid w:val="00E30E28"/>
    <w:rsid w:val="00E36B21"/>
    <w:rsid w:val="00E46D30"/>
    <w:rsid w:val="00E562BD"/>
    <w:rsid w:val="00E56BB7"/>
    <w:rsid w:val="00E62DDC"/>
    <w:rsid w:val="00E63720"/>
    <w:rsid w:val="00E643BD"/>
    <w:rsid w:val="00E6606C"/>
    <w:rsid w:val="00E71669"/>
    <w:rsid w:val="00E76349"/>
    <w:rsid w:val="00E91BE0"/>
    <w:rsid w:val="00EB1F23"/>
    <w:rsid w:val="00EB7D33"/>
    <w:rsid w:val="00EC0BC6"/>
    <w:rsid w:val="00EC409B"/>
    <w:rsid w:val="00EC67BF"/>
    <w:rsid w:val="00ED1ADA"/>
    <w:rsid w:val="00EE0A6A"/>
    <w:rsid w:val="00EE2260"/>
    <w:rsid w:val="00EE36BE"/>
    <w:rsid w:val="00EE7506"/>
    <w:rsid w:val="00F015C8"/>
    <w:rsid w:val="00F03B66"/>
    <w:rsid w:val="00F16EB2"/>
    <w:rsid w:val="00F175CA"/>
    <w:rsid w:val="00F23231"/>
    <w:rsid w:val="00F31EE9"/>
    <w:rsid w:val="00F40B8A"/>
    <w:rsid w:val="00F40D7A"/>
    <w:rsid w:val="00F51A2E"/>
    <w:rsid w:val="00F53BDC"/>
    <w:rsid w:val="00F5772A"/>
    <w:rsid w:val="00F57BCA"/>
    <w:rsid w:val="00F57CF1"/>
    <w:rsid w:val="00F65462"/>
    <w:rsid w:val="00F71A6F"/>
    <w:rsid w:val="00F7216D"/>
    <w:rsid w:val="00F82D1B"/>
    <w:rsid w:val="00F8618C"/>
    <w:rsid w:val="00F87E0A"/>
    <w:rsid w:val="00F92D4C"/>
    <w:rsid w:val="00F942A0"/>
    <w:rsid w:val="00FA17AB"/>
    <w:rsid w:val="00FA3A71"/>
    <w:rsid w:val="00FA4C46"/>
    <w:rsid w:val="00FA56CC"/>
    <w:rsid w:val="00FA6194"/>
    <w:rsid w:val="00FA62B5"/>
    <w:rsid w:val="00FB10D1"/>
    <w:rsid w:val="00FB6334"/>
    <w:rsid w:val="00FB6F15"/>
    <w:rsid w:val="00FD0CB5"/>
    <w:rsid w:val="00FD2CA3"/>
    <w:rsid w:val="00FF0A26"/>
    <w:rsid w:val="05D8B672"/>
    <w:rsid w:val="0C5B923C"/>
    <w:rsid w:val="0DCF3A39"/>
    <w:rsid w:val="120E60C4"/>
    <w:rsid w:val="13D23C12"/>
    <w:rsid w:val="16302FCB"/>
    <w:rsid w:val="16F43E20"/>
    <w:rsid w:val="1826C369"/>
    <w:rsid w:val="26EBAE10"/>
    <w:rsid w:val="274585DB"/>
    <w:rsid w:val="2EB0166A"/>
    <w:rsid w:val="45A091A1"/>
    <w:rsid w:val="49B736B3"/>
    <w:rsid w:val="5B9A6040"/>
    <w:rsid w:val="64767B47"/>
    <w:rsid w:val="689E10F7"/>
    <w:rsid w:val="6D3347D7"/>
    <w:rsid w:val="74CFD925"/>
    <w:rsid w:val="7679E6D6"/>
    <w:rsid w:val="7FA007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A9FAF6FA-AA71-4276-A401-BAA0F8A4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graph">
    <w:name w:val="Numbered paragraph"/>
    <w:basedOn w:val="ListParagraph"/>
    <w:link w:val="NumberedparagraphChar"/>
    <w:qFormat/>
    <w:rsid w:val="00235D8C"/>
    <w:pPr>
      <w:numPr>
        <w:numId w:val="25"/>
      </w:numPr>
      <w:spacing w:after="240" w:line="252" w:lineRule="auto"/>
      <w:contextualSpacing w:val="0"/>
    </w:pPr>
    <w:rPr>
      <w:rFonts w:eastAsia="Calibri"/>
      <w:lang w:bidi="he-IL"/>
    </w:rPr>
  </w:style>
  <w:style w:type="character" w:customStyle="1" w:styleId="NumberedparagraphChar">
    <w:name w:val="Numbered paragraph Char"/>
    <w:basedOn w:val="DefaultParagraphFont"/>
    <w:link w:val="Numberedparagraph"/>
    <w:rsid w:val="00235D8C"/>
    <w:rPr>
      <w:rFonts w:ascii="Arial" w:eastAsia="Calibri" w:hAnsi="Arial" w:cs="Arial"/>
      <w:sz w:val="24"/>
      <w:szCs w:val="22"/>
      <w:lang w:eastAsia="en-US" w:bidi="he-IL"/>
    </w:rPr>
  </w:style>
  <w:style w:type="character" w:styleId="CommentReference">
    <w:name w:val="annotation reference"/>
    <w:basedOn w:val="DefaultParagraphFont"/>
    <w:semiHidden/>
    <w:unhideWhenUsed/>
    <w:rsid w:val="00055BAF"/>
    <w:rPr>
      <w:sz w:val="16"/>
      <w:szCs w:val="16"/>
    </w:rPr>
  </w:style>
  <w:style w:type="paragraph" w:styleId="CommentText">
    <w:name w:val="annotation text"/>
    <w:basedOn w:val="Normal"/>
    <w:link w:val="CommentTextChar"/>
    <w:unhideWhenUsed/>
    <w:rsid w:val="00055BAF"/>
    <w:rPr>
      <w:sz w:val="20"/>
      <w:szCs w:val="20"/>
    </w:rPr>
  </w:style>
  <w:style w:type="character" w:customStyle="1" w:styleId="CommentTextChar">
    <w:name w:val="Comment Text Char"/>
    <w:basedOn w:val="DefaultParagraphFont"/>
    <w:link w:val="CommentText"/>
    <w:rsid w:val="00055BAF"/>
    <w:rPr>
      <w:rFonts w:ascii="Arial" w:hAnsi="Arial" w:cs="Arial"/>
      <w:lang w:eastAsia="en-US"/>
    </w:rPr>
  </w:style>
  <w:style w:type="paragraph" w:styleId="CommentSubject">
    <w:name w:val="annotation subject"/>
    <w:basedOn w:val="CommentText"/>
    <w:next w:val="CommentText"/>
    <w:link w:val="CommentSubjectChar"/>
    <w:semiHidden/>
    <w:unhideWhenUsed/>
    <w:rsid w:val="00055BAF"/>
    <w:rPr>
      <w:b/>
      <w:bCs/>
    </w:rPr>
  </w:style>
  <w:style w:type="character" w:customStyle="1" w:styleId="CommentSubjectChar">
    <w:name w:val="Comment Subject Char"/>
    <w:basedOn w:val="CommentTextChar"/>
    <w:link w:val="CommentSubject"/>
    <w:semiHidden/>
    <w:rsid w:val="00055BAF"/>
    <w:rPr>
      <w:rFonts w:ascii="Arial" w:hAnsi="Arial" w:cs="Arial"/>
      <w:b/>
      <w:bCs/>
      <w:lang w:eastAsia="en-US"/>
    </w:rPr>
  </w:style>
  <w:style w:type="character" w:styleId="Hyperlink">
    <w:name w:val="Hyperlink"/>
    <w:basedOn w:val="DefaultParagraphFont"/>
    <w:unhideWhenUsed/>
    <w:rsid w:val="008E7329"/>
    <w:rPr>
      <w:color w:val="0000FF" w:themeColor="hyperlink"/>
      <w:u w:val="single"/>
    </w:rPr>
  </w:style>
  <w:style w:type="character" w:styleId="UnresolvedMention">
    <w:name w:val="Unresolved Mention"/>
    <w:basedOn w:val="DefaultParagraphFont"/>
    <w:uiPriority w:val="99"/>
    <w:semiHidden/>
    <w:unhideWhenUsed/>
    <w:rsid w:val="008E7329"/>
    <w:rPr>
      <w:color w:val="605E5C"/>
      <w:shd w:val="clear" w:color="auto" w:fill="E1DFDD"/>
    </w:rPr>
  </w:style>
  <w:style w:type="paragraph" w:styleId="Revision">
    <w:name w:val="Revision"/>
    <w:hidden/>
    <w:uiPriority w:val="99"/>
    <w:semiHidden/>
    <w:rsid w:val="008B1555"/>
    <w:rPr>
      <w:rFonts w:ascii="Arial" w:hAnsi="Arial" w:cs="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92878">
      <w:bodyDiv w:val="1"/>
      <w:marLeft w:val="0"/>
      <w:marRight w:val="0"/>
      <w:marTop w:val="0"/>
      <w:marBottom w:val="0"/>
      <w:divBdr>
        <w:top w:val="none" w:sz="0" w:space="0" w:color="auto"/>
        <w:left w:val="none" w:sz="0" w:space="0" w:color="auto"/>
        <w:bottom w:val="none" w:sz="0" w:space="0" w:color="auto"/>
        <w:right w:val="none" w:sz="0" w:space="0" w:color="auto"/>
      </w:divBdr>
      <w:divsChild>
        <w:div w:id="1497762544">
          <w:marLeft w:val="0"/>
          <w:marRight w:val="0"/>
          <w:marTop w:val="0"/>
          <w:marBottom w:val="0"/>
          <w:divBdr>
            <w:top w:val="none" w:sz="0" w:space="0" w:color="auto"/>
            <w:left w:val="none" w:sz="0" w:space="0" w:color="auto"/>
            <w:bottom w:val="none" w:sz="0" w:space="0" w:color="auto"/>
            <w:right w:val="none" w:sz="0" w:space="0" w:color="auto"/>
          </w:divBdr>
        </w:div>
      </w:divsChild>
    </w:div>
    <w:div w:id="1882937141">
      <w:bodyDiv w:val="1"/>
      <w:marLeft w:val="0"/>
      <w:marRight w:val="0"/>
      <w:marTop w:val="0"/>
      <w:marBottom w:val="0"/>
      <w:divBdr>
        <w:top w:val="none" w:sz="0" w:space="0" w:color="auto"/>
        <w:left w:val="none" w:sz="0" w:space="0" w:color="auto"/>
        <w:bottom w:val="none" w:sz="0" w:space="0" w:color="auto"/>
        <w:right w:val="none" w:sz="0" w:space="0" w:color="auto"/>
      </w:divBdr>
      <w:divsChild>
        <w:div w:id="395125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nr.org.uk/media/pobf24xm/saps201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_dlc_DocId xmlns="f6cfbbfa-3ea0-4d8e-acde-632e83cd9c55">ONRW-2126615823-8691</_dlc_DocId>
    <_dlc_DocIdUrl xmlns="f6cfbbfa-3ea0-4d8e-acde-632e83cd9c55">
      <Url>https://prodonrgov.sharepoint.com/_layouts/15/DocIdRedir.aspx?ID=ONRW-2126615823-8691</Url>
      <Description>ONRW-2126615823-8691</Description>
    </_dlc_DocIdUrl>
    <Document_x0020_Type xmlns="f6cfbbfa-3ea0-4d8e-acde-632e83cd9c55">Other</Document_x0020_Type>
    <External_x0020_Reference xmlns="f6cfbbfa-3ea0-4d8e-acde-632e83cd9c55">null</External_x0020_Reference>
    <Site xmlns="f6cfbbfa-3ea0-4d8e-acde-632e83cd9c55" xsi:nil="true"/>
    <_Flow_SignoffStatus xmlns="6ee01a08-9bb3-4510-887c-4508c532eb2e" xsi:nil="true"/>
    <Category xmlns="6ee01a08-9bb3-4510-887c-4508c532eb2e" xsi:nil="true"/>
    <External_x0020_Revision xmlns="f6cfbbfa-3ea0-4d8e-acde-632e83cd9c55" xsi:nil="true"/>
    <GDA_x0020_Tier xmlns="f6cfbbfa-3ea0-4d8e-acde-632e83cd9c55" xsi:nil="true"/>
    <Wherereferenced xmlns="6ee01a08-9bb3-4510-887c-4508c532eb2e" xsi:nil="true"/>
    <Record_x0020_Number xmlns="f6cfbbfa-3ea0-4d8e-acde-632e83cd9c55">AR-01743</Record_x0020_Number>
    <_dlc_DocIdPersistId xmlns="f6cfbbfa-3ea0-4d8e-acde-632e83cd9c55" xsi:nil="true"/>
    <Uploadedby xmlns="6ee01a08-9bb3-4510-887c-4508c532eb2e">Simon De Haas</Uploadedby>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Dutyholder xmlns="f6cfbbfa-3ea0-4d8e-acde-632e83cd9c55">Holtec International</Dutyholder>
    <lcf76f155ced4ddcb4097134ff3c332f xmlns="6ee01a08-9bb3-4510-887c-4508c532eb2e">
      <Terms xmlns="http://schemas.microsoft.com/office/infopath/2007/PartnerControls"/>
    </lcf76f155ced4ddcb4097134ff3c332f>
    <Document_x0020_Status xmlns="f6cfbbfa-3ea0-4d8e-acde-632e83cd9c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FC80CF-4684-40D0-8E8F-1216B2034863}">
  <ds:schemaRefs>
    <ds:schemaRef ds:uri="http://schemas.microsoft.com/sharepoint/v3/contenttype/forms"/>
  </ds:schemaRefs>
</ds:datastoreItem>
</file>

<file path=customXml/itemProps2.xml><?xml version="1.0" encoding="utf-8"?>
<ds:datastoreItem xmlns:ds="http://schemas.openxmlformats.org/officeDocument/2006/customXml" ds:itemID="{B6C5780F-2889-4DD7-8F85-E0FC5CD85289}">
  <ds:schemaRefs>
    <ds:schemaRef ds:uri="http://schemas.microsoft.com/office/2006/metadata/properties"/>
    <ds:schemaRef ds:uri="http://schemas.microsoft.com/office/infopath/2007/PartnerControls"/>
    <ds:schemaRef ds:uri="f6cfbbfa-3ea0-4d8e-acde-632e83cd9c55"/>
    <ds:schemaRef ds:uri="6ee01a08-9bb3-4510-887c-4508c532eb2e"/>
  </ds:schemaRefs>
</ds:datastoreItem>
</file>

<file path=customXml/itemProps3.xml><?xml version="1.0" encoding="utf-8"?>
<ds:datastoreItem xmlns:ds="http://schemas.openxmlformats.org/officeDocument/2006/customXml" ds:itemID="{79E0A575-9853-41D7-8BCA-572C9CA63D97}">
  <ds:schemaRefs>
    <ds:schemaRef ds:uri="http://schemas.openxmlformats.org/officeDocument/2006/bibliography"/>
  </ds:schemaRefs>
</ds:datastoreItem>
</file>

<file path=customXml/itemProps4.xml><?xml version="1.0" encoding="utf-8"?>
<ds:datastoreItem xmlns:ds="http://schemas.openxmlformats.org/officeDocument/2006/customXml" ds:itemID="{875D86C8-C943-4D5F-B217-89ABB6A01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7249D3-5E4B-465F-93AF-46D391F33B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1401</Words>
  <Characters>7651</Characters>
  <Application>Microsoft Office Word</Application>
  <DocSecurity>0</DocSecurity>
  <Lines>162</Lines>
  <Paragraphs>74</Paragraphs>
  <ScaleCrop>false</ScaleCrop>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Peter Wynne</cp:lastModifiedBy>
  <cp:revision>2</cp:revision>
  <cp:lastPrinted>2017-10-03T10:43:00Z</cp:lastPrinted>
  <dcterms:created xsi:type="dcterms:W3CDTF">2025-06-20T08:26:00Z</dcterms:created>
  <dcterms:modified xsi:type="dcterms:W3CDTF">2025-11-24T16:53:00Z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94f415b5-08ba-45e4-bf5b-f0efef72c6d6</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MediaServiceImageTags">
    <vt:lpwstr/>
  </property>
</Properties>
</file>