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949"/>
      </w:tblGrid>
      <w:tr w:rsidR="00220466" w:rsidRPr="00627D12" w14:paraId="4573E01E" w14:textId="77777777" w:rsidTr="1A911F27">
        <w:trPr>
          <w:trHeight w:val="211"/>
        </w:trPr>
        <w:tc>
          <w:tcPr>
            <w:tcW w:w="9897" w:type="dxa"/>
            <w:gridSpan w:val="2"/>
            <w:vAlign w:val="center"/>
          </w:tcPr>
          <w:p w14:paraId="4573E01D" w14:textId="2825D1DF" w:rsidR="00220466" w:rsidRPr="00627D12" w:rsidRDefault="0048438C" w:rsidP="0048438C">
            <w:pPr>
              <w:jc w:val="center"/>
              <w:rPr>
                <w:b/>
                <w:sz w:val="28"/>
                <w:szCs w:val="28"/>
              </w:rPr>
            </w:pPr>
            <w:r>
              <w:rPr>
                <w:b/>
                <w:sz w:val="28"/>
                <w:szCs w:val="28"/>
              </w:rPr>
              <w:t>GDA Regulatory Observation</w:t>
            </w:r>
          </w:p>
        </w:tc>
      </w:tr>
      <w:tr w:rsidR="00220466" w:rsidRPr="0048438C" w14:paraId="4573E020" w14:textId="77777777" w:rsidTr="1A911F27">
        <w:trPr>
          <w:trHeight w:val="202"/>
        </w:trPr>
        <w:tc>
          <w:tcPr>
            <w:tcW w:w="9897" w:type="dxa"/>
            <w:gridSpan w:val="2"/>
            <w:shd w:val="clear" w:color="auto" w:fill="D9D9D9" w:themeFill="background1" w:themeFillShade="D9"/>
          </w:tcPr>
          <w:p w14:paraId="4573E01F" w14:textId="77777777" w:rsidR="00220466" w:rsidRPr="0048438C" w:rsidRDefault="00220466" w:rsidP="0048438C">
            <w:pPr>
              <w:spacing w:before="60" w:after="60"/>
              <w:jc w:val="center"/>
              <w:rPr>
                <w:b/>
                <w:szCs w:val="24"/>
              </w:rPr>
            </w:pPr>
            <w:r w:rsidRPr="0048438C">
              <w:rPr>
                <w:b/>
                <w:szCs w:val="24"/>
              </w:rPr>
              <w:t>REGULATOR TO COMPLETE</w:t>
            </w:r>
          </w:p>
        </w:tc>
      </w:tr>
      <w:tr w:rsidR="00220466" w:rsidRPr="0048438C" w14:paraId="4573E023" w14:textId="77777777" w:rsidTr="1A911F27">
        <w:trPr>
          <w:trHeight w:val="202"/>
        </w:trPr>
        <w:tc>
          <w:tcPr>
            <w:tcW w:w="4948" w:type="dxa"/>
          </w:tcPr>
          <w:p w14:paraId="4573E021" w14:textId="77777777" w:rsidR="00220466" w:rsidRPr="0048438C" w:rsidRDefault="00C34CBC" w:rsidP="0048438C">
            <w:pPr>
              <w:spacing w:before="60" w:after="60"/>
              <w:rPr>
                <w:b/>
                <w:szCs w:val="24"/>
              </w:rPr>
            </w:pPr>
            <w:r w:rsidRPr="0048438C">
              <w:rPr>
                <w:b/>
                <w:szCs w:val="24"/>
              </w:rPr>
              <w:t>RO</w:t>
            </w:r>
            <w:r w:rsidR="00220466" w:rsidRPr="0048438C">
              <w:rPr>
                <w:b/>
                <w:szCs w:val="24"/>
              </w:rPr>
              <w:t xml:space="preserve"> unique no.:</w:t>
            </w:r>
          </w:p>
        </w:tc>
        <w:tc>
          <w:tcPr>
            <w:tcW w:w="4949" w:type="dxa"/>
          </w:tcPr>
          <w:p w14:paraId="4573E022" w14:textId="579E6A16" w:rsidR="00220466" w:rsidRPr="0048438C" w:rsidRDefault="00684E8C" w:rsidP="0048438C">
            <w:pPr>
              <w:spacing w:before="60" w:after="60"/>
              <w:rPr>
                <w:szCs w:val="24"/>
              </w:rPr>
            </w:pPr>
            <w:r w:rsidRPr="0048438C">
              <w:rPr>
                <w:szCs w:val="24"/>
              </w:rPr>
              <w:t>RO-</w:t>
            </w:r>
            <w:r w:rsidR="00FA4C46">
              <w:rPr>
                <w:szCs w:val="24"/>
              </w:rPr>
              <w:t>HOLTEC</w:t>
            </w:r>
            <w:r w:rsidR="00EE0A6A">
              <w:rPr>
                <w:szCs w:val="24"/>
              </w:rPr>
              <w:t>SMR300</w:t>
            </w:r>
            <w:r w:rsidR="005933F1">
              <w:rPr>
                <w:szCs w:val="24"/>
              </w:rPr>
              <w:t>-</w:t>
            </w:r>
            <w:r w:rsidR="00455AE7">
              <w:rPr>
                <w:szCs w:val="24"/>
              </w:rPr>
              <w:t>011</w:t>
            </w:r>
          </w:p>
        </w:tc>
      </w:tr>
      <w:tr w:rsidR="00220466" w:rsidRPr="0048438C" w14:paraId="4573E026" w14:textId="77777777" w:rsidTr="1A911F27">
        <w:trPr>
          <w:trHeight w:val="202"/>
        </w:trPr>
        <w:tc>
          <w:tcPr>
            <w:tcW w:w="4948" w:type="dxa"/>
          </w:tcPr>
          <w:p w14:paraId="4573E024" w14:textId="61F5DE6D" w:rsidR="00220466" w:rsidRPr="0048438C" w:rsidRDefault="00850471" w:rsidP="0048438C">
            <w:pPr>
              <w:spacing w:before="60" w:after="60"/>
              <w:rPr>
                <w:b/>
                <w:szCs w:val="24"/>
              </w:rPr>
            </w:pPr>
            <w:r w:rsidRPr="0048438C">
              <w:rPr>
                <w:b/>
                <w:szCs w:val="24"/>
              </w:rPr>
              <w:t>Revision:</w:t>
            </w:r>
          </w:p>
        </w:tc>
        <w:tc>
          <w:tcPr>
            <w:tcW w:w="4949" w:type="dxa"/>
          </w:tcPr>
          <w:p w14:paraId="4573E025" w14:textId="229C24A2" w:rsidR="00220466" w:rsidRPr="0048438C" w:rsidRDefault="00902B4D" w:rsidP="0048438C">
            <w:pPr>
              <w:spacing w:before="60" w:after="60"/>
              <w:rPr>
                <w:szCs w:val="24"/>
              </w:rPr>
            </w:pPr>
            <w:r>
              <w:rPr>
                <w:szCs w:val="24"/>
              </w:rPr>
              <w:t>0</w:t>
            </w:r>
          </w:p>
        </w:tc>
      </w:tr>
      <w:tr w:rsidR="00850471" w:rsidRPr="0048438C" w14:paraId="3FF001D1" w14:textId="77777777" w:rsidTr="1A911F27">
        <w:trPr>
          <w:trHeight w:val="202"/>
        </w:trPr>
        <w:tc>
          <w:tcPr>
            <w:tcW w:w="4948" w:type="dxa"/>
          </w:tcPr>
          <w:p w14:paraId="20FBBDA3" w14:textId="34CA6CCC" w:rsidR="00850471" w:rsidRPr="0048438C" w:rsidRDefault="00850471" w:rsidP="0048438C">
            <w:pPr>
              <w:spacing w:before="60" w:after="60"/>
              <w:rPr>
                <w:b/>
                <w:szCs w:val="24"/>
              </w:rPr>
            </w:pPr>
            <w:r w:rsidRPr="0048438C">
              <w:rPr>
                <w:b/>
                <w:szCs w:val="24"/>
              </w:rPr>
              <w:t>Date sent:</w:t>
            </w:r>
          </w:p>
        </w:tc>
        <w:tc>
          <w:tcPr>
            <w:tcW w:w="4949" w:type="dxa"/>
          </w:tcPr>
          <w:p w14:paraId="74A6D96C" w14:textId="71018F16" w:rsidR="00850471" w:rsidRPr="0048438C" w:rsidRDefault="31C10FB2" w:rsidP="1A911F27">
            <w:pPr>
              <w:spacing w:before="60" w:after="60"/>
            </w:pPr>
            <w:r>
              <w:t>14</w:t>
            </w:r>
            <w:r w:rsidR="00850471">
              <w:t>/</w:t>
            </w:r>
            <w:r w:rsidR="05E1955C">
              <w:t>10</w:t>
            </w:r>
            <w:r w:rsidR="00850471">
              <w:t>/</w:t>
            </w:r>
            <w:r w:rsidR="0A578EE9">
              <w:t>2025</w:t>
            </w:r>
          </w:p>
        </w:tc>
      </w:tr>
      <w:tr w:rsidR="00220466" w:rsidRPr="0048438C" w14:paraId="4573E029" w14:textId="77777777" w:rsidTr="1A911F27">
        <w:trPr>
          <w:trHeight w:val="211"/>
        </w:trPr>
        <w:tc>
          <w:tcPr>
            <w:tcW w:w="4948" w:type="dxa"/>
          </w:tcPr>
          <w:p w14:paraId="4573E027" w14:textId="77777777" w:rsidR="00220466" w:rsidRPr="0048438C" w:rsidRDefault="00220466" w:rsidP="0048438C">
            <w:pPr>
              <w:spacing w:before="60" w:after="60"/>
              <w:rPr>
                <w:b/>
                <w:szCs w:val="24"/>
              </w:rPr>
            </w:pPr>
            <w:r w:rsidRPr="0048438C">
              <w:rPr>
                <w:b/>
                <w:szCs w:val="24"/>
              </w:rPr>
              <w:t>Acknowledgement required by:</w:t>
            </w:r>
          </w:p>
        </w:tc>
        <w:tc>
          <w:tcPr>
            <w:tcW w:w="4949" w:type="dxa"/>
          </w:tcPr>
          <w:p w14:paraId="4573E028" w14:textId="7607D33D" w:rsidR="00220466" w:rsidRPr="0048438C" w:rsidRDefault="7E74C66C" w:rsidP="1A911F27">
            <w:pPr>
              <w:spacing w:before="60" w:after="60"/>
            </w:pPr>
            <w:r>
              <w:t>21</w:t>
            </w:r>
            <w:r w:rsidR="00850471">
              <w:t>/</w:t>
            </w:r>
            <w:r w:rsidR="2D3DC1F6">
              <w:t>10</w:t>
            </w:r>
            <w:r w:rsidR="00850471">
              <w:t>/</w:t>
            </w:r>
            <w:r w:rsidR="024B9328">
              <w:t>2025</w:t>
            </w:r>
            <w:r w:rsidR="00850471">
              <w:t xml:space="preserve"> </w:t>
            </w:r>
          </w:p>
        </w:tc>
      </w:tr>
      <w:tr w:rsidR="00220466" w:rsidRPr="0048438C" w14:paraId="4573E02C" w14:textId="77777777" w:rsidTr="1A911F27">
        <w:trPr>
          <w:trHeight w:val="202"/>
        </w:trPr>
        <w:tc>
          <w:tcPr>
            <w:tcW w:w="4948" w:type="dxa"/>
          </w:tcPr>
          <w:p w14:paraId="4573E02A" w14:textId="2C90C52D" w:rsidR="00220466" w:rsidRPr="0048438C" w:rsidRDefault="00C34CBC" w:rsidP="0048438C">
            <w:pPr>
              <w:spacing w:before="60" w:after="60"/>
              <w:rPr>
                <w:b/>
                <w:szCs w:val="24"/>
              </w:rPr>
            </w:pPr>
            <w:r w:rsidRPr="0048438C">
              <w:rPr>
                <w:b/>
                <w:szCs w:val="24"/>
              </w:rPr>
              <w:t xml:space="preserve">Resolution Plan </w:t>
            </w:r>
            <w:r w:rsidR="0000781D" w:rsidRPr="0048438C">
              <w:rPr>
                <w:b/>
                <w:szCs w:val="24"/>
              </w:rPr>
              <w:t xml:space="preserve">Agreement </w:t>
            </w:r>
            <w:r w:rsidRPr="0048438C">
              <w:rPr>
                <w:b/>
                <w:szCs w:val="24"/>
              </w:rPr>
              <w:t>Required by</w:t>
            </w:r>
            <w:r w:rsidR="00220466" w:rsidRPr="0048438C">
              <w:rPr>
                <w:b/>
                <w:szCs w:val="24"/>
              </w:rPr>
              <w:t>:</w:t>
            </w:r>
          </w:p>
        </w:tc>
        <w:tc>
          <w:tcPr>
            <w:tcW w:w="4949" w:type="dxa"/>
          </w:tcPr>
          <w:p w14:paraId="4573E02B" w14:textId="3ECA9D07" w:rsidR="0000781D" w:rsidRPr="0048438C" w:rsidRDefault="0B965F9E" w:rsidP="1A911F27">
            <w:pPr>
              <w:spacing w:before="60" w:after="60"/>
            </w:pPr>
            <w:r>
              <w:t>28</w:t>
            </w:r>
            <w:r w:rsidR="00850471">
              <w:t>/</w:t>
            </w:r>
            <w:r w:rsidR="525C4892">
              <w:t>10</w:t>
            </w:r>
            <w:r w:rsidR="00850471">
              <w:t>/</w:t>
            </w:r>
            <w:r w:rsidR="2A7AAAF8">
              <w:t>2025</w:t>
            </w:r>
            <w:r w:rsidR="00867341">
              <w:t xml:space="preserve"> </w:t>
            </w:r>
          </w:p>
        </w:tc>
      </w:tr>
      <w:tr w:rsidR="00220466" w:rsidRPr="0048438C" w14:paraId="4573E032" w14:textId="77777777" w:rsidTr="1A911F27">
        <w:trPr>
          <w:trHeight w:val="168"/>
        </w:trPr>
        <w:tc>
          <w:tcPr>
            <w:tcW w:w="4948" w:type="dxa"/>
          </w:tcPr>
          <w:p w14:paraId="4573E030" w14:textId="641F0447" w:rsidR="00220466" w:rsidRPr="0048438C" w:rsidRDefault="00867341" w:rsidP="0048438C">
            <w:pPr>
              <w:spacing w:before="60" w:after="60"/>
              <w:rPr>
                <w:b/>
                <w:szCs w:val="24"/>
              </w:rPr>
            </w:pPr>
            <w:r>
              <w:rPr>
                <w:b/>
                <w:szCs w:val="24"/>
              </w:rPr>
              <w:t>Record Reference</w:t>
            </w:r>
            <w:r w:rsidR="00494EE4" w:rsidRPr="0048438C">
              <w:rPr>
                <w:b/>
                <w:szCs w:val="24"/>
              </w:rPr>
              <w:t>:</w:t>
            </w:r>
          </w:p>
        </w:tc>
        <w:tc>
          <w:tcPr>
            <w:tcW w:w="4949" w:type="dxa"/>
          </w:tcPr>
          <w:p w14:paraId="4573E031" w14:textId="1E088130" w:rsidR="00220466" w:rsidRPr="0048438C" w:rsidRDefault="00481113" w:rsidP="0048438C">
            <w:pPr>
              <w:spacing w:before="60" w:after="60"/>
              <w:rPr>
                <w:szCs w:val="24"/>
              </w:rPr>
            </w:pPr>
            <w:r>
              <w:rPr>
                <w:szCs w:val="24"/>
              </w:rPr>
              <w:t>AR-01774</w:t>
            </w:r>
          </w:p>
        </w:tc>
      </w:tr>
      <w:tr w:rsidR="0040443F" w:rsidRPr="0048438C" w14:paraId="4573E035" w14:textId="77777777" w:rsidTr="1A911F27">
        <w:trPr>
          <w:trHeight w:val="2145"/>
        </w:trPr>
        <w:tc>
          <w:tcPr>
            <w:tcW w:w="4948" w:type="dxa"/>
          </w:tcPr>
          <w:p w14:paraId="4573E033" w14:textId="26F0FB88" w:rsidR="0040443F" w:rsidRPr="0048438C" w:rsidRDefault="0040443F" w:rsidP="0040443F">
            <w:pPr>
              <w:spacing w:before="60" w:after="60"/>
              <w:rPr>
                <w:b/>
                <w:szCs w:val="24"/>
              </w:rPr>
            </w:pPr>
            <w:r w:rsidRPr="0048438C">
              <w:rPr>
                <w:b/>
                <w:szCs w:val="24"/>
              </w:rPr>
              <w:t>Related RQ / RO No. and CM9 Ref:</w:t>
            </w:r>
            <w:r w:rsidRPr="0048438C">
              <w:rPr>
                <w:szCs w:val="24"/>
              </w:rPr>
              <w:t xml:space="preserve"> (if any)</w:t>
            </w:r>
            <w:r w:rsidRPr="0048438C">
              <w:rPr>
                <w:b/>
                <w:szCs w:val="24"/>
              </w:rPr>
              <w:t>:</w:t>
            </w:r>
          </w:p>
        </w:tc>
        <w:tc>
          <w:tcPr>
            <w:tcW w:w="4949" w:type="dxa"/>
          </w:tcPr>
          <w:p w14:paraId="371B2537" w14:textId="08C98EFA" w:rsidR="00942088" w:rsidRPr="002B7423" w:rsidRDefault="002964C7" w:rsidP="00CE0F01">
            <w:pPr>
              <w:spacing w:before="60" w:after="60"/>
              <w:rPr>
                <w:szCs w:val="24"/>
              </w:rPr>
            </w:pPr>
            <w:r w:rsidRPr="002B7423">
              <w:t>RQ-01584</w:t>
            </w:r>
            <w:r w:rsidR="00516609">
              <w:t xml:space="preserve">, </w:t>
            </w:r>
            <w:r w:rsidR="00557065" w:rsidRPr="002B7423">
              <w:t>RQ-01585</w:t>
            </w:r>
            <w:r w:rsidR="00516609">
              <w:t xml:space="preserve">, </w:t>
            </w:r>
            <w:r w:rsidR="00FE690F" w:rsidRPr="002B7423">
              <w:t>RQ-01581</w:t>
            </w:r>
            <w:r w:rsidR="00516609">
              <w:t xml:space="preserve">, </w:t>
            </w:r>
            <w:r w:rsidR="00FE690F" w:rsidRPr="002B7423">
              <w:t>RQ-01582</w:t>
            </w:r>
            <w:r w:rsidR="00516609">
              <w:t xml:space="preserve">, </w:t>
            </w:r>
            <w:r w:rsidR="006B6B32" w:rsidRPr="002B7423">
              <w:rPr>
                <w:szCs w:val="24"/>
              </w:rPr>
              <w:t>RQ-01697</w:t>
            </w:r>
            <w:r w:rsidR="00CE0F01">
              <w:rPr>
                <w:szCs w:val="24"/>
              </w:rPr>
              <w:t xml:space="preserve">, </w:t>
            </w:r>
            <w:r w:rsidR="006B6B32" w:rsidRPr="002B7423">
              <w:rPr>
                <w:szCs w:val="24"/>
              </w:rPr>
              <w:t>RQ-02095</w:t>
            </w:r>
            <w:r w:rsidR="00CE0F01">
              <w:rPr>
                <w:szCs w:val="24"/>
              </w:rPr>
              <w:t xml:space="preserve">, </w:t>
            </w:r>
            <w:r w:rsidR="0085693E" w:rsidRPr="002B7423">
              <w:rPr>
                <w:szCs w:val="24"/>
              </w:rPr>
              <w:t>RQ-01985</w:t>
            </w:r>
            <w:r w:rsidR="00CE0F01">
              <w:rPr>
                <w:szCs w:val="24"/>
              </w:rPr>
              <w:t xml:space="preserve">, </w:t>
            </w:r>
            <w:r w:rsidR="0085693E" w:rsidRPr="002B7423">
              <w:rPr>
                <w:szCs w:val="24"/>
              </w:rPr>
              <w:t>RQ-02120</w:t>
            </w:r>
            <w:r w:rsidR="00CE0F01">
              <w:rPr>
                <w:szCs w:val="24"/>
              </w:rPr>
              <w:t xml:space="preserve">, </w:t>
            </w:r>
            <w:r w:rsidR="0085693E" w:rsidRPr="002B7423">
              <w:rPr>
                <w:szCs w:val="24"/>
              </w:rPr>
              <w:t>RQ-02002</w:t>
            </w:r>
          </w:p>
          <w:p w14:paraId="0E9A38A8" w14:textId="55DA560F" w:rsidR="002B7423" w:rsidRPr="00FB6569" w:rsidRDefault="002B7423" w:rsidP="00337FC0">
            <w:pPr>
              <w:spacing w:before="60" w:after="60"/>
              <w:rPr>
                <w:szCs w:val="24"/>
              </w:rPr>
            </w:pPr>
            <w:r w:rsidRPr="00FB6569">
              <w:rPr>
                <w:szCs w:val="24"/>
              </w:rPr>
              <w:t>RO</w:t>
            </w:r>
            <w:r w:rsidR="001415CE" w:rsidRPr="00FB6569">
              <w:rPr>
                <w:szCs w:val="24"/>
              </w:rPr>
              <w:t>-</w:t>
            </w:r>
            <w:r w:rsidR="00FB6569" w:rsidRPr="00FB6569">
              <w:rPr>
                <w:szCs w:val="24"/>
              </w:rPr>
              <w:t>HOLTECSMR300-</w:t>
            </w:r>
            <w:r w:rsidR="001415CE" w:rsidRPr="00FB6569">
              <w:rPr>
                <w:szCs w:val="24"/>
              </w:rPr>
              <w:t>0</w:t>
            </w:r>
            <w:r w:rsidR="00C42443" w:rsidRPr="00FB6569">
              <w:rPr>
                <w:szCs w:val="24"/>
              </w:rPr>
              <w:t>0</w:t>
            </w:r>
            <w:r w:rsidR="001415CE" w:rsidRPr="00FB6569">
              <w:rPr>
                <w:szCs w:val="24"/>
              </w:rPr>
              <w:t>2</w:t>
            </w:r>
          </w:p>
          <w:p w14:paraId="1B8BDA89" w14:textId="34245232" w:rsidR="001415CE" w:rsidRPr="00FB6569" w:rsidRDefault="001415CE" w:rsidP="00337FC0">
            <w:pPr>
              <w:spacing w:before="60" w:after="60"/>
              <w:rPr>
                <w:szCs w:val="24"/>
              </w:rPr>
            </w:pPr>
            <w:r w:rsidRPr="00FB6569">
              <w:rPr>
                <w:szCs w:val="24"/>
              </w:rPr>
              <w:t>RO-</w:t>
            </w:r>
            <w:r w:rsidR="00FB6569" w:rsidRPr="00FB6569">
              <w:rPr>
                <w:szCs w:val="24"/>
              </w:rPr>
              <w:t>HOLTECSMR300-</w:t>
            </w:r>
            <w:r w:rsidRPr="00FB6569">
              <w:rPr>
                <w:szCs w:val="24"/>
              </w:rPr>
              <w:t>0</w:t>
            </w:r>
            <w:r w:rsidR="00C42443" w:rsidRPr="00FB6569">
              <w:rPr>
                <w:szCs w:val="24"/>
              </w:rPr>
              <w:t>0</w:t>
            </w:r>
            <w:r w:rsidRPr="00FB6569">
              <w:rPr>
                <w:szCs w:val="24"/>
              </w:rPr>
              <w:t>3</w:t>
            </w:r>
          </w:p>
          <w:p w14:paraId="0DCF5913" w14:textId="70720C59" w:rsidR="001415CE" w:rsidRPr="00FB6569" w:rsidRDefault="001415CE" w:rsidP="00337FC0">
            <w:pPr>
              <w:spacing w:before="60" w:after="60"/>
              <w:rPr>
                <w:szCs w:val="24"/>
              </w:rPr>
            </w:pPr>
            <w:r w:rsidRPr="00FB6569">
              <w:rPr>
                <w:szCs w:val="24"/>
              </w:rPr>
              <w:t>RO-</w:t>
            </w:r>
            <w:r w:rsidR="00FB6569" w:rsidRPr="00FB6569">
              <w:rPr>
                <w:szCs w:val="24"/>
              </w:rPr>
              <w:t>HOLTECSMR300-</w:t>
            </w:r>
            <w:r w:rsidRPr="00FB6569">
              <w:rPr>
                <w:szCs w:val="24"/>
              </w:rPr>
              <w:t>0</w:t>
            </w:r>
            <w:r w:rsidR="00C42443" w:rsidRPr="00FB6569">
              <w:rPr>
                <w:szCs w:val="24"/>
              </w:rPr>
              <w:t>0</w:t>
            </w:r>
            <w:r w:rsidRPr="00FB6569">
              <w:rPr>
                <w:szCs w:val="24"/>
              </w:rPr>
              <w:t>4</w:t>
            </w:r>
          </w:p>
          <w:p w14:paraId="61B8423F" w14:textId="77777777" w:rsidR="001415CE" w:rsidRDefault="001415CE" w:rsidP="00337FC0">
            <w:pPr>
              <w:spacing w:before="60" w:after="60"/>
              <w:rPr>
                <w:szCs w:val="24"/>
              </w:rPr>
            </w:pPr>
            <w:r w:rsidRPr="00FB6569">
              <w:rPr>
                <w:szCs w:val="24"/>
              </w:rPr>
              <w:t>RO-</w:t>
            </w:r>
            <w:r w:rsidR="00FB6569" w:rsidRPr="00FB6569">
              <w:rPr>
                <w:szCs w:val="24"/>
              </w:rPr>
              <w:t>HOLTECSMR300-</w:t>
            </w:r>
            <w:r w:rsidRPr="00FB6569">
              <w:rPr>
                <w:szCs w:val="24"/>
              </w:rPr>
              <w:t>010</w:t>
            </w:r>
          </w:p>
          <w:p w14:paraId="132A9F3D" w14:textId="21A5248F" w:rsidR="00C12064" w:rsidRDefault="00C12064" w:rsidP="00337FC0">
            <w:pPr>
              <w:spacing w:before="60" w:after="60"/>
              <w:rPr>
                <w:szCs w:val="24"/>
              </w:rPr>
            </w:pPr>
            <w:r w:rsidRPr="00FB6569">
              <w:rPr>
                <w:szCs w:val="24"/>
              </w:rPr>
              <w:t>RO-HOLTECSMR300-01</w:t>
            </w:r>
            <w:r>
              <w:rPr>
                <w:szCs w:val="24"/>
              </w:rPr>
              <w:t>3</w:t>
            </w:r>
          </w:p>
          <w:p w14:paraId="4573E034" w14:textId="2A2C8261" w:rsidR="00834544" w:rsidRPr="0040443F" w:rsidRDefault="00834544" w:rsidP="00337FC0">
            <w:pPr>
              <w:spacing w:before="60" w:after="60"/>
              <w:rPr>
                <w:szCs w:val="24"/>
                <w:highlight w:val="yellow"/>
              </w:rPr>
            </w:pPr>
            <w:r w:rsidRPr="00FB6569">
              <w:rPr>
                <w:szCs w:val="24"/>
              </w:rPr>
              <w:t>RO-HOLTECSMR300-01</w:t>
            </w:r>
            <w:r>
              <w:rPr>
                <w:szCs w:val="24"/>
              </w:rPr>
              <w:t>4</w:t>
            </w:r>
          </w:p>
        </w:tc>
      </w:tr>
      <w:tr w:rsidR="00850471" w:rsidRPr="0048438C" w14:paraId="4573E03E" w14:textId="77777777" w:rsidTr="1A911F27">
        <w:trPr>
          <w:trHeight w:val="202"/>
        </w:trPr>
        <w:tc>
          <w:tcPr>
            <w:tcW w:w="4948" w:type="dxa"/>
          </w:tcPr>
          <w:p w14:paraId="4573E03C" w14:textId="77777777" w:rsidR="00850471" w:rsidRPr="0048438C" w:rsidRDefault="00850471" w:rsidP="0048438C">
            <w:pPr>
              <w:spacing w:before="60" w:after="60"/>
              <w:rPr>
                <w:b/>
                <w:szCs w:val="24"/>
              </w:rPr>
            </w:pPr>
            <w:r w:rsidRPr="0048438C">
              <w:rPr>
                <w:b/>
                <w:szCs w:val="24"/>
              </w:rPr>
              <w:t>Observation title:</w:t>
            </w:r>
          </w:p>
        </w:tc>
        <w:tc>
          <w:tcPr>
            <w:tcW w:w="4949" w:type="dxa"/>
          </w:tcPr>
          <w:p w14:paraId="4573E03D" w14:textId="049054AD" w:rsidR="0040443F" w:rsidRPr="0048438C" w:rsidRDefault="00653116" w:rsidP="0048438C">
            <w:pPr>
              <w:spacing w:before="60" w:after="60"/>
              <w:rPr>
                <w:szCs w:val="24"/>
              </w:rPr>
            </w:pPr>
            <w:r>
              <w:rPr>
                <w:szCs w:val="24"/>
              </w:rPr>
              <w:t>Fault Analysis Maturity</w:t>
            </w:r>
          </w:p>
        </w:tc>
      </w:tr>
      <w:tr w:rsidR="00CC67B6" w:rsidRPr="0048438C" w14:paraId="4573E043" w14:textId="77777777" w:rsidTr="1A911F27">
        <w:trPr>
          <w:trHeight w:val="202"/>
        </w:trPr>
        <w:tc>
          <w:tcPr>
            <w:tcW w:w="4948" w:type="dxa"/>
          </w:tcPr>
          <w:p w14:paraId="71E06B30" w14:textId="77777777" w:rsidR="00CC67B6" w:rsidRPr="0048438C" w:rsidRDefault="00CC67B6" w:rsidP="0048438C">
            <w:pPr>
              <w:spacing w:before="60" w:after="60"/>
              <w:rPr>
                <w:szCs w:val="24"/>
              </w:rPr>
            </w:pPr>
            <w:r w:rsidRPr="0048438C">
              <w:rPr>
                <w:b/>
                <w:szCs w:val="24"/>
              </w:rPr>
              <w:t>Lead technical topic:</w:t>
            </w:r>
          </w:p>
          <w:p w14:paraId="6DC0942F" w14:textId="77777777" w:rsidR="0087645C" w:rsidRPr="0087645C" w:rsidRDefault="0087645C" w:rsidP="0087645C">
            <w:pPr>
              <w:spacing w:before="60" w:after="60"/>
              <w:rPr>
                <w:szCs w:val="24"/>
              </w:rPr>
            </w:pPr>
            <w:r w:rsidRPr="0087645C">
              <w:rPr>
                <w:szCs w:val="24"/>
              </w:rPr>
              <w:t>Fault Studies</w:t>
            </w:r>
          </w:p>
          <w:p w14:paraId="4573E040" w14:textId="776AF15E" w:rsidR="00CC67B6" w:rsidRPr="0048438C" w:rsidRDefault="00CC67B6" w:rsidP="0087645C">
            <w:pPr>
              <w:pStyle w:val="ListParagraph"/>
              <w:spacing w:before="60" w:after="60"/>
              <w:ind w:left="0"/>
              <w:rPr>
                <w:szCs w:val="24"/>
              </w:rPr>
            </w:pPr>
          </w:p>
        </w:tc>
        <w:tc>
          <w:tcPr>
            <w:tcW w:w="4949" w:type="dxa"/>
          </w:tcPr>
          <w:p w14:paraId="411BB36A" w14:textId="0CB52F14" w:rsidR="003A6935" w:rsidRPr="00653116" w:rsidRDefault="00CC67B6" w:rsidP="00653116">
            <w:pPr>
              <w:spacing w:before="60" w:after="60"/>
              <w:rPr>
                <w:b/>
                <w:szCs w:val="24"/>
              </w:rPr>
            </w:pPr>
            <w:r w:rsidRPr="0048438C">
              <w:rPr>
                <w:b/>
                <w:szCs w:val="24"/>
              </w:rPr>
              <w:t>Related technical topic(s):</w:t>
            </w:r>
          </w:p>
          <w:p w14:paraId="5501AF61" w14:textId="77777777" w:rsidR="003A6935" w:rsidRPr="003A6935" w:rsidRDefault="003A6935" w:rsidP="003A6935">
            <w:pPr>
              <w:spacing w:before="60" w:after="60"/>
              <w:rPr>
                <w:szCs w:val="24"/>
              </w:rPr>
            </w:pPr>
            <w:r w:rsidRPr="003A6935">
              <w:rPr>
                <w:szCs w:val="24"/>
              </w:rPr>
              <w:t>External Hazards</w:t>
            </w:r>
          </w:p>
          <w:p w14:paraId="13F7D1E6" w14:textId="77777777" w:rsidR="003A6935" w:rsidRPr="003A6935" w:rsidRDefault="003A6935" w:rsidP="003A6935">
            <w:pPr>
              <w:spacing w:before="60" w:after="60"/>
              <w:rPr>
                <w:szCs w:val="24"/>
              </w:rPr>
            </w:pPr>
            <w:r w:rsidRPr="003A6935">
              <w:rPr>
                <w:szCs w:val="24"/>
              </w:rPr>
              <w:t>Fuel and Core</w:t>
            </w:r>
          </w:p>
          <w:p w14:paraId="253C1BEE" w14:textId="77777777" w:rsidR="003A6935" w:rsidRPr="003A6935" w:rsidRDefault="003A6935" w:rsidP="07EF7BD2">
            <w:pPr>
              <w:spacing w:before="60" w:after="60"/>
            </w:pPr>
            <w:r>
              <w:t>Human Factors</w:t>
            </w:r>
          </w:p>
          <w:p w14:paraId="0E0835DB" w14:textId="77777777" w:rsidR="003A6935" w:rsidRPr="003A6935" w:rsidRDefault="003A6935" w:rsidP="003A6935">
            <w:pPr>
              <w:spacing w:before="60" w:after="60"/>
              <w:rPr>
                <w:szCs w:val="24"/>
              </w:rPr>
            </w:pPr>
            <w:r w:rsidRPr="003A6935">
              <w:rPr>
                <w:szCs w:val="24"/>
              </w:rPr>
              <w:t>Internal Hazards</w:t>
            </w:r>
          </w:p>
          <w:p w14:paraId="09D9AB8D" w14:textId="77777777" w:rsidR="003A6935" w:rsidRPr="003A6935" w:rsidRDefault="003A6935" w:rsidP="003A6935">
            <w:pPr>
              <w:spacing w:before="60" w:after="60"/>
              <w:rPr>
                <w:szCs w:val="24"/>
              </w:rPr>
            </w:pPr>
            <w:r w:rsidRPr="003A6935">
              <w:rPr>
                <w:szCs w:val="24"/>
              </w:rPr>
              <w:t>Probabilistic Safety Analysis</w:t>
            </w:r>
          </w:p>
          <w:p w14:paraId="7E77BE0F" w14:textId="77777777" w:rsidR="003A6935" w:rsidRPr="003A6935" w:rsidRDefault="003A6935" w:rsidP="003A6935">
            <w:pPr>
              <w:spacing w:before="60" w:after="60"/>
              <w:rPr>
                <w:szCs w:val="24"/>
              </w:rPr>
            </w:pPr>
            <w:r w:rsidRPr="003A6935">
              <w:rPr>
                <w:szCs w:val="24"/>
              </w:rPr>
              <w:t>Radiological Consequences</w:t>
            </w:r>
          </w:p>
          <w:p w14:paraId="39E23EC5" w14:textId="77777777" w:rsidR="006F568D" w:rsidRDefault="003A6935" w:rsidP="00165055">
            <w:pPr>
              <w:spacing w:before="60" w:after="60"/>
              <w:rPr>
                <w:szCs w:val="24"/>
              </w:rPr>
            </w:pPr>
            <w:r w:rsidRPr="003A6935">
              <w:rPr>
                <w:szCs w:val="24"/>
              </w:rPr>
              <w:t>Severe Accident Analysis</w:t>
            </w:r>
          </w:p>
          <w:p w14:paraId="4573E042" w14:textId="4B651D41" w:rsidR="00CC67B6" w:rsidRPr="0048438C" w:rsidRDefault="006F568D" w:rsidP="00165055">
            <w:pPr>
              <w:spacing w:before="60" w:after="60"/>
              <w:rPr>
                <w:szCs w:val="24"/>
              </w:rPr>
            </w:pPr>
            <w:r>
              <w:rPr>
                <w:szCs w:val="24"/>
              </w:rPr>
              <w:t>All Engineering Topics</w:t>
            </w:r>
            <w:r w:rsidR="00CC67B6" w:rsidRPr="0048438C">
              <w:rPr>
                <w:szCs w:val="24"/>
                <w:lang w:eastAsia="en-GB"/>
              </w:rPr>
              <w:fldChar w:fldCharType="begin"/>
            </w:r>
            <w:r w:rsidR="00CC67B6" w:rsidRPr="0048438C">
              <w:rPr>
                <w:szCs w:val="24"/>
                <w:lang w:eastAsia="en-GB"/>
              </w:rPr>
              <w:instrText xml:space="preserve"> MERGEFIELD F10 </w:instrText>
            </w:r>
            <w:r w:rsidR="00CC67B6" w:rsidRPr="0048438C">
              <w:rPr>
                <w:szCs w:val="24"/>
                <w:lang w:eastAsia="en-GB"/>
              </w:rPr>
              <w:fldChar w:fldCharType="end"/>
            </w:r>
          </w:p>
        </w:tc>
      </w:tr>
      <w:tr w:rsidR="00850471" w:rsidRPr="0048438C" w14:paraId="4573E045" w14:textId="77777777" w:rsidTr="1A911F27">
        <w:trPr>
          <w:trHeight w:val="242"/>
        </w:trPr>
        <w:tc>
          <w:tcPr>
            <w:tcW w:w="9897" w:type="dxa"/>
            <w:gridSpan w:val="2"/>
            <w:shd w:val="clear" w:color="auto" w:fill="CCCCCC"/>
          </w:tcPr>
          <w:p w14:paraId="4573E044" w14:textId="7ECC632F" w:rsidR="00850471" w:rsidRPr="00581D5B" w:rsidRDefault="00581D5B" w:rsidP="0048438C">
            <w:pPr>
              <w:spacing w:before="60" w:after="60"/>
              <w:rPr>
                <w:b/>
                <w:iCs/>
                <w:szCs w:val="24"/>
              </w:rPr>
            </w:pPr>
            <w:r w:rsidRPr="00581D5B">
              <w:rPr>
                <w:b/>
                <w:iCs/>
                <w:szCs w:val="24"/>
              </w:rPr>
              <w:t>REGULATORY OBSERVATION:</w:t>
            </w:r>
          </w:p>
        </w:tc>
      </w:tr>
      <w:tr w:rsidR="00850471" w:rsidRPr="0048438C" w14:paraId="4573E049" w14:textId="77777777" w:rsidTr="1A911F27">
        <w:tc>
          <w:tcPr>
            <w:tcW w:w="9897" w:type="dxa"/>
            <w:gridSpan w:val="2"/>
          </w:tcPr>
          <w:p w14:paraId="4F3F6A8D" w14:textId="162229E0" w:rsidR="00850471" w:rsidRPr="0048438C" w:rsidRDefault="00CC67B6" w:rsidP="0048438C">
            <w:pPr>
              <w:spacing w:before="60" w:after="60"/>
              <w:rPr>
                <w:b/>
                <w:szCs w:val="24"/>
                <w:u w:val="single"/>
              </w:rPr>
            </w:pPr>
            <w:r w:rsidRPr="0048438C">
              <w:rPr>
                <w:b/>
                <w:szCs w:val="24"/>
                <w:u w:val="single"/>
              </w:rPr>
              <w:t>Background</w:t>
            </w:r>
          </w:p>
          <w:p w14:paraId="08CF5439" w14:textId="0BCEA392" w:rsidR="00E00E59" w:rsidRDefault="00EA3958" w:rsidP="0076082E">
            <w:pPr>
              <w:spacing w:before="60" w:after="60"/>
              <w:rPr>
                <w:szCs w:val="24"/>
              </w:rPr>
            </w:pPr>
            <w:r>
              <w:rPr>
                <w:szCs w:val="24"/>
              </w:rPr>
              <w:t xml:space="preserve">Fault </w:t>
            </w:r>
            <w:r w:rsidR="008D1D72">
              <w:rPr>
                <w:szCs w:val="24"/>
              </w:rPr>
              <w:t xml:space="preserve">analysis </w:t>
            </w:r>
            <w:r w:rsidR="001B7A7A">
              <w:rPr>
                <w:szCs w:val="24"/>
              </w:rPr>
              <w:t xml:space="preserve">is </w:t>
            </w:r>
            <w:r w:rsidR="00AA360D">
              <w:rPr>
                <w:szCs w:val="24"/>
              </w:rPr>
              <w:t xml:space="preserve">fundamental to the justification that </w:t>
            </w:r>
            <w:r w:rsidR="00D95BC2">
              <w:rPr>
                <w:szCs w:val="24"/>
              </w:rPr>
              <w:t xml:space="preserve">adequate safety provisions are present in the design and that </w:t>
            </w:r>
            <w:r w:rsidR="00AA360D">
              <w:rPr>
                <w:szCs w:val="24"/>
              </w:rPr>
              <w:t xml:space="preserve">risks have been reduced </w:t>
            </w:r>
            <w:r w:rsidR="00444B74">
              <w:rPr>
                <w:szCs w:val="24"/>
              </w:rPr>
              <w:t>as low as reasonably practicable (</w:t>
            </w:r>
            <w:r w:rsidR="00AA360D">
              <w:rPr>
                <w:szCs w:val="24"/>
              </w:rPr>
              <w:t>ALARP</w:t>
            </w:r>
            <w:r w:rsidR="00444B74">
              <w:rPr>
                <w:szCs w:val="24"/>
              </w:rPr>
              <w:t>)</w:t>
            </w:r>
            <w:r w:rsidR="00F458E8">
              <w:rPr>
                <w:szCs w:val="24"/>
              </w:rPr>
              <w:t xml:space="preserve">. </w:t>
            </w:r>
            <w:r w:rsidR="00795E8A">
              <w:rPr>
                <w:szCs w:val="24"/>
              </w:rPr>
              <w:t xml:space="preserve">Holtec’s </w:t>
            </w:r>
            <w:r w:rsidR="00952078">
              <w:rPr>
                <w:szCs w:val="24"/>
              </w:rPr>
              <w:t>preliminary safety report</w:t>
            </w:r>
            <w:r w:rsidR="00C87EDA">
              <w:rPr>
                <w:szCs w:val="24"/>
              </w:rPr>
              <w:t xml:space="preserve"> (PSR)</w:t>
            </w:r>
            <w:r w:rsidR="00952078">
              <w:rPr>
                <w:szCs w:val="24"/>
              </w:rPr>
              <w:t xml:space="preserve"> </w:t>
            </w:r>
            <w:r w:rsidR="00707083">
              <w:rPr>
                <w:szCs w:val="24"/>
              </w:rPr>
              <w:t>(Ref</w:t>
            </w:r>
            <w:r w:rsidR="00733FE5">
              <w:rPr>
                <w:szCs w:val="24"/>
              </w:rPr>
              <w:t>s</w:t>
            </w:r>
            <w:r w:rsidR="00707083">
              <w:rPr>
                <w:szCs w:val="24"/>
              </w:rPr>
              <w:t xml:space="preserve"> 1</w:t>
            </w:r>
            <w:r w:rsidR="00733FE5">
              <w:rPr>
                <w:szCs w:val="24"/>
              </w:rPr>
              <w:t>, 2, 3</w:t>
            </w:r>
            <w:r w:rsidR="00707083">
              <w:rPr>
                <w:szCs w:val="24"/>
              </w:rPr>
              <w:t xml:space="preserve">) identifies that </w:t>
            </w:r>
            <w:r w:rsidR="005E5D66">
              <w:rPr>
                <w:szCs w:val="24"/>
              </w:rPr>
              <w:t xml:space="preserve">the fault analysis </w:t>
            </w:r>
            <w:r w:rsidR="008D2B20">
              <w:rPr>
                <w:szCs w:val="24"/>
              </w:rPr>
              <w:t xml:space="preserve">for the SMR-300 design is </w:t>
            </w:r>
            <w:r w:rsidR="0036147F">
              <w:rPr>
                <w:szCs w:val="24"/>
              </w:rPr>
              <w:t>at a</w:t>
            </w:r>
            <w:r w:rsidR="004B0B73">
              <w:rPr>
                <w:szCs w:val="24"/>
              </w:rPr>
              <w:t xml:space="preserve"> preliminary</w:t>
            </w:r>
            <w:r w:rsidR="0036147F">
              <w:rPr>
                <w:szCs w:val="24"/>
              </w:rPr>
              <w:t xml:space="preserve"> stage of development</w:t>
            </w:r>
            <w:r w:rsidR="00DC71D4">
              <w:rPr>
                <w:szCs w:val="24"/>
              </w:rPr>
              <w:t xml:space="preserve">. </w:t>
            </w:r>
            <w:r w:rsidR="005465C8">
              <w:rPr>
                <w:szCs w:val="24"/>
              </w:rPr>
              <w:t>I</w:t>
            </w:r>
            <w:r w:rsidR="00E1283F">
              <w:rPr>
                <w:szCs w:val="24"/>
              </w:rPr>
              <w:t>n</w:t>
            </w:r>
            <w:r w:rsidR="005465C8">
              <w:rPr>
                <w:szCs w:val="24"/>
              </w:rPr>
              <w:t xml:space="preserve"> </w:t>
            </w:r>
            <w:r w:rsidR="00891242">
              <w:rPr>
                <w:szCs w:val="24"/>
              </w:rPr>
              <w:t>certain</w:t>
            </w:r>
            <w:r w:rsidR="005465C8">
              <w:rPr>
                <w:szCs w:val="24"/>
              </w:rPr>
              <w:t xml:space="preserve"> areas the fault analysis </w:t>
            </w:r>
            <w:r w:rsidR="001F008C">
              <w:rPr>
                <w:szCs w:val="24"/>
              </w:rPr>
              <w:lastRenderedPageBreak/>
              <w:t xml:space="preserve">presented </w:t>
            </w:r>
            <w:r w:rsidR="005465C8">
              <w:rPr>
                <w:szCs w:val="24"/>
              </w:rPr>
              <w:t xml:space="preserve">is of insufficient maturity to </w:t>
            </w:r>
            <w:r w:rsidR="00E1283F">
              <w:rPr>
                <w:szCs w:val="24"/>
              </w:rPr>
              <w:t>draw conclusions on the fundamental adequacy of the design</w:t>
            </w:r>
            <w:r w:rsidR="006B4F6D">
              <w:rPr>
                <w:szCs w:val="24"/>
              </w:rPr>
              <w:t xml:space="preserve"> against the expectations set out in the SAPs</w:t>
            </w:r>
            <w:r w:rsidR="00E1283F">
              <w:rPr>
                <w:szCs w:val="24"/>
              </w:rPr>
              <w:t>.</w:t>
            </w:r>
          </w:p>
          <w:p w14:paraId="12F7E101" w14:textId="77777777" w:rsidR="006B0F38" w:rsidRDefault="006B0F38" w:rsidP="0076082E">
            <w:pPr>
              <w:spacing w:before="60" w:after="60"/>
              <w:rPr>
                <w:szCs w:val="24"/>
              </w:rPr>
            </w:pPr>
          </w:p>
          <w:p w14:paraId="61BF2E86" w14:textId="4BD67EB0" w:rsidR="001315B8" w:rsidRDefault="001315B8" w:rsidP="0076082E">
            <w:pPr>
              <w:spacing w:before="60" w:after="60"/>
              <w:rPr>
                <w:szCs w:val="24"/>
              </w:rPr>
            </w:pPr>
            <w:r>
              <w:rPr>
                <w:szCs w:val="24"/>
              </w:rPr>
              <w:t>The</w:t>
            </w:r>
            <w:r w:rsidR="006B50D2">
              <w:rPr>
                <w:szCs w:val="24"/>
              </w:rPr>
              <w:t xml:space="preserve"> </w:t>
            </w:r>
            <w:r>
              <w:rPr>
                <w:szCs w:val="24"/>
              </w:rPr>
              <w:t xml:space="preserve">set of </w:t>
            </w:r>
            <w:r w:rsidR="00FE6557">
              <w:rPr>
                <w:szCs w:val="24"/>
              </w:rPr>
              <w:t xml:space="preserve">postulated </w:t>
            </w:r>
            <w:r>
              <w:rPr>
                <w:szCs w:val="24"/>
              </w:rPr>
              <w:t xml:space="preserve">initiating events </w:t>
            </w:r>
            <w:r w:rsidR="00080C5B">
              <w:rPr>
                <w:szCs w:val="24"/>
              </w:rPr>
              <w:t xml:space="preserve">presented </w:t>
            </w:r>
            <w:r w:rsidR="00464AF5">
              <w:rPr>
                <w:szCs w:val="24"/>
              </w:rPr>
              <w:t xml:space="preserve">in GDA Step 2 </w:t>
            </w:r>
            <w:r w:rsidR="00910115">
              <w:rPr>
                <w:szCs w:val="24"/>
              </w:rPr>
              <w:t xml:space="preserve">for the SMR-300 </w:t>
            </w:r>
            <w:r w:rsidR="00A12ED4">
              <w:rPr>
                <w:szCs w:val="24"/>
              </w:rPr>
              <w:t xml:space="preserve">(Ref 4) </w:t>
            </w:r>
            <w:r w:rsidR="00910115">
              <w:rPr>
                <w:szCs w:val="24"/>
              </w:rPr>
              <w:t xml:space="preserve">is currently based on </w:t>
            </w:r>
            <w:r w:rsidR="00F86BD5">
              <w:rPr>
                <w:szCs w:val="24"/>
              </w:rPr>
              <w:t>a</w:t>
            </w:r>
            <w:r w:rsidR="006D0142">
              <w:rPr>
                <w:szCs w:val="24"/>
              </w:rPr>
              <w:t xml:space="preserve"> list of </w:t>
            </w:r>
            <w:r w:rsidR="00297201">
              <w:rPr>
                <w:szCs w:val="24"/>
              </w:rPr>
              <w:t xml:space="preserve">scenarios </w:t>
            </w:r>
            <w:r w:rsidR="00F86BD5">
              <w:rPr>
                <w:szCs w:val="24"/>
              </w:rPr>
              <w:t xml:space="preserve">prescribed by the US regulator, supplemented </w:t>
            </w:r>
            <w:r w:rsidR="000C2B09">
              <w:rPr>
                <w:szCs w:val="24"/>
              </w:rPr>
              <w:t>by</w:t>
            </w:r>
            <w:r w:rsidR="00297201">
              <w:rPr>
                <w:szCs w:val="24"/>
              </w:rPr>
              <w:t xml:space="preserve"> </w:t>
            </w:r>
            <w:r w:rsidR="00083FE8">
              <w:rPr>
                <w:szCs w:val="24"/>
              </w:rPr>
              <w:t xml:space="preserve">a review of </w:t>
            </w:r>
            <w:r w:rsidR="00CC02BA">
              <w:rPr>
                <w:szCs w:val="24"/>
              </w:rPr>
              <w:t>initiating fault lists from previous designs which employ similar technology</w:t>
            </w:r>
            <w:r w:rsidR="00AC1BC2">
              <w:rPr>
                <w:szCs w:val="24"/>
              </w:rPr>
              <w:t>.</w:t>
            </w:r>
            <w:r w:rsidR="00F34922">
              <w:rPr>
                <w:szCs w:val="24"/>
              </w:rPr>
              <w:t xml:space="preserve"> </w:t>
            </w:r>
            <w:r w:rsidR="00AC1BC2">
              <w:rPr>
                <w:szCs w:val="24"/>
              </w:rPr>
              <w:t>I</w:t>
            </w:r>
            <w:r w:rsidR="00B14C94">
              <w:rPr>
                <w:szCs w:val="24"/>
              </w:rPr>
              <w:t xml:space="preserve">t </w:t>
            </w:r>
            <w:r w:rsidR="00AC1BC2">
              <w:rPr>
                <w:szCs w:val="24"/>
              </w:rPr>
              <w:t>ha</w:t>
            </w:r>
            <w:r w:rsidR="006B50D2">
              <w:rPr>
                <w:szCs w:val="24"/>
              </w:rPr>
              <w:t>s</w:t>
            </w:r>
            <w:r w:rsidR="00F34922">
              <w:rPr>
                <w:szCs w:val="24"/>
              </w:rPr>
              <w:t xml:space="preserve"> not </w:t>
            </w:r>
            <w:r w:rsidR="00AC1BC2">
              <w:rPr>
                <w:szCs w:val="24"/>
              </w:rPr>
              <w:t xml:space="preserve">been </w:t>
            </w:r>
            <w:r w:rsidR="00F34922">
              <w:rPr>
                <w:szCs w:val="24"/>
              </w:rPr>
              <w:t xml:space="preserve">demonstrated that a complete list of </w:t>
            </w:r>
            <w:r w:rsidR="006B50D2">
              <w:rPr>
                <w:szCs w:val="24"/>
              </w:rPr>
              <w:t>po</w:t>
            </w:r>
            <w:r w:rsidR="00FE6557">
              <w:rPr>
                <w:szCs w:val="24"/>
              </w:rPr>
              <w:t>stulated</w:t>
            </w:r>
            <w:r w:rsidR="006B50D2">
              <w:rPr>
                <w:szCs w:val="24"/>
              </w:rPr>
              <w:t xml:space="preserve"> initiating events has been derived</w:t>
            </w:r>
            <w:r w:rsidR="00B14C94">
              <w:rPr>
                <w:szCs w:val="24"/>
              </w:rPr>
              <w:t xml:space="preserve"> </w:t>
            </w:r>
            <w:r w:rsidR="00F660DF">
              <w:rPr>
                <w:szCs w:val="24"/>
              </w:rPr>
              <w:t>with</w:t>
            </w:r>
            <w:r w:rsidR="00B14C94">
              <w:rPr>
                <w:szCs w:val="24"/>
              </w:rPr>
              <w:t xml:space="preserve"> some initiating events that could be postulated for the design not present in the list</w:t>
            </w:r>
            <w:r w:rsidR="00444B74">
              <w:rPr>
                <w:szCs w:val="24"/>
              </w:rPr>
              <w:t>.</w:t>
            </w:r>
          </w:p>
          <w:p w14:paraId="1CF585D5" w14:textId="77777777" w:rsidR="006B0F38" w:rsidRDefault="006B0F38" w:rsidP="0076082E">
            <w:pPr>
              <w:spacing w:before="60" w:after="60"/>
              <w:rPr>
                <w:szCs w:val="24"/>
              </w:rPr>
            </w:pPr>
          </w:p>
          <w:p w14:paraId="4F6CE8E0" w14:textId="7031A0C1" w:rsidR="00E5264C" w:rsidRDefault="00DC71D4" w:rsidP="0076082E">
            <w:pPr>
              <w:spacing w:before="60" w:after="60"/>
            </w:pPr>
            <w:r>
              <w:t xml:space="preserve">Some </w:t>
            </w:r>
            <w:r w:rsidR="002E230E">
              <w:t>preliminary design basis analysis</w:t>
            </w:r>
            <w:r w:rsidR="00B51140">
              <w:t xml:space="preserve"> (DBA)</w:t>
            </w:r>
            <w:r w:rsidR="002E230E">
              <w:t xml:space="preserve"> work has been undertaken for a limited set of initiating events (Ref </w:t>
            </w:r>
            <w:r w:rsidR="00A12ED4">
              <w:t>5</w:t>
            </w:r>
            <w:r w:rsidR="002E230E">
              <w:t>)</w:t>
            </w:r>
            <w:r w:rsidR="00BC1220">
              <w:t xml:space="preserve"> and </w:t>
            </w:r>
            <w:r w:rsidR="00EB6F3B">
              <w:t xml:space="preserve">a broader scope indicative </w:t>
            </w:r>
            <w:r w:rsidR="00B51140">
              <w:t>analysis is presented in the preliminary fault schedule (PFS)</w:t>
            </w:r>
            <w:r w:rsidR="00CB6BB0">
              <w:t xml:space="preserve"> </w:t>
            </w:r>
            <w:r w:rsidR="00A12ED4">
              <w:t>(Ref 4</w:t>
            </w:r>
            <w:r w:rsidR="0013627F">
              <w:t>). The work undertaken has raised some potential shortfalls that would need to be addressed</w:t>
            </w:r>
            <w:r w:rsidR="00BA2F56">
              <w:t xml:space="preserve"> and raised recommendations for further work</w:t>
            </w:r>
            <w:r w:rsidR="000E6FE7">
              <w:t>.</w:t>
            </w:r>
            <w:r w:rsidR="00A12ED4">
              <w:t xml:space="preserve"> </w:t>
            </w:r>
            <w:r w:rsidR="009A1316">
              <w:t>A</w:t>
            </w:r>
            <w:r w:rsidR="009F76B4">
              <w:t xml:space="preserve"> limited set of</w:t>
            </w:r>
            <w:r w:rsidR="00CB6BB0">
              <w:t xml:space="preserve"> design basis principles </w:t>
            </w:r>
            <w:r w:rsidR="00FF52FF">
              <w:t xml:space="preserve">against which the analysis has been undertaken </w:t>
            </w:r>
            <w:r w:rsidR="00CB6BB0">
              <w:t>have been presented</w:t>
            </w:r>
            <w:r w:rsidR="0071268A">
              <w:t xml:space="preserve">, however </w:t>
            </w:r>
            <w:r w:rsidR="00B60975">
              <w:t xml:space="preserve">several expectations on DBA principles </w:t>
            </w:r>
            <w:r w:rsidR="00821FC8">
              <w:t>have not been included in the analysis (</w:t>
            </w:r>
            <w:r w:rsidR="008D2656">
              <w:t xml:space="preserve">RQ-01697, </w:t>
            </w:r>
            <w:r w:rsidR="004507EE">
              <w:t xml:space="preserve">RQ-02120, </w:t>
            </w:r>
            <w:r w:rsidR="001620FF">
              <w:t>RQ-02002</w:t>
            </w:r>
            <w:r w:rsidR="002F4D82">
              <w:t>)</w:t>
            </w:r>
            <w:r w:rsidR="00664A23">
              <w:t xml:space="preserve">, as such, </w:t>
            </w:r>
            <w:r w:rsidR="00FE4D07">
              <w:t xml:space="preserve">given the </w:t>
            </w:r>
            <w:r w:rsidR="00450C70">
              <w:t>relative novelty of the design of</w:t>
            </w:r>
            <w:r w:rsidR="00F9160B">
              <w:t xml:space="preserve"> the safety systems provided for emergency core cooling</w:t>
            </w:r>
            <w:r w:rsidR="0023056E">
              <w:t>,</w:t>
            </w:r>
            <w:r w:rsidR="00134B36">
              <w:t xml:space="preserve"> </w:t>
            </w:r>
            <w:r w:rsidR="00664A23">
              <w:t>t</w:t>
            </w:r>
            <w:r w:rsidR="00BB18E3">
              <w:t xml:space="preserve">he </w:t>
            </w:r>
            <w:r w:rsidR="001E4152">
              <w:t xml:space="preserve">DBA currently presented is not sufficient to draw conclusions on the adequacy of the redundancy and diversity in the </w:t>
            </w:r>
            <w:r w:rsidR="00E3696F">
              <w:t>design of the safety structures, systems and components</w:t>
            </w:r>
            <w:r w:rsidR="00383551">
              <w:t xml:space="preserve"> (SSCs)</w:t>
            </w:r>
            <w:r w:rsidR="007A2F47">
              <w:t xml:space="preserve"> provided for core cooling</w:t>
            </w:r>
            <w:r w:rsidR="00402718">
              <w:t xml:space="preserve"> at level 3 defence in depth</w:t>
            </w:r>
            <w:r w:rsidR="00E3696F">
              <w:t xml:space="preserve"> (RQ-</w:t>
            </w:r>
            <w:r w:rsidR="004966E3">
              <w:t>01584)</w:t>
            </w:r>
            <w:r w:rsidR="0013627F">
              <w:t>.</w:t>
            </w:r>
          </w:p>
          <w:p w14:paraId="55EFC92B" w14:textId="77777777" w:rsidR="006B0F38" w:rsidRDefault="006B0F38" w:rsidP="0076082E">
            <w:pPr>
              <w:spacing w:before="60" w:after="60"/>
              <w:rPr>
                <w:szCs w:val="24"/>
              </w:rPr>
            </w:pPr>
          </w:p>
          <w:p w14:paraId="3A75D877" w14:textId="131F241F" w:rsidR="00E5264C" w:rsidRDefault="00D46275" w:rsidP="0076082E">
            <w:pPr>
              <w:spacing w:before="60" w:after="60"/>
            </w:pPr>
            <w:r>
              <w:t>Holt</w:t>
            </w:r>
            <w:r w:rsidR="00F252F0">
              <w:t xml:space="preserve">ec </w:t>
            </w:r>
            <w:r w:rsidR="00E55896">
              <w:t>has</w:t>
            </w:r>
            <w:r w:rsidR="00F252F0">
              <w:t xml:space="preserve"> identified some accident management strategies for </w:t>
            </w:r>
            <w:r w:rsidR="00BA3292">
              <w:t xml:space="preserve">severe accidents </w:t>
            </w:r>
            <w:r w:rsidR="19835506">
              <w:t xml:space="preserve">in the SMR-300 design, </w:t>
            </w:r>
            <w:r w:rsidR="00BA3292">
              <w:t xml:space="preserve">such as in-vessel retention for mitigating the consequences of a core melt scenario, </w:t>
            </w:r>
            <w:r w:rsidR="00C94290">
              <w:t>provision of passive autocatalytic recombiners for hydrogen management</w:t>
            </w:r>
            <w:r w:rsidR="009A225C">
              <w:t xml:space="preserve">, and the passive </w:t>
            </w:r>
            <w:r w:rsidR="009A593E">
              <w:t xml:space="preserve">containment heat removal system for managing containment temperature and pressure, however </w:t>
            </w:r>
            <w:r w:rsidR="004A1E84">
              <w:t xml:space="preserve">the </w:t>
            </w:r>
            <w:r w:rsidR="003B52D4">
              <w:t xml:space="preserve">derivation of </w:t>
            </w:r>
            <w:r w:rsidR="00B612A5">
              <w:t>severe accident scenarios</w:t>
            </w:r>
            <w:r w:rsidR="004A1E84">
              <w:t xml:space="preserve"> and justification of appropriate safety measures has yet to </w:t>
            </w:r>
            <w:r w:rsidR="00C43CDF">
              <w:t xml:space="preserve">be </w:t>
            </w:r>
            <w:r w:rsidR="00B612A5">
              <w:t>undertaken.</w:t>
            </w:r>
          </w:p>
          <w:p w14:paraId="46B8A75B" w14:textId="77777777" w:rsidR="006B0F38" w:rsidRDefault="006B0F38" w:rsidP="0076082E">
            <w:pPr>
              <w:spacing w:before="60" w:after="60"/>
              <w:rPr>
                <w:szCs w:val="24"/>
              </w:rPr>
            </w:pPr>
          </w:p>
          <w:p w14:paraId="7BF69D39" w14:textId="6117CFAB" w:rsidR="00B612A5" w:rsidRDefault="00265AA2" w:rsidP="70F5B30D">
            <w:pPr>
              <w:spacing w:before="60" w:after="60"/>
            </w:pPr>
            <w:r>
              <w:t>A</w:t>
            </w:r>
            <w:r w:rsidR="006412FE">
              <w:t xml:space="preserve"> probabilistic safety assessment (PSA) model </w:t>
            </w:r>
            <w:r>
              <w:t xml:space="preserve">for the SMR-300 design </w:t>
            </w:r>
            <w:r w:rsidR="00703650">
              <w:t>was not available to support GDA Step 2</w:t>
            </w:r>
            <w:r w:rsidR="00062AC3">
              <w:t xml:space="preserve">. </w:t>
            </w:r>
            <w:r w:rsidR="006D3670">
              <w:t xml:space="preserve">A PSA model </w:t>
            </w:r>
            <w:r w:rsidR="00C03C6A">
              <w:t xml:space="preserve">developed for the SMR-160, which </w:t>
            </w:r>
            <w:r w:rsidR="00FB78F8">
              <w:t>utilised</w:t>
            </w:r>
            <w:r w:rsidR="00C03C6A">
              <w:t xml:space="preserve"> similar safety systems as the SMR-300</w:t>
            </w:r>
            <w:r w:rsidR="006D3670">
              <w:t xml:space="preserve"> has been used to draw conclusions on the SMR-300 design supported by arguments </w:t>
            </w:r>
            <w:r w:rsidR="005831F7">
              <w:t xml:space="preserve">and sensitivity studies </w:t>
            </w:r>
            <w:r w:rsidR="006D3670">
              <w:t>as to the applicability of the conclusions of the other model</w:t>
            </w:r>
            <w:r w:rsidR="00E26E4F">
              <w:t xml:space="preserve">. </w:t>
            </w:r>
            <w:r w:rsidR="00A61003">
              <w:t xml:space="preserve">Some </w:t>
            </w:r>
            <w:r w:rsidR="002D34D0">
              <w:t xml:space="preserve">methodological </w:t>
            </w:r>
            <w:r w:rsidR="47971048">
              <w:t>gaps to regulatory expectations</w:t>
            </w:r>
            <w:r w:rsidR="002D34D0">
              <w:t xml:space="preserve"> have additionally been identified (</w:t>
            </w:r>
            <w:r w:rsidR="00CA0CAE">
              <w:t>RO-HOLTECSMR300-010).</w:t>
            </w:r>
          </w:p>
          <w:p w14:paraId="50185474" w14:textId="77777777" w:rsidR="006412FE" w:rsidRDefault="006412FE" w:rsidP="0076082E">
            <w:pPr>
              <w:spacing w:before="60" w:after="60"/>
              <w:rPr>
                <w:szCs w:val="24"/>
              </w:rPr>
            </w:pPr>
          </w:p>
          <w:p w14:paraId="28D74341" w14:textId="1D39FB97" w:rsidR="00387A5F" w:rsidRDefault="00C2217D" w:rsidP="00387A5F">
            <w:pPr>
              <w:spacing w:before="60" w:after="60"/>
              <w:rPr>
                <w:szCs w:val="24"/>
              </w:rPr>
            </w:pPr>
            <w:r>
              <w:rPr>
                <w:szCs w:val="24"/>
              </w:rPr>
              <w:t xml:space="preserve">The </w:t>
            </w:r>
            <w:r w:rsidR="009A100B">
              <w:rPr>
                <w:szCs w:val="24"/>
              </w:rPr>
              <w:t xml:space="preserve">identification and </w:t>
            </w:r>
            <w:r w:rsidR="00F326B1">
              <w:rPr>
                <w:szCs w:val="24"/>
              </w:rPr>
              <w:t xml:space="preserve">categorisation </w:t>
            </w:r>
            <w:r w:rsidR="00383551">
              <w:rPr>
                <w:szCs w:val="24"/>
              </w:rPr>
              <w:t xml:space="preserve">of safety functions and </w:t>
            </w:r>
            <w:r w:rsidR="00F326B1">
              <w:rPr>
                <w:szCs w:val="24"/>
              </w:rPr>
              <w:t xml:space="preserve">classification </w:t>
            </w:r>
            <w:r w:rsidR="00383551">
              <w:rPr>
                <w:szCs w:val="24"/>
              </w:rPr>
              <w:t xml:space="preserve">of SSCs </w:t>
            </w:r>
            <w:r w:rsidR="007A33FA">
              <w:rPr>
                <w:szCs w:val="24"/>
              </w:rPr>
              <w:t xml:space="preserve">has been undertaken </w:t>
            </w:r>
            <w:r w:rsidR="00A00521">
              <w:rPr>
                <w:szCs w:val="24"/>
              </w:rPr>
              <w:t xml:space="preserve">according to a process </w:t>
            </w:r>
            <w:r w:rsidR="00270042">
              <w:rPr>
                <w:szCs w:val="24"/>
              </w:rPr>
              <w:t xml:space="preserve">that </w:t>
            </w:r>
            <w:r w:rsidR="00543629">
              <w:rPr>
                <w:szCs w:val="24"/>
              </w:rPr>
              <w:t xml:space="preserve">does not </w:t>
            </w:r>
            <w:r w:rsidR="00270042">
              <w:rPr>
                <w:szCs w:val="24"/>
              </w:rPr>
              <w:t>meet</w:t>
            </w:r>
            <w:r w:rsidR="00FB4289">
              <w:rPr>
                <w:szCs w:val="24"/>
              </w:rPr>
              <w:t xml:space="preserve"> the</w:t>
            </w:r>
            <w:r w:rsidR="00270042">
              <w:rPr>
                <w:szCs w:val="24"/>
              </w:rPr>
              <w:t xml:space="preserve"> expectations</w:t>
            </w:r>
            <w:r w:rsidR="00FB4289">
              <w:rPr>
                <w:szCs w:val="24"/>
              </w:rPr>
              <w:t xml:space="preserve"> set out in NS-TAST-GD-094 </w:t>
            </w:r>
            <w:r w:rsidR="00425EF7">
              <w:rPr>
                <w:szCs w:val="24"/>
              </w:rPr>
              <w:t>(Ref. 11)</w:t>
            </w:r>
            <w:r w:rsidR="00543629">
              <w:rPr>
                <w:szCs w:val="24"/>
              </w:rPr>
              <w:t>.</w:t>
            </w:r>
            <w:r w:rsidR="00E74F3D">
              <w:rPr>
                <w:szCs w:val="24"/>
              </w:rPr>
              <w:t xml:space="preserve"> </w:t>
            </w:r>
            <w:r w:rsidR="00270042">
              <w:rPr>
                <w:szCs w:val="24"/>
              </w:rPr>
              <w:t xml:space="preserve">Holtec </w:t>
            </w:r>
            <w:r w:rsidR="00AD4103">
              <w:rPr>
                <w:szCs w:val="24"/>
              </w:rPr>
              <w:t xml:space="preserve">has </w:t>
            </w:r>
            <w:r w:rsidR="00DF6B5B">
              <w:rPr>
                <w:szCs w:val="24"/>
              </w:rPr>
              <w:t>recognised</w:t>
            </w:r>
            <w:r w:rsidR="000B7E64">
              <w:rPr>
                <w:szCs w:val="24"/>
              </w:rPr>
              <w:t xml:space="preserve"> this potential gap and </w:t>
            </w:r>
            <w:r w:rsidR="00AD4103">
              <w:rPr>
                <w:szCs w:val="24"/>
              </w:rPr>
              <w:t xml:space="preserve">has </w:t>
            </w:r>
            <w:r w:rsidR="00ED23E1">
              <w:rPr>
                <w:szCs w:val="24"/>
              </w:rPr>
              <w:t xml:space="preserve">undertaken preliminary assessment of safety functions and SSCs </w:t>
            </w:r>
            <w:r w:rsidR="008868DF">
              <w:rPr>
                <w:szCs w:val="24"/>
              </w:rPr>
              <w:t>according to a revised methodology</w:t>
            </w:r>
            <w:r w:rsidR="0044052F">
              <w:rPr>
                <w:szCs w:val="24"/>
              </w:rPr>
              <w:t xml:space="preserve"> which meets the expectations of </w:t>
            </w:r>
            <w:r w:rsidR="006C5FA9">
              <w:rPr>
                <w:szCs w:val="24"/>
              </w:rPr>
              <w:t>Reference 11</w:t>
            </w:r>
            <w:r w:rsidR="00BD6338">
              <w:rPr>
                <w:szCs w:val="24"/>
              </w:rPr>
              <w:t>.H</w:t>
            </w:r>
            <w:r w:rsidR="008868DF">
              <w:rPr>
                <w:szCs w:val="24"/>
              </w:rPr>
              <w:t xml:space="preserve">owever, </w:t>
            </w:r>
            <w:r w:rsidR="00961A77">
              <w:rPr>
                <w:szCs w:val="24"/>
              </w:rPr>
              <w:t xml:space="preserve">this </w:t>
            </w:r>
            <w:r w:rsidR="00C33C43">
              <w:rPr>
                <w:szCs w:val="24"/>
              </w:rPr>
              <w:t xml:space="preserve">preliminary work </w:t>
            </w:r>
            <w:r w:rsidR="00961A77">
              <w:rPr>
                <w:szCs w:val="24"/>
              </w:rPr>
              <w:t>only presents</w:t>
            </w:r>
            <w:r w:rsidR="00387A5F">
              <w:rPr>
                <w:szCs w:val="24"/>
              </w:rPr>
              <w:t xml:space="preserve"> indicative safety functions and classification of safety SSCs</w:t>
            </w:r>
            <w:r w:rsidR="00F05A5A">
              <w:rPr>
                <w:szCs w:val="24"/>
              </w:rPr>
              <w:t xml:space="preserve"> derived from this revised process</w:t>
            </w:r>
            <w:r w:rsidR="00387A5F">
              <w:rPr>
                <w:szCs w:val="24"/>
              </w:rPr>
              <w:t xml:space="preserve"> as part of the </w:t>
            </w:r>
            <w:r w:rsidR="006E21D6">
              <w:rPr>
                <w:szCs w:val="24"/>
              </w:rPr>
              <w:t>preliminary DBA and PFS (Refs 5 &amp; 4)</w:t>
            </w:r>
            <w:r w:rsidR="00667705">
              <w:rPr>
                <w:szCs w:val="24"/>
              </w:rPr>
              <w:t>.</w:t>
            </w:r>
          </w:p>
          <w:p w14:paraId="17928354" w14:textId="77777777" w:rsidR="00C2217D" w:rsidRDefault="00C2217D" w:rsidP="0076082E">
            <w:pPr>
              <w:spacing w:before="60" w:after="60"/>
              <w:rPr>
                <w:szCs w:val="24"/>
              </w:rPr>
            </w:pPr>
          </w:p>
          <w:p w14:paraId="17E678C7" w14:textId="09C4E7DD" w:rsidR="0076082E" w:rsidRPr="0076082E" w:rsidRDefault="004966E3" w:rsidP="0076082E">
            <w:pPr>
              <w:spacing w:before="60" w:after="60"/>
            </w:pPr>
            <w:r>
              <w:t xml:space="preserve">Holtec </w:t>
            </w:r>
            <w:r w:rsidR="00AD4103">
              <w:t>has</w:t>
            </w:r>
            <w:r>
              <w:t xml:space="preserve"> recognised th</w:t>
            </w:r>
            <w:r w:rsidR="00434C9E">
              <w:t xml:space="preserve">e </w:t>
            </w:r>
            <w:r w:rsidR="00AE57DD">
              <w:t>shortfalls</w:t>
            </w:r>
            <w:r w:rsidR="0050591F">
              <w:t xml:space="preserve"> in fault analysis maturity</w:t>
            </w:r>
            <w:r w:rsidR="00AE57DD">
              <w:t xml:space="preserve"> described</w:t>
            </w:r>
            <w:r>
              <w:t xml:space="preserve"> </w:t>
            </w:r>
            <w:r w:rsidR="007712AA">
              <w:t>(Refs 5, 6)</w:t>
            </w:r>
            <w:r w:rsidR="00706493">
              <w:t xml:space="preserve"> and raised </w:t>
            </w:r>
            <w:r w:rsidR="000E701B">
              <w:t xml:space="preserve">a commitment </w:t>
            </w:r>
            <w:r w:rsidR="00C87EDA">
              <w:t>in the PSR (</w:t>
            </w:r>
            <w:r w:rsidR="00126EAB">
              <w:t>C_Faul_103</w:t>
            </w:r>
            <w:r w:rsidR="008A6F23">
              <w:t xml:space="preserve">) </w:t>
            </w:r>
            <w:r w:rsidR="00AC746D">
              <w:t>to undertak</w:t>
            </w:r>
            <w:r w:rsidR="00E5264C">
              <w:t xml:space="preserve">e </w:t>
            </w:r>
            <w:r w:rsidR="005D2E55">
              <w:t xml:space="preserve">a more comprehensive </w:t>
            </w:r>
            <w:r w:rsidR="00AA7F66">
              <w:t xml:space="preserve">safety </w:t>
            </w:r>
            <w:r w:rsidR="00AA7F66">
              <w:lastRenderedPageBreak/>
              <w:t xml:space="preserve">assessment </w:t>
            </w:r>
            <w:r w:rsidR="009A2B87">
              <w:t xml:space="preserve">aligned to regulatory expectations </w:t>
            </w:r>
            <w:r w:rsidR="00472782">
              <w:t>(</w:t>
            </w:r>
            <w:r w:rsidR="004C4AAC">
              <w:t xml:space="preserve">as set out in </w:t>
            </w:r>
            <w:r w:rsidR="00472782">
              <w:t>ONR’s</w:t>
            </w:r>
            <w:r w:rsidR="004C4AAC">
              <w:t xml:space="preserve"> SAPs and TA</w:t>
            </w:r>
            <w:r w:rsidR="00472782">
              <w:t xml:space="preserve">Gs) </w:t>
            </w:r>
            <w:r w:rsidR="00AA7F66">
              <w:t>subsequent to the generic design assessment process.</w:t>
            </w:r>
            <w:r w:rsidR="00F54198">
              <w:t xml:space="preserve"> </w:t>
            </w:r>
            <w:r w:rsidR="00A31F05">
              <w:t>H</w:t>
            </w:r>
            <w:r w:rsidR="00F54198">
              <w:t>owever</w:t>
            </w:r>
            <w:r w:rsidR="002F2084">
              <w:t xml:space="preserve">, due to the significance </w:t>
            </w:r>
            <w:r w:rsidR="005C2D04">
              <w:t xml:space="preserve">the fault analysis to </w:t>
            </w:r>
            <w:r w:rsidR="003E22F6">
              <w:t>the</w:t>
            </w:r>
            <w:r w:rsidR="00162012">
              <w:t xml:space="preserve"> overall</w:t>
            </w:r>
            <w:r w:rsidR="003E22F6">
              <w:t xml:space="preserve"> justification of the design, </w:t>
            </w:r>
            <w:r w:rsidR="00F156F7">
              <w:t xml:space="preserve">this </w:t>
            </w:r>
            <w:r w:rsidR="00B15FDE">
              <w:t>Regulatory Observation has been raised to specify the actions required to close t</w:t>
            </w:r>
            <w:r w:rsidR="00327776">
              <w:t>he gaps</w:t>
            </w:r>
            <w:r w:rsidR="00F156F7">
              <w:t xml:space="preserve"> in addition to the commitment made by the RP</w:t>
            </w:r>
            <w:r w:rsidR="00327776">
              <w:t>.</w:t>
            </w:r>
          </w:p>
          <w:p w14:paraId="471CA88F" w14:textId="77777777" w:rsidR="004A6CE5" w:rsidRPr="0048438C" w:rsidRDefault="004A6CE5" w:rsidP="0048438C">
            <w:pPr>
              <w:spacing w:before="60" w:after="60"/>
              <w:rPr>
                <w:szCs w:val="24"/>
              </w:rPr>
            </w:pPr>
          </w:p>
          <w:p w14:paraId="25806AA4" w14:textId="6EE0AECA" w:rsidR="000758E9" w:rsidRDefault="000758E9" w:rsidP="0048438C">
            <w:pPr>
              <w:spacing w:before="60" w:after="60"/>
              <w:rPr>
                <w:b/>
                <w:szCs w:val="24"/>
                <w:u w:val="single"/>
              </w:rPr>
            </w:pPr>
            <w:r w:rsidRPr="0048438C">
              <w:rPr>
                <w:b/>
                <w:szCs w:val="24"/>
                <w:u w:val="single"/>
              </w:rPr>
              <w:t>Relevant Legislation, Standards and Guidance</w:t>
            </w:r>
          </w:p>
          <w:p w14:paraId="38E7B745" w14:textId="650F7798" w:rsidR="00866599" w:rsidRDefault="00866599" w:rsidP="00866599">
            <w:pPr>
              <w:spacing w:before="60" w:after="60"/>
              <w:rPr>
                <w:szCs w:val="24"/>
              </w:rPr>
            </w:pPr>
            <w:r w:rsidRPr="003406E2">
              <w:rPr>
                <w:szCs w:val="24"/>
              </w:rPr>
              <w:t>Th</w:t>
            </w:r>
            <w:r>
              <w:rPr>
                <w:szCs w:val="24"/>
              </w:rPr>
              <w:t xml:space="preserve">e guidance </w:t>
            </w:r>
            <w:r w:rsidR="001F628B">
              <w:rPr>
                <w:szCs w:val="24"/>
              </w:rPr>
              <w:t>detailed in this section</w:t>
            </w:r>
            <w:r>
              <w:rPr>
                <w:szCs w:val="24"/>
              </w:rPr>
              <w:t xml:space="preserve"> outlines</w:t>
            </w:r>
            <w:r w:rsidRPr="003406E2">
              <w:rPr>
                <w:szCs w:val="24"/>
              </w:rPr>
              <w:t xml:space="preserve"> ONR’s expectations </w:t>
            </w:r>
            <w:r>
              <w:rPr>
                <w:szCs w:val="24"/>
              </w:rPr>
              <w:t>relevant to the gaps identified. This should not be considered a complete or exhaustive list but aims to highlight the more pertinent expectations relevant to the actions of this regulatory observation.</w:t>
            </w:r>
          </w:p>
          <w:p w14:paraId="2C6E9461" w14:textId="68E6CBE1" w:rsidR="00866599" w:rsidRDefault="00866599" w:rsidP="00866599">
            <w:pPr>
              <w:spacing w:before="60" w:after="60"/>
              <w:rPr>
                <w:szCs w:val="24"/>
              </w:rPr>
            </w:pPr>
            <w:r>
              <w:rPr>
                <w:szCs w:val="24"/>
              </w:rPr>
              <w:t>D</w:t>
            </w:r>
            <w:r w:rsidRPr="003406E2">
              <w:rPr>
                <w:szCs w:val="24"/>
              </w:rPr>
              <w:t xml:space="preserve">esigners and/or </w:t>
            </w:r>
            <w:proofErr w:type="spellStart"/>
            <w:r w:rsidRPr="003406E2">
              <w:rPr>
                <w:szCs w:val="24"/>
              </w:rPr>
              <w:t>dutyholders</w:t>
            </w:r>
            <w:proofErr w:type="spellEnd"/>
            <w:r w:rsidRPr="003406E2">
              <w:rPr>
                <w:szCs w:val="24"/>
              </w:rPr>
              <w:t xml:space="preserve"> may wish to put forward safety cases that differ from </w:t>
            </w:r>
            <w:r>
              <w:rPr>
                <w:szCs w:val="24"/>
              </w:rPr>
              <w:t>ONR’s</w:t>
            </w:r>
            <w:r w:rsidRPr="003406E2">
              <w:rPr>
                <w:szCs w:val="24"/>
              </w:rPr>
              <w:t xml:space="preserve"> expectations</w:t>
            </w:r>
            <w:r>
              <w:rPr>
                <w:szCs w:val="24"/>
              </w:rPr>
              <w:t xml:space="preserve">, </w:t>
            </w:r>
            <w:r w:rsidRPr="003406E2">
              <w:rPr>
                <w:szCs w:val="24"/>
              </w:rPr>
              <w:t xml:space="preserve">such submissions </w:t>
            </w:r>
            <w:r>
              <w:rPr>
                <w:szCs w:val="24"/>
              </w:rPr>
              <w:t xml:space="preserve">are considered </w:t>
            </w:r>
            <w:r w:rsidRPr="003406E2">
              <w:rPr>
                <w:szCs w:val="24"/>
              </w:rPr>
              <w:t xml:space="preserve">on their individual merits. ONR will need to be assured that such cases demonstrate equivalence to the outcomes associated with the </w:t>
            </w:r>
            <w:r w:rsidR="00482432">
              <w:rPr>
                <w:szCs w:val="24"/>
              </w:rPr>
              <w:t>expectations</w:t>
            </w:r>
            <w:r w:rsidRPr="003406E2">
              <w:rPr>
                <w:szCs w:val="24"/>
              </w:rPr>
              <w:t>, and such a demonstration may need to be examined in greater depth to gain that assurance.</w:t>
            </w:r>
          </w:p>
          <w:p w14:paraId="0E388997" w14:textId="77777777" w:rsidR="001D14C2" w:rsidRDefault="001D14C2" w:rsidP="005F0979">
            <w:pPr>
              <w:spacing w:before="60" w:after="60"/>
              <w:rPr>
                <w:bCs/>
                <w:szCs w:val="24"/>
              </w:rPr>
            </w:pPr>
          </w:p>
          <w:p w14:paraId="6C627463" w14:textId="62C01787" w:rsidR="008A3E6A" w:rsidRDefault="005F0979" w:rsidP="005F0979">
            <w:pPr>
              <w:spacing w:before="60" w:after="60"/>
              <w:rPr>
                <w:bCs/>
                <w:szCs w:val="24"/>
              </w:rPr>
            </w:pPr>
            <w:r w:rsidRPr="005F0979">
              <w:rPr>
                <w:bCs/>
                <w:szCs w:val="24"/>
              </w:rPr>
              <w:t xml:space="preserve">The following Safety Assessment Principles (SAPs) (Ref </w:t>
            </w:r>
            <w:r w:rsidR="00DE44B7">
              <w:rPr>
                <w:bCs/>
                <w:szCs w:val="24"/>
              </w:rPr>
              <w:t>7</w:t>
            </w:r>
            <w:r w:rsidRPr="005F0979">
              <w:rPr>
                <w:bCs/>
                <w:szCs w:val="24"/>
              </w:rPr>
              <w:t>) are relevant:</w:t>
            </w:r>
          </w:p>
          <w:p w14:paraId="59BE048B" w14:textId="1094FAD3" w:rsidR="003C4E86" w:rsidRPr="008A3E6A" w:rsidRDefault="006507BE" w:rsidP="00290238">
            <w:pPr>
              <w:pStyle w:val="ListParagraph"/>
              <w:numPr>
                <w:ilvl w:val="0"/>
                <w:numId w:val="44"/>
              </w:numPr>
              <w:spacing w:before="60" w:after="60"/>
              <w:rPr>
                <w:szCs w:val="24"/>
              </w:rPr>
            </w:pPr>
            <w:r>
              <w:rPr>
                <w:szCs w:val="24"/>
              </w:rPr>
              <w:t>The Fault Analysis (FA</w:t>
            </w:r>
            <w:r w:rsidR="001835F9">
              <w:rPr>
                <w:szCs w:val="24"/>
              </w:rPr>
              <w:t xml:space="preserve">) </w:t>
            </w:r>
            <w:r w:rsidR="008804BE">
              <w:rPr>
                <w:szCs w:val="24"/>
              </w:rPr>
              <w:t xml:space="preserve">series of </w:t>
            </w:r>
            <w:r w:rsidR="001835F9">
              <w:rPr>
                <w:szCs w:val="24"/>
              </w:rPr>
              <w:t>SAPs</w:t>
            </w:r>
          </w:p>
          <w:p w14:paraId="29D8FA5B" w14:textId="2699CD9E" w:rsidR="00EE4149" w:rsidRPr="008A3E6A" w:rsidRDefault="008804BE" w:rsidP="00290238">
            <w:pPr>
              <w:pStyle w:val="ListParagraph"/>
              <w:numPr>
                <w:ilvl w:val="0"/>
                <w:numId w:val="44"/>
              </w:numPr>
              <w:spacing w:before="60" w:after="60"/>
              <w:rPr>
                <w:szCs w:val="24"/>
              </w:rPr>
            </w:pPr>
            <w:r>
              <w:rPr>
                <w:szCs w:val="24"/>
              </w:rPr>
              <w:t>The Engineering Key Principles (EKP) series of SAPs</w:t>
            </w:r>
          </w:p>
          <w:p w14:paraId="08E794C3" w14:textId="4914388B" w:rsidR="007052A3" w:rsidRPr="008A3E6A" w:rsidRDefault="008804BE" w:rsidP="00290238">
            <w:pPr>
              <w:pStyle w:val="ListParagraph"/>
              <w:numPr>
                <w:ilvl w:val="0"/>
                <w:numId w:val="44"/>
              </w:numPr>
              <w:spacing w:before="60" w:after="60"/>
              <w:rPr>
                <w:szCs w:val="24"/>
              </w:rPr>
            </w:pPr>
            <w:r>
              <w:rPr>
                <w:szCs w:val="24"/>
              </w:rPr>
              <w:t>The Safety Classification and Standards (ECS) series of SAPs</w:t>
            </w:r>
          </w:p>
          <w:p w14:paraId="33BAA96D" w14:textId="263B3073" w:rsidR="00F95A65" w:rsidRPr="008A3E6A" w:rsidRDefault="008804BE" w:rsidP="00290238">
            <w:pPr>
              <w:pStyle w:val="ListParagraph"/>
              <w:numPr>
                <w:ilvl w:val="0"/>
                <w:numId w:val="44"/>
              </w:numPr>
              <w:spacing w:before="60" w:after="60"/>
              <w:rPr>
                <w:szCs w:val="24"/>
              </w:rPr>
            </w:pPr>
            <w:r>
              <w:rPr>
                <w:szCs w:val="24"/>
              </w:rPr>
              <w:t>The Design for Reliability (EDR) series of SAPs</w:t>
            </w:r>
          </w:p>
          <w:p w14:paraId="58EC208D" w14:textId="35D8641B" w:rsidR="005E4DF5" w:rsidRPr="008A3E6A" w:rsidRDefault="00247E79" w:rsidP="00290238">
            <w:pPr>
              <w:pStyle w:val="ListParagraph"/>
              <w:numPr>
                <w:ilvl w:val="0"/>
                <w:numId w:val="44"/>
              </w:numPr>
              <w:spacing w:before="60" w:after="60"/>
              <w:rPr>
                <w:szCs w:val="24"/>
              </w:rPr>
            </w:pPr>
            <w:r>
              <w:rPr>
                <w:szCs w:val="24"/>
              </w:rPr>
              <w:t xml:space="preserve">SAP </w:t>
            </w:r>
            <w:r w:rsidR="005E4DF5" w:rsidRPr="008A3E6A">
              <w:rPr>
                <w:szCs w:val="24"/>
              </w:rPr>
              <w:t xml:space="preserve">NT.1 - </w:t>
            </w:r>
            <w:r w:rsidR="00C71F4F" w:rsidRPr="008A3E6A">
              <w:rPr>
                <w:szCs w:val="24"/>
              </w:rPr>
              <w:t>Numerical targets and legal limits: Assessment against targets</w:t>
            </w:r>
          </w:p>
          <w:p w14:paraId="2CADC5B8" w14:textId="77777777" w:rsidR="00B53068" w:rsidRDefault="00B53068" w:rsidP="0048438C">
            <w:pPr>
              <w:spacing w:before="60" w:after="60"/>
              <w:rPr>
                <w:szCs w:val="24"/>
              </w:rPr>
            </w:pPr>
          </w:p>
          <w:p w14:paraId="0A2D2BC4" w14:textId="4C41D60B" w:rsidR="00A3661A" w:rsidRDefault="00A3661A" w:rsidP="0048438C">
            <w:pPr>
              <w:spacing w:before="60" w:after="60"/>
              <w:rPr>
                <w:szCs w:val="24"/>
              </w:rPr>
            </w:pPr>
            <w:r>
              <w:rPr>
                <w:szCs w:val="24"/>
              </w:rPr>
              <w:t>The following Technical Assessment Guides (TAGs) are relevant:</w:t>
            </w:r>
          </w:p>
          <w:p w14:paraId="7F37A7FA" w14:textId="61D58453" w:rsidR="00414E9A" w:rsidRDefault="00234D14" w:rsidP="00290238">
            <w:pPr>
              <w:pStyle w:val="ListParagraph"/>
              <w:numPr>
                <w:ilvl w:val="0"/>
                <w:numId w:val="44"/>
              </w:numPr>
              <w:spacing w:before="60" w:after="60"/>
              <w:rPr>
                <w:szCs w:val="24"/>
              </w:rPr>
            </w:pPr>
            <w:r w:rsidRPr="008F7387">
              <w:rPr>
                <w:szCs w:val="24"/>
              </w:rPr>
              <w:t>NS-TAST-GD-0</w:t>
            </w:r>
            <w:r w:rsidR="00414E9A" w:rsidRPr="008F7387">
              <w:rPr>
                <w:szCs w:val="24"/>
              </w:rPr>
              <w:t>06</w:t>
            </w:r>
            <w:r w:rsidRPr="008F7387">
              <w:rPr>
                <w:szCs w:val="24"/>
              </w:rPr>
              <w:t xml:space="preserve"> – Design Basis</w:t>
            </w:r>
            <w:r w:rsidR="00A3661A" w:rsidRPr="008F7387">
              <w:rPr>
                <w:szCs w:val="24"/>
              </w:rPr>
              <w:t xml:space="preserve"> Analysis</w:t>
            </w:r>
            <w:r w:rsidR="00571F8D">
              <w:rPr>
                <w:szCs w:val="24"/>
              </w:rPr>
              <w:t xml:space="preserve"> (Ref </w:t>
            </w:r>
            <w:r w:rsidR="00DE44B7">
              <w:rPr>
                <w:szCs w:val="24"/>
              </w:rPr>
              <w:t>8</w:t>
            </w:r>
            <w:r w:rsidR="00571F8D">
              <w:rPr>
                <w:szCs w:val="24"/>
              </w:rPr>
              <w:t>)</w:t>
            </w:r>
          </w:p>
          <w:p w14:paraId="6BEDCA8C" w14:textId="24EEF853" w:rsidR="00207CEA" w:rsidRDefault="00207CEA" w:rsidP="00290238">
            <w:pPr>
              <w:pStyle w:val="ListParagraph"/>
              <w:numPr>
                <w:ilvl w:val="0"/>
                <w:numId w:val="44"/>
              </w:numPr>
              <w:spacing w:before="60" w:after="60"/>
              <w:rPr>
                <w:szCs w:val="24"/>
              </w:rPr>
            </w:pPr>
            <w:r>
              <w:rPr>
                <w:szCs w:val="24"/>
              </w:rPr>
              <w:t xml:space="preserve">NS-TAST-GD-007 – Severe Accident Analysis (Ref </w:t>
            </w:r>
            <w:r w:rsidR="00DE44B7">
              <w:rPr>
                <w:szCs w:val="24"/>
              </w:rPr>
              <w:t>9</w:t>
            </w:r>
            <w:r>
              <w:rPr>
                <w:szCs w:val="24"/>
              </w:rPr>
              <w:t>)</w:t>
            </w:r>
          </w:p>
          <w:p w14:paraId="6BD63B69" w14:textId="4D934233" w:rsidR="00A36918" w:rsidRDefault="00A36918" w:rsidP="00290238">
            <w:pPr>
              <w:pStyle w:val="ListParagraph"/>
              <w:numPr>
                <w:ilvl w:val="0"/>
                <w:numId w:val="44"/>
              </w:numPr>
              <w:spacing w:before="60" w:after="60"/>
              <w:rPr>
                <w:szCs w:val="24"/>
              </w:rPr>
            </w:pPr>
            <w:r>
              <w:rPr>
                <w:szCs w:val="24"/>
              </w:rPr>
              <w:t xml:space="preserve">NS-TAST-GD-075 </w:t>
            </w:r>
            <w:r w:rsidR="009549EB">
              <w:rPr>
                <w:szCs w:val="24"/>
              </w:rPr>
              <w:t>–</w:t>
            </w:r>
            <w:r>
              <w:rPr>
                <w:szCs w:val="24"/>
              </w:rPr>
              <w:t xml:space="preserve"> </w:t>
            </w:r>
            <w:r w:rsidR="009549EB">
              <w:rPr>
                <w:szCs w:val="24"/>
              </w:rPr>
              <w:t>Safety of Nuclear Fuel in Power Reactors</w:t>
            </w:r>
            <w:r w:rsidR="00E264EC">
              <w:rPr>
                <w:szCs w:val="24"/>
              </w:rPr>
              <w:t xml:space="preserve"> (Ref </w:t>
            </w:r>
            <w:r w:rsidR="00DE44B7">
              <w:rPr>
                <w:szCs w:val="24"/>
              </w:rPr>
              <w:t>10</w:t>
            </w:r>
            <w:r w:rsidR="00E264EC">
              <w:rPr>
                <w:szCs w:val="24"/>
              </w:rPr>
              <w:t>)</w:t>
            </w:r>
          </w:p>
          <w:p w14:paraId="22EB325B" w14:textId="5C1EAEDF" w:rsidR="00E91C4C" w:rsidRPr="008F7387" w:rsidRDefault="00E91C4C" w:rsidP="00290238">
            <w:pPr>
              <w:pStyle w:val="ListParagraph"/>
              <w:numPr>
                <w:ilvl w:val="0"/>
                <w:numId w:val="44"/>
              </w:numPr>
              <w:spacing w:before="60" w:after="60"/>
              <w:rPr>
                <w:szCs w:val="24"/>
              </w:rPr>
            </w:pPr>
            <w:r>
              <w:rPr>
                <w:szCs w:val="24"/>
              </w:rPr>
              <w:t xml:space="preserve">NS-TAST-GD-094 </w:t>
            </w:r>
            <w:r w:rsidR="00B26DB1">
              <w:rPr>
                <w:szCs w:val="24"/>
              </w:rPr>
              <w:t>–</w:t>
            </w:r>
            <w:r>
              <w:rPr>
                <w:szCs w:val="24"/>
              </w:rPr>
              <w:t xml:space="preserve"> </w:t>
            </w:r>
            <w:r w:rsidR="00B26DB1">
              <w:rPr>
                <w:szCs w:val="24"/>
              </w:rPr>
              <w:t>Categorisation of Safety Functions and Classification of Structures, Systems and Components</w:t>
            </w:r>
            <w:r w:rsidR="00540379">
              <w:rPr>
                <w:szCs w:val="24"/>
              </w:rPr>
              <w:t xml:space="preserve"> (SSCs)</w:t>
            </w:r>
            <w:r w:rsidR="00E264EC">
              <w:rPr>
                <w:szCs w:val="24"/>
              </w:rPr>
              <w:t xml:space="preserve"> (Ref </w:t>
            </w:r>
            <w:r w:rsidR="001951F3">
              <w:rPr>
                <w:szCs w:val="24"/>
              </w:rPr>
              <w:t>11</w:t>
            </w:r>
            <w:r w:rsidR="00E264EC">
              <w:rPr>
                <w:szCs w:val="24"/>
              </w:rPr>
              <w:t>)</w:t>
            </w:r>
          </w:p>
          <w:p w14:paraId="3883D2D5" w14:textId="77777777" w:rsidR="00414E9A" w:rsidRDefault="00414E9A" w:rsidP="0048438C">
            <w:pPr>
              <w:spacing w:before="60" w:after="60"/>
              <w:rPr>
                <w:szCs w:val="24"/>
              </w:rPr>
            </w:pPr>
          </w:p>
          <w:p w14:paraId="28EBC981" w14:textId="2B435B54" w:rsidR="00F23F9C" w:rsidRDefault="00F23F9C" w:rsidP="00F23F9C">
            <w:pPr>
              <w:spacing w:before="60" w:after="60"/>
              <w:rPr>
                <w:szCs w:val="24"/>
              </w:rPr>
            </w:pPr>
            <w:r w:rsidRPr="00F23F9C">
              <w:rPr>
                <w:szCs w:val="24"/>
              </w:rPr>
              <w:t>The following guidance from the International Atomic Energy Agency (IAEA) is relevant:</w:t>
            </w:r>
          </w:p>
          <w:p w14:paraId="4C326770" w14:textId="36A84FEF" w:rsidR="00F55830" w:rsidRPr="00F23F9C" w:rsidRDefault="00F55830" w:rsidP="00290238">
            <w:pPr>
              <w:pStyle w:val="ListParagraph"/>
              <w:numPr>
                <w:ilvl w:val="0"/>
                <w:numId w:val="44"/>
              </w:numPr>
              <w:spacing w:before="60" w:after="60"/>
              <w:rPr>
                <w:szCs w:val="24"/>
              </w:rPr>
            </w:pPr>
            <w:r w:rsidRPr="00F23F9C">
              <w:rPr>
                <w:szCs w:val="24"/>
              </w:rPr>
              <w:t>GSR Part 4</w:t>
            </w:r>
            <w:r w:rsidR="00540379">
              <w:rPr>
                <w:szCs w:val="24"/>
              </w:rPr>
              <w:t xml:space="preserve"> </w:t>
            </w:r>
            <w:r w:rsidR="00A024A6">
              <w:rPr>
                <w:szCs w:val="24"/>
              </w:rPr>
              <w:t>–</w:t>
            </w:r>
            <w:r w:rsidR="00540379">
              <w:rPr>
                <w:szCs w:val="24"/>
              </w:rPr>
              <w:t xml:space="preserve"> </w:t>
            </w:r>
            <w:r w:rsidR="00A024A6">
              <w:rPr>
                <w:szCs w:val="24"/>
              </w:rPr>
              <w:t>Safety Assessment for Facilities and Activities</w:t>
            </w:r>
            <w:r w:rsidR="00E264EC">
              <w:rPr>
                <w:szCs w:val="24"/>
              </w:rPr>
              <w:t xml:space="preserve"> (Ref </w:t>
            </w:r>
            <w:r w:rsidR="001951F3">
              <w:rPr>
                <w:szCs w:val="24"/>
              </w:rPr>
              <w:t>12</w:t>
            </w:r>
            <w:r w:rsidR="00E264EC">
              <w:rPr>
                <w:szCs w:val="24"/>
              </w:rPr>
              <w:t>)</w:t>
            </w:r>
          </w:p>
          <w:p w14:paraId="7F652A2C" w14:textId="75D47FC1" w:rsidR="00703320" w:rsidRPr="00F23F9C" w:rsidRDefault="00703320" w:rsidP="00290238">
            <w:pPr>
              <w:pStyle w:val="ListParagraph"/>
              <w:numPr>
                <w:ilvl w:val="0"/>
                <w:numId w:val="44"/>
              </w:numPr>
              <w:spacing w:before="60" w:after="60"/>
              <w:rPr>
                <w:szCs w:val="24"/>
              </w:rPr>
            </w:pPr>
            <w:r w:rsidRPr="00F23F9C">
              <w:rPr>
                <w:szCs w:val="24"/>
              </w:rPr>
              <w:t>SSR-2/1</w:t>
            </w:r>
            <w:r w:rsidR="00A024A6">
              <w:rPr>
                <w:szCs w:val="24"/>
              </w:rPr>
              <w:t xml:space="preserve"> </w:t>
            </w:r>
            <w:r w:rsidR="00BF0D11">
              <w:rPr>
                <w:szCs w:val="24"/>
              </w:rPr>
              <w:t>–</w:t>
            </w:r>
            <w:r w:rsidR="00A024A6">
              <w:rPr>
                <w:szCs w:val="24"/>
              </w:rPr>
              <w:t xml:space="preserve"> </w:t>
            </w:r>
            <w:r w:rsidR="00BF0D11">
              <w:rPr>
                <w:szCs w:val="24"/>
              </w:rPr>
              <w:t>Safety of Nuclear Power Plants: Design</w:t>
            </w:r>
            <w:r w:rsidR="00E264EC">
              <w:rPr>
                <w:szCs w:val="24"/>
              </w:rPr>
              <w:t xml:space="preserve"> (Ref </w:t>
            </w:r>
            <w:r w:rsidR="001951F3">
              <w:rPr>
                <w:szCs w:val="24"/>
              </w:rPr>
              <w:t>13</w:t>
            </w:r>
            <w:r w:rsidR="00E264EC">
              <w:rPr>
                <w:szCs w:val="24"/>
              </w:rPr>
              <w:t>)</w:t>
            </w:r>
          </w:p>
          <w:p w14:paraId="7F1D0D77" w14:textId="59268343" w:rsidR="004430B1" w:rsidRPr="00F23F9C" w:rsidRDefault="004430B1" w:rsidP="00290238">
            <w:pPr>
              <w:pStyle w:val="ListParagraph"/>
              <w:numPr>
                <w:ilvl w:val="0"/>
                <w:numId w:val="44"/>
              </w:numPr>
              <w:spacing w:before="60" w:after="60"/>
              <w:rPr>
                <w:szCs w:val="24"/>
              </w:rPr>
            </w:pPr>
            <w:r w:rsidRPr="00F23F9C">
              <w:rPr>
                <w:szCs w:val="24"/>
              </w:rPr>
              <w:t>SSG-2</w:t>
            </w:r>
            <w:r w:rsidR="00BF0D11">
              <w:rPr>
                <w:szCs w:val="24"/>
              </w:rPr>
              <w:t xml:space="preserve"> – Deterministic Safety Analysis for Nuclear Power Plants</w:t>
            </w:r>
            <w:r w:rsidR="00E264EC">
              <w:rPr>
                <w:szCs w:val="24"/>
              </w:rPr>
              <w:t xml:space="preserve"> (Ref </w:t>
            </w:r>
            <w:r w:rsidR="001951F3">
              <w:rPr>
                <w:szCs w:val="24"/>
              </w:rPr>
              <w:t>14</w:t>
            </w:r>
            <w:r w:rsidR="00E264EC">
              <w:rPr>
                <w:szCs w:val="24"/>
              </w:rPr>
              <w:t>)</w:t>
            </w:r>
          </w:p>
          <w:p w14:paraId="424EEC3F" w14:textId="3F685BBA" w:rsidR="004430B1" w:rsidRPr="00F23F9C" w:rsidRDefault="004430B1" w:rsidP="00290238">
            <w:pPr>
              <w:pStyle w:val="ListParagraph"/>
              <w:numPr>
                <w:ilvl w:val="0"/>
                <w:numId w:val="44"/>
              </w:numPr>
              <w:spacing w:before="60" w:after="60"/>
              <w:rPr>
                <w:szCs w:val="24"/>
              </w:rPr>
            </w:pPr>
            <w:r w:rsidRPr="00F23F9C">
              <w:rPr>
                <w:szCs w:val="24"/>
              </w:rPr>
              <w:t>SSG-88</w:t>
            </w:r>
            <w:r w:rsidR="002A1148">
              <w:rPr>
                <w:szCs w:val="24"/>
              </w:rPr>
              <w:t xml:space="preserve"> - </w:t>
            </w:r>
            <w:r w:rsidR="002A1148" w:rsidRPr="002A1148">
              <w:rPr>
                <w:szCs w:val="24"/>
              </w:rPr>
              <w:t>Design Extension Conditions and the Concept of Practical Elimination in the Design of Nuclear Power Plants</w:t>
            </w:r>
            <w:r w:rsidR="00E264EC">
              <w:rPr>
                <w:szCs w:val="24"/>
              </w:rPr>
              <w:t xml:space="preserve"> (Ref </w:t>
            </w:r>
            <w:r w:rsidR="001951F3">
              <w:rPr>
                <w:szCs w:val="24"/>
              </w:rPr>
              <w:t>15</w:t>
            </w:r>
            <w:r w:rsidR="00E264EC">
              <w:rPr>
                <w:szCs w:val="24"/>
              </w:rPr>
              <w:t>)</w:t>
            </w:r>
          </w:p>
          <w:p w14:paraId="52D61A6D" w14:textId="1C29F7F2" w:rsidR="00BB7E7C" w:rsidRDefault="00BB7E7C" w:rsidP="00290238">
            <w:pPr>
              <w:pStyle w:val="ListParagraph"/>
              <w:numPr>
                <w:ilvl w:val="0"/>
                <w:numId w:val="44"/>
              </w:numPr>
              <w:spacing w:before="60" w:after="60"/>
              <w:rPr>
                <w:szCs w:val="24"/>
              </w:rPr>
            </w:pPr>
            <w:r w:rsidRPr="00F23F9C">
              <w:rPr>
                <w:szCs w:val="24"/>
              </w:rPr>
              <w:t>SSG-30</w:t>
            </w:r>
            <w:r w:rsidR="00EC7E45">
              <w:rPr>
                <w:szCs w:val="24"/>
              </w:rPr>
              <w:t xml:space="preserve"> - </w:t>
            </w:r>
            <w:r w:rsidR="00EC7E45" w:rsidRPr="00EC7E45">
              <w:rPr>
                <w:szCs w:val="24"/>
              </w:rPr>
              <w:t>Safety Classification of Structures, Systems and Components in Nuclear Power Plants</w:t>
            </w:r>
            <w:r w:rsidR="00E264EC">
              <w:rPr>
                <w:szCs w:val="24"/>
              </w:rPr>
              <w:t xml:space="preserve"> (Ref </w:t>
            </w:r>
            <w:r w:rsidR="001951F3">
              <w:rPr>
                <w:szCs w:val="24"/>
              </w:rPr>
              <w:t>16</w:t>
            </w:r>
            <w:r w:rsidR="00E264EC">
              <w:rPr>
                <w:szCs w:val="24"/>
              </w:rPr>
              <w:t>)</w:t>
            </w:r>
          </w:p>
          <w:p w14:paraId="513133EC" w14:textId="2AB20E79" w:rsidR="007336F2" w:rsidRPr="00F23F9C" w:rsidRDefault="007336F2" w:rsidP="00290238">
            <w:pPr>
              <w:pStyle w:val="ListParagraph"/>
              <w:numPr>
                <w:ilvl w:val="0"/>
                <w:numId w:val="44"/>
              </w:numPr>
              <w:spacing w:before="60" w:after="60"/>
              <w:rPr>
                <w:szCs w:val="24"/>
              </w:rPr>
            </w:pPr>
            <w:r>
              <w:rPr>
                <w:szCs w:val="24"/>
              </w:rPr>
              <w:t xml:space="preserve">SSG-61 - </w:t>
            </w:r>
            <w:r w:rsidR="003A00AA" w:rsidRPr="003A00AA">
              <w:rPr>
                <w:szCs w:val="24"/>
              </w:rPr>
              <w:t>Format and Content of the Safety Analysis Report for Nuclear Power Plants</w:t>
            </w:r>
            <w:r w:rsidR="00E264EC">
              <w:rPr>
                <w:szCs w:val="24"/>
              </w:rPr>
              <w:t xml:space="preserve"> (Ref </w:t>
            </w:r>
            <w:r w:rsidR="001951F3">
              <w:rPr>
                <w:szCs w:val="24"/>
              </w:rPr>
              <w:t>17</w:t>
            </w:r>
            <w:r w:rsidR="00E264EC">
              <w:rPr>
                <w:szCs w:val="24"/>
              </w:rPr>
              <w:t>)</w:t>
            </w:r>
          </w:p>
          <w:p w14:paraId="2008A49F" w14:textId="77777777" w:rsidR="00F66CCC" w:rsidRDefault="00F66CCC" w:rsidP="0048438C">
            <w:pPr>
              <w:spacing w:before="60" w:after="60"/>
              <w:rPr>
                <w:szCs w:val="24"/>
              </w:rPr>
            </w:pPr>
          </w:p>
          <w:p w14:paraId="381423FD" w14:textId="4D455D9D" w:rsidR="008F7387" w:rsidRDefault="0066053D" w:rsidP="0048438C">
            <w:pPr>
              <w:spacing w:before="60" w:after="60"/>
              <w:rPr>
                <w:szCs w:val="24"/>
              </w:rPr>
            </w:pPr>
            <w:r>
              <w:rPr>
                <w:szCs w:val="24"/>
              </w:rPr>
              <w:t>The Following W</w:t>
            </w:r>
            <w:r w:rsidR="00D15513">
              <w:rPr>
                <w:szCs w:val="24"/>
              </w:rPr>
              <w:t xml:space="preserve">estern European Nuclear Regulators Association (WENRA) </w:t>
            </w:r>
            <w:r w:rsidR="00C96479">
              <w:rPr>
                <w:szCs w:val="24"/>
              </w:rPr>
              <w:t>publications</w:t>
            </w:r>
            <w:r w:rsidR="008F7387">
              <w:rPr>
                <w:szCs w:val="24"/>
              </w:rPr>
              <w:t xml:space="preserve"> are relevant:</w:t>
            </w:r>
          </w:p>
          <w:p w14:paraId="78BBC39A" w14:textId="6F194E5F" w:rsidR="0066053D" w:rsidRDefault="00230C37" w:rsidP="00290238">
            <w:pPr>
              <w:pStyle w:val="ListParagraph"/>
              <w:numPr>
                <w:ilvl w:val="0"/>
                <w:numId w:val="44"/>
              </w:numPr>
              <w:spacing w:before="60" w:after="60"/>
              <w:rPr>
                <w:szCs w:val="24"/>
              </w:rPr>
            </w:pPr>
            <w:r>
              <w:rPr>
                <w:szCs w:val="24"/>
              </w:rPr>
              <w:lastRenderedPageBreak/>
              <w:t xml:space="preserve">WENRA Reference Level </w:t>
            </w:r>
            <w:r w:rsidR="008F7387">
              <w:rPr>
                <w:szCs w:val="24"/>
              </w:rPr>
              <w:t>E6</w:t>
            </w:r>
            <w:r w:rsidR="0042218C">
              <w:rPr>
                <w:szCs w:val="24"/>
              </w:rPr>
              <w:t xml:space="preserve"> </w:t>
            </w:r>
            <w:r w:rsidR="00540379">
              <w:rPr>
                <w:szCs w:val="24"/>
              </w:rPr>
              <w:t xml:space="preserve">- </w:t>
            </w:r>
            <w:r w:rsidR="0042218C">
              <w:rPr>
                <w:szCs w:val="24"/>
              </w:rPr>
              <w:t>Combination of Events</w:t>
            </w:r>
            <w:r w:rsidR="00E264EC">
              <w:rPr>
                <w:szCs w:val="24"/>
              </w:rPr>
              <w:t xml:space="preserve"> (Ref </w:t>
            </w:r>
            <w:r w:rsidR="001951F3">
              <w:rPr>
                <w:szCs w:val="24"/>
              </w:rPr>
              <w:t>18</w:t>
            </w:r>
            <w:r w:rsidR="00E264EC">
              <w:rPr>
                <w:szCs w:val="24"/>
              </w:rPr>
              <w:t>)</w:t>
            </w:r>
          </w:p>
          <w:p w14:paraId="25B48578" w14:textId="49F898E2" w:rsidR="00193167" w:rsidRPr="00BF0340" w:rsidRDefault="00E65199" w:rsidP="00290238">
            <w:pPr>
              <w:pStyle w:val="ListParagraph"/>
              <w:numPr>
                <w:ilvl w:val="0"/>
                <w:numId w:val="44"/>
              </w:numPr>
              <w:spacing w:before="60" w:after="60"/>
              <w:rPr>
                <w:szCs w:val="24"/>
              </w:rPr>
            </w:pPr>
            <w:r>
              <w:rPr>
                <w:szCs w:val="24"/>
              </w:rPr>
              <w:t xml:space="preserve">WENRA </w:t>
            </w:r>
            <w:r w:rsidR="00155AD8">
              <w:rPr>
                <w:szCs w:val="24"/>
              </w:rPr>
              <w:t xml:space="preserve">report on safety of new NPP designs Objective 3 position 1 </w:t>
            </w:r>
            <w:r w:rsidR="00C96479">
              <w:rPr>
                <w:szCs w:val="24"/>
              </w:rPr>
              <w:t>–</w:t>
            </w:r>
            <w:r w:rsidR="00155AD8">
              <w:rPr>
                <w:szCs w:val="24"/>
              </w:rPr>
              <w:t xml:space="preserve"> </w:t>
            </w:r>
            <w:r w:rsidR="00C96479">
              <w:rPr>
                <w:szCs w:val="24"/>
              </w:rPr>
              <w:t>Defence in Depth</w:t>
            </w:r>
            <w:r w:rsidR="00E264EC">
              <w:rPr>
                <w:szCs w:val="24"/>
              </w:rPr>
              <w:t xml:space="preserve"> (Ref </w:t>
            </w:r>
            <w:r w:rsidR="001951F3">
              <w:rPr>
                <w:szCs w:val="24"/>
              </w:rPr>
              <w:t>19</w:t>
            </w:r>
            <w:r w:rsidR="00E264EC">
              <w:rPr>
                <w:szCs w:val="24"/>
              </w:rPr>
              <w:t>)</w:t>
            </w:r>
          </w:p>
          <w:p w14:paraId="69C88F28" w14:textId="77777777" w:rsidR="00BA2233" w:rsidRPr="004C59B6" w:rsidRDefault="00BA2233" w:rsidP="00BA2233">
            <w:pPr>
              <w:spacing w:before="60" w:after="60"/>
              <w:rPr>
                <w:szCs w:val="24"/>
              </w:rPr>
            </w:pPr>
          </w:p>
          <w:p w14:paraId="4E28E84B" w14:textId="77777777" w:rsidR="00BA2233" w:rsidRDefault="00BA2233" w:rsidP="00BA2233">
            <w:pPr>
              <w:spacing w:before="60" w:after="60"/>
              <w:rPr>
                <w:szCs w:val="24"/>
              </w:rPr>
            </w:pPr>
            <w:r w:rsidRPr="00173F90">
              <w:rPr>
                <w:szCs w:val="24"/>
                <w:u w:val="single"/>
              </w:rPr>
              <w:t>Initiating event identification</w:t>
            </w:r>
            <w:r>
              <w:rPr>
                <w:szCs w:val="24"/>
              </w:rPr>
              <w:t xml:space="preserve">: </w:t>
            </w:r>
          </w:p>
          <w:p w14:paraId="12647245" w14:textId="77777777" w:rsidR="00BA2233" w:rsidRDefault="00BA2233" w:rsidP="00BA2233">
            <w:pPr>
              <w:spacing w:before="60" w:after="60"/>
              <w:rPr>
                <w:szCs w:val="24"/>
              </w:rPr>
            </w:pPr>
            <w:r w:rsidRPr="00267302">
              <w:rPr>
                <w:szCs w:val="24"/>
              </w:rPr>
              <w:t>SAP FA.2 sets out the expectation that all initiating faults which have the potential to lead to a dose to a worker in excess of 0.1 mSv or to a person off site in excess of 0.01 mSv should be identified</w:t>
            </w:r>
            <w:r>
              <w:rPr>
                <w:szCs w:val="24"/>
              </w:rPr>
              <w:t>, and that all plant states and operating modes should be included</w:t>
            </w:r>
            <w:r w:rsidRPr="00267302">
              <w:rPr>
                <w:szCs w:val="24"/>
              </w:rPr>
              <w:t>.</w:t>
            </w:r>
            <w:r>
              <w:rPr>
                <w:szCs w:val="24"/>
              </w:rPr>
              <w:t xml:space="preserve"> </w:t>
            </w:r>
          </w:p>
          <w:p w14:paraId="32807F8F" w14:textId="77777777" w:rsidR="00BA2233" w:rsidRDefault="00BA2233" w:rsidP="07EF7BD2">
            <w:pPr>
              <w:spacing w:before="60" w:after="60"/>
            </w:pPr>
            <w:r>
              <w:t>SAP EHA.1 additionally sets out the expectation that all internal and external hazards that could affect the safety of the facility should be identified.</w:t>
            </w:r>
          </w:p>
          <w:p w14:paraId="06AA5729" w14:textId="77777777" w:rsidR="00BA2233" w:rsidRPr="008639B4" w:rsidRDefault="00BA2233" w:rsidP="00BA2233">
            <w:pPr>
              <w:spacing w:before="60" w:after="60"/>
              <w:rPr>
                <w:szCs w:val="24"/>
              </w:rPr>
            </w:pPr>
          </w:p>
          <w:p w14:paraId="4FDE7AF0" w14:textId="77777777" w:rsidR="00BA2233" w:rsidRDefault="00BA2233" w:rsidP="00BA2233">
            <w:pPr>
              <w:spacing w:before="60" w:after="60"/>
            </w:pPr>
            <w:r w:rsidRPr="07EF7BD2">
              <w:rPr>
                <w:u w:val="single"/>
              </w:rPr>
              <w:t>Design basis fault sequences</w:t>
            </w:r>
            <w:r>
              <w:t xml:space="preserve">: </w:t>
            </w:r>
          </w:p>
          <w:p w14:paraId="251F2820" w14:textId="77777777" w:rsidR="00BA2233" w:rsidRDefault="00BA2233" w:rsidP="00BA2233">
            <w:pPr>
              <w:spacing w:before="60" w:after="60"/>
              <w:rPr>
                <w:szCs w:val="24"/>
              </w:rPr>
            </w:pPr>
            <w:r>
              <w:rPr>
                <w:szCs w:val="24"/>
              </w:rPr>
              <w:t>SAP FA.6 sets out the expectation that d</w:t>
            </w:r>
            <w:r w:rsidRPr="005D4A31">
              <w:rPr>
                <w:szCs w:val="24"/>
              </w:rPr>
              <w:t>esign basis fault sequence</w:t>
            </w:r>
            <w:r>
              <w:rPr>
                <w:szCs w:val="24"/>
              </w:rPr>
              <w:t>s should be identified which</w:t>
            </w:r>
            <w:r w:rsidRPr="005D4A31">
              <w:rPr>
                <w:szCs w:val="24"/>
              </w:rPr>
              <w:t xml:space="preserve"> includ</w:t>
            </w:r>
            <w:r>
              <w:rPr>
                <w:szCs w:val="24"/>
              </w:rPr>
              <w:t>e:</w:t>
            </w:r>
            <w:r w:rsidRPr="005D4A31">
              <w:rPr>
                <w:szCs w:val="24"/>
              </w:rPr>
              <w:t xml:space="preserve"> </w:t>
            </w:r>
          </w:p>
          <w:p w14:paraId="37530C6C" w14:textId="77777777" w:rsidR="00BA2233" w:rsidRDefault="00BA2233" w:rsidP="00290238">
            <w:pPr>
              <w:pStyle w:val="ListParagraph"/>
              <w:numPr>
                <w:ilvl w:val="0"/>
                <w:numId w:val="44"/>
              </w:numPr>
              <w:spacing w:before="60" w:after="60"/>
              <w:rPr>
                <w:szCs w:val="24"/>
              </w:rPr>
            </w:pPr>
            <w:r w:rsidRPr="0073362D">
              <w:rPr>
                <w:szCs w:val="24"/>
              </w:rPr>
              <w:t xml:space="preserve">the most onerous initial conditions permitted by the Limits and Conditions of Operation (LCOs), </w:t>
            </w:r>
          </w:p>
          <w:p w14:paraId="081058F0" w14:textId="77777777" w:rsidR="00BA2233" w:rsidRDefault="00BA2233" w:rsidP="00290238">
            <w:pPr>
              <w:pStyle w:val="ListParagraph"/>
              <w:numPr>
                <w:ilvl w:val="0"/>
                <w:numId w:val="44"/>
              </w:numPr>
              <w:spacing w:before="60" w:after="60"/>
              <w:rPr>
                <w:szCs w:val="24"/>
              </w:rPr>
            </w:pPr>
            <w:r>
              <w:rPr>
                <w:szCs w:val="24"/>
              </w:rPr>
              <w:t xml:space="preserve">no </w:t>
            </w:r>
            <w:r w:rsidRPr="0073362D">
              <w:rPr>
                <w:szCs w:val="24"/>
              </w:rPr>
              <w:t xml:space="preserve">contribution </w:t>
            </w:r>
            <w:r>
              <w:rPr>
                <w:szCs w:val="24"/>
              </w:rPr>
              <w:t>from</w:t>
            </w:r>
            <w:r w:rsidRPr="0073362D">
              <w:rPr>
                <w:szCs w:val="24"/>
              </w:rPr>
              <w:t xml:space="preserve"> non-safety systems</w:t>
            </w:r>
            <w:r>
              <w:rPr>
                <w:szCs w:val="24"/>
              </w:rPr>
              <w:t xml:space="preserve"> unless operation of the system would exacerbate the consequences,</w:t>
            </w:r>
          </w:p>
          <w:p w14:paraId="7630B086" w14:textId="77777777" w:rsidR="00BA2233" w:rsidRDefault="00BA2233" w:rsidP="00290238">
            <w:pPr>
              <w:pStyle w:val="ListParagraph"/>
              <w:numPr>
                <w:ilvl w:val="0"/>
                <w:numId w:val="44"/>
              </w:numPr>
              <w:spacing w:before="60" w:after="60"/>
              <w:rPr>
                <w:szCs w:val="24"/>
              </w:rPr>
            </w:pPr>
            <w:r>
              <w:rPr>
                <w:szCs w:val="24"/>
              </w:rPr>
              <w:t>failures or unintended operation of equipment not qualified for the specific accident conditions that could exacerbate the consequences,</w:t>
            </w:r>
          </w:p>
          <w:p w14:paraId="44F0ED81" w14:textId="77777777" w:rsidR="00BA2233" w:rsidRDefault="00BA2233" w:rsidP="00290238">
            <w:pPr>
              <w:pStyle w:val="ListParagraph"/>
              <w:numPr>
                <w:ilvl w:val="0"/>
                <w:numId w:val="44"/>
              </w:numPr>
              <w:spacing w:before="60" w:after="60"/>
              <w:rPr>
                <w:szCs w:val="24"/>
              </w:rPr>
            </w:pPr>
            <w:r>
              <w:rPr>
                <w:szCs w:val="24"/>
              </w:rPr>
              <w:t>any failures that would be expected to occur as a consequence of the fault progression (this should include consideration of the hazards arising from the fault as set out in SAP EHA.6),</w:t>
            </w:r>
          </w:p>
          <w:p w14:paraId="69D44C32" w14:textId="77777777" w:rsidR="00BA2233" w:rsidRDefault="00BA2233" w:rsidP="00290238">
            <w:pPr>
              <w:pStyle w:val="ListParagraph"/>
              <w:numPr>
                <w:ilvl w:val="0"/>
                <w:numId w:val="44"/>
              </w:numPr>
              <w:spacing w:before="60" w:after="60"/>
              <w:rPr>
                <w:szCs w:val="24"/>
              </w:rPr>
            </w:pPr>
            <w:r>
              <w:rPr>
                <w:szCs w:val="24"/>
              </w:rPr>
              <w:t>any failures arising from a common cause as the initiating event (SAP EDR.3 additionally</w:t>
            </w:r>
            <w:r w:rsidRPr="006109C7">
              <w:rPr>
                <w:szCs w:val="24"/>
              </w:rPr>
              <w:t xml:space="preserve"> sets the expectation that common cause failure claims should be substantiated</w:t>
            </w:r>
            <w:r>
              <w:rPr>
                <w:szCs w:val="24"/>
              </w:rPr>
              <w:t>),</w:t>
            </w:r>
          </w:p>
          <w:p w14:paraId="107C0E4E" w14:textId="77777777" w:rsidR="00BA2233" w:rsidRDefault="00BA2233" w:rsidP="00290238">
            <w:pPr>
              <w:pStyle w:val="ListParagraph"/>
              <w:numPr>
                <w:ilvl w:val="0"/>
                <w:numId w:val="44"/>
              </w:numPr>
              <w:spacing w:before="60" w:after="60"/>
              <w:rPr>
                <w:szCs w:val="24"/>
              </w:rPr>
            </w:pPr>
            <w:r>
              <w:rPr>
                <w:szCs w:val="24"/>
              </w:rPr>
              <w:t>single failures in the safety measures which is also set out in SAP EDR.4 (TAG 006 additionally clarifies that failure of passive components should not be excluded from consideration in application of the single failure criterion, and that any passive components excluded should be justified),</w:t>
            </w:r>
          </w:p>
          <w:p w14:paraId="023D8EA5" w14:textId="77777777" w:rsidR="00BA2233" w:rsidRDefault="00BA2233" w:rsidP="00290238">
            <w:pPr>
              <w:pStyle w:val="ListParagraph"/>
              <w:numPr>
                <w:ilvl w:val="0"/>
                <w:numId w:val="44"/>
              </w:numPr>
              <w:spacing w:before="60" w:after="60"/>
              <w:rPr>
                <w:szCs w:val="24"/>
              </w:rPr>
            </w:pPr>
            <w:r>
              <w:rPr>
                <w:szCs w:val="24"/>
              </w:rPr>
              <w:t>the worst normally permitted configuration of equipment outages for maintenance, test, or repair.</w:t>
            </w:r>
          </w:p>
          <w:p w14:paraId="0E960E49" w14:textId="77777777" w:rsidR="00BA2233" w:rsidRDefault="00BA2233" w:rsidP="00BA2233">
            <w:pPr>
              <w:spacing w:before="60" w:after="60"/>
              <w:rPr>
                <w:szCs w:val="24"/>
                <w:vertAlign w:val="superscript"/>
              </w:rPr>
            </w:pPr>
            <w:r w:rsidRPr="00D71086">
              <w:rPr>
                <w:szCs w:val="24"/>
              </w:rPr>
              <w:t xml:space="preserve">TAG </w:t>
            </w:r>
            <w:r>
              <w:rPr>
                <w:szCs w:val="24"/>
              </w:rPr>
              <w:t>0</w:t>
            </w:r>
            <w:r w:rsidRPr="00D71086">
              <w:rPr>
                <w:szCs w:val="24"/>
              </w:rPr>
              <w:t>06 additionally sets out the expectation that design basis faults more frequent than 10</w:t>
            </w:r>
            <w:r w:rsidRPr="00D71086">
              <w:rPr>
                <w:szCs w:val="24"/>
                <w:vertAlign w:val="superscript"/>
              </w:rPr>
              <w:t>-3</w:t>
            </w:r>
            <w:r w:rsidRPr="00D71086">
              <w:rPr>
                <w:szCs w:val="24"/>
              </w:rPr>
              <w:t>/yr should have additional fault sequences specified in which failure of the principle means of delivering a safety function is assumed.</w:t>
            </w:r>
            <w:r w:rsidRPr="00D71086">
              <w:rPr>
                <w:szCs w:val="24"/>
                <w:vertAlign w:val="superscript"/>
              </w:rPr>
              <w:t xml:space="preserve"> </w:t>
            </w:r>
          </w:p>
          <w:p w14:paraId="2DAEBECB" w14:textId="77777777" w:rsidR="00BA2233" w:rsidRDefault="00BA2233" w:rsidP="00BA2233">
            <w:pPr>
              <w:spacing w:before="60" w:after="60"/>
              <w:rPr>
                <w:szCs w:val="24"/>
              </w:rPr>
            </w:pPr>
            <w:r>
              <w:rPr>
                <w:szCs w:val="24"/>
              </w:rPr>
              <w:t>WENRA reference level E6 and IAEA SSR-2/1 set out the expectation that credible combinations of events should be included within the design basis.</w:t>
            </w:r>
          </w:p>
          <w:p w14:paraId="6043035C" w14:textId="341B6E43" w:rsidR="004B205C" w:rsidRDefault="004B205C" w:rsidP="00BA2233">
            <w:pPr>
              <w:spacing w:before="60" w:after="60"/>
              <w:rPr>
                <w:szCs w:val="24"/>
              </w:rPr>
            </w:pPr>
            <w:r>
              <w:rPr>
                <w:szCs w:val="24"/>
              </w:rPr>
              <w:t xml:space="preserve">SAP FA.6 </w:t>
            </w:r>
            <w:r w:rsidR="00C73C23">
              <w:rPr>
                <w:szCs w:val="24"/>
              </w:rPr>
              <w:t>includes the expectation that operator actions claimed</w:t>
            </w:r>
            <w:r w:rsidR="00704119">
              <w:rPr>
                <w:szCs w:val="24"/>
              </w:rPr>
              <w:t xml:space="preserve"> </w:t>
            </w:r>
            <w:r w:rsidR="00C73C23">
              <w:rPr>
                <w:szCs w:val="24"/>
              </w:rPr>
              <w:t xml:space="preserve">as part of safety measures should be analysed </w:t>
            </w:r>
            <w:r w:rsidR="00704119">
              <w:rPr>
                <w:szCs w:val="24"/>
              </w:rPr>
              <w:t>(SAP EHF.5)</w:t>
            </w:r>
            <w:r w:rsidR="007C2E19">
              <w:rPr>
                <w:szCs w:val="24"/>
              </w:rPr>
              <w:t xml:space="preserve">, and sufficient time, information, </w:t>
            </w:r>
            <w:r w:rsidR="002D0E6D">
              <w:rPr>
                <w:szCs w:val="24"/>
              </w:rPr>
              <w:t xml:space="preserve">procedures </w:t>
            </w:r>
            <w:r w:rsidR="007C2E19">
              <w:rPr>
                <w:szCs w:val="24"/>
              </w:rPr>
              <w:t>and training should be demonstrated</w:t>
            </w:r>
            <w:r w:rsidR="002D0E6D">
              <w:rPr>
                <w:szCs w:val="24"/>
              </w:rPr>
              <w:t xml:space="preserve"> to be avai</w:t>
            </w:r>
            <w:r w:rsidR="00FE6B68">
              <w:rPr>
                <w:szCs w:val="24"/>
              </w:rPr>
              <w:t>lable.</w:t>
            </w:r>
          </w:p>
          <w:p w14:paraId="23DA4C09" w14:textId="77777777" w:rsidR="00BA2233" w:rsidRDefault="00BA2233" w:rsidP="00BA2233">
            <w:pPr>
              <w:spacing w:before="60" w:after="60"/>
              <w:rPr>
                <w:szCs w:val="24"/>
              </w:rPr>
            </w:pPr>
            <w:r>
              <w:rPr>
                <w:szCs w:val="24"/>
              </w:rPr>
              <w:t>Analysis of the design basis fault sequences should provide a key input to demonstrating that the expectations set out in SAP EDR.2 have been met, that r</w:t>
            </w:r>
            <w:r w:rsidRPr="0060756B">
              <w:rPr>
                <w:szCs w:val="24"/>
              </w:rPr>
              <w:t>edundancy, diversity and segregation should be incorporated as appropriate within the designs of structures, systems and components</w:t>
            </w:r>
            <w:r>
              <w:rPr>
                <w:szCs w:val="24"/>
              </w:rPr>
              <w:t xml:space="preserve"> such that it is</w:t>
            </w:r>
            <w:r w:rsidRPr="0060756B">
              <w:rPr>
                <w:szCs w:val="24"/>
              </w:rPr>
              <w:t xml:space="preserve"> demonstrated that the required level of reliability for their </w:t>
            </w:r>
            <w:r w:rsidRPr="0060756B">
              <w:rPr>
                <w:szCs w:val="24"/>
              </w:rPr>
              <w:lastRenderedPageBreak/>
              <w:t>intended safety function has been achieved.</w:t>
            </w:r>
          </w:p>
          <w:p w14:paraId="08A3CA64" w14:textId="77777777" w:rsidR="00BA2233" w:rsidRDefault="00BA2233" w:rsidP="00BA2233">
            <w:pPr>
              <w:spacing w:before="60" w:after="60"/>
              <w:rPr>
                <w:szCs w:val="24"/>
              </w:rPr>
            </w:pPr>
          </w:p>
          <w:p w14:paraId="0E981EFF" w14:textId="38C35A3E" w:rsidR="00BA2233" w:rsidRDefault="006D5A10" w:rsidP="00BA2233">
            <w:pPr>
              <w:spacing w:before="60" w:after="60"/>
              <w:rPr>
                <w:szCs w:val="24"/>
              </w:rPr>
            </w:pPr>
            <w:r>
              <w:rPr>
                <w:szCs w:val="24"/>
                <w:u w:val="single"/>
              </w:rPr>
              <w:t>A</w:t>
            </w:r>
            <w:r w:rsidR="00BA2233" w:rsidRPr="00201CA5">
              <w:rPr>
                <w:szCs w:val="24"/>
                <w:u w:val="single"/>
              </w:rPr>
              <w:t>nalysis</w:t>
            </w:r>
            <w:r>
              <w:rPr>
                <w:szCs w:val="24"/>
                <w:u w:val="single"/>
              </w:rPr>
              <w:t xml:space="preserve"> of complex fault sequences</w:t>
            </w:r>
            <w:r w:rsidR="00BA2233">
              <w:rPr>
                <w:szCs w:val="24"/>
              </w:rPr>
              <w:t xml:space="preserve">: </w:t>
            </w:r>
          </w:p>
          <w:p w14:paraId="7CE9C6BE" w14:textId="77777777" w:rsidR="00BA2233" w:rsidRDefault="00BA2233" w:rsidP="00BA2233">
            <w:pPr>
              <w:spacing w:before="60" w:after="60"/>
              <w:rPr>
                <w:szCs w:val="24"/>
              </w:rPr>
            </w:pPr>
            <w:r>
              <w:rPr>
                <w:szCs w:val="24"/>
              </w:rPr>
              <w:t>SSR-2/1 Requirement 20 sets out the expectation that a</w:t>
            </w:r>
            <w:r w:rsidRPr="0023060A">
              <w:rPr>
                <w:szCs w:val="24"/>
              </w:rPr>
              <w:t xml:space="preserve"> set of design extension conditions shall be derived</w:t>
            </w:r>
            <w:r>
              <w:rPr>
                <w:szCs w:val="24"/>
              </w:rPr>
              <w:t xml:space="preserve"> which comprise </w:t>
            </w:r>
            <w:r w:rsidRPr="00340FDB">
              <w:rPr>
                <w:szCs w:val="24"/>
              </w:rPr>
              <w:t>accidents that are either more severe than design basis accidents or that involve additional failures</w:t>
            </w:r>
            <w:r>
              <w:rPr>
                <w:szCs w:val="24"/>
              </w:rPr>
              <w:t xml:space="preserve">. </w:t>
            </w:r>
          </w:p>
          <w:p w14:paraId="2F7A6A60" w14:textId="0369F3F4" w:rsidR="00BA2233" w:rsidRDefault="00BA2233" w:rsidP="00BA2233">
            <w:pPr>
              <w:spacing w:before="60" w:after="60"/>
              <w:rPr>
                <w:szCs w:val="24"/>
              </w:rPr>
            </w:pPr>
            <w:r>
              <w:rPr>
                <w:szCs w:val="24"/>
              </w:rPr>
              <w:t>SSG-2 provides additional guidance on the requirement stating t</w:t>
            </w:r>
            <w:r w:rsidRPr="00797093">
              <w:rPr>
                <w:szCs w:val="24"/>
              </w:rPr>
              <w:t>wo separate categories of design extension conditions should be identified: design extension conditions without significant fuel degradation</w:t>
            </w:r>
            <w:r>
              <w:rPr>
                <w:szCs w:val="24"/>
              </w:rPr>
              <w:t xml:space="preserve"> (DEC-A)</w:t>
            </w:r>
            <w:r w:rsidRPr="00797093">
              <w:rPr>
                <w:szCs w:val="24"/>
              </w:rPr>
              <w:t>; and design extension conditions progressing to core melting (severe accidents</w:t>
            </w:r>
            <w:r>
              <w:rPr>
                <w:szCs w:val="24"/>
              </w:rPr>
              <w:t>/DEC-B</w:t>
            </w:r>
            <w:r w:rsidRPr="00797093">
              <w:rPr>
                <w:szCs w:val="24"/>
              </w:rPr>
              <w:t>).</w:t>
            </w:r>
            <w:r>
              <w:rPr>
                <w:szCs w:val="24"/>
              </w:rPr>
              <w:t xml:space="preserve"> SSG-2 sets out the expectation that a</w:t>
            </w:r>
            <w:r w:rsidRPr="0026258D">
              <w:rPr>
                <w:szCs w:val="24"/>
              </w:rPr>
              <w:t xml:space="preserve"> deterministically derived list of design extension conditions without significant fuel degradation</w:t>
            </w:r>
            <w:r>
              <w:rPr>
                <w:szCs w:val="24"/>
              </w:rPr>
              <w:t xml:space="preserve"> (DEC-A)</w:t>
            </w:r>
            <w:r w:rsidRPr="0026258D">
              <w:rPr>
                <w:szCs w:val="24"/>
              </w:rPr>
              <w:t xml:space="preserve"> should be developed</w:t>
            </w:r>
            <w:r>
              <w:rPr>
                <w:szCs w:val="24"/>
              </w:rPr>
              <w:t xml:space="preserve"> that includes:</w:t>
            </w:r>
          </w:p>
          <w:p w14:paraId="064FA864" w14:textId="77777777" w:rsidR="00BA2233" w:rsidRDefault="00BA2233" w:rsidP="00290238">
            <w:pPr>
              <w:pStyle w:val="ListParagraph"/>
              <w:numPr>
                <w:ilvl w:val="0"/>
                <w:numId w:val="44"/>
              </w:numPr>
              <w:spacing w:before="60" w:after="60"/>
              <w:rPr>
                <w:szCs w:val="24"/>
              </w:rPr>
            </w:pPr>
            <w:r w:rsidRPr="003D0FC2">
              <w:rPr>
                <w:szCs w:val="24"/>
              </w:rPr>
              <w:t>Very low frequency initiating events typically not considered as design basis accidents.</w:t>
            </w:r>
          </w:p>
          <w:p w14:paraId="38FBAAB1" w14:textId="77777777" w:rsidR="00BA2233" w:rsidRDefault="00BA2233" w:rsidP="00290238">
            <w:pPr>
              <w:pStyle w:val="ListParagraph"/>
              <w:numPr>
                <w:ilvl w:val="0"/>
                <w:numId w:val="44"/>
              </w:numPr>
              <w:spacing w:before="60" w:after="60"/>
              <w:rPr>
                <w:szCs w:val="24"/>
              </w:rPr>
            </w:pPr>
            <w:r w:rsidRPr="003D0FC2">
              <w:rPr>
                <w:szCs w:val="24"/>
              </w:rPr>
              <w:t>Anticipated operational occurrences or design basis accidents combined with multiple failures in safety systems.</w:t>
            </w:r>
          </w:p>
          <w:p w14:paraId="29D02224" w14:textId="77777777" w:rsidR="00BA2233" w:rsidRDefault="00BA2233" w:rsidP="00290238">
            <w:pPr>
              <w:pStyle w:val="ListParagraph"/>
              <w:numPr>
                <w:ilvl w:val="0"/>
                <w:numId w:val="44"/>
              </w:numPr>
              <w:spacing w:before="60" w:after="60"/>
              <w:rPr>
                <w:szCs w:val="24"/>
              </w:rPr>
            </w:pPr>
            <w:r w:rsidRPr="003D0FC2">
              <w:rPr>
                <w:szCs w:val="24"/>
              </w:rPr>
              <w:t>Postulated initiating events involving multiple failures.</w:t>
            </w:r>
          </w:p>
          <w:p w14:paraId="004FEF25" w14:textId="77777777" w:rsidR="00BA2233" w:rsidRPr="003D0FC2" w:rsidRDefault="00BA2233" w:rsidP="00BA2233">
            <w:pPr>
              <w:spacing w:before="60" w:after="60"/>
              <w:rPr>
                <w:szCs w:val="24"/>
              </w:rPr>
            </w:pPr>
          </w:p>
          <w:p w14:paraId="1596064E" w14:textId="77777777" w:rsidR="00BA2233" w:rsidRDefault="00BA2233" w:rsidP="00BA2233">
            <w:pPr>
              <w:spacing w:before="60" w:after="60"/>
              <w:rPr>
                <w:szCs w:val="24"/>
              </w:rPr>
            </w:pPr>
            <w:r w:rsidRPr="00365302">
              <w:rPr>
                <w:szCs w:val="24"/>
                <w:u w:val="single"/>
              </w:rPr>
              <w:t>Severe accident analysis</w:t>
            </w:r>
            <w:r>
              <w:rPr>
                <w:szCs w:val="24"/>
              </w:rPr>
              <w:t xml:space="preserve">: </w:t>
            </w:r>
          </w:p>
          <w:p w14:paraId="377CAA17" w14:textId="77777777" w:rsidR="00BA2233" w:rsidRDefault="00BA2233" w:rsidP="00BA2233">
            <w:pPr>
              <w:spacing w:before="60" w:after="60"/>
              <w:rPr>
                <w:szCs w:val="24"/>
              </w:rPr>
            </w:pPr>
            <w:r>
              <w:rPr>
                <w:szCs w:val="24"/>
              </w:rPr>
              <w:t>SAP FA.15 sets out the expectation that all scenarios and sequences with the potential to lead to a severe accident should be analysed.</w:t>
            </w:r>
          </w:p>
          <w:p w14:paraId="44960EB3" w14:textId="77777777" w:rsidR="00BA2233" w:rsidRDefault="00BA2233" w:rsidP="00BA2233">
            <w:pPr>
              <w:spacing w:before="60" w:after="60"/>
              <w:rPr>
                <w:szCs w:val="24"/>
              </w:rPr>
            </w:pPr>
            <w:r>
              <w:rPr>
                <w:szCs w:val="24"/>
              </w:rPr>
              <w:t xml:space="preserve">SAP FA.16 sets out the expectation that severe accident analysis should be used in the consideration of further risk reducing measures. </w:t>
            </w:r>
          </w:p>
          <w:p w14:paraId="4BBECCFB" w14:textId="77777777" w:rsidR="00BA2233" w:rsidRDefault="00BA2233" w:rsidP="00BA2233">
            <w:pPr>
              <w:spacing w:before="60" w:after="60"/>
              <w:rPr>
                <w:szCs w:val="24"/>
              </w:rPr>
            </w:pPr>
            <w:r>
              <w:rPr>
                <w:szCs w:val="24"/>
              </w:rPr>
              <w:t>SSG-2 sets out the expectation that a</w:t>
            </w:r>
            <w:r w:rsidRPr="007027D0">
              <w:rPr>
                <w:szCs w:val="24"/>
              </w:rPr>
              <w:t xml:space="preserve"> number of specific sequences with core melting (severe accidents</w:t>
            </w:r>
            <w:r>
              <w:rPr>
                <w:szCs w:val="24"/>
              </w:rPr>
              <w:t>/DEC-B</w:t>
            </w:r>
            <w:r w:rsidRPr="007027D0">
              <w:rPr>
                <w:szCs w:val="24"/>
              </w:rPr>
              <w:t>) should be selected for analysis in order to establish the design basis for the safety features for mitigating the consequences of such accidents</w:t>
            </w:r>
            <w:r>
              <w:rPr>
                <w:szCs w:val="24"/>
              </w:rPr>
              <w:t>, and that i</w:t>
            </w:r>
            <w:r w:rsidRPr="00EE1823">
              <w:rPr>
                <w:szCs w:val="24"/>
              </w:rPr>
              <w:t>t should be assumed that the features to prevent core melting fail or are insufficient, and that the accident sequence will further evolve into a severe accident.</w:t>
            </w:r>
            <w:r>
              <w:rPr>
                <w:szCs w:val="24"/>
              </w:rPr>
              <w:t xml:space="preserve"> </w:t>
            </w:r>
            <w:r w:rsidRPr="00DA18E8">
              <w:rPr>
                <w:szCs w:val="24"/>
              </w:rPr>
              <w:t>The analysis of these sequences should provide the environmental conditions to be taken into account when assessing whether the equipment used in severe accidents is capable of performing its intended functions when necessary</w:t>
            </w:r>
            <w:r>
              <w:rPr>
                <w:szCs w:val="24"/>
              </w:rPr>
              <w:t xml:space="preserve">. </w:t>
            </w:r>
          </w:p>
          <w:p w14:paraId="71CA9EDC" w14:textId="77777777" w:rsidR="00BA2233" w:rsidRDefault="00BA2233" w:rsidP="00BA2233">
            <w:pPr>
              <w:spacing w:before="60" w:after="60"/>
              <w:rPr>
                <w:szCs w:val="24"/>
              </w:rPr>
            </w:pPr>
            <w:r>
              <w:rPr>
                <w:szCs w:val="24"/>
              </w:rPr>
              <w:t>SSG-2 additionally sets out the expectation that a</w:t>
            </w:r>
            <w:r w:rsidRPr="005E49D5">
              <w:rPr>
                <w:szCs w:val="24"/>
              </w:rPr>
              <w:t xml:space="preserve"> low estimated frequency of occurrence for an accident with core melting is not a sufficient reason for failing to protect the containment against the conditions generated by such an accident. Core melt conditions should be postulated regardless of the provisions implemented in the design. To exclude containment failure, the analysis should demonstrate that very energetic phenomena that may result from an accident with core melting are prevented (i.e. the possibility of the conditions arising may be considered to have been ‘practically eliminated’).</w:t>
            </w:r>
            <w:r>
              <w:rPr>
                <w:szCs w:val="24"/>
              </w:rPr>
              <w:t xml:space="preserve"> </w:t>
            </w:r>
          </w:p>
          <w:p w14:paraId="053D4A6C" w14:textId="77777777" w:rsidR="00BA2233" w:rsidRDefault="00BA2233" w:rsidP="00BA2233">
            <w:pPr>
              <w:spacing w:before="60" w:after="60"/>
            </w:pPr>
            <w:r>
              <w:t xml:space="preserve">SSG-2 sets out the expectations that analysis of DEC-B events should demonstrate that the integrity of the containment is maintained and that on-site radiological acceptance criteria should ensure the habitability of the control locations (i.e. the control room, supplementary control room, and other emergency response facilities and locations) and the areas used to move between them. </w:t>
            </w:r>
          </w:p>
          <w:p w14:paraId="1B5CC550" w14:textId="77777777" w:rsidR="00BA2233" w:rsidRDefault="00BA2233" w:rsidP="07EF7BD2">
            <w:pPr>
              <w:spacing w:before="60" w:after="60"/>
            </w:pPr>
            <w:r>
              <w:t xml:space="preserve">SSR-2/1 Requirement 7 sets the expectation that safety features for DEC-B events are as </w:t>
            </w:r>
            <w:r>
              <w:lastRenderedPageBreak/>
              <w:t>far as practicable independent from safety systems, and SSG-2 additionally sets the expectations that safety systems should not be credited in the analysis of severe accidents unless it is shown with reasonable confidence that their failure is not part of any scenario that the severe accident sequence is meant to cover and the equipment will survive realistic severe accident conditions for the period that is necessary to perform its intended function.</w:t>
            </w:r>
          </w:p>
          <w:p w14:paraId="6C857B58" w14:textId="77777777" w:rsidR="009B684F" w:rsidRDefault="00BA2233" w:rsidP="009B684F">
            <w:pPr>
              <w:spacing w:before="60" w:after="60"/>
            </w:pPr>
            <w:r>
              <w:t xml:space="preserve">Analysis of severe accidents should be performed using a realistic approach to the extent practicable, and sensitivity analyses should be performed to demonstrate the robustness of the results and the conclusions of the severe accident analyses. </w:t>
            </w:r>
            <w:r w:rsidR="009B684F">
              <w:t>SSG-2 sets out the expectation that b</w:t>
            </w:r>
            <w:r w:rsidR="009B684F" w:rsidRPr="00EE72E6">
              <w:t>est estimate assumptions may be used regarding operator actions for the analysis of design extension conditions</w:t>
            </w:r>
            <w:r w:rsidR="009B684F">
              <w:t>.</w:t>
            </w:r>
          </w:p>
          <w:p w14:paraId="12E2ACE7" w14:textId="4D882297" w:rsidR="00BA2233" w:rsidRDefault="00BA2233" w:rsidP="00BA2233">
            <w:pPr>
              <w:spacing w:before="60" w:after="60"/>
            </w:pPr>
            <w:r>
              <w:t>Further guidance is provided in TAG 007 and SSG-88.</w:t>
            </w:r>
          </w:p>
          <w:p w14:paraId="400780F3" w14:textId="77777777" w:rsidR="00BD1993" w:rsidRDefault="00BD1993" w:rsidP="00BA2233">
            <w:pPr>
              <w:spacing w:before="60" w:after="60"/>
              <w:rPr>
                <w:szCs w:val="24"/>
              </w:rPr>
            </w:pPr>
          </w:p>
          <w:p w14:paraId="1D0FC4C8" w14:textId="77777777" w:rsidR="00BA2233" w:rsidRDefault="00BA2233" w:rsidP="00BA2233">
            <w:pPr>
              <w:spacing w:before="60" w:after="60"/>
              <w:rPr>
                <w:szCs w:val="24"/>
              </w:rPr>
            </w:pPr>
            <w:r w:rsidRPr="00DF5C8F">
              <w:rPr>
                <w:szCs w:val="24"/>
                <w:u w:val="single"/>
              </w:rPr>
              <w:t>Defence in depth</w:t>
            </w:r>
            <w:r>
              <w:rPr>
                <w:szCs w:val="24"/>
              </w:rPr>
              <w:t xml:space="preserve">: </w:t>
            </w:r>
          </w:p>
          <w:p w14:paraId="00FCDC3D" w14:textId="77777777" w:rsidR="00BA2233" w:rsidRDefault="00BA2233" w:rsidP="00BA2233">
            <w:pPr>
              <w:spacing w:before="60" w:after="60"/>
              <w:rPr>
                <w:szCs w:val="24"/>
              </w:rPr>
            </w:pPr>
            <w:r>
              <w:rPr>
                <w:szCs w:val="24"/>
              </w:rPr>
              <w:t xml:space="preserve">SAP EKP.3 sets out the expectation that nuclear facilities should fulfil the overall safety objective through the application of the defence in depth concept. </w:t>
            </w:r>
          </w:p>
          <w:p w14:paraId="7F99D0BF" w14:textId="77777777" w:rsidR="00BA2233" w:rsidRDefault="00BA2233" w:rsidP="00BA2233">
            <w:pPr>
              <w:spacing w:before="60" w:after="60"/>
              <w:rPr>
                <w:szCs w:val="24"/>
              </w:rPr>
            </w:pPr>
            <w:r>
              <w:rPr>
                <w:szCs w:val="24"/>
              </w:rPr>
              <w:t>SSR-2/1 sets out the expectation that t</w:t>
            </w:r>
            <w:r w:rsidRPr="00513FFB">
              <w:rPr>
                <w:szCs w:val="24"/>
              </w:rPr>
              <w:t>he levels of defence in depth shall be independent as far as practicable to avoid the failure of one level reducing the effectiveness of other levels.</w:t>
            </w:r>
            <w:r>
              <w:rPr>
                <w:szCs w:val="24"/>
              </w:rPr>
              <w:t xml:space="preserve"> </w:t>
            </w:r>
          </w:p>
          <w:p w14:paraId="4AEA1F41" w14:textId="77777777" w:rsidR="00BA2233" w:rsidRDefault="00BA2233" w:rsidP="00BA2233">
            <w:pPr>
              <w:spacing w:before="60" w:after="60"/>
              <w:rPr>
                <w:szCs w:val="24"/>
              </w:rPr>
            </w:pPr>
            <w:r>
              <w:rPr>
                <w:szCs w:val="24"/>
              </w:rPr>
              <w:t xml:space="preserve">The WENRA objectives for new NPPs objective 3 sets out the expectation that new NPPs should be designed to </w:t>
            </w:r>
            <w:r w:rsidRPr="00D950F7">
              <w:rPr>
                <w:szCs w:val="24"/>
              </w:rPr>
              <w:t>enhanc</w:t>
            </w:r>
            <w:r>
              <w:rPr>
                <w:szCs w:val="24"/>
              </w:rPr>
              <w:t>e</w:t>
            </w:r>
            <w:r w:rsidRPr="00D950F7">
              <w:rPr>
                <w:szCs w:val="24"/>
              </w:rPr>
              <w:t xml:space="preserve"> the effectiveness of the independence between all levels of defence-in-depth, in particular through diversity provisions (in addition to the strengthening of each of these levels separately…), to provide as far as reasonably achievable, an overall reinforcement of defence-in-depth.</w:t>
            </w:r>
            <w:r>
              <w:rPr>
                <w:szCs w:val="24"/>
              </w:rPr>
              <w:t xml:space="preserve"> </w:t>
            </w:r>
          </w:p>
          <w:p w14:paraId="12BDED56" w14:textId="77777777" w:rsidR="00BA2233" w:rsidRDefault="00BA2233" w:rsidP="00BA2233">
            <w:pPr>
              <w:spacing w:before="60" w:after="60"/>
              <w:rPr>
                <w:szCs w:val="24"/>
              </w:rPr>
            </w:pPr>
            <w:r>
              <w:rPr>
                <w:szCs w:val="24"/>
              </w:rPr>
              <w:t xml:space="preserve">SSG-61 sets out the expectation that the safety analysis report contains a section that presents how the defence in depth concept has been incorporated into the design and demonstrates </w:t>
            </w:r>
            <w:r w:rsidRPr="00DE181C">
              <w:rPr>
                <w:szCs w:val="24"/>
              </w:rPr>
              <w:t>that measures have been taken for adequate robustness and independence of levels.</w:t>
            </w:r>
          </w:p>
          <w:p w14:paraId="1B46C53A" w14:textId="77777777" w:rsidR="00BA2233" w:rsidRDefault="00BA2233" w:rsidP="00BA2233">
            <w:pPr>
              <w:spacing w:before="60" w:after="60"/>
              <w:rPr>
                <w:szCs w:val="24"/>
              </w:rPr>
            </w:pPr>
          </w:p>
          <w:p w14:paraId="0508F267" w14:textId="77777777" w:rsidR="00BA2233" w:rsidRDefault="00BA2233" w:rsidP="00BA2233">
            <w:pPr>
              <w:spacing w:before="60" w:after="60"/>
              <w:rPr>
                <w:szCs w:val="24"/>
              </w:rPr>
            </w:pPr>
            <w:r w:rsidRPr="007D2C0F">
              <w:rPr>
                <w:szCs w:val="24"/>
                <w:u w:val="single"/>
              </w:rPr>
              <w:t>Safety function categorisation</w:t>
            </w:r>
            <w:r>
              <w:rPr>
                <w:szCs w:val="24"/>
              </w:rPr>
              <w:t xml:space="preserve">: </w:t>
            </w:r>
          </w:p>
          <w:p w14:paraId="434812F7" w14:textId="77777777" w:rsidR="00BA2233" w:rsidRDefault="00BA2233" w:rsidP="00BA2233">
            <w:pPr>
              <w:spacing w:before="60" w:after="60"/>
              <w:rPr>
                <w:szCs w:val="24"/>
              </w:rPr>
            </w:pPr>
            <w:r>
              <w:rPr>
                <w:szCs w:val="24"/>
              </w:rPr>
              <w:t>SAP EKP.4 sets out the expectation that t</w:t>
            </w:r>
            <w:r w:rsidRPr="00CD7311">
              <w:rPr>
                <w:szCs w:val="24"/>
              </w:rPr>
              <w:t>he identification of safety functions should be based on an analysis of normal operation and all significant fault sequences arising from possible initiating faults determined by fault analysis</w:t>
            </w:r>
            <w:r>
              <w:rPr>
                <w:szCs w:val="24"/>
              </w:rPr>
              <w:t xml:space="preserve">. </w:t>
            </w:r>
          </w:p>
          <w:p w14:paraId="3F0C5463" w14:textId="77777777" w:rsidR="00BA2233" w:rsidRDefault="00BA2233" w:rsidP="00BA2233">
            <w:pPr>
              <w:spacing w:before="60" w:after="60"/>
              <w:rPr>
                <w:szCs w:val="24"/>
              </w:rPr>
            </w:pPr>
            <w:r>
              <w:rPr>
                <w:szCs w:val="24"/>
              </w:rPr>
              <w:t>SAP</w:t>
            </w:r>
            <w:r w:rsidRPr="00CD7311">
              <w:rPr>
                <w:szCs w:val="24"/>
              </w:rPr>
              <w:t xml:space="preserve"> </w:t>
            </w:r>
            <w:r>
              <w:rPr>
                <w:szCs w:val="24"/>
              </w:rPr>
              <w:t>ECS.1 sets out the expectation that safety functions should be categorised based on their significance with regards to safety and that t</w:t>
            </w:r>
            <w:r w:rsidRPr="0073785D">
              <w:rPr>
                <w:szCs w:val="24"/>
              </w:rPr>
              <w:t>he method for categorising safety functions should take into account</w:t>
            </w:r>
            <w:r>
              <w:rPr>
                <w:szCs w:val="24"/>
              </w:rPr>
              <w:t xml:space="preserve">: </w:t>
            </w:r>
          </w:p>
          <w:p w14:paraId="570E3ED1" w14:textId="77777777" w:rsidR="00BA2233" w:rsidRDefault="00BA2233" w:rsidP="00290238">
            <w:pPr>
              <w:pStyle w:val="ListParagraph"/>
              <w:numPr>
                <w:ilvl w:val="0"/>
                <w:numId w:val="44"/>
              </w:numPr>
              <w:spacing w:before="60" w:after="60"/>
              <w:rPr>
                <w:szCs w:val="24"/>
              </w:rPr>
            </w:pPr>
            <w:r w:rsidRPr="001B66EF">
              <w:rPr>
                <w:szCs w:val="24"/>
              </w:rPr>
              <w:t xml:space="preserve">the consequence of failing to deliver the safety function; </w:t>
            </w:r>
          </w:p>
          <w:p w14:paraId="588CC47F" w14:textId="77777777" w:rsidR="00BA2233" w:rsidRDefault="00BA2233" w:rsidP="00290238">
            <w:pPr>
              <w:pStyle w:val="ListParagraph"/>
              <w:numPr>
                <w:ilvl w:val="0"/>
                <w:numId w:val="44"/>
              </w:numPr>
              <w:spacing w:before="60" w:after="60"/>
              <w:rPr>
                <w:szCs w:val="24"/>
              </w:rPr>
            </w:pPr>
            <w:r w:rsidRPr="001B66EF">
              <w:rPr>
                <w:szCs w:val="24"/>
              </w:rPr>
              <w:t xml:space="preserve">the likelihood that the function will be called upon; </w:t>
            </w:r>
          </w:p>
          <w:p w14:paraId="2B5B1D8C" w14:textId="77777777" w:rsidR="00BA2233" w:rsidRDefault="00BA2233" w:rsidP="00290238">
            <w:pPr>
              <w:pStyle w:val="ListParagraph"/>
              <w:numPr>
                <w:ilvl w:val="0"/>
                <w:numId w:val="44"/>
              </w:numPr>
              <w:spacing w:before="60" w:after="60"/>
              <w:rPr>
                <w:szCs w:val="24"/>
              </w:rPr>
            </w:pPr>
            <w:r>
              <w:t xml:space="preserve">the extent to which the function is required, either directly or indirectly, to prevent, protect against or mitigate the consequences of initiating faults. </w:t>
            </w:r>
          </w:p>
          <w:p w14:paraId="61893C6E" w14:textId="77777777" w:rsidR="00BA2233" w:rsidRDefault="00BA2233" w:rsidP="00BA2233">
            <w:pPr>
              <w:spacing w:before="60" w:after="60"/>
              <w:rPr>
                <w:szCs w:val="24"/>
              </w:rPr>
            </w:pPr>
          </w:p>
          <w:p w14:paraId="68E0271E" w14:textId="77777777" w:rsidR="00BA2233" w:rsidRDefault="00BA2233" w:rsidP="00BA2233">
            <w:pPr>
              <w:spacing w:before="60" w:after="60"/>
              <w:rPr>
                <w:szCs w:val="24"/>
              </w:rPr>
            </w:pPr>
            <w:r w:rsidRPr="005342E5">
              <w:rPr>
                <w:szCs w:val="24"/>
                <w:u w:val="single"/>
              </w:rPr>
              <w:t>Safety classification of SSCs</w:t>
            </w:r>
            <w:r>
              <w:rPr>
                <w:szCs w:val="24"/>
              </w:rPr>
              <w:t xml:space="preserve">: </w:t>
            </w:r>
          </w:p>
          <w:p w14:paraId="7A499DF6" w14:textId="77777777" w:rsidR="00BA2233" w:rsidRDefault="00BA2233" w:rsidP="00BA2233">
            <w:pPr>
              <w:spacing w:before="60" w:after="60"/>
            </w:pPr>
            <w:r>
              <w:t xml:space="preserve">SAP ECS.2 sets out the expectation that structures, systems and components that have to deliver safety functions should be identified and classified on the basis of those functions and their significance to safety. The methods for classifying the safety significance of structures, systems or components should be based primarily on deterministic methods, </w:t>
            </w:r>
            <w:r>
              <w:lastRenderedPageBreak/>
              <w:t xml:space="preserve">complemented where appropriate by probabilistic methods and engineering judgement, with account taken of factors such as: </w:t>
            </w:r>
          </w:p>
          <w:p w14:paraId="753DCE11" w14:textId="77777777" w:rsidR="00BA2233" w:rsidRDefault="00BA2233" w:rsidP="00290238">
            <w:pPr>
              <w:pStyle w:val="ListParagraph"/>
              <w:numPr>
                <w:ilvl w:val="0"/>
                <w:numId w:val="44"/>
              </w:numPr>
              <w:spacing w:before="60" w:after="60"/>
              <w:rPr>
                <w:szCs w:val="24"/>
              </w:rPr>
            </w:pPr>
            <w:r w:rsidRPr="001B66EF">
              <w:rPr>
                <w:szCs w:val="24"/>
              </w:rPr>
              <w:t xml:space="preserve">the category of safety function(s) to be performed by the </w:t>
            </w:r>
            <w:r>
              <w:rPr>
                <w:szCs w:val="24"/>
              </w:rPr>
              <w:t>SSC</w:t>
            </w:r>
            <w:r w:rsidRPr="001B66EF">
              <w:rPr>
                <w:szCs w:val="24"/>
              </w:rPr>
              <w:t xml:space="preserve">; </w:t>
            </w:r>
          </w:p>
          <w:p w14:paraId="5F174B00" w14:textId="77777777" w:rsidR="00BA2233" w:rsidRDefault="00BA2233" w:rsidP="00290238">
            <w:pPr>
              <w:pStyle w:val="ListParagraph"/>
              <w:numPr>
                <w:ilvl w:val="0"/>
                <w:numId w:val="44"/>
              </w:numPr>
              <w:spacing w:before="60" w:after="60"/>
              <w:rPr>
                <w:szCs w:val="24"/>
              </w:rPr>
            </w:pPr>
            <w:r w:rsidRPr="001B66EF">
              <w:rPr>
                <w:szCs w:val="24"/>
              </w:rPr>
              <w:t xml:space="preserve">the probability that the item will be called upon to perform a safety function; </w:t>
            </w:r>
          </w:p>
          <w:p w14:paraId="1BA51D56" w14:textId="77777777" w:rsidR="00BA2233" w:rsidRDefault="00BA2233" w:rsidP="00290238">
            <w:pPr>
              <w:pStyle w:val="ListParagraph"/>
              <w:numPr>
                <w:ilvl w:val="0"/>
                <w:numId w:val="44"/>
              </w:numPr>
              <w:spacing w:before="60" w:after="60"/>
              <w:rPr>
                <w:szCs w:val="24"/>
              </w:rPr>
            </w:pPr>
            <w:r w:rsidRPr="001B66EF">
              <w:rPr>
                <w:szCs w:val="24"/>
              </w:rPr>
              <w:t xml:space="preserve">the potential for a failure to initiate a fault or exacerbate the consequences of an existing fault, including situations where the failure affects the performance of another system, structure or component; </w:t>
            </w:r>
          </w:p>
          <w:p w14:paraId="28633A05" w14:textId="77777777" w:rsidR="00BA2233" w:rsidRDefault="00BA2233" w:rsidP="00290238">
            <w:pPr>
              <w:pStyle w:val="ListParagraph"/>
              <w:numPr>
                <w:ilvl w:val="0"/>
                <w:numId w:val="44"/>
              </w:numPr>
              <w:spacing w:before="60" w:after="60"/>
              <w:rPr>
                <w:szCs w:val="24"/>
              </w:rPr>
            </w:pPr>
            <w:r w:rsidRPr="001B66EF">
              <w:rPr>
                <w:szCs w:val="24"/>
              </w:rPr>
              <w:t>the time following any initiating fault at which, or the period throughout which, it will be called upon to operate in order to bring the facility to a stable, safe state.</w:t>
            </w:r>
          </w:p>
          <w:p w14:paraId="70C693AE" w14:textId="77777777" w:rsidR="00F96095" w:rsidRDefault="00BA2233" w:rsidP="00F96095">
            <w:pPr>
              <w:spacing w:before="60" w:after="60"/>
              <w:rPr>
                <w:szCs w:val="24"/>
              </w:rPr>
            </w:pPr>
            <w:r w:rsidRPr="00CB5FCC">
              <w:rPr>
                <w:szCs w:val="24"/>
              </w:rPr>
              <w:t>Appropriately designed interfaces should be provided between</w:t>
            </w:r>
            <w:r>
              <w:rPr>
                <w:szCs w:val="24"/>
              </w:rPr>
              <w:t>,</w:t>
            </w:r>
            <w:r w:rsidRPr="00CB5FCC">
              <w:rPr>
                <w:szCs w:val="24"/>
              </w:rPr>
              <w:t xml:space="preserve"> or within</w:t>
            </w:r>
            <w:r>
              <w:rPr>
                <w:szCs w:val="24"/>
              </w:rPr>
              <w:t>,</w:t>
            </w:r>
            <w:r w:rsidRPr="00CB5FCC">
              <w:rPr>
                <w:szCs w:val="24"/>
              </w:rPr>
              <w:t xml:space="preserve"> </w:t>
            </w:r>
            <w:r>
              <w:rPr>
                <w:szCs w:val="24"/>
              </w:rPr>
              <w:t xml:space="preserve">SSCs of </w:t>
            </w:r>
            <w:r w:rsidRPr="00CB5FCC">
              <w:rPr>
                <w:szCs w:val="24"/>
              </w:rPr>
              <w:t>different classes to ensure that any failure in a lower class item will not propagate to an item of a higher class</w:t>
            </w:r>
            <w:r>
              <w:rPr>
                <w:szCs w:val="24"/>
              </w:rPr>
              <w:t>, e</w:t>
            </w:r>
            <w:r w:rsidRPr="00CB5FCC">
              <w:rPr>
                <w:szCs w:val="24"/>
              </w:rPr>
              <w:t xml:space="preserve">quipment providing the function to prevent the propagation of failures should be assigned to the higher class. Auxiliary </w:t>
            </w:r>
            <w:r>
              <w:rPr>
                <w:szCs w:val="24"/>
              </w:rPr>
              <w:t xml:space="preserve">and essential </w:t>
            </w:r>
            <w:r w:rsidRPr="00CB5FCC">
              <w:rPr>
                <w:szCs w:val="24"/>
              </w:rPr>
              <w:t>services that support components of a system important to safety should be considered part of that system and should be classified accordingly unless failure does not prejudice successful delivery of its safety functions.</w:t>
            </w:r>
            <w:r>
              <w:rPr>
                <w:szCs w:val="24"/>
              </w:rPr>
              <w:t xml:space="preserve"> </w:t>
            </w:r>
          </w:p>
          <w:p w14:paraId="0464FC7A" w14:textId="77777777" w:rsidR="002D262E" w:rsidRDefault="00F96095" w:rsidP="00F96095">
            <w:pPr>
              <w:spacing w:before="60" w:after="60"/>
              <w:rPr>
                <w:szCs w:val="24"/>
              </w:rPr>
            </w:pPr>
            <w:r w:rsidRPr="00F96095">
              <w:rPr>
                <w:szCs w:val="24"/>
              </w:rPr>
              <w:t>Where safety functions are delivered or supported by human action, these human actions should be identified and classified on the basis of those functions and their significance to safety (</w:t>
            </w:r>
            <w:r>
              <w:rPr>
                <w:szCs w:val="24"/>
              </w:rPr>
              <w:t>SAP</w:t>
            </w:r>
            <w:r w:rsidRPr="00F96095">
              <w:rPr>
                <w:szCs w:val="24"/>
              </w:rPr>
              <w:t xml:space="preserve"> EHF.3). The methods used for determining the classification should be analogous to those used for classifying structures, systems and components</w:t>
            </w:r>
            <w:r>
              <w:rPr>
                <w:szCs w:val="24"/>
              </w:rPr>
              <w:t xml:space="preserve">. </w:t>
            </w:r>
          </w:p>
          <w:p w14:paraId="01B59A20" w14:textId="7B018555" w:rsidR="00BA2233" w:rsidRPr="00CB5FCC" w:rsidRDefault="00BA2233" w:rsidP="00F96095">
            <w:pPr>
              <w:spacing w:before="60" w:after="60"/>
              <w:rPr>
                <w:szCs w:val="24"/>
              </w:rPr>
            </w:pPr>
            <w:r>
              <w:rPr>
                <w:szCs w:val="24"/>
              </w:rPr>
              <w:t>Further guidance is provided in TAG 094 and SSG-30.</w:t>
            </w:r>
          </w:p>
          <w:p w14:paraId="2EE67BF7" w14:textId="77777777" w:rsidR="00BA2233" w:rsidRDefault="00BA2233" w:rsidP="00BA2233">
            <w:pPr>
              <w:spacing w:before="60" w:after="60"/>
              <w:rPr>
                <w:szCs w:val="24"/>
              </w:rPr>
            </w:pPr>
          </w:p>
          <w:p w14:paraId="5B2E915E" w14:textId="4EE069A9" w:rsidR="00BA2233" w:rsidRPr="00BD49D5" w:rsidRDefault="00BA2233" w:rsidP="00BA2233">
            <w:pPr>
              <w:spacing w:before="60" w:after="60"/>
              <w:rPr>
                <w:szCs w:val="24"/>
                <w:u w:val="single"/>
              </w:rPr>
            </w:pPr>
            <w:r w:rsidRPr="00BD49D5">
              <w:rPr>
                <w:szCs w:val="24"/>
                <w:u w:val="single"/>
              </w:rPr>
              <w:t>Use of fault analysis</w:t>
            </w:r>
            <w:r w:rsidR="00E24AD3">
              <w:rPr>
                <w:szCs w:val="24"/>
                <w:u w:val="single"/>
              </w:rPr>
              <w:t>:</w:t>
            </w:r>
          </w:p>
          <w:p w14:paraId="248B9D70" w14:textId="77777777" w:rsidR="00BA2233" w:rsidRDefault="00BA2233" w:rsidP="00BA2233">
            <w:pPr>
              <w:spacing w:before="60" w:after="60"/>
              <w:rPr>
                <w:szCs w:val="24"/>
              </w:rPr>
            </w:pPr>
            <w:r>
              <w:rPr>
                <w:szCs w:val="24"/>
              </w:rPr>
              <w:t>The fault analysis should be a key input to the engineering requirements of the facility.</w:t>
            </w:r>
          </w:p>
          <w:p w14:paraId="1B23A6CF" w14:textId="141BBEF5" w:rsidR="00BA2233" w:rsidRDefault="00BA2233" w:rsidP="00BA2233">
            <w:pPr>
              <w:spacing w:before="60" w:after="60"/>
              <w:rPr>
                <w:szCs w:val="24"/>
              </w:rPr>
            </w:pPr>
            <w:r>
              <w:rPr>
                <w:szCs w:val="24"/>
              </w:rPr>
              <w:t xml:space="preserve">SAP FA.9 sets out the expectation that </w:t>
            </w:r>
            <w:r w:rsidRPr="006D6237">
              <w:rPr>
                <w:szCs w:val="24"/>
              </w:rPr>
              <w:t>DBA should provide the main basis for</w:t>
            </w:r>
            <w:r>
              <w:rPr>
                <w:szCs w:val="24"/>
              </w:rPr>
              <w:t xml:space="preserve"> the</w:t>
            </w:r>
            <w:r w:rsidRPr="006D6237">
              <w:rPr>
                <w:szCs w:val="24"/>
              </w:rPr>
              <w:t xml:space="preserve"> performance requirements and safety settings (</w:t>
            </w:r>
            <w:r w:rsidR="006F5D93" w:rsidRPr="006D6237">
              <w:rPr>
                <w:szCs w:val="24"/>
              </w:rPr>
              <w:t>e.g.</w:t>
            </w:r>
            <w:r w:rsidRPr="006D6237">
              <w:rPr>
                <w:szCs w:val="24"/>
              </w:rPr>
              <w:t xml:space="preserve"> actuator trip settings) for safety systems and safety-related equipment; conditions governing permitted plant configurations and the availability of safety systems and safety-related equipment; and the safe operating envelope for the facility</w:t>
            </w:r>
            <w:r>
              <w:rPr>
                <w:szCs w:val="24"/>
              </w:rPr>
              <w:t>.</w:t>
            </w:r>
          </w:p>
          <w:p w14:paraId="41C313DD" w14:textId="77777777" w:rsidR="00BA2233" w:rsidRDefault="00BA2233" w:rsidP="00BA2233">
            <w:pPr>
              <w:spacing w:before="60" w:after="60"/>
              <w:rPr>
                <w:szCs w:val="24"/>
              </w:rPr>
            </w:pPr>
            <w:r>
              <w:rPr>
                <w:szCs w:val="24"/>
              </w:rPr>
              <w:t>SAP FA.14 sets out the expectation that PSA should be used to inform the design of the facility, the setting of operating rules, and plant configuration control.</w:t>
            </w:r>
          </w:p>
          <w:p w14:paraId="73DDD5C1" w14:textId="4CF0CFDD" w:rsidR="00BA2233" w:rsidRDefault="00BA2233" w:rsidP="00BA2233">
            <w:pPr>
              <w:spacing w:before="60" w:after="60"/>
              <w:rPr>
                <w:szCs w:val="24"/>
              </w:rPr>
            </w:pPr>
            <w:r>
              <w:rPr>
                <w:szCs w:val="24"/>
              </w:rPr>
              <w:t xml:space="preserve">SAP FA.16 sets out the expectation that SAA is used to assist in identification of further reasonably practicable preventative or </w:t>
            </w:r>
            <w:r w:rsidR="00980BAD">
              <w:rPr>
                <w:szCs w:val="24"/>
              </w:rPr>
              <w:t>mitigation</w:t>
            </w:r>
            <w:r>
              <w:rPr>
                <w:szCs w:val="24"/>
              </w:rPr>
              <w:t xml:space="preserve"> measures.</w:t>
            </w:r>
          </w:p>
          <w:p w14:paraId="205E5077" w14:textId="3C26EAF3" w:rsidR="00BA2233" w:rsidRDefault="00BA2233" w:rsidP="00BA2233">
            <w:pPr>
              <w:spacing w:before="60" w:after="60"/>
            </w:pPr>
            <w:r>
              <w:t xml:space="preserve">The fault analysis should be used to inform the safety classification of SSCs </w:t>
            </w:r>
            <w:r w:rsidR="0030077B">
              <w:t xml:space="preserve">and any associated human actions </w:t>
            </w:r>
            <w:r>
              <w:t>which in turn helps set reliability and design requirements on the engineering design.</w:t>
            </w:r>
          </w:p>
          <w:p w14:paraId="5B905591" w14:textId="77777777" w:rsidR="0066053D" w:rsidRPr="0048438C" w:rsidRDefault="0066053D" w:rsidP="0048438C">
            <w:pPr>
              <w:spacing w:before="60" w:after="60"/>
              <w:rPr>
                <w:szCs w:val="24"/>
              </w:rPr>
            </w:pPr>
          </w:p>
          <w:p w14:paraId="268B2B85" w14:textId="2A98076B" w:rsidR="00CC67B6" w:rsidRPr="0048438C" w:rsidRDefault="00F65462" w:rsidP="0048438C">
            <w:pPr>
              <w:spacing w:before="60" w:after="60"/>
              <w:rPr>
                <w:b/>
                <w:u w:val="single"/>
              </w:rPr>
            </w:pPr>
            <w:r w:rsidRPr="0D4AD00A">
              <w:rPr>
                <w:b/>
                <w:u w:val="single"/>
              </w:rPr>
              <w:t>Regulatory Expectations</w:t>
            </w:r>
          </w:p>
          <w:p w14:paraId="3AD00C05" w14:textId="3196487F" w:rsidR="008753D6" w:rsidRDefault="004E0325" w:rsidP="00892342">
            <w:pPr>
              <w:spacing w:before="60" w:after="60"/>
            </w:pPr>
            <w:r>
              <w:t xml:space="preserve">ONR has identified some potential gaps in the fault analysis methodologies submitted and </w:t>
            </w:r>
            <w:r w:rsidR="00DE1265">
              <w:t>the methodologies are of a lo</w:t>
            </w:r>
            <w:r w:rsidR="00150728">
              <w:t>w</w:t>
            </w:r>
            <w:r w:rsidR="00DE1265">
              <w:t xml:space="preserve"> level of maturity in some areas</w:t>
            </w:r>
            <w:r w:rsidR="00C43D01">
              <w:t>. Action 1 there</w:t>
            </w:r>
            <w:r w:rsidR="00150728">
              <w:t>fore</w:t>
            </w:r>
            <w:r w:rsidR="00C43D01">
              <w:t xml:space="preserve"> expects that a mature and complete set of fault analysis methodologies are presented</w:t>
            </w:r>
            <w:r w:rsidR="00AF5E1A">
              <w:t xml:space="preserve"> which are consistent with ONR’s regulatory expectations</w:t>
            </w:r>
            <w:r w:rsidR="00892342">
              <w:t xml:space="preserve">. Action 1 additionally expects that </w:t>
            </w:r>
            <w:r w:rsidR="00117B7C">
              <w:t xml:space="preserve">a strategy should be presented </w:t>
            </w:r>
            <w:r w:rsidR="00B77767">
              <w:t xml:space="preserve">that sets out the work that will be undertaken to apply the fault analysis methodologies </w:t>
            </w:r>
            <w:r w:rsidR="00096EFD">
              <w:t>and to develop the safety</w:t>
            </w:r>
            <w:r w:rsidR="00E913BC">
              <w:t xml:space="preserve"> assessment and</w:t>
            </w:r>
            <w:r w:rsidR="00096EFD">
              <w:t xml:space="preserve"> justification to a level </w:t>
            </w:r>
            <w:r w:rsidR="00096EFD">
              <w:lastRenderedPageBreak/>
              <w:t>commensurate with the relevant future safety case milestones</w:t>
            </w:r>
            <w:r w:rsidR="00290238">
              <w:t>. The methodologies and strategy presented should ensure appropriate coverage of the following topics:</w:t>
            </w:r>
          </w:p>
          <w:p w14:paraId="108CB7EA" w14:textId="77777777" w:rsidR="00290238" w:rsidRDefault="00290238" w:rsidP="00290238">
            <w:pPr>
              <w:pStyle w:val="ListParagraph"/>
              <w:numPr>
                <w:ilvl w:val="0"/>
                <w:numId w:val="44"/>
              </w:numPr>
              <w:spacing w:before="60" w:after="60"/>
              <w:rPr>
                <w:bCs/>
                <w:noProof/>
                <w:szCs w:val="24"/>
              </w:rPr>
            </w:pPr>
            <w:r>
              <w:rPr>
                <w:bCs/>
                <w:noProof/>
                <w:szCs w:val="24"/>
              </w:rPr>
              <w:t>h</w:t>
            </w:r>
            <w:r w:rsidRPr="00E655BF">
              <w:rPr>
                <w:bCs/>
                <w:noProof/>
                <w:szCs w:val="24"/>
              </w:rPr>
              <w:t xml:space="preserve">azard and fault identification, </w:t>
            </w:r>
          </w:p>
          <w:p w14:paraId="01784F2E" w14:textId="77777777" w:rsidR="00290238" w:rsidRDefault="00290238" w:rsidP="00290238">
            <w:pPr>
              <w:pStyle w:val="ListParagraph"/>
              <w:numPr>
                <w:ilvl w:val="0"/>
                <w:numId w:val="44"/>
              </w:numPr>
              <w:spacing w:before="60" w:after="60"/>
              <w:rPr>
                <w:bCs/>
                <w:noProof/>
                <w:szCs w:val="24"/>
              </w:rPr>
            </w:pPr>
            <w:r>
              <w:rPr>
                <w:bCs/>
                <w:noProof/>
                <w:szCs w:val="24"/>
              </w:rPr>
              <w:t>design basis analysis</w:t>
            </w:r>
            <w:r w:rsidRPr="00E655BF">
              <w:rPr>
                <w:bCs/>
                <w:noProof/>
                <w:szCs w:val="24"/>
              </w:rPr>
              <w:t xml:space="preserve">, </w:t>
            </w:r>
          </w:p>
          <w:p w14:paraId="7F8250A2" w14:textId="77777777" w:rsidR="00290238" w:rsidRDefault="00290238" w:rsidP="00290238">
            <w:pPr>
              <w:pStyle w:val="ListParagraph"/>
              <w:numPr>
                <w:ilvl w:val="0"/>
                <w:numId w:val="44"/>
              </w:numPr>
              <w:spacing w:before="60" w:after="60"/>
              <w:rPr>
                <w:bCs/>
                <w:noProof/>
                <w:szCs w:val="24"/>
              </w:rPr>
            </w:pPr>
            <w:r>
              <w:rPr>
                <w:bCs/>
                <w:noProof/>
                <w:szCs w:val="24"/>
              </w:rPr>
              <w:t>probabilistic safety assessment,</w:t>
            </w:r>
          </w:p>
          <w:p w14:paraId="455C60B4" w14:textId="77777777" w:rsidR="00290238" w:rsidRDefault="00290238" w:rsidP="00290238">
            <w:pPr>
              <w:pStyle w:val="ListParagraph"/>
              <w:numPr>
                <w:ilvl w:val="0"/>
                <w:numId w:val="44"/>
              </w:numPr>
              <w:spacing w:before="60" w:after="60"/>
              <w:rPr>
                <w:bCs/>
                <w:noProof/>
                <w:szCs w:val="24"/>
              </w:rPr>
            </w:pPr>
            <w:r>
              <w:rPr>
                <w:bCs/>
                <w:noProof/>
                <w:szCs w:val="24"/>
              </w:rPr>
              <w:t>severe accident analysis</w:t>
            </w:r>
            <w:r w:rsidRPr="00E655BF">
              <w:rPr>
                <w:bCs/>
                <w:noProof/>
                <w:szCs w:val="24"/>
              </w:rPr>
              <w:t xml:space="preserve">, </w:t>
            </w:r>
          </w:p>
          <w:p w14:paraId="03F6A8BE" w14:textId="77777777" w:rsidR="00290238" w:rsidRDefault="00290238" w:rsidP="00290238">
            <w:pPr>
              <w:pStyle w:val="ListParagraph"/>
              <w:numPr>
                <w:ilvl w:val="0"/>
                <w:numId w:val="44"/>
              </w:numPr>
              <w:spacing w:before="60" w:after="60"/>
              <w:rPr>
                <w:bCs/>
                <w:noProof/>
                <w:szCs w:val="24"/>
              </w:rPr>
            </w:pPr>
            <w:r>
              <w:rPr>
                <w:bCs/>
                <w:noProof/>
                <w:szCs w:val="24"/>
              </w:rPr>
              <w:t>safety function c</w:t>
            </w:r>
            <w:r w:rsidRPr="00E655BF">
              <w:rPr>
                <w:bCs/>
                <w:noProof/>
                <w:szCs w:val="24"/>
              </w:rPr>
              <w:t>at</w:t>
            </w:r>
            <w:r>
              <w:rPr>
                <w:bCs/>
                <w:noProof/>
                <w:szCs w:val="24"/>
              </w:rPr>
              <w:t xml:space="preserve">egorisation </w:t>
            </w:r>
            <w:r w:rsidRPr="00E655BF">
              <w:rPr>
                <w:bCs/>
                <w:noProof/>
                <w:szCs w:val="24"/>
              </w:rPr>
              <w:t>&amp;</w:t>
            </w:r>
            <w:r>
              <w:rPr>
                <w:bCs/>
                <w:noProof/>
                <w:szCs w:val="24"/>
              </w:rPr>
              <w:t xml:space="preserve"> safety c</w:t>
            </w:r>
            <w:r w:rsidRPr="00E655BF">
              <w:rPr>
                <w:bCs/>
                <w:noProof/>
                <w:szCs w:val="24"/>
              </w:rPr>
              <w:t>lass</w:t>
            </w:r>
            <w:r>
              <w:rPr>
                <w:bCs/>
                <w:noProof/>
                <w:szCs w:val="24"/>
              </w:rPr>
              <w:t>ification of structures, systems, and components,</w:t>
            </w:r>
          </w:p>
          <w:p w14:paraId="38734142" w14:textId="3E74E230" w:rsidR="00E80B87" w:rsidRDefault="00E80B87" w:rsidP="00290238">
            <w:pPr>
              <w:pStyle w:val="ListParagraph"/>
              <w:numPr>
                <w:ilvl w:val="0"/>
                <w:numId w:val="44"/>
              </w:numPr>
              <w:spacing w:before="60" w:after="60"/>
              <w:rPr>
                <w:bCs/>
                <w:noProof/>
                <w:szCs w:val="24"/>
              </w:rPr>
            </w:pPr>
            <w:r>
              <w:rPr>
                <w:bCs/>
                <w:noProof/>
                <w:szCs w:val="24"/>
              </w:rPr>
              <w:t>human factors analysis</w:t>
            </w:r>
          </w:p>
          <w:p w14:paraId="28B44236" w14:textId="77777777" w:rsidR="00290238" w:rsidRDefault="00290238" w:rsidP="00290238">
            <w:pPr>
              <w:pStyle w:val="ListParagraph"/>
              <w:numPr>
                <w:ilvl w:val="0"/>
                <w:numId w:val="44"/>
              </w:numPr>
              <w:spacing w:before="60" w:after="60"/>
              <w:rPr>
                <w:bCs/>
                <w:noProof/>
                <w:szCs w:val="24"/>
              </w:rPr>
            </w:pPr>
            <w:r>
              <w:rPr>
                <w:bCs/>
                <w:noProof/>
                <w:szCs w:val="24"/>
              </w:rPr>
              <w:t xml:space="preserve">assessment of defence </w:t>
            </w:r>
            <w:r w:rsidRPr="00E655BF">
              <w:rPr>
                <w:bCs/>
                <w:noProof/>
                <w:szCs w:val="24"/>
              </w:rPr>
              <w:t>i</w:t>
            </w:r>
            <w:r>
              <w:rPr>
                <w:bCs/>
                <w:noProof/>
                <w:szCs w:val="24"/>
              </w:rPr>
              <w:t>n depth,</w:t>
            </w:r>
          </w:p>
          <w:p w14:paraId="67F72E53" w14:textId="21D98EEA" w:rsidR="009C11A7" w:rsidRDefault="00891AB3" w:rsidP="00AE4681">
            <w:pPr>
              <w:spacing w:before="60" w:after="60"/>
              <w:rPr>
                <w:szCs w:val="24"/>
              </w:rPr>
            </w:pPr>
            <w:r>
              <w:rPr>
                <w:szCs w:val="24"/>
              </w:rPr>
              <w:t xml:space="preserve">Where </w:t>
            </w:r>
            <w:r w:rsidR="00C8116F">
              <w:rPr>
                <w:szCs w:val="24"/>
              </w:rPr>
              <w:t>information produce</w:t>
            </w:r>
            <w:r w:rsidR="00DA4AB5">
              <w:rPr>
                <w:szCs w:val="24"/>
              </w:rPr>
              <w:t>d</w:t>
            </w:r>
            <w:r w:rsidR="00C8116F">
              <w:rPr>
                <w:szCs w:val="24"/>
              </w:rPr>
              <w:t xml:space="preserve"> for other projects or </w:t>
            </w:r>
            <w:r w:rsidR="00DA4AB5">
              <w:rPr>
                <w:szCs w:val="24"/>
              </w:rPr>
              <w:t xml:space="preserve">for other </w:t>
            </w:r>
            <w:r w:rsidR="00C8116F">
              <w:rPr>
                <w:szCs w:val="24"/>
              </w:rPr>
              <w:t xml:space="preserve">regulatory regimes is </w:t>
            </w:r>
            <w:r w:rsidR="00DA4AB5">
              <w:rPr>
                <w:szCs w:val="24"/>
              </w:rPr>
              <w:t xml:space="preserve">to be employed in the </w:t>
            </w:r>
            <w:r w:rsidR="00313B77">
              <w:rPr>
                <w:szCs w:val="24"/>
              </w:rPr>
              <w:t xml:space="preserve">fault analysis this should be supported by information on the standards and methodologies </w:t>
            </w:r>
            <w:r w:rsidR="004F329A">
              <w:rPr>
                <w:szCs w:val="24"/>
              </w:rPr>
              <w:t xml:space="preserve">to which the information was developed, and a gap analysis between those </w:t>
            </w:r>
            <w:r w:rsidR="00291852">
              <w:rPr>
                <w:szCs w:val="24"/>
              </w:rPr>
              <w:t xml:space="preserve">standards and methodologies </w:t>
            </w:r>
            <w:r w:rsidR="00B00289">
              <w:rPr>
                <w:szCs w:val="24"/>
              </w:rPr>
              <w:t xml:space="preserve">and the methodologies developed </w:t>
            </w:r>
            <w:r w:rsidR="00FF06C4">
              <w:rPr>
                <w:szCs w:val="24"/>
              </w:rPr>
              <w:t xml:space="preserve">in response to </w:t>
            </w:r>
            <w:r w:rsidR="00A06E40">
              <w:rPr>
                <w:szCs w:val="24"/>
              </w:rPr>
              <w:t>A</w:t>
            </w:r>
            <w:r w:rsidR="00FF06C4">
              <w:rPr>
                <w:szCs w:val="24"/>
              </w:rPr>
              <w:t>ction 1.</w:t>
            </w:r>
          </w:p>
          <w:p w14:paraId="66466ACA" w14:textId="1AAA04D7" w:rsidR="00FF06C4" w:rsidRDefault="00FE2A90" w:rsidP="00AE4681">
            <w:pPr>
              <w:spacing w:before="60" w:after="60"/>
              <w:rPr>
                <w:szCs w:val="24"/>
              </w:rPr>
            </w:pPr>
            <w:r>
              <w:rPr>
                <w:szCs w:val="24"/>
              </w:rPr>
              <w:t xml:space="preserve">A complete application of the fault analysis methodologies is not expected in response to </w:t>
            </w:r>
            <w:r w:rsidR="00E33A89">
              <w:rPr>
                <w:szCs w:val="24"/>
              </w:rPr>
              <w:t>A</w:t>
            </w:r>
            <w:r>
              <w:rPr>
                <w:szCs w:val="24"/>
              </w:rPr>
              <w:t>ction 1</w:t>
            </w:r>
            <w:r w:rsidR="00974CED">
              <w:rPr>
                <w:szCs w:val="24"/>
              </w:rPr>
              <w:t xml:space="preserve"> T</w:t>
            </w:r>
            <w:r w:rsidR="00F66069">
              <w:rPr>
                <w:szCs w:val="24"/>
              </w:rPr>
              <w:t xml:space="preserve">he response should include </w:t>
            </w:r>
            <w:r w:rsidR="00B44955">
              <w:rPr>
                <w:szCs w:val="24"/>
              </w:rPr>
              <w:t xml:space="preserve">the strategy for the application of the methodologies </w:t>
            </w:r>
            <w:r w:rsidR="008A031C">
              <w:rPr>
                <w:szCs w:val="24"/>
              </w:rPr>
              <w:t>to a level of maturity</w:t>
            </w:r>
            <w:r w:rsidR="006D0352">
              <w:rPr>
                <w:szCs w:val="24"/>
              </w:rPr>
              <w:t xml:space="preserve"> and scope</w:t>
            </w:r>
            <w:r w:rsidR="008A031C">
              <w:rPr>
                <w:szCs w:val="24"/>
              </w:rPr>
              <w:t xml:space="preserve"> appropriate for future safety case milestones.</w:t>
            </w:r>
          </w:p>
          <w:p w14:paraId="68A53C17" w14:textId="6720B7B2" w:rsidR="00757F6F" w:rsidRDefault="00757F6F" w:rsidP="00AE4681">
            <w:pPr>
              <w:spacing w:before="60" w:after="60"/>
              <w:rPr>
                <w:szCs w:val="24"/>
              </w:rPr>
            </w:pPr>
            <w:r>
              <w:rPr>
                <w:szCs w:val="24"/>
              </w:rPr>
              <w:t xml:space="preserve">Whilst Internal and External Hazard analysis are not explicitly </w:t>
            </w:r>
            <w:r w:rsidR="00D826A3">
              <w:rPr>
                <w:szCs w:val="24"/>
              </w:rPr>
              <w:t>covered by</w:t>
            </w:r>
            <w:r>
              <w:rPr>
                <w:szCs w:val="24"/>
              </w:rPr>
              <w:t xml:space="preserve"> this RO, the develop</w:t>
            </w:r>
            <w:r w:rsidR="00162012">
              <w:rPr>
                <w:szCs w:val="24"/>
              </w:rPr>
              <w:t>ment of the strategy</w:t>
            </w:r>
            <w:r>
              <w:rPr>
                <w:szCs w:val="24"/>
              </w:rPr>
              <w:t xml:space="preserve"> should take the</w:t>
            </w:r>
            <w:r w:rsidR="00D2610D">
              <w:rPr>
                <w:szCs w:val="24"/>
              </w:rPr>
              <w:t xml:space="preserve">se topics into account and identify any interfaces and dependencies.  </w:t>
            </w:r>
            <w:r w:rsidR="003028AA">
              <w:rPr>
                <w:szCs w:val="24"/>
              </w:rPr>
              <w:t>This should also be considered in response to Actions 2,3, and 4.</w:t>
            </w:r>
          </w:p>
          <w:p w14:paraId="396B9526" w14:textId="48004B55" w:rsidR="00504A83" w:rsidRDefault="008643BF" w:rsidP="00AE4681">
            <w:pPr>
              <w:spacing w:before="60" w:after="60"/>
              <w:rPr>
                <w:szCs w:val="24"/>
              </w:rPr>
            </w:pPr>
            <w:r>
              <w:rPr>
                <w:szCs w:val="24"/>
              </w:rPr>
              <w:t>A complete set of transient analysis and</w:t>
            </w:r>
            <w:r w:rsidR="00907FD5">
              <w:rPr>
                <w:szCs w:val="24"/>
              </w:rPr>
              <w:t xml:space="preserve"> justification of</w:t>
            </w:r>
            <w:r>
              <w:rPr>
                <w:szCs w:val="24"/>
              </w:rPr>
              <w:t xml:space="preserve"> fully validated codes are not expected in response to </w:t>
            </w:r>
            <w:r w:rsidR="00443A4D">
              <w:rPr>
                <w:szCs w:val="24"/>
              </w:rPr>
              <w:t>A</w:t>
            </w:r>
            <w:r>
              <w:rPr>
                <w:szCs w:val="24"/>
              </w:rPr>
              <w:t>ction 1</w:t>
            </w:r>
            <w:r w:rsidR="00974CED">
              <w:rPr>
                <w:szCs w:val="24"/>
              </w:rPr>
              <w:t>. T</w:t>
            </w:r>
            <w:r w:rsidR="00E020EA">
              <w:rPr>
                <w:szCs w:val="24"/>
              </w:rPr>
              <w:t xml:space="preserve">he </w:t>
            </w:r>
            <w:r w:rsidR="00C12709">
              <w:rPr>
                <w:szCs w:val="24"/>
              </w:rPr>
              <w:t>response should include the strategy for the delivery of an appropriate set of transient analysis</w:t>
            </w:r>
            <w:r w:rsidR="00427710">
              <w:rPr>
                <w:szCs w:val="24"/>
              </w:rPr>
              <w:t>, codes validation evidence, and design and component substantiation</w:t>
            </w:r>
            <w:r w:rsidR="00907FD5">
              <w:rPr>
                <w:szCs w:val="24"/>
              </w:rPr>
              <w:t xml:space="preserve"> </w:t>
            </w:r>
            <w:r w:rsidR="002E3BE2">
              <w:rPr>
                <w:szCs w:val="24"/>
              </w:rPr>
              <w:t xml:space="preserve">at a level of maturity </w:t>
            </w:r>
            <w:r w:rsidR="00800582">
              <w:rPr>
                <w:szCs w:val="24"/>
              </w:rPr>
              <w:t xml:space="preserve">and scope </w:t>
            </w:r>
            <w:r w:rsidR="00907FD5">
              <w:rPr>
                <w:szCs w:val="24"/>
              </w:rPr>
              <w:t xml:space="preserve">commensurate </w:t>
            </w:r>
            <w:r w:rsidR="002E3BE2">
              <w:rPr>
                <w:szCs w:val="24"/>
              </w:rPr>
              <w:t>with future safety case milestones.</w:t>
            </w:r>
          </w:p>
          <w:p w14:paraId="10459049" w14:textId="107EF998" w:rsidR="00774F01" w:rsidRDefault="00774F01" w:rsidP="00AE4681">
            <w:pPr>
              <w:spacing w:before="60" w:after="60"/>
            </w:pPr>
            <w:r>
              <w:t xml:space="preserve">Complete </w:t>
            </w:r>
            <w:r w:rsidR="00A000D1">
              <w:t>application of a process for safety function categorisation and classification of SSCs</w:t>
            </w:r>
            <w:r w:rsidR="00892E5E">
              <w:t xml:space="preserve"> and human actions</w:t>
            </w:r>
            <w:r w:rsidR="00A000D1">
              <w:t xml:space="preserve"> </w:t>
            </w:r>
            <w:r w:rsidR="00197B17">
              <w:t xml:space="preserve">is not expected in response to </w:t>
            </w:r>
            <w:r w:rsidR="00443A4D">
              <w:t>A</w:t>
            </w:r>
            <w:r w:rsidR="00197B17">
              <w:t>ction 1</w:t>
            </w:r>
            <w:r w:rsidR="00974CED">
              <w:t xml:space="preserve">. The response should </w:t>
            </w:r>
            <w:r w:rsidR="002133A0">
              <w:t>provide the metho</w:t>
            </w:r>
            <w:r w:rsidR="000944CD">
              <w:t xml:space="preserve">dologies to be applied, and the strategy </w:t>
            </w:r>
            <w:r w:rsidR="00D5094C">
              <w:t xml:space="preserve">and scope </w:t>
            </w:r>
            <w:r w:rsidR="000944CD">
              <w:t>for their application.</w:t>
            </w:r>
          </w:p>
          <w:p w14:paraId="7F239875" w14:textId="77777777" w:rsidR="008F380D" w:rsidRDefault="008F380D" w:rsidP="00AE4681">
            <w:pPr>
              <w:spacing w:before="60" w:after="60"/>
              <w:rPr>
                <w:szCs w:val="24"/>
              </w:rPr>
            </w:pPr>
          </w:p>
          <w:p w14:paraId="34E24514" w14:textId="67263613" w:rsidR="00205029" w:rsidRDefault="00172020" w:rsidP="008F7A21">
            <w:pPr>
              <w:spacing w:before="60" w:after="60"/>
              <w:rPr>
                <w:szCs w:val="24"/>
              </w:rPr>
            </w:pPr>
            <w:r>
              <w:rPr>
                <w:szCs w:val="24"/>
              </w:rPr>
              <w:t xml:space="preserve">ONR has identified that the hazard and fault identification </w:t>
            </w:r>
            <w:r w:rsidR="00E56B73">
              <w:rPr>
                <w:szCs w:val="24"/>
              </w:rPr>
              <w:t xml:space="preserve">has </w:t>
            </w:r>
            <w:r w:rsidR="007E09FA">
              <w:rPr>
                <w:szCs w:val="24"/>
              </w:rPr>
              <w:t xml:space="preserve">been primarily based on operating experience </w:t>
            </w:r>
            <w:r w:rsidR="002F248C">
              <w:rPr>
                <w:szCs w:val="24"/>
              </w:rPr>
              <w:t xml:space="preserve">lists derived from </w:t>
            </w:r>
            <w:r w:rsidR="00343C12">
              <w:rPr>
                <w:szCs w:val="24"/>
              </w:rPr>
              <w:t xml:space="preserve">other reactor designs </w:t>
            </w:r>
            <w:r w:rsidR="00DD1CC8">
              <w:rPr>
                <w:szCs w:val="24"/>
              </w:rPr>
              <w:t xml:space="preserve">employing similar technology, </w:t>
            </w:r>
            <w:r w:rsidR="00C64188">
              <w:rPr>
                <w:szCs w:val="24"/>
              </w:rPr>
              <w:t xml:space="preserve">but </w:t>
            </w:r>
            <w:r w:rsidR="00EB7FD6">
              <w:rPr>
                <w:szCs w:val="24"/>
              </w:rPr>
              <w:t>the novel features of the SMR-300 would not be represented in those lists</w:t>
            </w:r>
            <w:r w:rsidR="00EF353E">
              <w:rPr>
                <w:szCs w:val="24"/>
              </w:rPr>
              <w:t>. The work was</w:t>
            </w:r>
            <w:r w:rsidR="007E09FA">
              <w:rPr>
                <w:szCs w:val="24"/>
              </w:rPr>
              <w:t xml:space="preserve"> undertaken with limited application of systematic fault identification techniques</w:t>
            </w:r>
            <w:r w:rsidR="009D72A0">
              <w:rPr>
                <w:szCs w:val="24"/>
              </w:rPr>
              <w:t>, and there were potential gaps in the list of postulated initiating events</w:t>
            </w:r>
            <w:r w:rsidR="00016B66">
              <w:rPr>
                <w:szCs w:val="24"/>
              </w:rPr>
              <w:t xml:space="preserve">. </w:t>
            </w:r>
          </w:p>
          <w:p w14:paraId="43CBA096" w14:textId="3F1D14B7" w:rsidR="008F7A21" w:rsidRDefault="00016B66" w:rsidP="008F7A21">
            <w:pPr>
              <w:spacing w:before="60" w:after="60"/>
            </w:pPr>
            <w:r>
              <w:t>Action 2 therefore expects</w:t>
            </w:r>
            <w:r w:rsidR="008F7A21">
              <w:t xml:space="preserve"> submission of a report </w:t>
            </w:r>
            <w:r w:rsidR="008F7A21" w:rsidRPr="07EF7BD2">
              <w:rPr>
                <w:noProof/>
              </w:rPr>
              <w:t>summarising</w:t>
            </w:r>
            <w:r w:rsidR="008F7A21">
              <w:t xml:space="preserve"> the hazard and fault </w:t>
            </w:r>
            <w:r w:rsidR="008F7A21" w:rsidRPr="07EF7BD2">
              <w:rPr>
                <w:noProof/>
              </w:rPr>
              <w:t>identification</w:t>
            </w:r>
            <w:r w:rsidR="008F7A21">
              <w:t xml:space="preserve"> undertaken for the SMR-300 design which details and justifies the methodologies employed, the scope of the activities undertaken, and the completeness of the results. Th</w:t>
            </w:r>
            <w:r w:rsidR="0076086C">
              <w:t xml:space="preserve">e methodologies employed should be specified as part of </w:t>
            </w:r>
            <w:r w:rsidR="00F14E18">
              <w:t>A</w:t>
            </w:r>
            <w:r w:rsidR="0076086C">
              <w:t>ction 1</w:t>
            </w:r>
            <w:r w:rsidR="008F7A21">
              <w:t xml:space="preserve"> </w:t>
            </w:r>
            <w:r w:rsidR="00AD02A3">
              <w:t xml:space="preserve">and justified as complete and appropriate. This </w:t>
            </w:r>
            <w:r w:rsidR="008F7A21">
              <w:t xml:space="preserve">should include </w:t>
            </w:r>
            <w:r w:rsidR="00594B36">
              <w:t>appropriate identification of internal hazard initiating events</w:t>
            </w:r>
            <w:r w:rsidR="00AD02A3">
              <w:t xml:space="preserve"> and </w:t>
            </w:r>
            <w:r w:rsidR="00121226">
              <w:t xml:space="preserve">complex combinations of events such as design extension condition (DEC-A) </w:t>
            </w:r>
            <w:r w:rsidR="00BE2130">
              <w:t>scenarios.</w:t>
            </w:r>
          </w:p>
          <w:p w14:paraId="785F806D" w14:textId="77777777" w:rsidR="00BE2130" w:rsidRDefault="00BE2130" w:rsidP="008F7A21">
            <w:pPr>
              <w:spacing w:before="60" w:after="60"/>
            </w:pPr>
          </w:p>
          <w:p w14:paraId="0186759F" w14:textId="2DB0D72D" w:rsidR="00205029" w:rsidRDefault="00B26365" w:rsidP="008F7A21">
            <w:pPr>
              <w:spacing w:before="60" w:after="60"/>
            </w:pPr>
            <w:r>
              <w:t xml:space="preserve">ONR has identified some gaps to regulatory expectations </w:t>
            </w:r>
            <w:r w:rsidR="00002144">
              <w:t xml:space="preserve">– as set out </w:t>
            </w:r>
            <w:r w:rsidR="0094452E">
              <w:t xml:space="preserve">in the relevant </w:t>
            </w:r>
            <w:r w:rsidR="002A778E">
              <w:lastRenderedPageBreak/>
              <w:t xml:space="preserve">legislation, standards, and </w:t>
            </w:r>
            <w:r w:rsidR="0094452E">
              <w:t xml:space="preserve">guidance </w:t>
            </w:r>
            <w:r w:rsidR="00002144">
              <w:t xml:space="preserve">above - </w:t>
            </w:r>
            <w:r>
              <w:t xml:space="preserve">in the </w:t>
            </w:r>
            <w:r w:rsidR="00E05F53">
              <w:t xml:space="preserve">assumptions used in </w:t>
            </w:r>
            <w:r w:rsidR="007815E0">
              <w:t xml:space="preserve">Holtec’s </w:t>
            </w:r>
            <w:r w:rsidR="00E05F53">
              <w:t>specification of design basis fault sequences</w:t>
            </w:r>
            <w:r w:rsidR="003B53BB">
              <w:t xml:space="preserve">, </w:t>
            </w:r>
            <w:r w:rsidR="003B492E">
              <w:t xml:space="preserve">most </w:t>
            </w:r>
            <w:r w:rsidR="003B53BB">
              <w:t xml:space="preserve">notably </w:t>
            </w:r>
            <w:r w:rsidR="007815E0">
              <w:t>in the treatment of passive SSCs in application of the single failure criterion</w:t>
            </w:r>
            <w:r w:rsidR="00F60ECE">
              <w:t xml:space="preserve"> and consideration of coincident faults. </w:t>
            </w:r>
            <w:r w:rsidR="00320214">
              <w:t xml:space="preserve">Holtec’s identification and analysis of </w:t>
            </w:r>
            <w:r w:rsidR="00F20E88">
              <w:t>complex</w:t>
            </w:r>
            <w:r w:rsidR="00320214">
              <w:t xml:space="preserve"> fault sequences such as design exten</w:t>
            </w:r>
            <w:r w:rsidR="00F20E88">
              <w:t xml:space="preserve">sion condition (DEC-A) scenarios is additionally </w:t>
            </w:r>
            <w:r w:rsidR="005B4040">
              <w:t>at a low level of maturity.</w:t>
            </w:r>
            <w:r w:rsidR="00F20E88">
              <w:t xml:space="preserve"> </w:t>
            </w:r>
            <w:r w:rsidR="00F60ECE">
              <w:t xml:space="preserve">Given the 2 train design of the </w:t>
            </w:r>
            <w:r w:rsidR="00D165A0">
              <w:t>safety systems provided for emergency core cooling</w:t>
            </w:r>
            <w:r w:rsidR="007C6AD3">
              <w:t xml:space="preserve"> </w:t>
            </w:r>
            <w:r w:rsidR="008306DF">
              <w:t xml:space="preserve">consideration of these </w:t>
            </w:r>
            <w:r w:rsidR="00846674">
              <w:t xml:space="preserve">gaps </w:t>
            </w:r>
            <w:r w:rsidR="007C6AD3">
              <w:t>ha</w:t>
            </w:r>
            <w:r w:rsidR="00846674">
              <w:t>s</w:t>
            </w:r>
            <w:r w:rsidR="007C6AD3">
              <w:t xml:space="preserve"> the potential to affect t</w:t>
            </w:r>
            <w:r w:rsidR="003E4FD3">
              <w:t xml:space="preserve">he justification of the level of redundancy and </w:t>
            </w:r>
            <w:r w:rsidR="00C55164">
              <w:t>diversity</w:t>
            </w:r>
            <w:r w:rsidR="003E4FD3">
              <w:t xml:space="preserve"> in the emergency core cooling </w:t>
            </w:r>
            <w:r w:rsidR="00C55164">
              <w:t>safety systems.</w:t>
            </w:r>
            <w:r w:rsidR="00A355C6">
              <w:t xml:space="preserve"> </w:t>
            </w:r>
          </w:p>
          <w:p w14:paraId="22CFC031" w14:textId="017236A4" w:rsidR="006A21EE" w:rsidRPr="006F07A9" w:rsidRDefault="008B704F" w:rsidP="00D862B4">
            <w:pPr>
              <w:spacing w:before="60" w:after="60"/>
            </w:pPr>
            <w:r>
              <w:t xml:space="preserve">In response to </w:t>
            </w:r>
            <w:r w:rsidR="00CE0D1A">
              <w:t>A</w:t>
            </w:r>
            <w:r>
              <w:t xml:space="preserve">ction 3 a report should therefore be presented that outlines how </w:t>
            </w:r>
            <w:r w:rsidR="00BA2160">
              <w:t xml:space="preserve">appropriate deterministic assumptions have been included in the specification of the </w:t>
            </w:r>
            <w:r w:rsidR="00205029">
              <w:t>design basis fault sequences</w:t>
            </w:r>
            <w:r w:rsidR="001A3FA1">
              <w:t xml:space="preserve"> including consideration of passive components as part of the single failure criterion and justification of </w:t>
            </w:r>
            <w:r w:rsidR="0035741B">
              <w:t xml:space="preserve">any exclusions, </w:t>
            </w:r>
            <w:r w:rsidR="008A7A5B">
              <w:t xml:space="preserve">consideration of common cause failures and justification of any exclusions, consideration of coincident faults and unrevealed failures, </w:t>
            </w:r>
            <w:r w:rsidR="009B2975">
              <w:t xml:space="preserve">consideration of consequential failures arising from faults </w:t>
            </w:r>
            <w:r w:rsidR="00A955F3">
              <w:t>including from internal hazards</w:t>
            </w:r>
            <w:r w:rsidR="00E05743">
              <w:t>. The report should additionally</w:t>
            </w:r>
            <w:r w:rsidR="00DB37EE">
              <w:t xml:space="preserve"> provide consideration</w:t>
            </w:r>
            <w:r w:rsidR="000E4B90">
              <w:t xml:space="preserve"> of </w:t>
            </w:r>
            <w:r w:rsidR="006744C7">
              <w:t>complex fault sequences such as DEC-A scenarios</w:t>
            </w:r>
            <w:r w:rsidR="00DB37EE">
              <w:t>, and</w:t>
            </w:r>
            <w:r w:rsidR="006744C7">
              <w:t xml:space="preserve"> should demonstrate that the </w:t>
            </w:r>
            <w:r w:rsidR="00C77AF5">
              <w:t xml:space="preserve">2 train </w:t>
            </w:r>
            <w:r w:rsidR="006744C7">
              <w:t>design</w:t>
            </w:r>
            <w:r w:rsidR="003827EF">
              <w:t>s</w:t>
            </w:r>
            <w:r w:rsidR="006744C7">
              <w:t xml:space="preserve"> of the </w:t>
            </w:r>
            <w:r w:rsidR="00C77AF5">
              <w:t xml:space="preserve">safety systems provided for emergency core cooling </w:t>
            </w:r>
            <w:r w:rsidR="003827EF">
              <w:t>are</w:t>
            </w:r>
            <w:r w:rsidR="00C77AF5">
              <w:t xml:space="preserve"> sufficiently robust </w:t>
            </w:r>
            <w:r w:rsidR="003827EF">
              <w:t>and t</w:t>
            </w:r>
            <w:r w:rsidR="00E05743">
              <w:t>hat adequate diversity and redundancy is provided in the design.</w:t>
            </w:r>
          </w:p>
          <w:p w14:paraId="41053156" w14:textId="75DC6A23" w:rsidR="008F380D" w:rsidRPr="006F2859" w:rsidRDefault="008F380D" w:rsidP="00AE4681">
            <w:pPr>
              <w:spacing w:before="60" w:after="60"/>
              <w:rPr>
                <w:szCs w:val="24"/>
              </w:rPr>
            </w:pPr>
          </w:p>
          <w:p w14:paraId="590F4036" w14:textId="7AA3DAD6" w:rsidR="00A5443C" w:rsidRDefault="002063B1" w:rsidP="006D6237">
            <w:pPr>
              <w:spacing w:before="60" w:after="60"/>
              <w:rPr>
                <w:szCs w:val="24"/>
              </w:rPr>
            </w:pPr>
            <w:r>
              <w:rPr>
                <w:szCs w:val="24"/>
              </w:rPr>
              <w:t>ONR has identified that Hol</w:t>
            </w:r>
            <w:r w:rsidR="003D1057">
              <w:rPr>
                <w:szCs w:val="24"/>
              </w:rPr>
              <w:t>t</w:t>
            </w:r>
            <w:r>
              <w:rPr>
                <w:szCs w:val="24"/>
              </w:rPr>
              <w:t xml:space="preserve">ec’s </w:t>
            </w:r>
            <w:r w:rsidR="003036A5">
              <w:rPr>
                <w:szCs w:val="24"/>
              </w:rPr>
              <w:t xml:space="preserve">severe accident analysis </w:t>
            </w:r>
            <w:r w:rsidR="00705AAB">
              <w:rPr>
                <w:szCs w:val="24"/>
              </w:rPr>
              <w:t>is at an early stage of maturity such that there has been no identification of severe accident scenarios</w:t>
            </w:r>
            <w:r w:rsidR="00AE6123">
              <w:rPr>
                <w:szCs w:val="24"/>
              </w:rPr>
              <w:t xml:space="preserve"> presented and therefore no justification that there are appropriate protection and mitigation measures provided for such scenarios</w:t>
            </w:r>
            <w:r w:rsidR="006D5309">
              <w:rPr>
                <w:szCs w:val="24"/>
              </w:rPr>
              <w:t>. There has additionally been no justification presented that large or early releases have been practically eliminated</w:t>
            </w:r>
            <w:r w:rsidR="00684158">
              <w:rPr>
                <w:szCs w:val="24"/>
              </w:rPr>
              <w:t xml:space="preserve">. ONR has additionally identified some </w:t>
            </w:r>
            <w:r w:rsidR="00E041CB">
              <w:rPr>
                <w:szCs w:val="24"/>
              </w:rPr>
              <w:t xml:space="preserve">potential challenges in Holtec’s </w:t>
            </w:r>
            <w:r w:rsidR="002F0B0D">
              <w:rPr>
                <w:szCs w:val="24"/>
              </w:rPr>
              <w:t xml:space="preserve">application of defence in depth around the independence of safety measures provided at the </w:t>
            </w:r>
            <w:r w:rsidR="004A1E85">
              <w:rPr>
                <w:szCs w:val="24"/>
              </w:rPr>
              <w:t>different levels</w:t>
            </w:r>
            <w:r w:rsidR="00C95757">
              <w:rPr>
                <w:szCs w:val="24"/>
              </w:rPr>
              <w:t xml:space="preserve">, </w:t>
            </w:r>
            <w:r w:rsidR="004D7F91">
              <w:rPr>
                <w:szCs w:val="24"/>
              </w:rPr>
              <w:t>and the demonstration that failure of barriers to release are prevented as far as reasonably practicable.</w:t>
            </w:r>
          </w:p>
          <w:p w14:paraId="376BA0F8" w14:textId="7B0F37BA" w:rsidR="004A1E85" w:rsidRDefault="004A1E85" w:rsidP="006D6237">
            <w:pPr>
              <w:spacing w:before="60" w:after="60"/>
              <w:rPr>
                <w:szCs w:val="24"/>
              </w:rPr>
            </w:pPr>
            <w:r>
              <w:rPr>
                <w:szCs w:val="24"/>
              </w:rPr>
              <w:t xml:space="preserve">In response to </w:t>
            </w:r>
            <w:r w:rsidR="00EC3FF5">
              <w:rPr>
                <w:szCs w:val="24"/>
              </w:rPr>
              <w:t>A</w:t>
            </w:r>
            <w:r>
              <w:rPr>
                <w:szCs w:val="24"/>
              </w:rPr>
              <w:t>ction 4 a report should be provided that</w:t>
            </w:r>
            <w:r w:rsidR="00002C8B">
              <w:rPr>
                <w:szCs w:val="24"/>
              </w:rPr>
              <w:t xml:space="preserve"> </w:t>
            </w:r>
            <w:r w:rsidR="001C0571">
              <w:rPr>
                <w:szCs w:val="24"/>
              </w:rPr>
              <w:t xml:space="preserve">presents </w:t>
            </w:r>
            <w:r>
              <w:rPr>
                <w:szCs w:val="24"/>
              </w:rPr>
              <w:t xml:space="preserve">the arguments and evidence </w:t>
            </w:r>
            <w:r w:rsidR="00DA52BC">
              <w:rPr>
                <w:szCs w:val="24"/>
              </w:rPr>
              <w:t>to demonstrate that large or early release</w:t>
            </w:r>
            <w:r w:rsidR="001D2214">
              <w:rPr>
                <w:szCs w:val="24"/>
              </w:rPr>
              <w:t>s of radioactivity have been practically eliminated</w:t>
            </w:r>
            <w:r w:rsidR="001C0571">
              <w:rPr>
                <w:szCs w:val="24"/>
              </w:rPr>
              <w:t xml:space="preserve">. The report should additionally </w:t>
            </w:r>
            <w:r w:rsidR="0090525C">
              <w:rPr>
                <w:szCs w:val="24"/>
              </w:rPr>
              <w:t>present</w:t>
            </w:r>
            <w:r w:rsidR="001C0571">
              <w:rPr>
                <w:szCs w:val="24"/>
              </w:rPr>
              <w:t xml:space="preserve"> the arguments and evidence t</w:t>
            </w:r>
            <w:r w:rsidR="0090525C">
              <w:rPr>
                <w:szCs w:val="24"/>
              </w:rPr>
              <w:t xml:space="preserve">o demonstrate that adequate severe accident scenarios have been specified and analysed according to </w:t>
            </w:r>
            <w:r w:rsidR="001729E7">
              <w:rPr>
                <w:szCs w:val="24"/>
              </w:rPr>
              <w:t xml:space="preserve">the methodologies set out in response to </w:t>
            </w:r>
            <w:r w:rsidR="00E13783">
              <w:rPr>
                <w:szCs w:val="24"/>
              </w:rPr>
              <w:t>A</w:t>
            </w:r>
            <w:r w:rsidR="001729E7">
              <w:rPr>
                <w:szCs w:val="24"/>
              </w:rPr>
              <w:t xml:space="preserve">ction 1, and that appropriate safety measures have been provided in the design to protect or mitigate </w:t>
            </w:r>
            <w:r w:rsidR="00151BB8">
              <w:rPr>
                <w:szCs w:val="24"/>
              </w:rPr>
              <w:t>against those scenarios. The</w:t>
            </w:r>
            <w:r w:rsidR="00E13783">
              <w:rPr>
                <w:szCs w:val="24"/>
              </w:rPr>
              <w:t xml:space="preserve"> </w:t>
            </w:r>
            <w:r w:rsidR="00151BB8">
              <w:rPr>
                <w:szCs w:val="24"/>
              </w:rPr>
              <w:t xml:space="preserve">report should also present a justification of the application of the defence in depth </w:t>
            </w:r>
            <w:r w:rsidR="000D4513">
              <w:rPr>
                <w:szCs w:val="24"/>
              </w:rPr>
              <w:t>in the design and that there are sufficient safety measures provided at each level of defence in de</w:t>
            </w:r>
            <w:r w:rsidR="00E13783">
              <w:rPr>
                <w:szCs w:val="24"/>
              </w:rPr>
              <w:t>p</w:t>
            </w:r>
            <w:r w:rsidR="000D4513">
              <w:rPr>
                <w:szCs w:val="24"/>
              </w:rPr>
              <w:t>th which are -</w:t>
            </w:r>
            <w:r w:rsidR="006D731F">
              <w:rPr>
                <w:szCs w:val="24"/>
              </w:rPr>
              <w:t xml:space="preserve"> </w:t>
            </w:r>
            <w:r w:rsidR="000D4513">
              <w:rPr>
                <w:szCs w:val="24"/>
              </w:rPr>
              <w:t>as far as is reasonably practicable – independent</w:t>
            </w:r>
            <w:r w:rsidR="00ED7C53">
              <w:rPr>
                <w:szCs w:val="24"/>
              </w:rPr>
              <w:t>, and that the</w:t>
            </w:r>
            <w:r w:rsidR="00333F28">
              <w:rPr>
                <w:szCs w:val="24"/>
              </w:rPr>
              <w:t xml:space="preserve"> design prevents</w:t>
            </w:r>
            <w:r w:rsidR="00ED7C53">
              <w:rPr>
                <w:szCs w:val="24"/>
              </w:rPr>
              <w:t xml:space="preserve"> </w:t>
            </w:r>
            <w:r w:rsidR="00E14AF9">
              <w:rPr>
                <w:szCs w:val="24"/>
              </w:rPr>
              <w:t xml:space="preserve">the failure of </w:t>
            </w:r>
            <w:r w:rsidR="00CE44BC">
              <w:rPr>
                <w:szCs w:val="24"/>
              </w:rPr>
              <w:t xml:space="preserve">barriers </w:t>
            </w:r>
            <w:r w:rsidR="00E14AF9">
              <w:rPr>
                <w:szCs w:val="24"/>
              </w:rPr>
              <w:t>to release as far as is reasonably practicable.</w:t>
            </w:r>
          </w:p>
          <w:p w14:paraId="34DBFC60" w14:textId="6B90B15E" w:rsidR="00753B23" w:rsidRDefault="00753B23" w:rsidP="006D6237">
            <w:pPr>
              <w:spacing w:before="60" w:after="60"/>
              <w:rPr>
                <w:szCs w:val="24"/>
              </w:rPr>
            </w:pPr>
            <w:r>
              <w:rPr>
                <w:szCs w:val="24"/>
              </w:rPr>
              <w:t xml:space="preserve">The </w:t>
            </w:r>
            <w:r w:rsidR="008117FB">
              <w:rPr>
                <w:szCs w:val="24"/>
              </w:rPr>
              <w:t xml:space="preserve">level of detail provided in </w:t>
            </w:r>
            <w:r>
              <w:rPr>
                <w:szCs w:val="24"/>
              </w:rPr>
              <w:t>response to Actions 2, 3 and 4 should take into account the level of design</w:t>
            </w:r>
            <w:r w:rsidR="008117FB">
              <w:rPr>
                <w:szCs w:val="24"/>
              </w:rPr>
              <w:t xml:space="preserve"> detail</w:t>
            </w:r>
            <w:r>
              <w:rPr>
                <w:szCs w:val="24"/>
              </w:rPr>
              <w:t xml:space="preserve"> and maturity of </w:t>
            </w:r>
            <w:r w:rsidR="00517E1B">
              <w:rPr>
                <w:szCs w:val="24"/>
              </w:rPr>
              <w:t xml:space="preserve">fault analysis commensurate </w:t>
            </w:r>
            <w:r w:rsidR="00BF5E9B">
              <w:rPr>
                <w:szCs w:val="24"/>
              </w:rPr>
              <w:t>with the relevant safety case milestone – as set out in response to Action 1.</w:t>
            </w:r>
            <w:r w:rsidR="000B7D44">
              <w:rPr>
                <w:szCs w:val="24"/>
              </w:rPr>
              <w:t xml:space="preserve">  </w:t>
            </w:r>
          </w:p>
          <w:p w14:paraId="1BF94F79" w14:textId="77777777" w:rsidR="00290238" w:rsidRPr="0048438C" w:rsidRDefault="00290238" w:rsidP="006D6237">
            <w:pPr>
              <w:spacing w:before="60" w:after="60"/>
              <w:rPr>
                <w:szCs w:val="24"/>
              </w:rPr>
            </w:pPr>
          </w:p>
          <w:p w14:paraId="2993E5C2" w14:textId="77777777" w:rsidR="00EC409B" w:rsidRPr="0048438C" w:rsidRDefault="00EC409B" w:rsidP="0048438C">
            <w:pPr>
              <w:spacing w:before="60" w:after="60"/>
              <w:rPr>
                <w:b/>
                <w:szCs w:val="24"/>
                <w:u w:val="single"/>
              </w:rPr>
            </w:pPr>
            <w:r w:rsidRPr="0048438C">
              <w:rPr>
                <w:b/>
                <w:szCs w:val="24"/>
                <w:u w:val="single"/>
              </w:rPr>
              <w:t>References</w:t>
            </w:r>
          </w:p>
          <w:p w14:paraId="4BF14E68" w14:textId="36FB1F48" w:rsidR="002E5D79" w:rsidRDefault="00EC409B" w:rsidP="0048438C">
            <w:pPr>
              <w:spacing w:before="60" w:after="60"/>
              <w:rPr>
                <w:szCs w:val="24"/>
              </w:rPr>
            </w:pPr>
            <w:r w:rsidRPr="0048438C">
              <w:rPr>
                <w:szCs w:val="24"/>
              </w:rPr>
              <w:t>[1]</w:t>
            </w:r>
            <w:r w:rsidR="002E5D79">
              <w:rPr>
                <w:szCs w:val="24"/>
              </w:rPr>
              <w:t xml:space="preserve"> </w:t>
            </w:r>
            <w:r w:rsidR="003D4892">
              <w:rPr>
                <w:szCs w:val="24"/>
              </w:rPr>
              <w:t>HI-224</w:t>
            </w:r>
            <w:r w:rsidR="00457D06">
              <w:rPr>
                <w:szCs w:val="24"/>
              </w:rPr>
              <w:t xml:space="preserve">0345 Holtec SMR-300 </w:t>
            </w:r>
            <w:r w:rsidR="002E5D79">
              <w:rPr>
                <w:szCs w:val="24"/>
              </w:rPr>
              <w:t xml:space="preserve">PSR </w:t>
            </w:r>
            <w:r w:rsidR="00457D06">
              <w:rPr>
                <w:szCs w:val="24"/>
              </w:rPr>
              <w:t xml:space="preserve">Part B </w:t>
            </w:r>
            <w:r w:rsidR="002E5D79">
              <w:rPr>
                <w:szCs w:val="24"/>
              </w:rPr>
              <w:t>Chapter 1</w:t>
            </w:r>
            <w:r w:rsidR="001F77CB">
              <w:rPr>
                <w:szCs w:val="24"/>
              </w:rPr>
              <w:t>4</w:t>
            </w:r>
            <w:r w:rsidR="002E5D79">
              <w:rPr>
                <w:szCs w:val="24"/>
              </w:rPr>
              <w:t xml:space="preserve"> </w:t>
            </w:r>
            <w:r w:rsidR="00457D06">
              <w:rPr>
                <w:szCs w:val="24"/>
              </w:rPr>
              <w:t>Safety/Design Basis Accident Analysis</w:t>
            </w:r>
            <w:r w:rsidR="003D12BE">
              <w:rPr>
                <w:szCs w:val="24"/>
              </w:rPr>
              <w:t>, Revision 1, 27 June 2025.</w:t>
            </w:r>
          </w:p>
          <w:p w14:paraId="0F8B96D1" w14:textId="785EEA8F" w:rsidR="002E5D79" w:rsidRDefault="002E5D79" w:rsidP="0048438C">
            <w:pPr>
              <w:spacing w:before="60" w:after="60"/>
              <w:rPr>
                <w:szCs w:val="24"/>
              </w:rPr>
            </w:pPr>
            <w:r>
              <w:rPr>
                <w:szCs w:val="24"/>
              </w:rPr>
              <w:t xml:space="preserve">[2] </w:t>
            </w:r>
            <w:r w:rsidR="00530889">
              <w:rPr>
                <w:szCs w:val="24"/>
              </w:rPr>
              <w:t>HI-244</w:t>
            </w:r>
            <w:r w:rsidR="00D01925">
              <w:rPr>
                <w:szCs w:val="24"/>
              </w:rPr>
              <w:t xml:space="preserve">0346 Holtec SMR-300 PSR Part B Chapter </w:t>
            </w:r>
            <w:r w:rsidR="001F77CB">
              <w:rPr>
                <w:szCs w:val="24"/>
              </w:rPr>
              <w:t>15 S</w:t>
            </w:r>
            <w:r w:rsidR="00D01925">
              <w:rPr>
                <w:szCs w:val="24"/>
              </w:rPr>
              <w:t xml:space="preserve">evere Accident Analysis and </w:t>
            </w:r>
            <w:r w:rsidR="00D01925">
              <w:rPr>
                <w:szCs w:val="24"/>
              </w:rPr>
              <w:lastRenderedPageBreak/>
              <w:t>Emergency Preparedness</w:t>
            </w:r>
            <w:r w:rsidR="00FC4D38">
              <w:rPr>
                <w:szCs w:val="24"/>
              </w:rPr>
              <w:t>, Revision 1, 25 June 2025.</w:t>
            </w:r>
          </w:p>
          <w:p w14:paraId="72F2B5F2" w14:textId="5C7936A4" w:rsidR="001F77CB" w:rsidRDefault="001F77CB" w:rsidP="0048438C">
            <w:pPr>
              <w:spacing w:before="60" w:after="60"/>
              <w:rPr>
                <w:szCs w:val="24"/>
              </w:rPr>
            </w:pPr>
            <w:r>
              <w:rPr>
                <w:szCs w:val="24"/>
              </w:rPr>
              <w:t xml:space="preserve">[3] </w:t>
            </w:r>
            <w:r w:rsidR="009071F4">
              <w:rPr>
                <w:szCs w:val="24"/>
              </w:rPr>
              <w:t>HI-</w:t>
            </w:r>
            <w:r w:rsidR="007519A9">
              <w:rPr>
                <w:szCs w:val="24"/>
              </w:rPr>
              <w:t xml:space="preserve">2240347 Holtec SMR-300 PSR Part B Chapter </w:t>
            </w:r>
            <w:r>
              <w:rPr>
                <w:szCs w:val="24"/>
              </w:rPr>
              <w:t>16 P</w:t>
            </w:r>
            <w:r w:rsidR="007519A9">
              <w:rPr>
                <w:szCs w:val="24"/>
              </w:rPr>
              <w:t xml:space="preserve">robabilistic </w:t>
            </w:r>
            <w:r>
              <w:rPr>
                <w:szCs w:val="24"/>
              </w:rPr>
              <w:t>S</w:t>
            </w:r>
            <w:r w:rsidR="007519A9">
              <w:rPr>
                <w:szCs w:val="24"/>
              </w:rPr>
              <w:t xml:space="preserve">afety </w:t>
            </w:r>
            <w:r>
              <w:rPr>
                <w:szCs w:val="24"/>
              </w:rPr>
              <w:t>A</w:t>
            </w:r>
            <w:r w:rsidR="007519A9">
              <w:rPr>
                <w:szCs w:val="24"/>
              </w:rPr>
              <w:t xml:space="preserve">nalysis, Revision 1, </w:t>
            </w:r>
            <w:r w:rsidR="000C510B">
              <w:rPr>
                <w:szCs w:val="24"/>
              </w:rPr>
              <w:t>26 June 2025.</w:t>
            </w:r>
          </w:p>
          <w:p w14:paraId="19087FEF" w14:textId="1AD4A1ED" w:rsidR="002E230E" w:rsidRDefault="002E230E" w:rsidP="0048438C">
            <w:pPr>
              <w:spacing w:before="60" w:after="60"/>
              <w:rPr>
                <w:szCs w:val="24"/>
              </w:rPr>
            </w:pPr>
            <w:r>
              <w:rPr>
                <w:szCs w:val="24"/>
              </w:rPr>
              <w:t xml:space="preserve">[4] </w:t>
            </w:r>
            <w:r w:rsidR="00A42630">
              <w:rPr>
                <w:szCs w:val="24"/>
              </w:rPr>
              <w:t>HI-</w:t>
            </w:r>
            <w:r w:rsidR="001B7416">
              <w:rPr>
                <w:szCs w:val="24"/>
              </w:rPr>
              <w:t xml:space="preserve">2441323 </w:t>
            </w:r>
            <w:r w:rsidR="00A12ED4">
              <w:rPr>
                <w:szCs w:val="24"/>
              </w:rPr>
              <w:t xml:space="preserve">Preliminary Fault Schedule </w:t>
            </w:r>
            <w:r w:rsidR="001B7416">
              <w:rPr>
                <w:szCs w:val="24"/>
              </w:rPr>
              <w:t>Report, Revision 0.2, 20 December 2024.</w:t>
            </w:r>
          </w:p>
          <w:p w14:paraId="0BC76B59" w14:textId="50708745" w:rsidR="002E230E" w:rsidRDefault="002E230E" w:rsidP="0048438C">
            <w:pPr>
              <w:spacing w:before="60" w:after="60"/>
              <w:rPr>
                <w:szCs w:val="24"/>
              </w:rPr>
            </w:pPr>
            <w:r>
              <w:rPr>
                <w:szCs w:val="24"/>
              </w:rPr>
              <w:t xml:space="preserve">[5] </w:t>
            </w:r>
            <w:r w:rsidR="00571FA7">
              <w:rPr>
                <w:szCs w:val="24"/>
              </w:rPr>
              <w:t xml:space="preserve">HI-2241577 SMR-300 GDA UK </w:t>
            </w:r>
            <w:r w:rsidR="00A12ED4">
              <w:rPr>
                <w:szCs w:val="24"/>
              </w:rPr>
              <w:t>DBAA Summary Report</w:t>
            </w:r>
            <w:r w:rsidR="00571FA7">
              <w:rPr>
                <w:szCs w:val="24"/>
              </w:rPr>
              <w:t>, Revision 0, 14 February 2025.</w:t>
            </w:r>
          </w:p>
          <w:p w14:paraId="50D5D8E4" w14:textId="46C549D2" w:rsidR="00283088" w:rsidRDefault="00283088" w:rsidP="0048438C">
            <w:pPr>
              <w:spacing w:before="60" w:after="60"/>
              <w:rPr>
                <w:szCs w:val="24"/>
              </w:rPr>
            </w:pPr>
            <w:r>
              <w:rPr>
                <w:szCs w:val="24"/>
              </w:rPr>
              <w:t xml:space="preserve">[6] </w:t>
            </w:r>
            <w:r w:rsidR="00F6583C">
              <w:rPr>
                <w:szCs w:val="24"/>
              </w:rPr>
              <w:t xml:space="preserve">HI-2250231 </w:t>
            </w:r>
            <w:r w:rsidR="00450821">
              <w:rPr>
                <w:szCs w:val="24"/>
              </w:rPr>
              <w:t>Design Challenge – Single Failure Criterion in Passive Safety Systems</w:t>
            </w:r>
            <w:r w:rsidR="00F6583C">
              <w:rPr>
                <w:szCs w:val="24"/>
              </w:rPr>
              <w:t xml:space="preserve">, Revision 1, </w:t>
            </w:r>
            <w:r w:rsidR="001B2606">
              <w:rPr>
                <w:szCs w:val="24"/>
              </w:rPr>
              <w:t>16 June 2025.</w:t>
            </w:r>
          </w:p>
          <w:p w14:paraId="00E89210" w14:textId="22AA39A1" w:rsidR="0082547F" w:rsidRDefault="00835F34" w:rsidP="0082547F">
            <w:pPr>
              <w:spacing w:before="60" w:after="60"/>
              <w:rPr>
                <w:szCs w:val="24"/>
              </w:rPr>
            </w:pPr>
            <w:r>
              <w:rPr>
                <w:szCs w:val="24"/>
              </w:rPr>
              <w:t>[</w:t>
            </w:r>
            <w:r w:rsidR="001951F3">
              <w:rPr>
                <w:szCs w:val="24"/>
              </w:rPr>
              <w:t>7</w:t>
            </w:r>
            <w:r>
              <w:rPr>
                <w:szCs w:val="24"/>
              </w:rPr>
              <w:t xml:space="preserve">] </w:t>
            </w:r>
            <w:r w:rsidR="0082547F" w:rsidRPr="0082547F">
              <w:rPr>
                <w:szCs w:val="24"/>
              </w:rPr>
              <w:t>Safety Assessment Principles for Nuclear Facilities 2014 Edition, Rev 1, January 2020.</w:t>
            </w:r>
          </w:p>
          <w:p w14:paraId="709AA823" w14:textId="5A35B6AD" w:rsidR="006D5E65" w:rsidRDefault="006D5E65" w:rsidP="006D5E65">
            <w:pPr>
              <w:spacing w:before="60" w:after="60"/>
              <w:rPr>
                <w:szCs w:val="24"/>
              </w:rPr>
            </w:pPr>
            <w:r>
              <w:rPr>
                <w:szCs w:val="24"/>
              </w:rPr>
              <w:t>[</w:t>
            </w:r>
            <w:r w:rsidR="001951F3">
              <w:rPr>
                <w:szCs w:val="24"/>
              </w:rPr>
              <w:t>8</w:t>
            </w:r>
            <w:r>
              <w:rPr>
                <w:szCs w:val="24"/>
              </w:rPr>
              <w:t xml:space="preserve">] </w:t>
            </w:r>
            <w:r w:rsidRPr="006D5E65">
              <w:rPr>
                <w:szCs w:val="24"/>
              </w:rPr>
              <w:t xml:space="preserve">NS-TAST-GD-006 </w:t>
            </w:r>
            <w:r w:rsidR="0042176D" w:rsidRPr="006D5E65">
              <w:rPr>
                <w:szCs w:val="24"/>
              </w:rPr>
              <w:t>Design Basis Analysis</w:t>
            </w:r>
            <w:r w:rsidR="0042176D">
              <w:rPr>
                <w:szCs w:val="24"/>
              </w:rPr>
              <w:t>,</w:t>
            </w:r>
            <w:r w:rsidR="0042176D" w:rsidRPr="006D5E65">
              <w:rPr>
                <w:szCs w:val="24"/>
              </w:rPr>
              <w:t xml:space="preserve"> </w:t>
            </w:r>
            <w:r w:rsidR="008E3583">
              <w:rPr>
                <w:szCs w:val="24"/>
              </w:rPr>
              <w:t xml:space="preserve">issue 5.1, </w:t>
            </w:r>
            <w:r w:rsidR="0042176D">
              <w:rPr>
                <w:szCs w:val="24"/>
              </w:rPr>
              <w:t>December 2022.</w:t>
            </w:r>
          </w:p>
          <w:p w14:paraId="57B0BA5D" w14:textId="0180EAB7" w:rsidR="004B25DC" w:rsidRPr="006D5E65" w:rsidRDefault="004B25DC" w:rsidP="006D5E65">
            <w:pPr>
              <w:spacing w:before="60" w:after="60"/>
              <w:rPr>
                <w:szCs w:val="24"/>
              </w:rPr>
            </w:pPr>
            <w:r>
              <w:rPr>
                <w:szCs w:val="24"/>
              </w:rPr>
              <w:t>[</w:t>
            </w:r>
            <w:r w:rsidR="001951F3">
              <w:rPr>
                <w:szCs w:val="24"/>
              </w:rPr>
              <w:t>9</w:t>
            </w:r>
            <w:r>
              <w:rPr>
                <w:szCs w:val="24"/>
              </w:rPr>
              <w:t xml:space="preserve">] NS-TAST-GD-007 Severe Accident Analysis, issue </w:t>
            </w:r>
            <w:r w:rsidR="0028618F">
              <w:rPr>
                <w:szCs w:val="24"/>
              </w:rPr>
              <w:t>5.1, December 2022.</w:t>
            </w:r>
          </w:p>
          <w:p w14:paraId="783143EB" w14:textId="1EFDDA9A" w:rsidR="006D5E65" w:rsidRPr="006D5E65" w:rsidRDefault="006D5E65" w:rsidP="006D5E65">
            <w:pPr>
              <w:spacing w:before="60" w:after="60"/>
              <w:rPr>
                <w:szCs w:val="24"/>
              </w:rPr>
            </w:pPr>
            <w:r>
              <w:rPr>
                <w:szCs w:val="24"/>
              </w:rPr>
              <w:t>[</w:t>
            </w:r>
            <w:r w:rsidR="001951F3">
              <w:rPr>
                <w:szCs w:val="24"/>
              </w:rPr>
              <w:t>10</w:t>
            </w:r>
            <w:r>
              <w:rPr>
                <w:szCs w:val="24"/>
              </w:rPr>
              <w:t xml:space="preserve">] </w:t>
            </w:r>
            <w:r w:rsidRPr="006D5E65">
              <w:rPr>
                <w:szCs w:val="24"/>
              </w:rPr>
              <w:t>NS-TAST-GD-075 Safety of Nuclear Fuel in Power Reactors</w:t>
            </w:r>
            <w:r w:rsidR="003636F3">
              <w:rPr>
                <w:szCs w:val="24"/>
              </w:rPr>
              <w:t>, issue 3.1, December 2022</w:t>
            </w:r>
            <w:r w:rsidR="005579C8">
              <w:rPr>
                <w:szCs w:val="24"/>
              </w:rPr>
              <w:t>.</w:t>
            </w:r>
          </w:p>
          <w:p w14:paraId="55D5B5FA" w14:textId="48CA6D5B" w:rsidR="005F4775" w:rsidRDefault="006D5E65" w:rsidP="006D5E65">
            <w:pPr>
              <w:spacing w:before="60" w:after="60"/>
              <w:rPr>
                <w:szCs w:val="24"/>
              </w:rPr>
            </w:pPr>
            <w:r>
              <w:rPr>
                <w:szCs w:val="24"/>
              </w:rPr>
              <w:t>[</w:t>
            </w:r>
            <w:r w:rsidR="001951F3">
              <w:rPr>
                <w:szCs w:val="24"/>
              </w:rPr>
              <w:t>11</w:t>
            </w:r>
            <w:r>
              <w:rPr>
                <w:szCs w:val="24"/>
              </w:rPr>
              <w:t>] NS-TAST-GD-094 Categorisation of Safety Functions and Classification of Structures, Systems and Components (SSCs)</w:t>
            </w:r>
            <w:r w:rsidR="00711A3C">
              <w:rPr>
                <w:szCs w:val="24"/>
              </w:rPr>
              <w:t xml:space="preserve">, </w:t>
            </w:r>
            <w:r w:rsidR="009D5639">
              <w:rPr>
                <w:szCs w:val="24"/>
              </w:rPr>
              <w:t>issue 2.1, May 2025.</w:t>
            </w:r>
          </w:p>
          <w:p w14:paraId="3D7398CD" w14:textId="12147654" w:rsidR="00991867" w:rsidRPr="00991867" w:rsidRDefault="00FC62EF" w:rsidP="00991867">
            <w:pPr>
              <w:spacing w:before="60" w:after="60"/>
              <w:rPr>
                <w:szCs w:val="24"/>
              </w:rPr>
            </w:pPr>
            <w:r>
              <w:rPr>
                <w:szCs w:val="24"/>
              </w:rPr>
              <w:t>[</w:t>
            </w:r>
            <w:r w:rsidR="001951F3">
              <w:rPr>
                <w:szCs w:val="24"/>
              </w:rPr>
              <w:t>12</w:t>
            </w:r>
            <w:r>
              <w:rPr>
                <w:szCs w:val="24"/>
              </w:rPr>
              <w:t xml:space="preserve">] IAEA </w:t>
            </w:r>
            <w:r w:rsidR="00991867" w:rsidRPr="00991867">
              <w:rPr>
                <w:szCs w:val="24"/>
              </w:rPr>
              <w:t>GSR Part 4 Safety Assessment for Facilities and Activities</w:t>
            </w:r>
            <w:r>
              <w:rPr>
                <w:szCs w:val="24"/>
              </w:rPr>
              <w:t>, Rev 1, 2016.</w:t>
            </w:r>
          </w:p>
          <w:p w14:paraId="7E710B08" w14:textId="4C9A258C" w:rsidR="00E42624" w:rsidRDefault="00991867" w:rsidP="00E42624">
            <w:pPr>
              <w:spacing w:before="60" w:after="60"/>
              <w:rPr>
                <w:szCs w:val="24"/>
              </w:rPr>
            </w:pPr>
            <w:r>
              <w:rPr>
                <w:szCs w:val="24"/>
              </w:rPr>
              <w:t>[</w:t>
            </w:r>
            <w:r w:rsidR="001951F3">
              <w:rPr>
                <w:szCs w:val="24"/>
              </w:rPr>
              <w:t>13</w:t>
            </w:r>
            <w:r w:rsidRPr="00835F34">
              <w:rPr>
                <w:szCs w:val="24"/>
              </w:rPr>
              <w:t>] IAEA SSR-2/1 Safety of Nuclear Power Plants: Design, Rev 1, 2016.</w:t>
            </w:r>
          </w:p>
          <w:p w14:paraId="6F17C1CE" w14:textId="53E23DA1" w:rsidR="00991867" w:rsidRPr="00E42624" w:rsidRDefault="00E42624" w:rsidP="00E42624">
            <w:pPr>
              <w:spacing w:before="60" w:after="60"/>
              <w:rPr>
                <w:szCs w:val="24"/>
              </w:rPr>
            </w:pPr>
            <w:r>
              <w:rPr>
                <w:szCs w:val="24"/>
              </w:rPr>
              <w:t>[</w:t>
            </w:r>
            <w:r w:rsidR="001951F3">
              <w:rPr>
                <w:szCs w:val="24"/>
              </w:rPr>
              <w:t>14</w:t>
            </w:r>
            <w:r>
              <w:rPr>
                <w:szCs w:val="24"/>
              </w:rPr>
              <w:t xml:space="preserve">] IAEA </w:t>
            </w:r>
            <w:r w:rsidR="00991867" w:rsidRPr="00E42624">
              <w:rPr>
                <w:szCs w:val="24"/>
              </w:rPr>
              <w:t>SSG-2 Deterministic Safety Analysis for Nuclear Power Plants</w:t>
            </w:r>
            <w:r>
              <w:rPr>
                <w:szCs w:val="24"/>
              </w:rPr>
              <w:t>, Rev 1, 2019.</w:t>
            </w:r>
          </w:p>
          <w:p w14:paraId="757C7D3F" w14:textId="546A9888" w:rsidR="00991867" w:rsidRPr="003B0D35" w:rsidRDefault="003B0D35" w:rsidP="003B0D35">
            <w:pPr>
              <w:spacing w:before="60" w:after="60"/>
              <w:rPr>
                <w:szCs w:val="24"/>
              </w:rPr>
            </w:pPr>
            <w:r>
              <w:rPr>
                <w:szCs w:val="24"/>
              </w:rPr>
              <w:t>[</w:t>
            </w:r>
            <w:r w:rsidR="001951F3">
              <w:rPr>
                <w:szCs w:val="24"/>
              </w:rPr>
              <w:t>15</w:t>
            </w:r>
            <w:r>
              <w:rPr>
                <w:szCs w:val="24"/>
              </w:rPr>
              <w:t xml:space="preserve">] IAEA </w:t>
            </w:r>
            <w:r w:rsidR="00991867" w:rsidRPr="003B0D35">
              <w:rPr>
                <w:szCs w:val="24"/>
              </w:rPr>
              <w:t xml:space="preserve">SSG-88 </w:t>
            </w:r>
            <w:r w:rsidR="00CF5ABF">
              <w:rPr>
                <w:szCs w:val="24"/>
              </w:rPr>
              <w:t>–</w:t>
            </w:r>
            <w:r w:rsidR="00991867" w:rsidRPr="003B0D35">
              <w:rPr>
                <w:szCs w:val="24"/>
              </w:rPr>
              <w:t xml:space="preserve"> Design Extension Conditions and the Concept of Practical Elimination in the Design of Nuclear Power Plants</w:t>
            </w:r>
            <w:r>
              <w:rPr>
                <w:szCs w:val="24"/>
              </w:rPr>
              <w:t>, 2024.</w:t>
            </w:r>
          </w:p>
          <w:p w14:paraId="43DDCB2E" w14:textId="48DD8EB6" w:rsidR="00991867" w:rsidRPr="008D202E" w:rsidRDefault="008D202E" w:rsidP="008D202E">
            <w:pPr>
              <w:spacing w:before="60" w:after="60"/>
              <w:rPr>
                <w:szCs w:val="24"/>
              </w:rPr>
            </w:pPr>
            <w:r>
              <w:rPr>
                <w:szCs w:val="24"/>
              </w:rPr>
              <w:t>[</w:t>
            </w:r>
            <w:r w:rsidR="001951F3">
              <w:rPr>
                <w:szCs w:val="24"/>
              </w:rPr>
              <w:t>16</w:t>
            </w:r>
            <w:r>
              <w:rPr>
                <w:szCs w:val="24"/>
              </w:rPr>
              <w:t xml:space="preserve">] IAEA </w:t>
            </w:r>
            <w:r w:rsidR="00991867" w:rsidRPr="008D202E">
              <w:rPr>
                <w:szCs w:val="24"/>
              </w:rPr>
              <w:t xml:space="preserve">SSG-30 </w:t>
            </w:r>
            <w:r w:rsidR="00CF5ABF">
              <w:rPr>
                <w:szCs w:val="24"/>
              </w:rPr>
              <w:t>–</w:t>
            </w:r>
            <w:r w:rsidR="00991867" w:rsidRPr="008D202E">
              <w:rPr>
                <w:szCs w:val="24"/>
              </w:rPr>
              <w:t xml:space="preserve"> Safety Classification of Structures, Systems and Components in Nuclear Power Plants</w:t>
            </w:r>
            <w:r w:rsidRPr="008D202E">
              <w:rPr>
                <w:szCs w:val="24"/>
              </w:rPr>
              <w:t>, 2014.</w:t>
            </w:r>
          </w:p>
          <w:p w14:paraId="2EC86FC4" w14:textId="64376641" w:rsidR="00991867" w:rsidRDefault="001E60FA" w:rsidP="001E60FA">
            <w:pPr>
              <w:spacing w:before="60" w:after="60"/>
              <w:rPr>
                <w:szCs w:val="24"/>
              </w:rPr>
            </w:pPr>
            <w:r>
              <w:rPr>
                <w:szCs w:val="24"/>
              </w:rPr>
              <w:t>[</w:t>
            </w:r>
            <w:r w:rsidR="001951F3">
              <w:rPr>
                <w:szCs w:val="24"/>
              </w:rPr>
              <w:t>17</w:t>
            </w:r>
            <w:r>
              <w:rPr>
                <w:szCs w:val="24"/>
              </w:rPr>
              <w:t xml:space="preserve">] IAEA </w:t>
            </w:r>
            <w:r w:rsidR="00991867" w:rsidRPr="001E60FA">
              <w:rPr>
                <w:szCs w:val="24"/>
              </w:rPr>
              <w:t>SSG-61 Format and Content of the Safety Analysis Report for Nuclear Power Plants</w:t>
            </w:r>
            <w:r>
              <w:rPr>
                <w:szCs w:val="24"/>
              </w:rPr>
              <w:t xml:space="preserve">, </w:t>
            </w:r>
            <w:r w:rsidR="00EE4508">
              <w:rPr>
                <w:szCs w:val="24"/>
              </w:rPr>
              <w:t>2021.</w:t>
            </w:r>
          </w:p>
          <w:p w14:paraId="42E86A9A" w14:textId="7166AC9C" w:rsidR="00140231" w:rsidRDefault="00264F5A" w:rsidP="00140231">
            <w:pPr>
              <w:spacing w:before="60" w:after="60"/>
              <w:rPr>
                <w:szCs w:val="24"/>
              </w:rPr>
            </w:pPr>
            <w:r>
              <w:rPr>
                <w:szCs w:val="24"/>
              </w:rPr>
              <w:t>[</w:t>
            </w:r>
            <w:r w:rsidR="001951F3">
              <w:rPr>
                <w:szCs w:val="24"/>
              </w:rPr>
              <w:t>18</w:t>
            </w:r>
            <w:r>
              <w:rPr>
                <w:szCs w:val="24"/>
              </w:rPr>
              <w:t xml:space="preserve">] </w:t>
            </w:r>
            <w:r w:rsidRPr="00264F5A">
              <w:rPr>
                <w:szCs w:val="24"/>
              </w:rPr>
              <w:t xml:space="preserve">WENRA </w:t>
            </w:r>
            <w:r w:rsidR="00542D08">
              <w:rPr>
                <w:szCs w:val="24"/>
              </w:rPr>
              <w:t xml:space="preserve">Safety </w:t>
            </w:r>
            <w:r w:rsidRPr="00264F5A">
              <w:rPr>
                <w:szCs w:val="24"/>
              </w:rPr>
              <w:t>Reference Level</w:t>
            </w:r>
            <w:r w:rsidR="00542D08">
              <w:rPr>
                <w:szCs w:val="24"/>
              </w:rPr>
              <w:t xml:space="preserve">s for Existing Reactors 2020, </w:t>
            </w:r>
            <w:r w:rsidR="00140231">
              <w:rPr>
                <w:szCs w:val="24"/>
              </w:rPr>
              <w:t>February</w:t>
            </w:r>
            <w:r w:rsidR="00542D08">
              <w:rPr>
                <w:szCs w:val="24"/>
              </w:rPr>
              <w:t xml:space="preserve"> 2021</w:t>
            </w:r>
            <w:r w:rsidR="00140231">
              <w:rPr>
                <w:szCs w:val="24"/>
              </w:rPr>
              <w:t>.</w:t>
            </w:r>
          </w:p>
          <w:p w14:paraId="4573E048" w14:textId="499AAE31" w:rsidR="007E51B2" w:rsidRPr="0048438C" w:rsidRDefault="00F85E18" w:rsidP="007E51B2">
            <w:pPr>
              <w:spacing w:before="60" w:after="60"/>
              <w:rPr>
                <w:szCs w:val="24"/>
              </w:rPr>
            </w:pPr>
            <w:r>
              <w:rPr>
                <w:szCs w:val="24"/>
              </w:rPr>
              <w:t>[</w:t>
            </w:r>
            <w:r w:rsidR="001951F3">
              <w:rPr>
                <w:szCs w:val="24"/>
              </w:rPr>
              <w:t>19</w:t>
            </w:r>
            <w:r>
              <w:rPr>
                <w:szCs w:val="24"/>
              </w:rPr>
              <w:t xml:space="preserve">] </w:t>
            </w:r>
            <w:r w:rsidR="00264F5A">
              <w:rPr>
                <w:szCs w:val="24"/>
              </w:rPr>
              <w:t xml:space="preserve">WENRA report </w:t>
            </w:r>
            <w:r>
              <w:rPr>
                <w:szCs w:val="24"/>
              </w:rPr>
              <w:t>S</w:t>
            </w:r>
            <w:r w:rsidR="00264F5A">
              <w:rPr>
                <w:szCs w:val="24"/>
              </w:rPr>
              <w:t>afety of new NPP designs</w:t>
            </w:r>
            <w:r>
              <w:rPr>
                <w:szCs w:val="24"/>
              </w:rPr>
              <w:t>, March 2013.</w:t>
            </w:r>
          </w:p>
        </w:tc>
      </w:tr>
      <w:tr w:rsidR="00850471" w:rsidRPr="00581D5B" w14:paraId="4573E04B" w14:textId="77777777" w:rsidTr="1A911F27">
        <w:tc>
          <w:tcPr>
            <w:tcW w:w="9897" w:type="dxa"/>
            <w:gridSpan w:val="2"/>
            <w:shd w:val="clear" w:color="auto" w:fill="D9D9D9" w:themeFill="background1" w:themeFillShade="D9"/>
          </w:tcPr>
          <w:p w14:paraId="4573E04A" w14:textId="2727E260" w:rsidR="00850471" w:rsidRPr="00581D5B" w:rsidRDefault="00581D5B" w:rsidP="0048438C">
            <w:pPr>
              <w:spacing w:before="60" w:after="60"/>
              <w:rPr>
                <w:b/>
                <w:iCs/>
                <w:szCs w:val="24"/>
              </w:rPr>
            </w:pPr>
            <w:r w:rsidRPr="00581D5B">
              <w:rPr>
                <w:b/>
                <w:iCs/>
                <w:szCs w:val="24"/>
              </w:rPr>
              <w:lastRenderedPageBreak/>
              <w:t>REGULATORY OBSERVATION ACTIONS</w:t>
            </w:r>
          </w:p>
        </w:tc>
      </w:tr>
      <w:tr w:rsidR="00CD0985" w:rsidRPr="0048438C" w14:paraId="564A9E40" w14:textId="77777777" w:rsidTr="1A911F27">
        <w:trPr>
          <w:trHeight w:val="242"/>
        </w:trPr>
        <w:tc>
          <w:tcPr>
            <w:tcW w:w="9897" w:type="dxa"/>
            <w:gridSpan w:val="2"/>
          </w:tcPr>
          <w:p w14:paraId="75319E02" w14:textId="0103B200" w:rsidR="0055760B" w:rsidRDefault="007706DF" w:rsidP="003C67DB">
            <w:pPr>
              <w:spacing w:before="60" w:after="60"/>
              <w:rPr>
                <w:b/>
                <w:bCs/>
              </w:rPr>
            </w:pPr>
            <w:r w:rsidRPr="5BA54A8C">
              <w:rPr>
                <w:b/>
                <w:bCs/>
              </w:rPr>
              <w:t xml:space="preserve">RO-HOLTECSMR300-011.A1 </w:t>
            </w:r>
            <w:r w:rsidR="001379CE" w:rsidRPr="5BA54A8C">
              <w:rPr>
                <w:b/>
                <w:bCs/>
              </w:rPr>
              <w:t>–</w:t>
            </w:r>
            <w:r w:rsidR="00CD0985" w:rsidRPr="5BA54A8C">
              <w:rPr>
                <w:b/>
                <w:bCs/>
              </w:rPr>
              <w:t xml:space="preserve"> </w:t>
            </w:r>
            <w:r w:rsidR="004D4783" w:rsidRPr="5BA54A8C">
              <w:rPr>
                <w:b/>
                <w:bCs/>
              </w:rPr>
              <w:t xml:space="preserve">Provide </w:t>
            </w:r>
            <w:r w:rsidR="00D90B45">
              <w:rPr>
                <w:b/>
                <w:bCs/>
              </w:rPr>
              <w:t xml:space="preserve">fault analysis methodologies </w:t>
            </w:r>
            <w:r w:rsidR="002735F9">
              <w:rPr>
                <w:b/>
                <w:bCs/>
              </w:rPr>
              <w:t xml:space="preserve">and a strategy for </w:t>
            </w:r>
            <w:r w:rsidR="00E85BD1">
              <w:rPr>
                <w:b/>
                <w:bCs/>
              </w:rPr>
              <w:t>further development of the fault analysis.</w:t>
            </w:r>
          </w:p>
          <w:p w14:paraId="265A06DE" w14:textId="77777777" w:rsidR="00C54828" w:rsidRDefault="00C54828" w:rsidP="00C54828">
            <w:pPr>
              <w:spacing w:before="60" w:after="60"/>
              <w:rPr>
                <w:noProof/>
                <w:szCs w:val="24"/>
              </w:rPr>
            </w:pPr>
          </w:p>
          <w:p w14:paraId="0E003D02" w14:textId="5589E66F" w:rsidR="00C54828" w:rsidRPr="0048438C" w:rsidRDefault="00C54828" w:rsidP="00C54828">
            <w:pPr>
              <w:spacing w:before="60" w:after="60"/>
              <w:rPr>
                <w:noProof/>
                <w:szCs w:val="24"/>
                <w:highlight w:val="yellow"/>
              </w:rPr>
            </w:pPr>
            <w:r w:rsidRPr="0048438C">
              <w:rPr>
                <w:noProof/>
                <w:szCs w:val="24"/>
              </w:rPr>
              <w:t xml:space="preserve">In response to this Regulatory Observation Action, </w:t>
            </w:r>
            <w:r>
              <w:rPr>
                <w:noProof/>
                <w:szCs w:val="24"/>
              </w:rPr>
              <w:t>Holtec</w:t>
            </w:r>
            <w:r w:rsidRPr="0048438C">
              <w:rPr>
                <w:noProof/>
                <w:szCs w:val="24"/>
              </w:rPr>
              <w:t xml:space="preserve"> should:</w:t>
            </w:r>
          </w:p>
          <w:p w14:paraId="6400CE89" w14:textId="3BCE9BBC" w:rsidR="00C54828" w:rsidRDefault="00C54828" w:rsidP="003C67DB">
            <w:pPr>
              <w:spacing w:before="60" w:after="60"/>
              <w:rPr>
                <w:b/>
                <w:noProof/>
                <w:szCs w:val="24"/>
              </w:rPr>
            </w:pPr>
          </w:p>
          <w:p w14:paraId="095EB500" w14:textId="75241829" w:rsidR="004979FF" w:rsidRPr="004979FF" w:rsidRDefault="004911D4" w:rsidP="00686893">
            <w:pPr>
              <w:spacing w:before="60" w:after="60"/>
            </w:pPr>
            <w:r>
              <w:t xml:space="preserve">Provide </w:t>
            </w:r>
            <w:r w:rsidR="00DB2A2D" w:rsidRPr="5BA54A8C">
              <w:t>fault analysis methodologies</w:t>
            </w:r>
            <w:r w:rsidR="00686893">
              <w:t xml:space="preserve"> and </w:t>
            </w:r>
            <w:r>
              <w:t>a strategy for the f</w:t>
            </w:r>
            <w:r w:rsidR="00170C7A">
              <w:t>urther d</w:t>
            </w:r>
            <w:r w:rsidR="004979FF">
              <w:t>evelop</w:t>
            </w:r>
            <w:r>
              <w:t>ment of</w:t>
            </w:r>
            <w:r w:rsidR="004979FF">
              <w:t xml:space="preserve"> the fault analysis for the SMR-300</w:t>
            </w:r>
            <w:r w:rsidR="00CB7DC0">
              <w:t xml:space="preserve"> </w:t>
            </w:r>
            <w:r w:rsidR="004E5936">
              <w:t>in-line with regulatory expectations</w:t>
            </w:r>
            <w:r w:rsidR="004979FF">
              <w:t xml:space="preserve"> </w:t>
            </w:r>
            <w:r w:rsidR="00864B94">
              <w:t xml:space="preserve">and </w:t>
            </w:r>
            <w:r w:rsidR="00E74C83">
              <w:t>consistent with</w:t>
            </w:r>
            <w:r w:rsidR="006B42BD">
              <w:t xml:space="preserve"> future safety case </w:t>
            </w:r>
            <w:r w:rsidR="00E74C83">
              <w:t xml:space="preserve">and design development </w:t>
            </w:r>
            <w:r w:rsidR="006B42BD">
              <w:t>milestones</w:t>
            </w:r>
            <w:r w:rsidR="00B3665B">
              <w:t>. This should include</w:t>
            </w:r>
            <w:r w:rsidR="00E655BF">
              <w:t>:</w:t>
            </w:r>
          </w:p>
          <w:p w14:paraId="5BAA4725" w14:textId="17016F35" w:rsidR="00E655BF" w:rsidRDefault="006C4F5A" w:rsidP="00E655BF">
            <w:pPr>
              <w:pStyle w:val="ListParagraph"/>
              <w:numPr>
                <w:ilvl w:val="0"/>
                <w:numId w:val="28"/>
              </w:numPr>
              <w:spacing w:before="60" w:after="60"/>
              <w:rPr>
                <w:bCs/>
                <w:noProof/>
                <w:szCs w:val="24"/>
              </w:rPr>
            </w:pPr>
            <w:r>
              <w:rPr>
                <w:bCs/>
                <w:noProof/>
                <w:szCs w:val="24"/>
              </w:rPr>
              <w:t>h</w:t>
            </w:r>
            <w:r w:rsidR="00E655BF" w:rsidRPr="00E655BF">
              <w:rPr>
                <w:bCs/>
                <w:noProof/>
                <w:szCs w:val="24"/>
              </w:rPr>
              <w:t>azard and f</w:t>
            </w:r>
            <w:r w:rsidR="007225EF" w:rsidRPr="00E655BF">
              <w:rPr>
                <w:bCs/>
                <w:noProof/>
                <w:szCs w:val="24"/>
              </w:rPr>
              <w:t>ault i</w:t>
            </w:r>
            <w:r w:rsidR="00E655BF" w:rsidRPr="00E655BF">
              <w:rPr>
                <w:bCs/>
                <w:noProof/>
                <w:szCs w:val="24"/>
              </w:rPr>
              <w:t>dentification</w:t>
            </w:r>
            <w:r w:rsidR="007225EF" w:rsidRPr="00E655BF">
              <w:rPr>
                <w:bCs/>
                <w:noProof/>
                <w:szCs w:val="24"/>
              </w:rPr>
              <w:t xml:space="preserve">, </w:t>
            </w:r>
          </w:p>
          <w:p w14:paraId="1CD48DAB" w14:textId="532594A5" w:rsidR="00E655BF" w:rsidRDefault="002B38DB" w:rsidP="00E655BF">
            <w:pPr>
              <w:pStyle w:val="ListParagraph"/>
              <w:numPr>
                <w:ilvl w:val="0"/>
                <w:numId w:val="28"/>
              </w:numPr>
              <w:spacing w:before="60" w:after="60"/>
              <w:rPr>
                <w:bCs/>
                <w:noProof/>
                <w:szCs w:val="24"/>
              </w:rPr>
            </w:pPr>
            <w:r>
              <w:rPr>
                <w:bCs/>
                <w:noProof/>
                <w:szCs w:val="24"/>
              </w:rPr>
              <w:t>d</w:t>
            </w:r>
            <w:r w:rsidR="00E655BF">
              <w:rPr>
                <w:bCs/>
                <w:noProof/>
                <w:szCs w:val="24"/>
              </w:rPr>
              <w:t xml:space="preserve">esign </w:t>
            </w:r>
            <w:r>
              <w:rPr>
                <w:bCs/>
                <w:noProof/>
                <w:szCs w:val="24"/>
              </w:rPr>
              <w:t>b</w:t>
            </w:r>
            <w:r w:rsidR="00E655BF">
              <w:rPr>
                <w:bCs/>
                <w:noProof/>
                <w:szCs w:val="24"/>
              </w:rPr>
              <w:t xml:space="preserve">asis </w:t>
            </w:r>
            <w:r>
              <w:rPr>
                <w:bCs/>
                <w:noProof/>
                <w:szCs w:val="24"/>
              </w:rPr>
              <w:t>a</w:t>
            </w:r>
            <w:r w:rsidR="00E655BF">
              <w:rPr>
                <w:bCs/>
                <w:noProof/>
                <w:szCs w:val="24"/>
              </w:rPr>
              <w:t>nalysis</w:t>
            </w:r>
            <w:r w:rsidR="007225EF" w:rsidRPr="00E655BF">
              <w:rPr>
                <w:bCs/>
                <w:noProof/>
                <w:szCs w:val="24"/>
              </w:rPr>
              <w:t xml:space="preserve">, </w:t>
            </w:r>
          </w:p>
          <w:p w14:paraId="0C9D47E5" w14:textId="60B77A04" w:rsidR="004E1368" w:rsidRDefault="002B38DB" w:rsidP="00E655BF">
            <w:pPr>
              <w:pStyle w:val="ListParagraph"/>
              <w:numPr>
                <w:ilvl w:val="0"/>
                <w:numId w:val="28"/>
              </w:numPr>
              <w:spacing w:before="60" w:after="60"/>
              <w:rPr>
                <w:bCs/>
                <w:noProof/>
                <w:szCs w:val="24"/>
              </w:rPr>
            </w:pPr>
            <w:r>
              <w:rPr>
                <w:bCs/>
                <w:noProof/>
                <w:szCs w:val="24"/>
              </w:rPr>
              <w:t>p</w:t>
            </w:r>
            <w:r w:rsidR="004E1368">
              <w:rPr>
                <w:bCs/>
                <w:noProof/>
                <w:szCs w:val="24"/>
              </w:rPr>
              <w:t xml:space="preserve">robabilistic </w:t>
            </w:r>
            <w:r>
              <w:rPr>
                <w:bCs/>
                <w:noProof/>
                <w:szCs w:val="24"/>
              </w:rPr>
              <w:t>s</w:t>
            </w:r>
            <w:r w:rsidR="004E1368">
              <w:rPr>
                <w:bCs/>
                <w:noProof/>
                <w:szCs w:val="24"/>
              </w:rPr>
              <w:t xml:space="preserve">afety </w:t>
            </w:r>
            <w:r>
              <w:rPr>
                <w:bCs/>
                <w:noProof/>
                <w:szCs w:val="24"/>
              </w:rPr>
              <w:t>a</w:t>
            </w:r>
            <w:r w:rsidR="004E1368">
              <w:rPr>
                <w:bCs/>
                <w:noProof/>
                <w:szCs w:val="24"/>
              </w:rPr>
              <w:t>ssessment</w:t>
            </w:r>
            <w:r w:rsidR="00B7035F">
              <w:rPr>
                <w:bCs/>
                <w:noProof/>
                <w:szCs w:val="24"/>
              </w:rPr>
              <w:t xml:space="preserve"> (</w:t>
            </w:r>
            <w:r w:rsidR="00667710">
              <w:rPr>
                <w:bCs/>
                <w:noProof/>
                <w:szCs w:val="24"/>
              </w:rPr>
              <w:t xml:space="preserve">note that </w:t>
            </w:r>
            <w:r w:rsidR="00B7035F">
              <w:rPr>
                <w:bCs/>
                <w:noProof/>
                <w:szCs w:val="24"/>
              </w:rPr>
              <w:t xml:space="preserve">PSA methods </w:t>
            </w:r>
            <w:r w:rsidR="00667710">
              <w:rPr>
                <w:bCs/>
                <w:noProof/>
                <w:szCs w:val="24"/>
              </w:rPr>
              <w:t xml:space="preserve">are also </w:t>
            </w:r>
            <w:r w:rsidR="00B7035F">
              <w:rPr>
                <w:bCs/>
                <w:noProof/>
                <w:szCs w:val="24"/>
              </w:rPr>
              <w:t>covered by RO-</w:t>
            </w:r>
            <w:r w:rsidR="00647224">
              <w:rPr>
                <w:bCs/>
                <w:noProof/>
                <w:szCs w:val="24"/>
              </w:rPr>
              <w:t>HOLTECSMR300-</w:t>
            </w:r>
            <w:r w:rsidR="00B7035F">
              <w:rPr>
                <w:bCs/>
                <w:noProof/>
                <w:szCs w:val="24"/>
              </w:rPr>
              <w:t>010)</w:t>
            </w:r>
            <w:r w:rsidR="004E1368">
              <w:rPr>
                <w:bCs/>
                <w:noProof/>
                <w:szCs w:val="24"/>
              </w:rPr>
              <w:t>,</w:t>
            </w:r>
          </w:p>
          <w:p w14:paraId="2C12CB4A" w14:textId="3C3357E1" w:rsidR="004E1368" w:rsidRDefault="002B38DB" w:rsidP="00E655BF">
            <w:pPr>
              <w:pStyle w:val="ListParagraph"/>
              <w:numPr>
                <w:ilvl w:val="0"/>
                <w:numId w:val="28"/>
              </w:numPr>
              <w:spacing w:before="60" w:after="60"/>
              <w:rPr>
                <w:bCs/>
                <w:noProof/>
                <w:szCs w:val="24"/>
              </w:rPr>
            </w:pPr>
            <w:r>
              <w:rPr>
                <w:bCs/>
                <w:noProof/>
                <w:szCs w:val="24"/>
              </w:rPr>
              <w:t>s</w:t>
            </w:r>
            <w:r w:rsidR="004E1368">
              <w:rPr>
                <w:bCs/>
                <w:noProof/>
                <w:szCs w:val="24"/>
              </w:rPr>
              <w:t xml:space="preserve">evere </w:t>
            </w:r>
            <w:r>
              <w:rPr>
                <w:bCs/>
                <w:noProof/>
                <w:szCs w:val="24"/>
              </w:rPr>
              <w:t>a</w:t>
            </w:r>
            <w:r w:rsidR="004E1368">
              <w:rPr>
                <w:bCs/>
                <w:noProof/>
                <w:szCs w:val="24"/>
              </w:rPr>
              <w:t xml:space="preserve">ccident </w:t>
            </w:r>
            <w:r>
              <w:rPr>
                <w:bCs/>
                <w:noProof/>
                <w:szCs w:val="24"/>
              </w:rPr>
              <w:t>a</w:t>
            </w:r>
            <w:r w:rsidR="004E1368">
              <w:rPr>
                <w:bCs/>
                <w:noProof/>
                <w:szCs w:val="24"/>
              </w:rPr>
              <w:t>nalysis</w:t>
            </w:r>
            <w:r w:rsidR="007225EF" w:rsidRPr="00E655BF">
              <w:rPr>
                <w:bCs/>
                <w:noProof/>
                <w:szCs w:val="24"/>
              </w:rPr>
              <w:t xml:space="preserve">, </w:t>
            </w:r>
          </w:p>
          <w:p w14:paraId="0219FCBF" w14:textId="18BF3905" w:rsidR="005312E7" w:rsidRDefault="006C4F5A" w:rsidP="07EF7BD2">
            <w:pPr>
              <w:pStyle w:val="ListParagraph"/>
              <w:numPr>
                <w:ilvl w:val="0"/>
                <w:numId w:val="28"/>
              </w:numPr>
              <w:spacing w:before="60" w:after="60"/>
              <w:rPr>
                <w:noProof/>
              </w:rPr>
            </w:pPr>
            <w:r w:rsidRPr="07EF7BD2">
              <w:rPr>
                <w:noProof/>
              </w:rPr>
              <w:t>s</w:t>
            </w:r>
            <w:r w:rsidR="004E1368" w:rsidRPr="07EF7BD2">
              <w:rPr>
                <w:noProof/>
              </w:rPr>
              <w:t xml:space="preserve">afety </w:t>
            </w:r>
            <w:r w:rsidRPr="07EF7BD2">
              <w:rPr>
                <w:noProof/>
              </w:rPr>
              <w:t>f</w:t>
            </w:r>
            <w:r w:rsidR="004E1368" w:rsidRPr="07EF7BD2">
              <w:rPr>
                <w:noProof/>
              </w:rPr>
              <w:t xml:space="preserve">unction </w:t>
            </w:r>
            <w:r w:rsidRPr="07EF7BD2">
              <w:rPr>
                <w:noProof/>
              </w:rPr>
              <w:t>c</w:t>
            </w:r>
            <w:r w:rsidR="007225EF" w:rsidRPr="07EF7BD2">
              <w:rPr>
                <w:noProof/>
              </w:rPr>
              <w:t>at</w:t>
            </w:r>
            <w:r w:rsidR="004E1368" w:rsidRPr="07EF7BD2">
              <w:rPr>
                <w:noProof/>
              </w:rPr>
              <w:t xml:space="preserve">egorisation </w:t>
            </w:r>
            <w:r w:rsidR="007225EF" w:rsidRPr="07EF7BD2">
              <w:rPr>
                <w:noProof/>
              </w:rPr>
              <w:t>&amp;</w:t>
            </w:r>
            <w:r w:rsidR="004E1368" w:rsidRPr="07EF7BD2">
              <w:rPr>
                <w:noProof/>
              </w:rPr>
              <w:t xml:space="preserve"> </w:t>
            </w:r>
            <w:r w:rsidRPr="07EF7BD2">
              <w:rPr>
                <w:noProof/>
              </w:rPr>
              <w:t>s</w:t>
            </w:r>
            <w:r w:rsidR="004E1368" w:rsidRPr="07EF7BD2">
              <w:rPr>
                <w:noProof/>
              </w:rPr>
              <w:t xml:space="preserve">afety </w:t>
            </w:r>
            <w:r w:rsidRPr="07EF7BD2">
              <w:rPr>
                <w:noProof/>
              </w:rPr>
              <w:t>c</w:t>
            </w:r>
            <w:r w:rsidR="007225EF" w:rsidRPr="07EF7BD2">
              <w:rPr>
                <w:noProof/>
              </w:rPr>
              <w:t>lass</w:t>
            </w:r>
            <w:r w:rsidR="005312E7" w:rsidRPr="07EF7BD2">
              <w:rPr>
                <w:noProof/>
              </w:rPr>
              <w:t xml:space="preserve">ification of </w:t>
            </w:r>
            <w:r w:rsidRPr="07EF7BD2">
              <w:rPr>
                <w:noProof/>
              </w:rPr>
              <w:t>s</w:t>
            </w:r>
            <w:r w:rsidR="005312E7" w:rsidRPr="07EF7BD2">
              <w:rPr>
                <w:noProof/>
              </w:rPr>
              <w:t xml:space="preserve">tructures, </w:t>
            </w:r>
            <w:r w:rsidRPr="07EF7BD2">
              <w:rPr>
                <w:noProof/>
              </w:rPr>
              <w:t>s</w:t>
            </w:r>
            <w:r w:rsidR="005312E7" w:rsidRPr="07EF7BD2">
              <w:rPr>
                <w:noProof/>
              </w:rPr>
              <w:t xml:space="preserve">ystems, and </w:t>
            </w:r>
            <w:r w:rsidRPr="07EF7BD2">
              <w:rPr>
                <w:noProof/>
              </w:rPr>
              <w:lastRenderedPageBreak/>
              <w:t>c</w:t>
            </w:r>
            <w:r w:rsidR="005312E7" w:rsidRPr="07EF7BD2">
              <w:rPr>
                <w:noProof/>
              </w:rPr>
              <w:t>omponents</w:t>
            </w:r>
            <w:r w:rsidR="002B38DB" w:rsidRPr="07EF7BD2">
              <w:rPr>
                <w:noProof/>
              </w:rPr>
              <w:t>,</w:t>
            </w:r>
          </w:p>
          <w:p w14:paraId="3FFA13D0" w14:textId="316C420E" w:rsidR="00AB7760" w:rsidRDefault="00AB7760" w:rsidP="07EF7BD2">
            <w:pPr>
              <w:pStyle w:val="ListParagraph"/>
              <w:numPr>
                <w:ilvl w:val="0"/>
                <w:numId w:val="28"/>
              </w:numPr>
              <w:spacing w:before="60" w:after="60"/>
              <w:rPr>
                <w:noProof/>
              </w:rPr>
            </w:pPr>
            <w:r>
              <w:rPr>
                <w:noProof/>
              </w:rPr>
              <w:t>human factors analysis</w:t>
            </w:r>
          </w:p>
          <w:p w14:paraId="2238E757" w14:textId="0FEC7AEE" w:rsidR="007225EF" w:rsidRDefault="006C4F5A" w:rsidP="003903F4">
            <w:pPr>
              <w:pStyle w:val="ListParagraph"/>
              <w:numPr>
                <w:ilvl w:val="0"/>
                <w:numId w:val="28"/>
              </w:numPr>
              <w:spacing w:before="60" w:after="60"/>
              <w:rPr>
                <w:bCs/>
                <w:noProof/>
                <w:szCs w:val="24"/>
              </w:rPr>
            </w:pPr>
            <w:r>
              <w:rPr>
                <w:bCs/>
                <w:noProof/>
                <w:szCs w:val="24"/>
              </w:rPr>
              <w:t>a</w:t>
            </w:r>
            <w:r w:rsidR="005312E7">
              <w:rPr>
                <w:bCs/>
                <w:noProof/>
                <w:szCs w:val="24"/>
              </w:rPr>
              <w:t xml:space="preserve">ssessment of </w:t>
            </w:r>
            <w:r>
              <w:rPr>
                <w:bCs/>
                <w:noProof/>
                <w:szCs w:val="24"/>
              </w:rPr>
              <w:t>d</w:t>
            </w:r>
            <w:r w:rsidR="005312E7">
              <w:rPr>
                <w:bCs/>
                <w:noProof/>
                <w:szCs w:val="24"/>
              </w:rPr>
              <w:t xml:space="preserve">efence </w:t>
            </w:r>
            <w:r w:rsidR="007225EF" w:rsidRPr="00E655BF">
              <w:rPr>
                <w:bCs/>
                <w:noProof/>
                <w:szCs w:val="24"/>
              </w:rPr>
              <w:t>i</w:t>
            </w:r>
            <w:r w:rsidR="005312E7">
              <w:rPr>
                <w:bCs/>
                <w:noProof/>
                <w:szCs w:val="24"/>
              </w:rPr>
              <w:t xml:space="preserve">n </w:t>
            </w:r>
            <w:r>
              <w:rPr>
                <w:bCs/>
                <w:noProof/>
                <w:szCs w:val="24"/>
              </w:rPr>
              <w:t>d</w:t>
            </w:r>
            <w:r w:rsidR="005312E7">
              <w:rPr>
                <w:bCs/>
                <w:noProof/>
                <w:szCs w:val="24"/>
              </w:rPr>
              <w:t>epth</w:t>
            </w:r>
            <w:r w:rsidR="002B38DB">
              <w:rPr>
                <w:bCs/>
                <w:noProof/>
                <w:szCs w:val="24"/>
              </w:rPr>
              <w:t>,</w:t>
            </w:r>
          </w:p>
          <w:p w14:paraId="12F26DA6" w14:textId="11D9E1AB" w:rsidR="00693ACC" w:rsidRPr="006D731F" w:rsidRDefault="00693ACC" w:rsidP="00693ACC">
            <w:pPr>
              <w:spacing w:before="60" w:after="60"/>
              <w:rPr>
                <w:bCs/>
                <w:noProof/>
                <w:szCs w:val="24"/>
              </w:rPr>
            </w:pPr>
            <w:r w:rsidRPr="006D731F">
              <w:rPr>
                <w:bCs/>
                <w:noProof/>
                <w:szCs w:val="24"/>
              </w:rPr>
              <w:t xml:space="preserve">where information or input </w:t>
            </w:r>
            <w:r w:rsidR="00F12507">
              <w:rPr>
                <w:bCs/>
                <w:noProof/>
                <w:szCs w:val="24"/>
              </w:rPr>
              <w:t xml:space="preserve">is to be employed </w:t>
            </w:r>
            <w:r w:rsidRPr="006D731F">
              <w:rPr>
                <w:bCs/>
                <w:noProof/>
                <w:szCs w:val="24"/>
              </w:rPr>
              <w:t xml:space="preserve">from other projects or </w:t>
            </w:r>
            <w:r w:rsidR="00FD03BE">
              <w:rPr>
                <w:bCs/>
                <w:noProof/>
                <w:szCs w:val="24"/>
              </w:rPr>
              <w:t xml:space="preserve">that has been </w:t>
            </w:r>
            <w:r w:rsidRPr="006D731F">
              <w:rPr>
                <w:bCs/>
                <w:noProof/>
                <w:szCs w:val="24"/>
              </w:rPr>
              <w:t xml:space="preserve">developed for other regulatory regimes, </w:t>
            </w:r>
            <w:r w:rsidR="0072605D">
              <w:rPr>
                <w:bCs/>
                <w:noProof/>
                <w:szCs w:val="24"/>
              </w:rPr>
              <w:t xml:space="preserve">the strategy should </w:t>
            </w:r>
            <w:r w:rsidRPr="006D731F">
              <w:rPr>
                <w:bCs/>
                <w:noProof/>
                <w:szCs w:val="24"/>
              </w:rPr>
              <w:t>iden</w:t>
            </w:r>
            <w:r w:rsidR="004F3A3D">
              <w:rPr>
                <w:bCs/>
                <w:noProof/>
                <w:szCs w:val="24"/>
              </w:rPr>
              <w:t xml:space="preserve">tify </w:t>
            </w:r>
            <w:r w:rsidR="004D5F68">
              <w:rPr>
                <w:bCs/>
                <w:noProof/>
                <w:szCs w:val="24"/>
              </w:rPr>
              <w:t xml:space="preserve">and justify </w:t>
            </w:r>
            <w:r w:rsidRPr="006D731F">
              <w:rPr>
                <w:bCs/>
                <w:noProof/>
                <w:szCs w:val="24"/>
              </w:rPr>
              <w:t xml:space="preserve">the </w:t>
            </w:r>
            <w:r w:rsidR="00746F7E">
              <w:rPr>
                <w:bCs/>
                <w:noProof/>
                <w:szCs w:val="24"/>
              </w:rPr>
              <w:t>how this work will be employed in the safety case</w:t>
            </w:r>
            <w:r w:rsidR="003F774D">
              <w:rPr>
                <w:bCs/>
                <w:noProof/>
                <w:szCs w:val="24"/>
              </w:rPr>
              <w:t>,</w:t>
            </w:r>
            <w:r w:rsidRPr="006D731F">
              <w:rPr>
                <w:bCs/>
                <w:noProof/>
                <w:szCs w:val="24"/>
              </w:rPr>
              <w:t xml:space="preserve"> the standards or methodologies applied a</w:t>
            </w:r>
            <w:r w:rsidR="003A0C6E">
              <w:rPr>
                <w:bCs/>
                <w:noProof/>
                <w:szCs w:val="24"/>
              </w:rPr>
              <w:t>nd an associated</w:t>
            </w:r>
            <w:r w:rsidRPr="006D731F">
              <w:rPr>
                <w:bCs/>
                <w:noProof/>
                <w:szCs w:val="24"/>
              </w:rPr>
              <w:t xml:space="preserve"> gap analysis to</w:t>
            </w:r>
            <w:r w:rsidR="00291852">
              <w:rPr>
                <w:bCs/>
                <w:noProof/>
                <w:szCs w:val="24"/>
              </w:rPr>
              <w:t xml:space="preserve"> ONR’s</w:t>
            </w:r>
            <w:r w:rsidRPr="006D731F">
              <w:rPr>
                <w:bCs/>
                <w:noProof/>
                <w:szCs w:val="24"/>
              </w:rPr>
              <w:t xml:space="preserve"> regulatory expectations</w:t>
            </w:r>
            <w:r w:rsidR="001B4DAF">
              <w:rPr>
                <w:bCs/>
                <w:noProof/>
                <w:szCs w:val="24"/>
              </w:rPr>
              <w:t>.</w:t>
            </w:r>
          </w:p>
          <w:p w14:paraId="192CD042" w14:textId="77777777" w:rsidR="009F5082" w:rsidRDefault="009F5082" w:rsidP="00DE7074">
            <w:pPr>
              <w:spacing w:before="60" w:after="60"/>
              <w:rPr>
                <w:b/>
                <w:noProof/>
                <w:szCs w:val="24"/>
              </w:rPr>
            </w:pPr>
          </w:p>
          <w:p w14:paraId="0B1240BF" w14:textId="01D65CF8" w:rsidR="007A1341" w:rsidRPr="0048438C" w:rsidRDefault="007A1341" w:rsidP="00DE7074">
            <w:pPr>
              <w:spacing w:before="60" w:after="60"/>
              <w:rPr>
                <w:b/>
                <w:noProof/>
                <w:szCs w:val="24"/>
              </w:rPr>
            </w:pPr>
            <w:r w:rsidRPr="00FD0CB5">
              <w:rPr>
                <w:bCs/>
                <w:noProof/>
                <w:szCs w:val="24"/>
              </w:rPr>
              <w:t>Resolution required by '</w:t>
            </w:r>
            <w:r w:rsidRPr="00FD0CB5">
              <w:rPr>
                <w:bCs/>
                <w:i/>
                <w:noProof/>
                <w:szCs w:val="24"/>
              </w:rPr>
              <w:t xml:space="preserve">to be determined by </w:t>
            </w:r>
            <w:r>
              <w:rPr>
                <w:bCs/>
                <w:i/>
                <w:noProof/>
                <w:szCs w:val="24"/>
              </w:rPr>
              <w:t>Holtec</w:t>
            </w:r>
            <w:r w:rsidRPr="00FD0CB5">
              <w:rPr>
                <w:bCs/>
                <w:i/>
                <w:noProof/>
                <w:szCs w:val="24"/>
              </w:rPr>
              <w:t xml:space="preserve"> Resolution Plan</w:t>
            </w:r>
            <w:r w:rsidRPr="00FD0CB5">
              <w:rPr>
                <w:bCs/>
                <w:noProof/>
                <w:szCs w:val="24"/>
              </w:rPr>
              <w:t>'</w:t>
            </w:r>
          </w:p>
        </w:tc>
      </w:tr>
      <w:tr w:rsidR="00244E08" w:rsidRPr="0048438C" w14:paraId="4038527A" w14:textId="77777777" w:rsidTr="1A911F27">
        <w:trPr>
          <w:trHeight w:val="242"/>
        </w:trPr>
        <w:tc>
          <w:tcPr>
            <w:tcW w:w="9897" w:type="dxa"/>
            <w:gridSpan w:val="2"/>
          </w:tcPr>
          <w:p w14:paraId="24010A81" w14:textId="56C9CD8A" w:rsidR="0034414D" w:rsidRDefault="0034414D" w:rsidP="0034414D">
            <w:pPr>
              <w:spacing w:before="60" w:after="60"/>
              <w:rPr>
                <w:b/>
                <w:noProof/>
                <w:szCs w:val="24"/>
              </w:rPr>
            </w:pPr>
            <w:r w:rsidRPr="0048438C">
              <w:rPr>
                <w:b/>
                <w:noProof/>
                <w:szCs w:val="24"/>
              </w:rPr>
              <w:lastRenderedPageBreak/>
              <w:t>RO-</w:t>
            </w:r>
            <w:r>
              <w:rPr>
                <w:b/>
                <w:noProof/>
                <w:szCs w:val="24"/>
              </w:rPr>
              <w:t>HOLTECSMR300-011</w:t>
            </w:r>
            <w:r w:rsidRPr="0048438C">
              <w:rPr>
                <w:b/>
                <w:noProof/>
                <w:szCs w:val="24"/>
              </w:rPr>
              <w:t>.A</w:t>
            </w:r>
            <w:r w:rsidR="000C6D1E">
              <w:rPr>
                <w:b/>
                <w:noProof/>
                <w:szCs w:val="24"/>
              </w:rPr>
              <w:t>2</w:t>
            </w:r>
            <w:r w:rsidRPr="0048438C">
              <w:rPr>
                <w:b/>
                <w:noProof/>
                <w:szCs w:val="24"/>
              </w:rPr>
              <w:t xml:space="preserve"> </w:t>
            </w:r>
            <w:r>
              <w:rPr>
                <w:b/>
                <w:noProof/>
                <w:szCs w:val="24"/>
              </w:rPr>
              <w:t>– Hazard and fault identification</w:t>
            </w:r>
          </w:p>
          <w:p w14:paraId="30B156E0" w14:textId="77777777" w:rsidR="0034414D" w:rsidRDefault="0034414D" w:rsidP="0034414D">
            <w:pPr>
              <w:spacing w:before="60" w:after="60"/>
              <w:rPr>
                <w:b/>
                <w:noProof/>
                <w:szCs w:val="24"/>
              </w:rPr>
            </w:pPr>
          </w:p>
          <w:p w14:paraId="15782486" w14:textId="77777777" w:rsidR="0034414D" w:rsidRPr="0048438C" w:rsidRDefault="0034414D" w:rsidP="0034414D">
            <w:pPr>
              <w:spacing w:before="60" w:after="60"/>
              <w:rPr>
                <w:noProof/>
                <w:szCs w:val="24"/>
                <w:highlight w:val="yellow"/>
              </w:rPr>
            </w:pPr>
            <w:r w:rsidRPr="0048438C">
              <w:rPr>
                <w:noProof/>
                <w:szCs w:val="24"/>
              </w:rPr>
              <w:t xml:space="preserve">In response to this Regulatory Observation Action, </w:t>
            </w:r>
            <w:r>
              <w:rPr>
                <w:noProof/>
                <w:szCs w:val="24"/>
              </w:rPr>
              <w:t>Holtec</w:t>
            </w:r>
            <w:r w:rsidRPr="0048438C">
              <w:rPr>
                <w:noProof/>
                <w:szCs w:val="24"/>
              </w:rPr>
              <w:t xml:space="preserve"> should:</w:t>
            </w:r>
          </w:p>
          <w:p w14:paraId="3D1DDE8E" w14:textId="77777777" w:rsidR="0034414D" w:rsidRDefault="0034414D" w:rsidP="0034414D">
            <w:pPr>
              <w:spacing w:before="60" w:after="60"/>
              <w:rPr>
                <w:b/>
                <w:noProof/>
                <w:szCs w:val="24"/>
              </w:rPr>
            </w:pPr>
          </w:p>
          <w:p w14:paraId="379C237F" w14:textId="344A31F7" w:rsidR="0034414D" w:rsidRPr="006F07A9" w:rsidRDefault="006F07A9" w:rsidP="006F07A9">
            <w:pPr>
              <w:spacing w:before="60" w:after="60"/>
            </w:pPr>
            <w:r w:rsidRPr="5BA54A8C">
              <w:t xml:space="preserve">Provide a report </w:t>
            </w:r>
            <w:r w:rsidR="75593629" w:rsidRPr="5BA54A8C">
              <w:rPr>
                <w:noProof/>
              </w:rPr>
              <w:t>sum</w:t>
            </w:r>
            <w:r w:rsidR="35CDA76C" w:rsidRPr="5BA54A8C">
              <w:rPr>
                <w:noProof/>
              </w:rPr>
              <w:t>m</w:t>
            </w:r>
            <w:r w:rsidR="75593629" w:rsidRPr="5BA54A8C">
              <w:rPr>
                <w:noProof/>
              </w:rPr>
              <w:t>arising</w:t>
            </w:r>
            <w:r w:rsidR="00971C39" w:rsidRPr="5BA54A8C">
              <w:t xml:space="preserve"> the </w:t>
            </w:r>
            <w:r w:rsidR="00CA44E2" w:rsidRPr="5BA54A8C">
              <w:t xml:space="preserve">hazard and fault </w:t>
            </w:r>
            <w:r w:rsidR="3CBEE12E" w:rsidRPr="5BA54A8C">
              <w:rPr>
                <w:noProof/>
              </w:rPr>
              <w:t>identification</w:t>
            </w:r>
            <w:r w:rsidR="00CA44E2" w:rsidRPr="5BA54A8C">
              <w:t xml:space="preserve"> undertaken for the SMR-300 design </w:t>
            </w:r>
            <w:r w:rsidR="00DA1653" w:rsidRPr="5BA54A8C">
              <w:t>which</w:t>
            </w:r>
            <w:r w:rsidR="00B730C3" w:rsidRPr="5BA54A8C">
              <w:t xml:space="preserve"> </w:t>
            </w:r>
            <w:r w:rsidR="0041307B" w:rsidRPr="5BA54A8C">
              <w:t>detail</w:t>
            </w:r>
            <w:r w:rsidR="00DA1653" w:rsidRPr="5BA54A8C">
              <w:t>s</w:t>
            </w:r>
            <w:r w:rsidR="0041307B" w:rsidRPr="5BA54A8C">
              <w:t xml:space="preserve"> and </w:t>
            </w:r>
            <w:r w:rsidR="00B730C3" w:rsidRPr="5BA54A8C">
              <w:t>justif</w:t>
            </w:r>
            <w:r w:rsidR="00DA1653" w:rsidRPr="5BA54A8C">
              <w:t xml:space="preserve">ies the </w:t>
            </w:r>
            <w:r w:rsidR="00AC6E4A" w:rsidRPr="5BA54A8C">
              <w:t>methodologies em</w:t>
            </w:r>
            <w:r w:rsidR="00A44DD5" w:rsidRPr="5BA54A8C">
              <w:t>p</w:t>
            </w:r>
            <w:r w:rsidR="00AC6E4A" w:rsidRPr="5BA54A8C">
              <w:t xml:space="preserve">loyed, the </w:t>
            </w:r>
            <w:r w:rsidR="00DA1653" w:rsidRPr="5BA54A8C">
              <w:t xml:space="preserve">scope </w:t>
            </w:r>
            <w:r w:rsidR="00AC6E4A" w:rsidRPr="5BA54A8C">
              <w:t>of the activities</w:t>
            </w:r>
            <w:r w:rsidR="00C47C25" w:rsidRPr="5BA54A8C">
              <w:t xml:space="preserve"> undertaken</w:t>
            </w:r>
            <w:r w:rsidR="00AC6E4A" w:rsidRPr="5BA54A8C">
              <w:t xml:space="preserve">, and the completeness of the </w:t>
            </w:r>
            <w:r w:rsidR="00493EB2" w:rsidRPr="5BA54A8C">
              <w:t>results.</w:t>
            </w:r>
            <w:r w:rsidR="00DA1653" w:rsidRPr="5BA54A8C">
              <w:t xml:space="preserve"> </w:t>
            </w:r>
          </w:p>
          <w:p w14:paraId="7C0A8F62" w14:textId="77777777" w:rsidR="0034414D" w:rsidRDefault="0034414D" w:rsidP="0034414D">
            <w:pPr>
              <w:spacing w:before="60" w:after="60"/>
              <w:rPr>
                <w:b/>
                <w:noProof/>
                <w:szCs w:val="24"/>
              </w:rPr>
            </w:pPr>
          </w:p>
          <w:p w14:paraId="1D4376FC" w14:textId="0D309A10" w:rsidR="00244E08" w:rsidRPr="0048438C" w:rsidRDefault="0034414D" w:rsidP="00F870CF">
            <w:pPr>
              <w:spacing w:before="60" w:after="60"/>
              <w:rPr>
                <w:b/>
                <w:noProof/>
                <w:szCs w:val="24"/>
              </w:rPr>
            </w:pPr>
            <w:r w:rsidRPr="00FD0CB5">
              <w:rPr>
                <w:bCs/>
                <w:noProof/>
                <w:szCs w:val="24"/>
              </w:rPr>
              <w:t>Resolution required by '</w:t>
            </w:r>
            <w:r w:rsidRPr="00FD0CB5">
              <w:rPr>
                <w:bCs/>
                <w:i/>
                <w:noProof/>
                <w:szCs w:val="24"/>
              </w:rPr>
              <w:t xml:space="preserve">to be determined by </w:t>
            </w:r>
            <w:r>
              <w:rPr>
                <w:bCs/>
                <w:i/>
                <w:noProof/>
                <w:szCs w:val="24"/>
              </w:rPr>
              <w:t>Holtec</w:t>
            </w:r>
            <w:r w:rsidRPr="00FD0CB5">
              <w:rPr>
                <w:bCs/>
                <w:i/>
                <w:noProof/>
                <w:szCs w:val="24"/>
              </w:rPr>
              <w:t xml:space="preserve"> Resolution Plan</w:t>
            </w:r>
            <w:r w:rsidRPr="00FD0CB5">
              <w:rPr>
                <w:bCs/>
                <w:noProof/>
                <w:szCs w:val="24"/>
              </w:rPr>
              <w:t>'</w:t>
            </w:r>
          </w:p>
        </w:tc>
      </w:tr>
      <w:tr w:rsidR="00244E08" w:rsidRPr="0048438C" w14:paraId="0211424A" w14:textId="77777777" w:rsidTr="1A911F27">
        <w:trPr>
          <w:trHeight w:val="242"/>
        </w:trPr>
        <w:tc>
          <w:tcPr>
            <w:tcW w:w="9897" w:type="dxa"/>
            <w:gridSpan w:val="2"/>
          </w:tcPr>
          <w:p w14:paraId="375BC918" w14:textId="676FBAB3" w:rsidR="00F870CF" w:rsidRDefault="00F870CF" w:rsidP="00F870CF">
            <w:pPr>
              <w:spacing w:before="60" w:after="60"/>
              <w:rPr>
                <w:b/>
                <w:noProof/>
                <w:szCs w:val="24"/>
              </w:rPr>
            </w:pPr>
            <w:r w:rsidRPr="0048438C">
              <w:rPr>
                <w:b/>
                <w:noProof/>
                <w:szCs w:val="24"/>
              </w:rPr>
              <w:t>RO-</w:t>
            </w:r>
            <w:r>
              <w:rPr>
                <w:b/>
                <w:noProof/>
                <w:szCs w:val="24"/>
              </w:rPr>
              <w:t>HOLTECSMR300-011</w:t>
            </w:r>
            <w:r w:rsidRPr="0048438C">
              <w:rPr>
                <w:b/>
                <w:noProof/>
                <w:szCs w:val="24"/>
              </w:rPr>
              <w:t>.A</w:t>
            </w:r>
            <w:r>
              <w:rPr>
                <w:b/>
                <w:noProof/>
                <w:szCs w:val="24"/>
              </w:rPr>
              <w:t>3</w:t>
            </w:r>
            <w:r w:rsidRPr="0048438C">
              <w:rPr>
                <w:b/>
                <w:noProof/>
                <w:szCs w:val="24"/>
              </w:rPr>
              <w:t xml:space="preserve"> </w:t>
            </w:r>
            <w:r>
              <w:rPr>
                <w:b/>
                <w:noProof/>
                <w:szCs w:val="24"/>
              </w:rPr>
              <w:t>– Redundancy and diversity</w:t>
            </w:r>
          </w:p>
          <w:p w14:paraId="301F90A9" w14:textId="77777777" w:rsidR="00244E08" w:rsidRDefault="00244E08" w:rsidP="003C67DB">
            <w:pPr>
              <w:spacing w:before="60" w:after="60"/>
              <w:rPr>
                <w:b/>
                <w:noProof/>
                <w:szCs w:val="24"/>
              </w:rPr>
            </w:pPr>
          </w:p>
          <w:p w14:paraId="45FD6E66" w14:textId="77777777" w:rsidR="00F870CF" w:rsidRPr="0048438C" w:rsidRDefault="00F870CF" w:rsidP="00F870CF">
            <w:pPr>
              <w:spacing w:before="60" w:after="60"/>
              <w:rPr>
                <w:noProof/>
                <w:szCs w:val="24"/>
                <w:highlight w:val="yellow"/>
              </w:rPr>
            </w:pPr>
            <w:r w:rsidRPr="0048438C">
              <w:rPr>
                <w:noProof/>
                <w:szCs w:val="24"/>
              </w:rPr>
              <w:t xml:space="preserve">In response to this Regulatory Observation Action, </w:t>
            </w:r>
            <w:r>
              <w:rPr>
                <w:noProof/>
                <w:szCs w:val="24"/>
              </w:rPr>
              <w:t>Holtec</w:t>
            </w:r>
            <w:r w:rsidRPr="0048438C">
              <w:rPr>
                <w:noProof/>
                <w:szCs w:val="24"/>
              </w:rPr>
              <w:t xml:space="preserve"> should:</w:t>
            </w:r>
          </w:p>
          <w:p w14:paraId="26811214" w14:textId="77777777" w:rsidR="00F870CF" w:rsidRDefault="00F870CF" w:rsidP="00F870CF">
            <w:pPr>
              <w:spacing w:before="60" w:after="60"/>
              <w:rPr>
                <w:b/>
                <w:noProof/>
                <w:szCs w:val="24"/>
              </w:rPr>
            </w:pPr>
          </w:p>
          <w:p w14:paraId="3AD5FCE8" w14:textId="426562D9" w:rsidR="004E000A" w:rsidRPr="001B7EC5" w:rsidRDefault="00741F5A" w:rsidP="004E000A">
            <w:pPr>
              <w:spacing w:before="60" w:after="60"/>
              <w:rPr>
                <w:bCs/>
                <w:noProof/>
                <w:szCs w:val="24"/>
              </w:rPr>
            </w:pPr>
            <w:r>
              <w:rPr>
                <w:bCs/>
                <w:noProof/>
                <w:szCs w:val="24"/>
              </w:rPr>
              <w:t xml:space="preserve">Provide a report </w:t>
            </w:r>
            <w:r w:rsidR="00B90512">
              <w:rPr>
                <w:bCs/>
                <w:noProof/>
                <w:szCs w:val="24"/>
              </w:rPr>
              <w:t xml:space="preserve">which sets out the </w:t>
            </w:r>
            <w:r w:rsidR="00BE208D">
              <w:rPr>
                <w:bCs/>
                <w:noProof/>
                <w:szCs w:val="24"/>
              </w:rPr>
              <w:t>justif</w:t>
            </w:r>
            <w:r w:rsidR="0063633C">
              <w:rPr>
                <w:bCs/>
                <w:noProof/>
                <w:szCs w:val="24"/>
              </w:rPr>
              <w:t>i</w:t>
            </w:r>
            <w:r w:rsidR="00B90512">
              <w:rPr>
                <w:bCs/>
                <w:noProof/>
                <w:szCs w:val="24"/>
              </w:rPr>
              <w:t>cation for</w:t>
            </w:r>
            <w:r w:rsidR="00BE208D">
              <w:rPr>
                <w:bCs/>
                <w:noProof/>
                <w:szCs w:val="24"/>
              </w:rPr>
              <w:t xml:space="preserve"> </w:t>
            </w:r>
            <w:r w:rsidR="004977D2">
              <w:rPr>
                <w:bCs/>
                <w:noProof/>
                <w:szCs w:val="24"/>
              </w:rPr>
              <w:t xml:space="preserve">the degree of redundancy and diversity </w:t>
            </w:r>
            <w:r w:rsidR="0005603B">
              <w:rPr>
                <w:bCs/>
                <w:noProof/>
                <w:szCs w:val="24"/>
              </w:rPr>
              <w:t xml:space="preserve">of safety structures, systems, and components </w:t>
            </w:r>
            <w:r w:rsidR="00A02374">
              <w:rPr>
                <w:bCs/>
                <w:noProof/>
                <w:szCs w:val="24"/>
              </w:rPr>
              <w:t xml:space="preserve">provided </w:t>
            </w:r>
            <w:r w:rsidR="00ED1D6D">
              <w:rPr>
                <w:bCs/>
                <w:noProof/>
                <w:szCs w:val="24"/>
              </w:rPr>
              <w:t xml:space="preserve">to fulfill the </w:t>
            </w:r>
            <w:r w:rsidR="00A02374">
              <w:rPr>
                <w:bCs/>
                <w:noProof/>
                <w:szCs w:val="24"/>
              </w:rPr>
              <w:t xml:space="preserve">emergency core cooling </w:t>
            </w:r>
            <w:r w:rsidR="00ED1D6D">
              <w:rPr>
                <w:bCs/>
                <w:noProof/>
                <w:szCs w:val="24"/>
              </w:rPr>
              <w:t xml:space="preserve">safety function at level 3 defence in depth </w:t>
            </w:r>
            <w:r w:rsidR="004977D2">
              <w:rPr>
                <w:bCs/>
                <w:noProof/>
                <w:szCs w:val="24"/>
              </w:rPr>
              <w:t>in the SMR-300 design</w:t>
            </w:r>
            <w:r w:rsidR="004E000A">
              <w:rPr>
                <w:bCs/>
                <w:noProof/>
                <w:szCs w:val="24"/>
              </w:rPr>
              <w:t xml:space="preserve">. </w:t>
            </w:r>
            <w:r w:rsidR="001B7EC5">
              <w:rPr>
                <w:bCs/>
                <w:noProof/>
                <w:szCs w:val="24"/>
              </w:rPr>
              <w:t>The report should include consideration of:</w:t>
            </w:r>
          </w:p>
          <w:p w14:paraId="64F1E113" w14:textId="6EB323C7" w:rsidR="00217EE2" w:rsidRDefault="00BE00AF" w:rsidP="004E000A">
            <w:pPr>
              <w:pStyle w:val="ListParagraph"/>
              <w:numPr>
                <w:ilvl w:val="0"/>
                <w:numId w:val="43"/>
              </w:numPr>
              <w:spacing w:before="60" w:after="60"/>
              <w:rPr>
                <w:bCs/>
                <w:noProof/>
                <w:szCs w:val="24"/>
              </w:rPr>
            </w:pPr>
            <w:r>
              <w:rPr>
                <w:bCs/>
                <w:noProof/>
                <w:szCs w:val="24"/>
              </w:rPr>
              <w:t>T</w:t>
            </w:r>
            <w:r w:rsidR="00217EE2">
              <w:rPr>
                <w:bCs/>
                <w:noProof/>
                <w:szCs w:val="24"/>
              </w:rPr>
              <w:t xml:space="preserve">he methodologies </w:t>
            </w:r>
            <w:r>
              <w:rPr>
                <w:bCs/>
                <w:noProof/>
                <w:szCs w:val="24"/>
              </w:rPr>
              <w:t>specified in re</w:t>
            </w:r>
            <w:r w:rsidR="0063633C">
              <w:rPr>
                <w:bCs/>
                <w:noProof/>
                <w:szCs w:val="24"/>
              </w:rPr>
              <w:t>s</w:t>
            </w:r>
            <w:r>
              <w:rPr>
                <w:bCs/>
                <w:noProof/>
                <w:szCs w:val="24"/>
              </w:rPr>
              <w:t>ponse to Action 1.</w:t>
            </w:r>
          </w:p>
          <w:p w14:paraId="606B4B49" w14:textId="6636F214" w:rsidR="004E000A" w:rsidRPr="001B7EC5" w:rsidRDefault="004E000A" w:rsidP="004E000A">
            <w:pPr>
              <w:pStyle w:val="ListParagraph"/>
              <w:numPr>
                <w:ilvl w:val="0"/>
                <w:numId w:val="43"/>
              </w:numPr>
              <w:spacing w:before="60" w:after="60"/>
              <w:rPr>
                <w:bCs/>
                <w:noProof/>
                <w:szCs w:val="24"/>
              </w:rPr>
            </w:pPr>
            <w:r w:rsidRPr="001B7EC5">
              <w:rPr>
                <w:bCs/>
                <w:noProof/>
                <w:szCs w:val="24"/>
              </w:rPr>
              <w:t>The faults identified in response to Action 2</w:t>
            </w:r>
            <w:r w:rsidR="001B7EC5" w:rsidRPr="001B7EC5">
              <w:rPr>
                <w:bCs/>
                <w:noProof/>
                <w:szCs w:val="24"/>
              </w:rPr>
              <w:t>,</w:t>
            </w:r>
          </w:p>
          <w:p w14:paraId="0F341606" w14:textId="0DA82C03" w:rsidR="004E000A" w:rsidRPr="004E000A" w:rsidRDefault="004E000A" w:rsidP="004E000A">
            <w:pPr>
              <w:numPr>
                <w:ilvl w:val="0"/>
                <w:numId w:val="42"/>
              </w:numPr>
              <w:spacing w:before="60" w:after="60"/>
              <w:rPr>
                <w:bCs/>
                <w:noProof/>
                <w:szCs w:val="24"/>
              </w:rPr>
            </w:pPr>
            <w:r w:rsidRPr="004E000A">
              <w:rPr>
                <w:bCs/>
                <w:noProof/>
                <w:szCs w:val="24"/>
              </w:rPr>
              <w:t>single failure tolerance, including consideration of single failures of passive components</w:t>
            </w:r>
            <w:r w:rsidR="007D2D48">
              <w:rPr>
                <w:bCs/>
                <w:noProof/>
                <w:szCs w:val="24"/>
              </w:rPr>
              <w:t xml:space="preserve"> and appropriate ju</w:t>
            </w:r>
            <w:r w:rsidR="007A5D2B">
              <w:rPr>
                <w:bCs/>
                <w:noProof/>
                <w:szCs w:val="24"/>
              </w:rPr>
              <w:t>s</w:t>
            </w:r>
            <w:r w:rsidR="007D2D48">
              <w:rPr>
                <w:bCs/>
                <w:noProof/>
                <w:szCs w:val="24"/>
              </w:rPr>
              <w:t>tification of those excluded from consideration</w:t>
            </w:r>
            <w:r w:rsidR="00845D46">
              <w:rPr>
                <w:bCs/>
                <w:noProof/>
                <w:szCs w:val="24"/>
              </w:rPr>
              <w:t>,</w:t>
            </w:r>
          </w:p>
          <w:p w14:paraId="5C3DAA3C" w14:textId="2B6264C4" w:rsidR="004E000A" w:rsidRPr="004E000A" w:rsidRDefault="001367FF" w:rsidP="004E000A">
            <w:pPr>
              <w:numPr>
                <w:ilvl w:val="0"/>
                <w:numId w:val="42"/>
              </w:numPr>
              <w:spacing w:before="60" w:after="60"/>
              <w:rPr>
                <w:bCs/>
                <w:noProof/>
                <w:szCs w:val="24"/>
              </w:rPr>
            </w:pPr>
            <w:r>
              <w:rPr>
                <w:bCs/>
                <w:noProof/>
                <w:szCs w:val="24"/>
              </w:rPr>
              <w:t>c</w:t>
            </w:r>
            <w:r w:rsidR="004E000A" w:rsidRPr="004E000A">
              <w:rPr>
                <w:bCs/>
                <w:noProof/>
                <w:szCs w:val="24"/>
              </w:rPr>
              <w:t>ommon cause failure</w:t>
            </w:r>
            <w:r w:rsidR="00845D46">
              <w:rPr>
                <w:bCs/>
                <w:noProof/>
                <w:szCs w:val="24"/>
              </w:rPr>
              <w:t xml:space="preserve">s and </w:t>
            </w:r>
            <w:r w:rsidR="007A5D2B">
              <w:rPr>
                <w:bCs/>
                <w:noProof/>
                <w:szCs w:val="24"/>
              </w:rPr>
              <w:t>appropriate justification of those excluded from consideration</w:t>
            </w:r>
            <w:r w:rsidR="00CF135E">
              <w:rPr>
                <w:bCs/>
                <w:noProof/>
                <w:szCs w:val="24"/>
              </w:rPr>
              <w:t>,</w:t>
            </w:r>
          </w:p>
          <w:p w14:paraId="44B8B9A1" w14:textId="193E6E2A" w:rsidR="004E000A" w:rsidRDefault="00D22807" w:rsidP="004E000A">
            <w:pPr>
              <w:numPr>
                <w:ilvl w:val="0"/>
                <w:numId w:val="42"/>
              </w:numPr>
              <w:spacing w:before="60" w:after="60"/>
              <w:rPr>
                <w:bCs/>
                <w:noProof/>
                <w:szCs w:val="24"/>
              </w:rPr>
            </w:pPr>
            <w:r>
              <w:rPr>
                <w:bCs/>
                <w:noProof/>
                <w:szCs w:val="24"/>
              </w:rPr>
              <w:t>c</w:t>
            </w:r>
            <w:r w:rsidR="004E000A" w:rsidRPr="004E000A">
              <w:rPr>
                <w:bCs/>
                <w:noProof/>
                <w:szCs w:val="24"/>
              </w:rPr>
              <w:t>onsequential failure</w:t>
            </w:r>
            <w:r>
              <w:rPr>
                <w:bCs/>
                <w:noProof/>
                <w:szCs w:val="24"/>
              </w:rPr>
              <w:t>s both from resul</w:t>
            </w:r>
            <w:r w:rsidR="008C1536">
              <w:rPr>
                <w:bCs/>
                <w:noProof/>
                <w:szCs w:val="24"/>
              </w:rPr>
              <w:t>t</w:t>
            </w:r>
            <w:r>
              <w:rPr>
                <w:bCs/>
                <w:noProof/>
                <w:szCs w:val="24"/>
              </w:rPr>
              <w:t xml:space="preserve">ing internal hazards and from </w:t>
            </w:r>
            <w:r w:rsidR="00D30B2D">
              <w:rPr>
                <w:bCs/>
                <w:noProof/>
                <w:szCs w:val="24"/>
              </w:rPr>
              <w:t>system</w:t>
            </w:r>
            <w:r w:rsidR="00773066">
              <w:rPr>
                <w:bCs/>
                <w:noProof/>
                <w:szCs w:val="24"/>
              </w:rPr>
              <w:t>at</w:t>
            </w:r>
            <w:r w:rsidR="00D30B2D">
              <w:rPr>
                <w:bCs/>
                <w:noProof/>
                <w:szCs w:val="24"/>
              </w:rPr>
              <w:t xml:space="preserve">ic </w:t>
            </w:r>
            <w:r w:rsidR="00C508F9">
              <w:rPr>
                <w:bCs/>
                <w:noProof/>
                <w:szCs w:val="24"/>
              </w:rPr>
              <w:t>failures such as spurious activation of control and instrumentation equipment,</w:t>
            </w:r>
          </w:p>
          <w:p w14:paraId="47C5CCFE" w14:textId="5CB01E5A" w:rsidR="00C508F9" w:rsidRDefault="00BD599F" w:rsidP="004E000A">
            <w:pPr>
              <w:numPr>
                <w:ilvl w:val="0"/>
                <w:numId w:val="42"/>
              </w:numPr>
              <w:spacing w:before="60" w:after="60"/>
            </w:pPr>
            <w:r w:rsidRPr="5BA54A8C">
              <w:t xml:space="preserve">coincident faults that might occur at sufficient </w:t>
            </w:r>
            <w:r w:rsidR="6A80EC21" w:rsidRPr="5BA54A8C">
              <w:rPr>
                <w:noProof/>
              </w:rPr>
              <w:t>fr</w:t>
            </w:r>
            <w:r w:rsidR="2459C5F9" w:rsidRPr="5BA54A8C">
              <w:rPr>
                <w:noProof/>
              </w:rPr>
              <w:t>e</w:t>
            </w:r>
            <w:r w:rsidR="6A80EC21" w:rsidRPr="5BA54A8C">
              <w:rPr>
                <w:noProof/>
              </w:rPr>
              <w:t>quency</w:t>
            </w:r>
            <w:r w:rsidRPr="5BA54A8C">
              <w:t xml:space="preserve"> as to warrant consideration within the design basis</w:t>
            </w:r>
            <w:r w:rsidR="002E1925" w:rsidRPr="5BA54A8C">
              <w:t>,</w:t>
            </w:r>
            <w:r w:rsidR="00C55164">
              <w:t xml:space="preserve"> including potential </w:t>
            </w:r>
            <w:r w:rsidR="00446458">
              <w:t>unrevealed failures,</w:t>
            </w:r>
          </w:p>
          <w:p w14:paraId="6494159C" w14:textId="76EF016F" w:rsidR="00C37B39" w:rsidRPr="004E000A" w:rsidRDefault="00C37B39" w:rsidP="004E000A">
            <w:pPr>
              <w:numPr>
                <w:ilvl w:val="0"/>
                <w:numId w:val="42"/>
              </w:numPr>
              <w:spacing w:before="60" w:after="60"/>
              <w:rPr>
                <w:bCs/>
                <w:noProof/>
                <w:szCs w:val="24"/>
              </w:rPr>
            </w:pPr>
            <w:r>
              <w:rPr>
                <w:bCs/>
                <w:noProof/>
                <w:szCs w:val="24"/>
              </w:rPr>
              <w:t>complex faults sequ</w:t>
            </w:r>
            <w:r w:rsidR="0079571A">
              <w:rPr>
                <w:bCs/>
                <w:noProof/>
                <w:szCs w:val="24"/>
              </w:rPr>
              <w:t>e</w:t>
            </w:r>
            <w:r>
              <w:rPr>
                <w:bCs/>
                <w:noProof/>
                <w:szCs w:val="24"/>
              </w:rPr>
              <w:t xml:space="preserve">nces that </w:t>
            </w:r>
            <w:r w:rsidR="00906F1D">
              <w:rPr>
                <w:bCs/>
                <w:noProof/>
                <w:szCs w:val="24"/>
              </w:rPr>
              <w:t>are identified as appropriate candi</w:t>
            </w:r>
            <w:r w:rsidR="008C1536">
              <w:rPr>
                <w:bCs/>
                <w:noProof/>
                <w:szCs w:val="24"/>
              </w:rPr>
              <w:t>d</w:t>
            </w:r>
            <w:r w:rsidR="00906F1D">
              <w:rPr>
                <w:bCs/>
                <w:noProof/>
                <w:szCs w:val="24"/>
              </w:rPr>
              <w:t>ates</w:t>
            </w:r>
            <w:r w:rsidR="00326282">
              <w:rPr>
                <w:bCs/>
                <w:noProof/>
                <w:szCs w:val="24"/>
              </w:rPr>
              <w:t xml:space="preserve"> for </w:t>
            </w:r>
            <w:r w:rsidR="00906F1D">
              <w:rPr>
                <w:bCs/>
                <w:noProof/>
                <w:szCs w:val="24"/>
              </w:rPr>
              <w:t>DEC-A scenarios</w:t>
            </w:r>
            <w:r w:rsidR="002B3731">
              <w:rPr>
                <w:bCs/>
                <w:noProof/>
                <w:szCs w:val="24"/>
              </w:rPr>
              <w:t>.</w:t>
            </w:r>
          </w:p>
          <w:p w14:paraId="396585A0" w14:textId="77777777" w:rsidR="00F870CF" w:rsidRDefault="00F870CF" w:rsidP="00F870CF">
            <w:pPr>
              <w:spacing w:before="60" w:after="60"/>
              <w:rPr>
                <w:b/>
                <w:noProof/>
                <w:szCs w:val="24"/>
              </w:rPr>
            </w:pPr>
          </w:p>
          <w:p w14:paraId="6C2FD528" w14:textId="1CD03950" w:rsidR="00F870CF" w:rsidRDefault="00F870CF" w:rsidP="00F870CF">
            <w:pPr>
              <w:spacing w:before="60" w:after="60"/>
              <w:rPr>
                <w:b/>
                <w:noProof/>
                <w:szCs w:val="24"/>
              </w:rPr>
            </w:pPr>
            <w:r w:rsidRPr="00FD0CB5">
              <w:rPr>
                <w:bCs/>
                <w:noProof/>
                <w:szCs w:val="24"/>
              </w:rPr>
              <w:t>Resolution required by '</w:t>
            </w:r>
            <w:r w:rsidRPr="00FD0CB5">
              <w:rPr>
                <w:bCs/>
                <w:i/>
                <w:noProof/>
                <w:szCs w:val="24"/>
              </w:rPr>
              <w:t xml:space="preserve">to be determined by </w:t>
            </w:r>
            <w:r>
              <w:rPr>
                <w:bCs/>
                <w:i/>
                <w:noProof/>
                <w:szCs w:val="24"/>
              </w:rPr>
              <w:t>Holtec</w:t>
            </w:r>
            <w:r w:rsidRPr="00FD0CB5">
              <w:rPr>
                <w:bCs/>
                <w:i/>
                <w:noProof/>
                <w:szCs w:val="24"/>
              </w:rPr>
              <w:t xml:space="preserve"> Resolution Plan</w:t>
            </w:r>
            <w:r w:rsidRPr="00FD0CB5">
              <w:rPr>
                <w:bCs/>
                <w:noProof/>
                <w:szCs w:val="24"/>
              </w:rPr>
              <w:t>'</w:t>
            </w:r>
          </w:p>
        </w:tc>
      </w:tr>
      <w:tr w:rsidR="00A9437E" w:rsidRPr="0048438C" w14:paraId="0E863104" w14:textId="77777777" w:rsidTr="1A911F27">
        <w:trPr>
          <w:trHeight w:val="242"/>
        </w:trPr>
        <w:tc>
          <w:tcPr>
            <w:tcW w:w="9897" w:type="dxa"/>
            <w:gridSpan w:val="2"/>
          </w:tcPr>
          <w:p w14:paraId="22A7B310" w14:textId="745BF642" w:rsidR="00C77DD3" w:rsidRDefault="00C77DD3" w:rsidP="00C77DD3">
            <w:pPr>
              <w:spacing w:before="60" w:after="60"/>
              <w:rPr>
                <w:b/>
                <w:noProof/>
                <w:szCs w:val="24"/>
              </w:rPr>
            </w:pPr>
            <w:r w:rsidRPr="0048438C">
              <w:rPr>
                <w:b/>
                <w:noProof/>
                <w:szCs w:val="24"/>
              </w:rPr>
              <w:lastRenderedPageBreak/>
              <w:t>RO-</w:t>
            </w:r>
            <w:r>
              <w:rPr>
                <w:b/>
                <w:noProof/>
                <w:szCs w:val="24"/>
              </w:rPr>
              <w:t>HOLTECSMR300-011</w:t>
            </w:r>
            <w:r w:rsidRPr="0048438C">
              <w:rPr>
                <w:b/>
                <w:noProof/>
                <w:szCs w:val="24"/>
              </w:rPr>
              <w:t>.A</w:t>
            </w:r>
            <w:r>
              <w:rPr>
                <w:b/>
                <w:noProof/>
                <w:szCs w:val="24"/>
              </w:rPr>
              <w:t>4</w:t>
            </w:r>
            <w:r w:rsidRPr="0048438C">
              <w:rPr>
                <w:b/>
                <w:noProof/>
                <w:szCs w:val="24"/>
              </w:rPr>
              <w:t xml:space="preserve"> </w:t>
            </w:r>
            <w:r>
              <w:rPr>
                <w:b/>
                <w:noProof/>
                <w:szCs w:val="24"/>
              </w:rPr>
              <w:t>– Defence in depth and practical elimination</w:t>
            </w:r>
          </w:p>
          <w:p w14:paraId="6A2CB507" w14:textId="77777777" w:rsidR="00A9437E" w:rsidRDefault="00A9437E" w:rsidP="003C67DB">
            <w:pPr>
              <w:spacing w:before="60" w:after="60"/>
              <w:rPr>
                <w:b/>
                <w:noProof/>
                <w:szCs w:val="24"/>
              </w:rPr>
            </w:pPr>
          </w:p>
          <w:p w14:paraId="20DC3180" w14:textId="77777777" w:rsidR="00D152DB" w:rsidRPr="0048438C" w:rsidRDefault="00D152DB" w:rsidP="00D152DB">
            <w:pPr>
              <w:spacing w:before="60" w:after="60"/>
              <w:rPr>
                <w:noProof/>
                <w:szCs w:val="24"/>
                <w:highlight w:val="yellow"/>
              </w:rPr>
            </w:pPr>
            <w:r w:rsidRPr="0048438C">
              <w:rPr>
                <w:noProof/>
                <w:szCs w:val="24"/>
              </w:rPr>
              <w:t xml:space="preserve">In response to this Regulatory Observation Action, </w:t>
            </w:r>
            <w:r>
              <w:rPr>
                <w:noProof/>
                <w:szCs w:val="24"/>
              </w:rPr>
              <w:t>Holtec</w:t>
            </w:r>
            <w:r w:rsidRPr="0048438C">
              <w:rPr>
                <w:noProof/>
                <w:szCs w:val="24"/>
              </w:rPr>
              <w:t xml:space="preserve"> should:</w:t>
            </w:r>
          </w:p>
          <w:p w14:paraId="3A63B0C6" w14:textId="77777777" w:rsidR="00D152DB" w:rsidRDefault="00D152DB" w:rsidP="00D152DB">
            <w:pPr>
              <w:spacing w:before="60" w:after="60"/>
              <w:rPr>
                <w:b/>
                <w:noProof/>
                <w:szCs w:val="24"/>
              </w:rPr>
            </w:pPr>
          </w:p>
          <w:p w14:paraId="25FE4ACD" w14:textId="20803323" w:rsidR="00D152DB" w:rsidRDefault="00D152DB" w:rsidP="0A4E5BB7">
            <w:pPr>
              <w:spacing w:before="60" w:after="60"/>
              <w:rPr>
                <w:noProof/>
              </w:rPr>
            </w:pPr>
            <w:r w:rsidRPr="0A4E5BB7">
              <w:rPr>
                <w:noProof/>
              </w:rPr>
              <w:t xml:space="preserve">Provide a report </w:t>
            </w:r>
            <w:r w:rsidR="005F5DB0" w:rsidRPr="0A4E5BB7">
              <w:rPr>
                <w:noProof/>
              </w:rPr>
              <w:t>that justifies</w:t>
            </w:r>
            <w:r w:rsidR="00B65145" w:rsidRPr="0A4E5BB7">
              <w:rPr>
                <w:noProof/>
              </w:rPr>
              <w:t xml:space="preserve"> </w:t>
            </w:r>
            <w:r w:rsidR="005F5DB0" w:rsidRPr="0A4E5BB7">
              <w:rPr>
                <w:noProof/>
              </w:rPr>
              <w:t xml:space="preserve">the </w:t>
            </w:r>
            <w:r w:rsidR="00B65145" w:rsidRPr="0A4E5BB7">
              <w:rPr>
                <w:noProof/>
              </w:rPr>
              <w:t>application of defence in depth for the SMR-300 design and th</w:t>
            </w:r>
            <w:r w:rsidR="006A77E0" w:rsidRPr="0A4E5BB7">
              <w:rPr>
                <w:noProof/>
              </w:rPr>
              <w:t xml:space="preserve">at </w:t>
            </w:r>
            <w:r w:rsidR="003F6DD6" w:rsidRPr="0A4E5BB7">
              <w:rPr>
                <w:noProof/>
              </w:rPr>
              <w:t>the potential for large or early release</w:t>
            </w:r>
            <w:r w:rsidR="00E46809" w:rsidRPr="0A4E5BB7">
              <w:rPr>
                <w:noProof/>
              </w:rPr>
              <w:t>s o</w:t>
            </w:r>
            <w:r w:rsidR="071F1446" w:rsidRPr="0A4E5BB7">
              <w:rPr>
                <w:noProof/>
              </w:rPr>
              <w:t>f</w:t>
            </w:r>
            <w:r w:rsidR="00E46809" w:rsidRPr="0A4E5BB7">
              <w:rPr>
                <w:noProof/>
              </w:rPr>
              <w:t xml:space="preserve"> radioactivity</w:t>
            </w:r>
            <w:r w:rsidR="003F6DD6" w:rsidRPr="0A4E5BB7">
              <w:rPr>
                <w:noProof/>
              </w:rPr>
              <w:t xml:space="preserve"> </w:t>
            </w:r>
            <w:r w:rsidR="00E55896">
              <w:rPr>
                <w:noProof/>
              </w:rPr>
              <w:t>has</w:t>
            </w:r>
            <w:r w:rsidR="00E55896" w:rsidRPr="0A4E5BB7">
              <w:rPr>
                <w:noProof/>
              </w:rPr>
              <w:t xml:space="preserve"> </w:t>
            </w:r>
            <w:r w:rsidR="000D6781" w:rsidRPr="0A4E5BB7">
              <w:rPr>
                <w:noProof/>
              </w:rPr>
              <w:t>been practically eliminated</w:t>
            </w:r>
            <w:r w:rsidR="00E46809" w:rsidRPr="0A4E5BB7">
              <w:rPr>
                <w:noProof/>
              </w:rPr>
              <w:t xml:space="preserve">. This should include consideration of </w:t>
            </w:r>
            <w:r w:rsidR="00393171" w:rsidRPr="0A4E5BB7">
              <w:rPr>
                <w:noProof/>
              </w:rPr>
              <w:t xml:space="preserve">degraded plant states with core melt (DEC-B events) </w:t>
            </w:r>
            <w:r w:rsidR="00A83577" w:rsidRPr="0A4E5BB7">
              <w:rPr>
                <w:noProof/>
              </w:rPr>
              <w:t xml:space="preserve">and </w:t>
            </w:r>
            <w:r w:rsidR="0136CA92" w:rsidRPr="5BA54A8C">
              <w:rPr>
                <w:noProof/>
              </w:rPr>
              <w:t>appropr</w:t>
            </w:r>
            <w:r w:rsidR="2F89416F" w:rsidRPr="5BA54A8C">
              <w:rPr>
                <w:noProof/>
              </w:rPr>
              <w:t>i</w:t>
            </w:r>
            <w:r w:rsidR="0136CA92" w:rsidRPr="5BA54A8C">
              <w:rPr>
                <w:noProof/>
              </w:rPr>
              <w:t>ate</w:t>
            </w:r>
            <w:r w:rsidR="00A83577" w:rsidRPr="0A4E5BB7">
              <w:rPr>
                <w:noProof/>
              </w:rPr>
              <w:t xml:space="preserve"> identification of </w:t>
            </w:r>
            <w:r w:rsidR="008865A0" w:rsidRPr="0A4E5BB7">
              <w:rPr>
                <w:noProof/>
              </w:rPr>
              <w:t>safety measures to effectively mitigate the consequences of such events.</w:t>
            </w:r>
          </w:p>
          <w:p w14:paraId="26E4F5F1" w14:textId="77777777" w:rsidR="00D152DB" w:rsidRDefault="00D152DB" w:rsidP="00D152DB">
            <w:pPr>
              <w:spacing w:before="60" w:after="60"/>
              <w:rPr>
                <w:b/>
                <w:noProof/>
                <w:szCs w:val="24"/>
              </w:rPr>
            </w:pPr>
          </w:p>
          <w:p w14:paraId="4227DE41" w14:textId="2788603C" w:rsidR="00D152DB" w:rsidRDefault="00D152DB" w:rsidP="00D152DB">
            <w:pPr>
              <w:spacing w:before="60" w:after="60"/>
              <w:rPr>
                <w:b/>
                <w:noProof/>
                <w:szCs w:val="24"/>
              </w:rPr>
            </w:pPr>
            <w:r w:rsidRPr="00FD0CB5">
              <w:rPr>
                <w:bCs/>
                <w:noProof/>
                <w:szCs w:val="24"/>
              </w:rPr>
              <w:t>Resolution required by '</w:t>
            </w:r>
            <w:r w:rsidRPr="00FD0CB5">
              <w:rPr>
                <w:bCs/>
                <w:i/>
                <w:noProof/>
                <w:szCs w:val="24"/>
              </w:rPr>
              <w:t xml:space="preserve">to be determined by </w:t>
            </w:r>
            <w:r>
              <w:rPr>
                <w:bCs/>
                <w:i/>
                <w:noProof/>
                <w:szCs w:val="24"/>
              </w:rPr>
              <w:t>Holtec</w:t>
            </w:r>
            <w:r w:rsidRPr="00FD0CB5">
              <w:rPr>
                <w:bCs/>
                <w:i/>
                <w:noProof/>
                <w:szCs w:val="24"/>
              </w:rPr>
              <w:t xml:space="preserve"> Resolution Plan</w:t>
            </w:r>
            <w:r w:rsidRPr="00FD0CB5">
              <w:rPr>
                <w:bCs/>
                <w:noProof/>
                <w:szCs w:val="24"/>
              </w:rPr>
              <w:t>'</w:t>
            </w:r>
          </w:p>
        </w:tc>
      </w:tr>
    </w:tbl>
    <w:p w14:paraId="6E129088" w14:textId="77777777" w:rsidR="00D837C8" w:rsidRDefault="00D837C8"/>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461"/>
      </w:tblGrid>
      <w:tr w:rsidR="00850471" w:rsidRPr="0048438C" w14:paraId="4573E050" w14:textId="77777777" w:rsidTr="00D837C8">
        <w:trPr>
          <w:trHeight w:val="316"/>
        </w:trPr>
        <w:tc>
          <w:tcPr>
            <w:tcW w:w="9897" w:type="dxa"/>
            <w:gridSpan w:val="2"/>
            <w:shd w:val="clear" w:color="auto" w:fill="D9D9D9" w:themeFill="background1" w:themeFillShade="D9"/>
          </w:tcPr>
          <w:p w14:paraId="4573E04F" w14:textId="77777777" w:rsidR="00850471" w:rsidRPr="0048438C" w:rsidRDefault="00850471" w:rsidP="0048438C">
            <w:pPr>
              <w:spacing w:before="60" w:after="60"/>
              <w:jc w:val="center"/>
              <w:rPr>
                <w:szCs w:val="24"/>
              </w:rPr>
            </w:pPr>
            <w:r w:rsidRPr="0048438C">
              <w:rPr>
                <w:b/>
                <w:szCs w:val="24"/>
              </w:rPr>
              <w:t>REQUESTING PARTY TO COMPLETE</w:t>
            </w:r>
          </w:p>
        </w:tc>
      </w:tr>
      <w:tr w:rsidR="00850471" w:rsidRPr="0048438C" w14:paraId="4573E053" w14:textId="77777777" w:rsidTr="009459D7">
        <w:trPr>
          <w:trHeight w:val="204"/>
        </w:trPr>
        <w:tc>
          <w:tcPr>
            <w:tcW w:w="6436" w:type="dxa"/>
          </w:tcPr>
          <w:p w14:paraId="4573E051" w14:textId="4EF38771" w:rsidR="00850471" w:rsidRPr="0048438C" w:rsidRDefault="00850471" w:rsidP="0048438C">
            <w:pPr>
              <w:spacing w:before="60" w:after="60"/>
              <w:rPr>
                <w:b/>
                <w:szCs w:val="24"/>
              </w:rPr>
            </w:pPr>
            <w:r w:rsidRPr="0048438C">
              <w:rPr>
                <w:b/>
                <w:szCs w:val="24"/>
              </w:rPr>
              <w:t>Actual Acknowledgement date</w:t>
            </w:r>
            <w:r w:rsidR="00367C32">
              <w:rPr>
                <w:b/>
                <w:szCs w:val="24"/>
              </w:rPr>
              <w:t xml:space="preserve"> </w:t>
            </w:r>
            <w:r w:rsidR="00367C32" w:rsidRPr="009459D7">
              <w:rPr>
                <w:bCs/>
                <w:szCs w:val="24"/>
              </w:rPr>
              <w:t>(dd/mm/</w:t>
            </w:r>
            <w:proofErr w:type="spellStart"/>
            <w:r w:rsidR="00367C32" w:rsidRPr="009459D7">
              <w:rPr>
                <w:bCs/>
                <w:szCs w:val="24"/>
              </w:rPr>
              <w:t>yy</w:t>
            </w:r>
            <w:proofErr w:type="spellEnd"/>
            <w:r w:rsidR="00367C32" w:rsidRPr="009459D7">
              <w:rPr>
                <w:bCs/>
                <w:szCs w:val="24"/>
              </w:rPr>
              <w:t>)</w:t>
            </w:r>
            <w:r w:rsidRPr="0048438C">
              <w:rPr>
                <w:b/>
                <w:szCs w:val="24"/>
              </w:rPr>
              <w:t>:</w:t>
            </w:r>
          </w:p>
        </w:tc>
        <w:tc>
          <w:tcPr>
            <w:tcW w:w="3461" w:type="dxa"/>
          </w:tcPr>
          <w:p w14:paraId="4573E052" w14:textId="77777777" w:rsidR="00850471" w:rsidRPr="0048438C" w:rsidRDefault="00850471" w:rsidP="0048438C">
            <w:pPr>
              <w:spacing w:before="60" w:after="60"/>
              <w:jc w:val="center"/>
              <w:rPr>
                <w:b/>
                <w:szCs w:val="24"/>
              </w:rPr>
            </w:pPr>
          </w:p>
        </w:tc>
      </w:tr>
      <w:tr w:rsidR="00850471" w:rsidRPr="0048438C" w14:paraId="4573E056" w14:textId="77777777" w:rsidTr="009459D7">
        <w:trPr>
          <w:trHeight w:val="204"/>
        </w:trPr>
        <w:tc>
          <w:tcPr>
            <w:tcW w:w="6436" w:type="dxa"/>
          </w:tcPr>
          <w:p w14:paraId="4573E054" w14:textId="2C1E1120" w:rsidR="00850471" w:rsidRPr="0048438C" w:rsidRDefault="00850471" w:rsidP="0048438C">
            <w:pPr>
              <w:spacing w:before="60" w:after="60"/>
              <w:rPr>
                <w:b/>
                <w:szCs w:val="24"/>
              </w:rPr>
            </w:pPr>
            <w:r w:rsidRPr="0048438C">
              <w:rPr>
                <w:b/>
                <w:szCs w:val="24"/>
              </w:rPr>
              <w:t>RP stated Resolution Plan agreement date</w:t>
            </w:r>
            <w:r w:rsidR="009459D7">
              <w:rPr>
                <w:b/>
                <w:szCs w:val="24"/>
              </w:rPr>
              <w:t xml:space="preserve"> </w:t>
            </w:r>
            <w:r w:rsidR="009459D7" w:rsidRPr="009459D7">
              <w:rPr>
                <w:bCs/>
                <w:szCs w:val="24"/>
              </w:rPr>
              <w:t>(dd/mm/</w:t>
            </w:r>
            <w:proofErr w:type="spellStart"/>
            <w:r w:rsidR="009459D7" w:rsidRPr="009459D7">
              <w:rPr>
                <w:bCs/>
                <w:szCs w:val="24"/>
              </w:rPr>
              <w:t>yy</w:t>
            </w:r>
            <w:proofErr w:type="spellEnd"/>
            <w:r w:rsidR="009459D7" w:rsidRPr="009459D7">
              <w:rPr>
                <w:bCs/>
                <w:szCs w:val="24"/>
              </w:rPr>
              <w:t>)</w:t>
            </w:r>
            <w:r w:rsidRPr="0048438C">
              <w:rPr>
                <w:b/>
                <w:szCs w:val="24"/>
              </w:rPr>
              <w:t>:</w:t>
            </w:r>
          </w:p>
        </w:tc>
        <w:tc>
          <w:tcPr>
            <w:tcW w:w="3461" w:type="dxa"/>
          </w:tcPr>
          <w:p w14:paraId="4573E055" w14:textId="77777777" w:rsidR="00850471" w:rsidRPr="0048438C" w:rsidRDefault="00850471" w:rsidP="0048438C">
            <w:pPr>
              <w:spacing w:before="60" w:after="60"/>
              <w:jc w:val="center"/>
              <w:rPr>
                <w:b/>
                <w:szCs w:val="24"/>
              </w:rPr>
            </w:pPr>
          </w:p>
        </w:tc>
      </w:tr>
    </w:tbl>
    <w:p w14:paraId="4573E057" w14:textId="0F4061B4" w:rsidR="00ED1ADA" w:rsidRPr="0048438C" w:rsidRDefault="00ED1ADA" w:rsidP="0048438C">
      <w:pPr>
        <w:spacing w:before="60" w:after="60"/>
        <w:rPr>
          <w:szCs w:val="24"/>
        </w:rPr>
      </w:pPr>
    </w:p>
    <w:sectPr w:rsidR="00ED1ADA" w:rsidRPr="0048438C">
      <w:headerReference w:type="default" r:id="rId12"/>
      <w:footerReference w:type="even" r:id="rId13"/>
      <w:footerReference w:type="default" r:id="rId14"/>
      <w:pgSz w:w="11906" w:h="16838" w:code="9"/>
      <w:pgMar w:top="1134" w:right="1134"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E401C" w14:textId="77777777" w:rsidR="004103A6" w:rsidRDefault="004103A6">
      <w:r>
        <w:separator/>
      </w:r>
    </w:p>
  </w:endnote>
  <w:endnote w:type="continuationSeparator" w:id="0">
    <w:p w14:paraId="38EC9C41" w14:textId="77777777" w:rsidR="004103A6" w:rsidRDefault="0041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77777777" w:rsidR="00C15B6D" w:rsidRDefault="00C1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43155AC4" w:rsidR="00C15B6D" w:rsidRDefault="00C15B6D">
    <w:pPr>
      <w:pStyle w:val="Footer"/>
      <w:tabs>
        <w:tab w:val="clear" w:pos="8306"/>
        <w:tab w:val="right" w:pos="9840"/>
      </w:tabs>
      <w:spacing w:before="120"/>
      <w:rPr>
        <w:lang w:val="en-US"/>
      </w:rPr>
    </w:pPr>
    <w:r>
      <w:rPr>
        <w:lang w:val="en-US"/>
      </w:rPr>
      <w:tab/>
    </w:r>
    <w:r w:rsidR="006300E5">
      <w:rPr>
        <w:lang w:val="en-US"/>
      </w:rPr>
      <w:t xml:space="preserve">                           </w:t>
    </w:r>
    <w:r>
      <w:rPr>
        <w:lang w:val="en-US"/>
      </w:rPr>
      <w:tab/>
    </w:r>
    <w:r w:rsidR="005A547C" w:rsidRPr="009D128E">
      <w:rPr>
        <w:sz w:val="22"/>
        <w:szCs w:val="22"/>
        <w:lang w:val="en-US"/>
      </w:rPr>
      <w:t xml:space="preserve">Page </w:t>
    </w:r>
    <w:r w:rsidR="005A547C" w:rsidRPr="009D128E">
      <w:rPr>
        <w:sz w:val="22"/>
        <w:szCs w:val="22"/>
        <w:lang w:val="en-US"/>
      </w:rPr>
      <w:fldChar w:fldCharType="begin"/>
    </w:r>
    <w:r w:rsidR="005A547C" w:rsidRPr="009D128E">
      <w:rPr>
        <w:sz w:val="22"/>
        <w:szCs w:val="22"/>
        <w:lang w:val="en-US"/>
      </w:rPr>
      <w:instrText xml:space="preserve"> PAGE </w:instrText>
    </w:r>
    <w:r w:rsidR="005A547C" w:rsidRPr="009D128E">
      <w:rPr>
        <w:sz w:val="22"/>
        <w:szCs w:val="22"/>
        <w:lang w:val="en-US"/>
      </w:rPr>
      <w:fldChar w:fldCharType="separate"/>
    </w:r>
    <w:r w:rsidR="005A547C">
      <w:rPr>
        <w:sz w:val="22"/>
        <w:lang w:val="en-US"/>
      </w:rPr>
      <w:t>1</w:t>
    </w:r>
    <w:r w:rsidR="005A547C" w:rsidRPr="009D128E">
      <w:rPr>
        <w:sz w:val="22"/>
        <w:szCs w:val="22"/>
        <w:lang w:val="en-US"/>
      </w:rPr>
      <w:fldChar w:fldCharType="end"/>
    </w:r>
    <w:r w:rsidR="005A547C" w:rsidRPr="009D128E">
      <w:rPr>
        <w:sz w:val="22"/>
        <w:szCs w:val="22"/>
        <w:lang w:val="en-US"/>
      </w:rPr>
      <w:t xml:space="preserve"> of </w:t>
    </w:r>
    <w:r w:rsidR="005A547C" w:rsidRPr="009D128E">
      <w:rPr>
        <w:sz w:val="22"/>
        <w:szCs w:val="22"/>
        <w:lang w:val="en-US"/>
      </w:rPr>
      <w:fldChar w:fldCharType="begin"/>
    </w:r>
    <w:r w:rsidR="005A547C" w:rsidRPr="009D128E">
      <w:rPr>
        <w:sz w:val="22"/>
        <w:szCs w:val="22"/>
        <w:lang w:val="en-US"/>
      </w:rPr>
      <w:instrText xml:space="preserve"> NUMPAGES </w:instrText>
    </w:r>
    <w:r w:rsidR="005A547C" w:rsidRPr="009D128E">
      <w:rPr>
        <w:sz w:val="22"/>
        <w:szCs w:val="22"/>
        <w:lang w:val="en-US"/>
      </w:rPr>
      <w:fldChar w:fldCharType="separate"/>
    </w:r>
    <w:r w:rsidR="005A547C">
      <w:rPr>
        <w:sz w:val="22"/>
        <w:lang w:val="en-US"/>
      </w:rPr>
      <w:t>3</w:t>
    </w:r>
    <w:r w:rsidR="005A547C" w:rsidRPr="009D128E">
      <w:rPr>
        <w:sz w:val="22"/>
        <w:szCs w:val="22"/>
        <w:lang w:val="en-US"/>
      </w:rPr>
      <w:fldChar w:fldCharType="end"/>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9887" w14:textId="77777777" w:rsidR="004103A6" w:rsidRDefault="004103A6">
      <w:r>
        <w:separator/>
      </w:r>
    </w:p>
  </w:footnote>
  <w:footnote w:type="continuationSeparator" w:id="0">
    <w:p w14:paraId="139D7D7E" w14:textId="77777777" w:rsidR="004103A6" w:rsidRDefault="00410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FDC5" w14:textId="77777777" w:rsidR="003B6ACD" w:rsidRDefault="003B6ACD" w:rsidP="003B6ACD"/>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77777777" w:rsidR="00C14744" w:rsidRPr="00C14744" w:rsidRDefault="00C14744" w:rsidP="0092073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748921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5E2E41"/>
    <w:multiLevelType w:val="hybridMultilevel"/>
    <w:tmpl w:val="43C0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DC1D71"/>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7BB3E3F"/>
    <w:multiLevelType w:val="hybridMultilevel"/>
    <w:tmpl w:val="7502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C1C20"/>
    <w:multiLevelType w:val="hybridMultilevel"/>
    <w:tmpl w:val="BD0E48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 w15:restartNumberingAfterBreak="0">
    <w:nsid w:val="12B15081"/>
    <w:multiLevelType w:val="hybridMultilevel"/>
    <w:tmpl w:val="73F6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50EC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37487A"/>
    <w:multiLevelType w:val="hybridMultilevel"/>
    <w:tmpl w:val="44CA5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296F9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C7310D"/>
    <w:multiLevelType w:val="hybridMultilevel"/>
    <w:tmpl w:val="1C16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0850BB"/>
    <w:multiLevelType w:val="hybridMultilevel"/>
    <w:tmpl w:val="9CAE55A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2FA75C6D"/>
    <w:multiLevelType w:val="hybridMultilevel"/>
    <w:tmpl w:val="2960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81CFA"/>
    <w:multiLevelType w:val="multilevel"/>
    <w:tmpl w:val="BBFA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AE7A4C"/>
    <w:multiLevelType w:val="hybridMultilevel"/>
    <w:tmpl w:val="F88CC07C"/>
    <w:lvl w:ilvl="0" w:tplc="1D165186">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0" w15:restartNumberingAfterBreak="0">
    <w:nsid w:val="37156349"/>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C37840"/>
    <w:multiLevelType w:val="hybridMultilevel"/>
    <w:tmpl w:val="0A7E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345173"/>
    <w:multiLevelType w:val="hybridMultilevel"/>
    <w:tmpl w:val="EB70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111CE9"/>
    <w:multiLevelType w:val="hybridMultilevel"/>
    <w:tmpl w:val="844C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091084"/>
    <w:multiLevelType w:val="hybridMultilevel"/>
    <w:tmpl w:val="710C4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D6BBC"/>
    <w:multiLevelType w:val="hybridMultilevel"/>
    <w:tmpl w:val="9DEE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DA0296"/>
    <w:multiLevelType w:val="hybridMultilevel"/>
    <w:tmpl w:val="DB64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C14F80"/>
    <w:multiLevelType w:val="hybridMultilevel"/>
    <w:tmpl w:val="680A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B7294"/>
    <w:multiLevelType w:val="hybridMultilevel"/>
    <w:tmpl w:val="0680C2AC"/>
    <w:lvl w:ilvl="0" w:tplc="9D7AF4A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90B7ED3"/>
    <w:multiLevelType w:val="hybridMultilevel"/>
    <w:tmpl w:val="766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15548"/>
    <w:multiLevelType w:val="hybridMultilevel"/>
    <w:tmpl w:val="D0B8B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9E226C"/>
    <w:multiLevelType w:val="hybridMultilevel"/>
    <w:tmpl w:val="993C0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562317"/>
    <w:multiLevelType w:val="hybridMultilevel"/>
    <w:tmpl w:val="A6F4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580136">
    <w:abstractNumId w:val="31"/>
  </w:num>
  <w:num w:numId="2" w16cid:durableId="1038162188">
    <w:abstractNumId w:val="31"/>
  </w:num>
  <w:num w:numId="3" w16cid:durableId="1457485129">
    <w:abstractNumId w:val="31"/>
  </w:num>
  <w:num w:numId="4" w16cid:durableId="605386637">
    <w:abstractNumId w:val="30"/>
  </w:num>
  <w:num w:numId="5" w16cid:durableId="642780601">
    <w:abstractNumId w:val="22"/>
  </w:num>
  <w:num w:numId="6" w16cid:durableId="1993218993">
    <w:abstractNumId w:val="31"/>
  </w:num>
  <w:num w:numId="7" w16cid:durableId="1210649461">
    <w:abstractNumId w:val="31"/>
  </w:num>
  <w:num w:numId="8" w16cid:durableId="777143800">
    <w:abstractNumId w:val="31"/>
  </w:num>
  <w:num w:numId="9" w16cid:durableId="416095553">
    <w:abstractNumId w:val="31"/>
  </w:num>
  <w:num w:numId="10" w16cid:durableId="157312330">
    <w:abstractNumId w:val="31"/>
  </w:num>
  <w:num w:numId="11" w16cid:durableId="272445445">
    <w:abstractNumId w:val="31"/>
  </w:num>
  <w:num w:numId="12" w16cid:durableId="1954940256">
    <w:abstractNumId w:val="4"/>
  </w:num>
  <w:num w:numId="13" w16cid:durableId="228197380">
    <w:abstractNumId w:val="3"/>
  </w:num>
  <w:num w:numId="14" w16cid:durableId="717900545">
    <w:abstractNumId w:val="2"/>
  </w:num>
  <w:num w:numId="15" w16cid:durableId="936597274">
    <w:abstractNumId w:val="1"/>
  </w:num>
  <w:num w:numId="16" w16cid:durableId="1357922998">
    <w:abstractNumId w:val="0"/>
  </w:num>
  <w:num w:numId="17" w16cid:durableId="833574136">
    <w:abstractNumId w:val="14"/>
  </w:num>
  <w:num w:numId="18" w16cid:durableId="1027683759">
    <w:abstractNumId w:val="13"/>
  </w:num>
  <w:num w:numId="19" w16cid:durableId="1637100462">
    <w:abstractNumId w:val="29"/>
  </w:num>
  <w:num w:numId="20" w16cid:durableId="1174806318">
    <w:abstractNumId w:val="19"/>
  </w:num>
  <w:num w:numId="21" w16cid:durableId="945313271">
    <w:abstractNumId w:val="10"/>
  </w:num>
  <w:num w:numId="22" w16cid:durableId="1200700022">
    <w:abstractNumId w:val="12"/>
  </w:num>
  <w:num w:numId="23" w16cid:durableId="645672170">
    <w:abstractNumId w:val="6"/>
  </w:num>
  <w:num w:numId="24" w16cid:durableId="1840466613">
    <w:abstractNumId w:val="20"/>
  </w:num>
  <w:num w:numId="25" w16cid:durableId="1999382184">
    <w:abstractNumId w:val="17"/>
  </w:num>
  <w:num w:numId="26" w16cid:durableId="599148025">
    <w:abstractNumId w:val="9"/>
  </w:num>
  <w:num w:numId="27" w16cid:durableId="2040816933">
    <w:abstractNumId w:val="5"/>
  </w:num>
  <w:num w:numId="28" w16cid:durableId="1118572123">
    <w:abstractNumId w:val="35"/>
  </w:num>
  <w:num w:numId="29" w16cid:durableId="1725106641">
    <w:abstractNumId w:val="25"/>
  </w:num>
  <w:num w:numId="30" w16cid:durableId="153960405">
    <w:abstractNumId w:val="8"/>
  </w:num>
  <w:num w:numId="31" w16cid:durableId="815413148">
    <w:abstractNumId w:val="7"/>
  </w:num>
  <w:num w:numId="32" w16cid:durableId="1336615548">
    <w:abstractNumId w:val="15"/>
  </w:num>
  <w:num w:numId="33" w16cid:durableId="404912419">
    <w:abstractNumId w:val="34"/>
  </w:num>
  <w:num w:numId="34" w16cid:durableId="177160696">
    <w:abstractNumId w:val="11"/>
  </w:num>
  <w:num w:numId="35" w16cid:durableId="1784493925">
    <w:abstractNumId w:val="27"/>
  </w:num>
  <w:num w:numId="36" w16cid:durableId="195775851">
    <w:abstractNumId w:val="24"/>
  </w:num>
  <w:num w:numId="37" w16cid:durableId="652105439">
    <w:abstractNumId w:val="33"/>
  </w:num>
  <w:num w:numId="38" w16cid:durableId="600797940">
    <w:abstractNumId w:val="21"/>
  </w:num>
  <w:num w:numId="39" w16cid:durableId="1107000443">
    <w:abstractNumId w:val="23"/>
  </w:num>
  <w:num w:numId="40" w16cid:durableId="400833">
    <w:abstractNumId w:val="16"/>
  </w:num>
  <w:num w:numId="41" w16cid:durableId="586811754">
    <w:abstractNumId w:val="26"/>
  </w:num>
  <w:num w:numId="42" w16cid:durableId="578905290">
    <w:abstractNumId w:val="18"/>
  </w:num>
  <w:num w:numId="43" w16cid:durableId="2004157369">
    <w:abstractNumId w:val="32"/>
  </w:num>
  <w:num w:numId="44" w16cid:durableId="18431592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65"/>
    <w:rsid w:val="00002144"/>
    <w:rsid w:val="00002C8B"/>
    <w:rsid w:val="00006D81"/>
    <w:rsid w:val="0000781D"/>
    <w:rsid w:val="000107F3"/>
    <w:rsid w:val="00014011"/>
    <w:rsid w:val="00016B66"/>
    <w:rsid w:val="00021537"/>
    <w:rsid w:val="00022EAF"/>
    <w:rsid w:val="00033AF5"/>
    <w:rsid w:val="00035418"/>
    <w:rsid w:val="000403DB"/>
    <w:rsid w:val="00041207"/>
    <w:rsid w:val="0004146C"/>
    <w:rsid w:val="00041D39"/>
    <w:rsid w:val="00042349"/>
    <w:rsid w:val="00043FAE"/>
    <w:rsid w:val="00047346"/>
    <w:rsid w:val="000501D3"/>
    <w:rsid w:val="0005603B"/>
    <w:rsid w:val="00060119"/>
    <w:rsid w:val="00062AC3"/>
    <w:rsid w:val="00065040"/>
    <w:rsid w:val="00070C1F"/>
    <w:rsid w:val="0007323B"/>
    <w:rsid w:val="000758E9"/>
    <w:rsid w:val="000762AF"/>
    <w:rsid w:val="00080C5B"/>
    <w:rsid w:val="00083FE8"/>
    <w:rsid w:val="00085B3A"/>
    <w:rsid w:val="0009202A"/>
    <w:rsid w:val="000932D8"/>
    <w:rsid w:val="00093E3D"/>
    <w:rsid w:val="000944CD"/>
    <w:rsid w:val="00096EFD"/>
    <w:rsid w:val="00097489"/>
    <w:rsid w:val="000977CC"/>
    <w:rsid w:val="000A03F9"/>
    <w:rsid w:val="000A3BE6"/>
    <w:rsid w:val="000A5265"/>
    <w:rsid w:val="000A5F4D"/>
    <w:rsid w:val="000A7288"/>
    <w:rsid w:val="000B6A43"/>
    <w:rsid w:val="000B7D44"/>
    <w:rsid w:val="000B7E64"/>
    <w:rsid w:val="000C212C"/>
    <w:rsid w:val="000C2995"/>
    <w:rsid w:val="000C2B09"/>
    <w:rsid w:val="000C4903"/>
    <w:rsid w:val="000C4C93"/>
    <w:rsid w:val="000C510B"/>
    <w:rsid w:val="000C6D1E"/>
    <w:rsid w:val="000D164E"/>
    <w:rsid w:val="000D4019"/>
    <w:rsid w:val="000D4513"/>
    <w:rsid w:val="000D6781"/>
    <w:rsid w:val="000D6D8A"/>
    <w:rsid w:val="000D75C1"/>
    <w:rsid w:val="000E4B90"/>
    <w:rsid w:val="000E6FE7"/>
    <w:rsid w:val="000E701B"/>
    <w:rsid w:val="000F3BDF"/>
    <w:rsid w:val="000F427F"/>
    <w:rsid w:val="000F502E"/>
    <w:rsid w:val="000F5FFC"/>
    <w:rsid w:val="001008C8"/>
    <w:rsid w:val="00104211"/>
    <w:rsid w:val="00113D97"/>
    <w:rsid w:val="001178D5"/>
    <w:rsid w:val="00117B7C"/>
    <w:rsid w:val="00120EA5"/>
    <w:rsid w:val="00121226"/>
    <w:rsid w:val="001213AF"/>
    <w:rsid w:val="001225EF"/>
    <w:rsid w:val="00125578"/>
    <w:rsid w:val="00126EAB"/>
    <w:rsid w:val="001273B9"/>
    <w:rsid w:val="00127C56"/>
    <w:rsid w:val="00131299"/>
    <w:rsid w:val="001315B8"/>
    <w:rsid w:val="00132684"/>
    <w:rsid w:val="00134B36"/>
    <w:rsid w:val="00135D24"/>
    <w:rsid w:val="00135F80"/>
    <w:rsid w:val="0013627F"/>
    <w:rsid w:val="001367FF"/>
    <w:rsid w:val="001379CE"/>
    <w:rsid w:val="00140065"/>
    <w:rsid w:val="00140231"/>
    <w:rsid w:val="001415CE"/>
    <w:rsid w:val="00141E00"/>
    <w:rsid w:val="00142E81"/>
    <w:rsid w:val="001438BC"/>
    <w:rsid w:val="00150728"/>
    <w:rsid w:val="00150F6E"/>
    <w:rsid w:val="00151BB8"/>
    <w:rsid w:val="00152D6C"/>
    <w:rsid w:val="00155AD8"/>
    <w:rsid w:val="00155CEF"/>
    <w:rsid w:val="00156933"/>
    <w:rsid w:val="00157A58"/>
    <w:rsid w:val="00162012"/>
    <w:rsid w:val="001620FF"/>
    <w:rsid w:val="00163B6F"/>
    <w:rsid w:val="00163EC0"/>
    <w:rsid w:val="00165055"/>
    <w:rsid w:val="00165E46"/>
    <w:rsid w:val="001702F6"/>
    <w:rsid w:val="00170A05"/>
    <w:rsid w:val="00170C7A"/>
    <w:rsid w:val="00172020"/>
    <w:rsid w:val="001729E7"/>
    <w:rsid w:val="00172FBB"/>
    <w:rsid w:val="0017331A"/>
    <w:rsid w:val="00173F90"/>
    <w:rsid w:val="00174E58"/>
    <w:rsid w:val="0017506C"/>
    <w:rsid w:val="00177E1F"/>
    <w:rsid w:val="001832A3"/>
    <w:rsid w:val="001835F9"/>
    <w:rsid w:val="00185D10"/>
    <w:rsid w:val="001910FF"/>
    <w:rsid w:val="00193167"/>
    <w:rsid w:val="00194120"/>
    <w:rsid w:val="001951F3"/>
    <w:rsid w:val="00197B17"/>
    <w:rsid w:val="001A01E6"/>
    <w:rsid w:val="001A2326"/>
    <w:rsid w:val="001A263C"/>
    <w:rsid w:val="001A3FA1"/>
    <w:rsid w:val="001A5A46"/>
    <w:rsid w:val="001A5BF5"/>
    <w:rsid w:val="001A77E4"/>
    <w:rsid w:val="001A7AE5"/>
    <w:rsid w:val="001B1378"/>
    <w:rsid w:val="001B2606"/>
    <w:rsid w:val="001B4DAF"/>
    <w:rsid w:val="001B66EF"/>
    <w:rsid w:val="001B6E40"/>
    <w:rsid w:val="001B7416"/>
    <w:rsid w:val="001B7A7A"/>
    <w:rsid w:val="001B7CA3"/>
    <w:rsid w:val="001B7EC5"/>
    <w:rsid w:val="001C0571"/>
    <w:rsid w:val="001C27DA"/>
    <w:rsid w:val="001C2819"/>
    <w:rsid w:val="001C554F"/>
    <w:rsid w:val="001C6298"/>
    <w:rsid w:val="001D14C2"/>
    <w:rsid w:val="001D2214"/>
    <w:rsid w:val="001D280D"/>
    <w:rsid w:val="001D35D2"/>
    <w:rsid w:val="001D7477"/>
    <w:rsid w:val="001E1455"/>
    <w:rsid w:val="001E1ECB"/>
    <w:rsid w:val="001E3F38"/>
    <w:rsid w:val="001E4152"/>
    <w:rsid w:val="001E570E"/>
    <w:rsid w:val="001E60FA"/>
    <w:rsid w:val="001E6FE2"/>
    <w:rsid w:val="001E70BD"/>
    <w:rsid w:val="001F008C"/>
    <w:rsid w:val="001F1270"/>
    <w:rsid w:val="001F3A5D"/>
    <w:rsid w:val="001F4CF7"/>
    <w:rsid w:val="001F6168"/>
    <w:rsid w:val="001F628B"/>
    <w:rsid w:val="001F685B"/>
    <w:rsid w:val="001F6FC4"/>
    <w:rsid w:val="001F77CB"/>
    <w:rsid w:val="00200B47"/>
    <w:rsid w:val="0020150E"/>
    <w:rsid w:val="00201CA5"/>
    <w:rsid w:val="00202332"/>
    <w:rsid w:val="00202B9A"/>
    <w:rsid w:val="00205029"/>
    <w:rsid w:val="002063B1"/>
    <w:rsid w:val="0020658F"/>
    <w:rsid w:val="00207C2C"/>
    <w:rsid w:val="00207CEA"/>
    <w:rsid w:val="00212157"/>
    <w:rsid w:val="0021276B"/>
    <w:rsid w:val="002129A9"/>
    <w:rsid w:val="002133A0"/>
    <w:rsid w:val="00213412"/>
    <w:rsid w:val="00213BA3"/>
    <w:rsid w:val="00213E44"/>
    <w:rsid w:val="00217A4F"/>
    <w:rsid w:val="00217EE2"/>
    <w:rsid w:val="00220466"/>
    <w:rsid w:val="00221347"/>
    <w:rsid w:val="0022317F"/>
    <w:rsid w:val="00223F9E"/>
    <w:rsid w:val="00225E0C"/>
    <w:rsid w:val="0023056E"/>
    <w:rsid w:val="0023060A"/>
    <w:rsid w:val="00230B34"/>
    <w:rsid w:val="00230C37"/>
    <w:rsid w:val="00232147"/>
    <w:rsid w:val="0023220F"/>
    <w:rsid w:val="0023235A"/>
    <w:rsid w:val="00234D14"/>
    <w:rsid w:val="00236995"/>
    <w:rsid w:val="002400AF"/>
    <w:rsid w:val="00244E08"/>
    <w:rsid w:val="0024652B"/>
    <w:rsid w:val="00247E79"/>
    <w:rsid w:val="00252DB9"/>
    <w:rsid w:val="00253173"/>
    <w:rsid w:val="002537E6"/>
    <w:rsid w:val="00254B4B"/>
    <w:rsid w:val="00256534"/>
    <w:rsid w:val="0025711C"/>
    <w:rsid w:val="00260B6D"/>
    <w:rsid w:val="0026258D"/>
    <w:rsid w:val="002626C3"/>
    <w:rsid w:val="002638B8"/>
    <w:rsid w:val="00264F5A"/>
    <w:rsid w:val="00265AA2"/>
    <w:rsid w:val="00266036"/>
    <w:rsid w:val="00267302"/>
    <w:rsid w:val="00270042"/>
    <w:rsid w:val="00270A29"/>
    <w:rsid w:val="0027205B"/>
    <w:rsid w:val="002735F9"/>
    <w:rsid w:val="00275D85"/>
    <w:rsid w:val="00276571"/>
    <w:rsid w:val="0028139F"/>
    <w:rsid w:val="0028174B"/>
    <w:rsid w:val="00281C1A"/>
    <w:rsid w:val="00281FC5"/>
    <w:rsid w:val="002820A4"/>
    <w:rsid w:val="00283088"/>
    <w:rsid w:val="00283561"/>
    <w:rsid w:val="00283950"/>
    <w:rsid w:val="00284D0E"/>
    <w:rsid w:val="00285787"/>
    <w:rsid w:val="00285F01"/>
    <w:rsid w:val="002860FC"/>
    <w:rsid w:val="0028618F"/>
    <w:rsid w:val="00286D26"/>
    <w:rsid w:val="00290238"/>
    <w:rsid w:val="00291852"/>
    <w:rsid w:val="002918A6"/>
    <w:rsid w:val="002936A7"/>
    <w:rsid w:val="00293D30"/>
    <w:rsid w:val="0029641F"/>
    <w:rsid w:val="002964C7"/>
    <w:rsid w:val="00297201"/>
    <w:rsid w:val="0029758C"/>
    <w:rsid w:val="002A0655"/>
    <w:rsid w:val="002A0FC0"/>
    <w:rsid w:val="002A1148"/>
    <w:rsid w:val="002A2E6F"/>
    <w:rsid w:val="002A4C84"/>
    <w:rsid w:val="002A778E"/>
    <w:rsid w:val="002B109B"/>
    <w:rsid w:val="002B230B"/>
    <w:rsid w:val="002B3731"/>
    <w:rsid w:val="002B38DB"/>
    <w:rsid w:val="002B41F5"/>
    <w:rsid w:val="002B7423"/>
    <w:rsid w:val="002C0193"/>
    <w:rsid w:val="002C0396"/>
    <w:rsid w:val="002C05EB"/>
    <w:rsid w:val="002C2D44"/>
    <w:rsid w:val="002C2EAD"/>
    <w:rsid w:val="002C3737"/>
    <w:rsid w:val="002C6B72"/>
    <w:rsid w:val="002D0E6D"/>
    <w:rsid w:val="002D12B3"/>
    <w:rsid w:val="002D262E"/>
    <w:rsid w:val="002D32D7"/>
    <w:rsid w:val="002D34D0"/>
    <w:rsid w:val="002D42CF"/>
    <w:rsid w:val="002E0334"/>
    <w:rsid w:val="002E1925"/>
    <w:rsid w:val="002E1EB5"/>
    <w:rsid w:val="002E230E"/>
    <w:rsid w:val="002E26D1"/>
    <w:rsid w:val="002E3BE2"/>
    <w:rsid w:val="002E48A9"/>
    <w:rsid w:val="002E5791"/>
    <w:rsid w:val="002E5852"/>
    <w:rsid w:val="002E5BB5"/>
    <w:rsid w:val="002E5D79"/>
    <w:rsid w:val="002E6384"/>
    <w:rsid w:val="002E6FE0"/>
    <w:rsid w:val="002F08E0"/>
    <w:rsid w:val="002F0B0D"/>
    <w:rsid w:val="002F16E9"/>
    <w:rsid w:val="002F201A"/>
    <w:rsid w:val="002F2084"/>
    <w:rsid w:val="002F248C"/>
    <w:rsid w:val="002F2B2D"/>
    <w:rsid w:val="002F34BD"/>
    <w:rsid w:val="002F4D82"/>
    <w:rsid w:val="002F56B5"/>
    <w:rsid w:val="002F6CB0"/>
    <w:rsid w:val="0030077B"/>
    <w:rsid w:val="00300C9C"/>
    <w:rsid w:val="003028AA"/>
    <w:rsid w:val="0030321C"/>
    <w:rsid w:val="0030335C"/>
    <w:rsid w:val="003036A5"/>
    <w:rsid w:val="00305F74"/>
    <w:rsid w:val="00307A65"/>
    <w:rsid w:val="0031202C"/>
    <w:rsid w:val="00313B77"/>
    <w:rsid w:val="00314D81"/>
    <w:rsid w:val="00320023"/>
    <w:rsid w:val="00320214"/>
    <w:rsid w:val="0032101E"/>
    <w:rsid w:val="00321D0E"/>
    <w:rsid w:val="00325E25"/>
    <w:rsid w:val="00326282"/>
    <w:rsid w:val="00326B23"/>
    <w:rsid w:val="00327776"/>
    <w:rsid w:val="00331249"/>
    <w:rsid w:val="00332310"/>
    <w:rsid w:val="0033397A"/>
    <w:rsid w:val="00333F28"/>
    <w:rsid w:val="00335715"/>
    <w:rsid w:val="0033581E"/>
    <w:rsid w:val="00337FC0"/>
    <w:rsid w:val="003406E2"/>
    <w:rsid w:val="00340FDB"/>
    <w:rsid w:val="003425D0"/>
    <w:rsid w:val="00343C12"/>
    <w:rsid w:val="00343F5B"/>
    <w:rsid w:val="0034414D"/>
    <w:rsid w:val="003459BA"/>
    <w:rsid w:val="00347213"/>
    <w:rsid w:val="003514ED"/>
    <w:rsid w:val="00351773"/>
    <w:rsid w:val="00356129"/>
    <w:rsid w:val="003570D7"/>
    <w:rsid w:val="0035741B"/>
    <w:rsid w:val="0036147F"/>
    <w:rsid w:val="00362B67"/>
    <w:rsid w:val="003630FD"/>
    <w:rsid w:val="003636F3"/>
    <w:rsid w:val="00364306"/>
    <w:rsid w:val="00365302"/>
    <w:rsid w:val="003662D5"/>
    <w:rsid w:val="00366AEB"/>
    <w:rsid w:val="00367C32"/>
    <w:rsid w:val="00374FB9"/>
    <w:rsid w:val="003827EF"/>
    <w:rsid w:val="00383551"/>
    <w:rsid w:val="00383FD3"/>
    <w:rsid w:val="00384756"/>
    <w:rsid w:val="00384EE0"/>
    <w:rsid w:val="00387A5F"/>
    <w:rsid w:val="003903F4"/>
    <w:rsid w:val="00391683"/>
    <w:rsid w:val="00392861"/>
    <w:rsid w:val="00393171"/>
    <w:rsid w:val="0039374D"/>
    <w:rsid w:val="0039439D"/>
    <w:rsid w:val="00394FB6"/>
    <w:rsid w:val="00395AF2"/>
    <w:rsid w:val="003A00AA"/>
    <w:rsid w:val="003A0C6E"/>
    <w:rsid w:val="003A3243"/>
    <w:rsid w:val="003A42E6"/>
    <w:rsid w:val="003A6935"/>
    <w:rsid w:val="003B0D35"/>
    <w:rsid w:val="003B100F"/>
    <w:rsid w:val="003B1C63"/>
    <w:rsid w:val="003B492E"/>
    <w:rsid w:val="003B4A4A"/>
    <w:rsid w:val="003B52D4"/>
    <w:rsid w:val="003B53BB"/>
    <w:rsid w:val="003B6ACD"/>
    <w:rsid w:val="003C3037"/>
    <w:rsid w:val="003C4E86"/>
    <w:rsid w:val="003C645A"/>
    <w:rsid w:val="003C67DB"/>
    <w:rsid w:val="003C7579"/>
    <w:rsid w:val="003D0FC2"/>
    <w:rsid w:val="003D1057"/>
    <w:rsid w:val="003D12BE"/>
    <w:rsid w:val="003D3A55"/>
    <w:rsid w:val="003D4892"/>
    <w:rsid w:val="003D48F3"/>
    <w:rsid w:val="003D7BCF"/>
    <w:rsid w:val="003E1D1E"/>
    <w:rsid w:val="003E22F6"/>
    <w:rsid w:val="003E4FD3"/>
    <w:rsid w:val="003F52D1"/>
    <w:rsid w:val="003F6757"/>
    <w:rsid w:val="003F6DD6"/>
    <w:rsid w:val="003F774D"/>
    <w:rsid w:val="00400348"/>
    <w:rsid w:val="004019BD"/>
    <w:rsid w:val="00402718"/>
    <w:rsid w:val="0040443F"/>
    <w:rsid w:val="004048B4"/>
    <w:rsid w:val="00406129"/>
    <w:rsid w:val="004078DE"/>
    <w:rsid w:val="004103A6"/>
    <w:rsid w:val="0041307B"/>
    <w:rsid w:val="00414E9A"/>
    <w:rsid w:val="00417452"/>
    <w:rsid w:val="004214AE"/>
    <w:rsid w:val="0042176D"/>
    <w:rsid w:val="0042218C"/>
    <w:rsid w:val="004259FA"/>
    <w:rsid w:val="00425EF7"/>
    <w:rsid w:val="004260C0"/>
    <w:rsid w:val="00427710"/>
    <w:rsid w:val="00427B54"/>
    <w:rsid w:val="00434C9E"/>
    <w:rsid w:val="00435834"/>
    <w:rsid w:val="004359A2"/>
    <w:rsid w:val="00436EED"/>
    <w:rsid w:val="0044052F"/>
    <w:rsid w:val="00441E02"/>
    <w:rsid w:val="004430B1"/>
    <w:rsid w:val="00443A4D"/>
    <w:rsid w:val="004448D8"/>
    <w:rsid w:val="00444B74"/>
    <w:rsid w:val="00444C41"/>
    <w:rsid w:val="00446184"/>
    <w:rsid w:val="0044639A"/>
    <w:rsid w:val="00446458"/>
    <w:rsid w:val="00446F06"/>
    <w:rsid w:val="00446F23"/>
    <w:rsid w:val="004507EE"/>
    <w:rsid w:val="00450821"/>
    <w:rsid w:val="00450C70"/>
    <w:rsid w:val="00451763"/>
    <w:rsid w:val="00453698"/>
    <w:rsid w:val="00455AE7"/>
    <w:rsid w:val="004567A1"/>
    <w:rsid w:val="00457D06"/>
    <w:rsid w:val="004608A6"/>
    <w:rsid w:val="00464962"/>
    <w:rsid w:val="00464AF5"/>
    <w:rsid w:val="00464DBE"/>
    <w:rsid w:val="00472782"/>
    <w:rsid w:val="00473D03"/>
    <w:rsid w:val="00474CAB"/>
    <w:rsid w:val="004763BC"/>
    <w:rsid w:val="00481113"/>
    <w:rsid w:val="004813B7"/>
    <w:rsid w:val="00482432"/>
    <w:rsid w:val="0048438C"/>
    <w:rsid w:val="00484CEC"/>
    <w:rsid w:val="004869CB"/>
    <w:rsid w:val="0048779F"/>
    <w:rsid w:val="004911D4"/>
    <w:rsid w:val="0049141C"/>
    <w:rsid w:val="00493EB2"/>
    <w:rsid w:val="00494EE4"/>
    <w:rsid w:val="004966E3"/>
    <w:rsid w:val="00496CBB"/>
    <w:rsid w:val="004977D2"/>
    <w:rsid w:val="004979FF"/>
    <w:rsid w:val="004A1E84"/>
    <w:rsid w:val="004A1E85"/>
    <w:rsid w:val="004A5159"/>
    <w:rsid w:val="004A5D75"/>
    <w:rsid w:val="004A6CE5"/>
    <w:rsid w:val="004B0B73"/>
    <w:rsid w:val="004B1C73"/>
    <w:rsid w:val="004B205C"/>
    <w:rsid w:val="004B25DC"/>
    <w:rsid w:val="004C2148"/>
    <w:rsid w:val="004C3140"/>
    <w:rsid w:val="004C40FB"/>
    <w:rsid w:val="004C4AAC"/>
    <w:rsid w:val="004C59B6"/>
    <w:rsid w:val="004D0D50"/>
    <w:rsid w:val="004D2557"/>
    <w:rsid w:val="004D2EA1"/>
    <w:rsid w:val="004D3932"/>
    <w:rsid w:val="004D4783"/>
    <w:rsid w:val="004D5F68"/>
    <w:rsid w:val="004D6216"/>
    <w:rsid w:val="004D66C1"/>
    <w:rsid w:val="004D7F91"/>
    <w:rsid w:val="004E000A"/>
    <w:rsid w:val="004E0325"/>
    <w:rsid w:val="004E1368"/>
    <w:rsid w:val="004E2E19"/>
    <w:rsid w:val="004E5017"/>
    <w:rsid w:val="004E5936"/>
    <w:rsid w:val="004F329A"/>
    <w:rsid w:val="004F3A3D"/>
    <w:rsid w:val="00501739"/>
    <w:rsid w:val="00504A83"/>
    <w:rsid w:val="00504E6E"/>
    <w:rsid w:val="0050591F"/>
    <w:rsid w:val="005064B3"/>
    <w:rsid w:val="005071BB"/>
    <w:rsid w:val="005104C2"/>
    <w:rsid w:val="00513FFB"/>
    <w:rsid w:val="00516609"/>
    <w:rsid w:val="00517E1B"/>
    <w:rsid w:val="00525085"/>
    <w:rsid w:val="00530889"/>
    <w:rsid w:val="005312E7"/>
    <w:rsid w:val="005328EE"/>
    <w:rsid w:val="00532C94"/>
    <w:rsid w:val="005342E5"/>
    <w:rsid w:val="00534CAB"/>
    <w:rsid w:val="00536F2F"/>
    <w:rsid w:val="00540379"/>
    <w:rsid w:val="00542CA2"/>
    <w:rsid w:val="00542D08"/>
    <w:rsid w:val="00543629"/>
    <w:rsid w:val="005465C8"/>
    <w:rsid w:val="0054795E"/>
    <w:rsid w:val="00547E75"/>
    <w:rsid w:val="00550AD6"/>
    <w:rsid w:val="0055197F"/>
    <w:rsid w:val="005534E8"/>
    <w:rsid w:val="00553DD8"/>
    <w:rsid w:val="0055490C"/>
    <w:rsid w:val="00555C71"/>
    <w:rsid w:val="00556182"/>
    <w:rsid w:val="00557065"/>
    <w:rsid w:val="00557334"/>
    <w:rsid w:val="0055760B"/>
    <w:rsid w:val="005579C8"/>
    <w:rsid w:val="00561FF4"/>
    <w:rsid w:val="00562CFA"/>
    <w:rsid w:val="00571ED6"/>
    <w:rsid w:val="00571F8D"/>
    <w:rsid w:val="00571FA7"/>
    <w:rsid w:val="005744AA"/>
    <w:rsid w:val="00581D5B"/>
    <w:rsid w:val="005831F7"/>
    <w:rsid w:val="00583CD8"/>
    <w:rsid w:val="00584C6C"/>
    <w:rsid w:val="005866D3"/>
    <w:rsid w:val="005875CD"/>
    <w:rsid w:val="0059122D"/>
    <w:rsid w:val="00593128"/>
    <w:rsid w:val="005933F1"/>
    <w:rsid w:val="00594B36"/>
    <w:rsid w:val="00595177"/>
    <w:rsid w:val="005A165E"/>
    <w:rsid w:val="005A1BBF"/>
    <w:rsid w:val="005A547C"/>
    <w:rsid w:val="005A7FAF"/>
    <w:rsid w:val="005B0AD5"/>
    <w:rsid w:val="005B0FD8"/>
    <w:rsid w:val="005B14E0"/>
    <w:rsid w:val="005B38BD"/>
    <w:rsid w:val="005B4040"/>
    <w:rsid w:val="005B449B"/>
    <w:rsid w:val="005B5662"/>
    <w:rsid w:val="005B5B31"/>
    <w:rsid w:val="005B5E80"/>
    <w:rsid w:val="005C1356"/>
    <w:rsid w:val="005C214F"/>
    <w:rsid w:val="005C2D04"/>
    <w:rsid w:val="005C4812"/>
    <w:rsid w:val="005C74A1"/>
    <w:rsid w:val="005C791F"/>
    <w:rsid w:val="005D0A02"/>
    <w:rsid w:val="005D112A"/>
    <w:rsid w:val="005D14BC"/>
    <w:rsid w:val="005D2E55"/>
    <w:rsid w:val="005D4A31"/>
    <w:rsid w:val="005E0135"/>
    <w:rsid w:val="005E37B3"/>
    <w:rsid w:val="005E49D5"/>
    <w:rsid w:val="005E4DF5"/>
    <w:rsid w:val="005E559D"/>
    <w:rsid w:val="005E5A18"/>
    <w:rsid w:val="005E5D66"/>
    <w:rsid w:val="005F0979"/>
    <w:rsid w:val="005F2D88"/>
    <w:rsid w:val="005F3E23"/>
    <w:rsid w:val="005F42AA"/>
    <w:rsid w:val="005F4775"/>
    <w:rsid w:val="005F4BFD"/>
    <w:rsid w:val="005F4CBD"/>
    <w:rsid w:val="005F514E"/>
    <w:rsid w:val="005F56D3"/>
    <w:rsid w:val="005F5B43"/>
    <w:rsid w:val="005F5DB0"/>
    <w:rsid w:val="00600436"/>
    <w:rsid w:val="006006BE"/>
    <w:rsid w:val="00602AB6"/>
    <w:rsid w:val="00605532"/>
    <w:rsid w:val="00605892"/>
    <w:rsid w:val="0060711E"/>
    <w:rsid w:val="0060756B"/>
    <w:rsid w:val="006106DD"/>
    <w:rsid w:val="006109C7"/>
    <w:rsid w:val="00611D86"/>
    <w:rsid w:val="00613688"/>
    <w:rsid w:val="00613E4D"/>
    <w:rsid w:val="00614DCE"/>
    <w:rsid w:val="00616AC1"/>
    <w:rsid w:val="00621009"/>
    <w:rsid w:val="00622445"/>
    <w:rsid w:val="00622D72"/>
    <w:rsid w:val="00623133"/>
    <w:rsid w:val="00625909"/>
    <w:rsid w:val="00627D12"/>
    <w:rsid w:val="006300E5"/>
    <w:rsid w:val="006355FA"/>
    <w:rsid w:val="0063633C"/>
    <w:rsid w:val="006405BB"/>
    <w:rsid w:val="006412FE"/>
    <w:rsid w:val="0064410F"/>
    <w:rsid w:val="00644C5B"/>
    <w:rsid w:val="00644D13"/>
    <w:rsid w:val="00645A43"/>
    <w:rsid w:val="00647224"/>
    <w:rsid w:val="006504D2"/>
    <w:rsid w:val="006507BE"/>
    <w:rsid w:val="00650B8B"/>
    <w:rsid w:val="00653116"/>
    <w:rsid w:val="006541F1"/>
    <w:rsid w:val="0066053D"/>
    <w:rsid w:val="00660949"/>
    <w:rsid w:val="006612B9"/>
    <w:rsid w:val="0066479D"/>
    <w:rsid w:val="00664A23"/>
    <w:rsid w:val="00667705"/>
    <w:rsid w:val="00667710"/>
    <w:rsid w:val="00670FB3"/>
    <w:rsid w:val="0067277E"/>
    <w:rsid w:val="00672AAF"/>
    <w:rsid w:val="006744C7"/>
    <w:rsid w:val="00681ED7"/>
    <w:rsid w:val="00682E8F"/>
    <w:rsid w:val="00684158"/>
    <w:rsid w:val="00684AA4"/>
    <w:rsid w:val="00684E8C"/>
    <w:rsid w:val="00686893"/>
    <w:rsid w:val="00687F20"/>
    <w:rsid w:val="00692028"/>
    <w:rsid w:val="00693ACC"/>
    <w:rsid w:val="006956E8"/>
    <w:rsid w:val="00696628"/>
    <w:rsid w:val="006A21EE"/>
    <w:rsid w:val="006A77E0"/>
    <w:rsid w:val="006B0F38"/>
    <w:rsid w:val="006B1C8B"/>
    <w:rsid w:val="006B3DCD"/>
    <w:rsid w:val="006B42BD"/>
    <w:rsid w:val="006B47B9"/>
    <w:rsid w:val="006B4F6D"/>
    <w:rsid w:val="006B50D2"/>
    <w:rsid w:val="006B59F9"/>
    <w:rsid w:val="006B5F31"/>
    <w:rsid w:val="006B6B32"/>
    <w:rsid w:val="006C10CD"/>
    <w:rsid w:val="006C120F"/>
    <w:rsid w:val="006C23FD"/>
    <w:rsid w:val="006C2702"/>
    <w:rsid w:val="006C2707"/>
    <w:rsid w:val="006C2EA1"/>
    <w:rsid w:val="006C4F5A"/>
    <w:rsid w:val="006C5FA9"/>
    <w:rsid w:val="006D0142"/>
    <w:rsid w:val="006D02DD"/>
    <w:rsid w:val="006D0352"/>
    <w:rsid w:val="006D2504"/>
    <w:rsid w:val="006D3670"/>
    <w:rsid w:val="006D5309"/>
    <w:rsid w:val="006D5A10"/>
    <w:rsid w:val="006D5E1E"/>
    <w:rsid w:val="006D5E65"/>
    <w:rsid w:val="006D6237"/>
    <w:rsid w:val="006D731F"/>
    <w:rsid w:val="006E05EE"/>
    <w:rsid w:val="006E161E"/>
    <w:rsid w:val="006E21D6"/>
    <w:rsid w:val="006E2934"/>
    <w:rsid w:val="006E4215"/>
    <w:rsid w:val="006E6F12"/>
    <w:rsid w:val="006E79C9"/>
    <w:rsid w:val="006F07A9"/>
    <w:rsid w:val="006F2859"/>
    <w:rsid w:val="006F2955"/>
    <w:rsid w:val="006F2CAB"/>
    <w:rsid w:val="006F30DA"/>
    <w:rsid w:val="006F568D"/>
    <w:rsid w:val="006F5D93"/>
    <w:rsid w:val="006F7CD9"/>
    <w:rsid w:val="006F7DF5"/>
    <w:rsid w:val="007013F5"/>
    <w:rsid w:val="00701B76"/>
    <w:rsid w:val="007027D0"/>
    <w:rsid w:val="00703320"/>
    <w:rsid w:val="00703645"/>
    <w:rsid w:val="00703650"/>
    <w:rsid w:val="00704119"/>
    <w:rsid w:val="00704DD8"/>
    <w:rsid w:val="0070525A"/>
    <w:rsid w:val="007052A3"/>
    <w:rsid w:val="00705AAB"/>
    <w:rsid w:val="00706493"/>
    <w:rsid w:val="00706C65"/>
    <w:rsid w:val="00707083"/>
    <w:rsid w:val="007102C7"/>
    <w:rsid w:val="007105CD"/>
    <w:rsid w:val="00711A3C"/>
    <w:rsid w:val="0071268A"/>
    <w:rsid w:val="007159A0"/>
    <w:rsid w:val="007225EF"/>
    <w:rsid w:val="0072605D"/>
    <w:rsid w:val="0073362D"/>
    <w:rsid w:val="007336F2"/>
    <w:rsid w:val="00733FE5"/>
    <w:rsid w:val="0073785D"/>
    <w:rsid w:val="00737DB7"/>
    <w:rsid w:val="00741F5A"/>
    <w:rsid w:val="007445A8"/>
    <w:rsid w:val="00744AA9"/>
    <w:rsid w:val="00746CE1"/>
    <w:rsid w:val="00746F7E"/>
    <w:rsid w:val="007511ED"/>
    <w:rsid w:val="007519A9"/>
    <w:rsid w:val="00753670"/>
    <w:rsid w:val="00753B23"/>
    <w:rsid w:val="00754331"/>
    <w:rsid w:val="00757EFA"/>
    <w:rsid w:val="00757F6F"/>
    <w:rsid w:val="0076082E"/>
    <w:rsid w:val="0076086C"/>
    <w:rsid w:val="0076149E"/>
    <w:rsid w:val="00761F0A"/>
    <w:rsid w:val="007636D3"/>
    <w:rsid w:val="00763B10"/>
    <w:rsid w:val="007706DF"/>
    <w:rsid w:val="00770BE4"/>
    <w:rsid w:val="007712AA"/>
    <w:rsid w:val="00771D99"/>
    <w:rsid w:val="00773066"/>
    <w:rsid w:val="00774F01"/>
    <w:rsid w:val="0077636A"/>
    <w:rsid w:val="00776BF3"/>
    <w:rsid w:val="00777A07"/>
    <w:rsid w:val="007815E0"/>
    <w:rsid w:val="007816F1"/>
    <w:rsid w:val="00786163"/>
    <w:rsid w:val="007864B4"/>
    <w:rsid w:val="00787199"/>
    <w:rsid w:val="007871BB"/>
    <w:rsid w:val="00787418"/>
    <w:rsid w:val="0078774D"/>
    <w:rsid w:val="007920D0"/>
    <w:rsid w:val="00792AD7"/>
    <w:rsid w:val="0079571A"/>
    <w:rsid w:val="00795E8A"/>
    <w:rsid w:val="00797093"/>
    <w:rsid w:val="007A1341"/>
    <w:rsid w:val="007A2F47"/>
    <w:rsid w:val="007A33FA"/>
    <w:rsid w:val="007A59D2"/>
    <w:rsid w:val="007A5D2B"/>
    <w:rsid w:val="007A5ECD"/>
    <w:rsid w:val="007A69F5"/>
    <w:rsid w:val="007A6DA3"/>
    <w:rsid w:val="007A72EB"/>
    <w:rsid w:val="007A7EA2"/>
    <w:rsid w:val="007B08E3"/>
    <w:rsid w:val="007B0BC3"/>
    <w:rsid w:val="007B35F7"/>
    <w:rsid w:val="007B410E"/>
    <w:rsid w:val="007B4B69"/>
    <w:rsid w:val="007B6133"/>
    <w:rsid w:val="007B66BD"/>
    <w:rsid w:val="007B6810"/>
    <w:rsid w:val="007C2983"/>
    <w:rsid w:val="007C2E19"/>
    <w:rsid w:val="007C3565"/>
    <w:rsid w:val="007C6AD3"/>
    <w:rsid w:val="007C7AA0"/>
    <w:rsid w:val="007C7BBE"/>
    <w:rsid w:val="007D155F"/>
    <w:rsid w:val="007D2C0F"/>
    <w:rsid w:val="007D2D48"/>
    <w:rsid w:val="007D43CC"/>
    <w:rsid w:val="007D4E22"/>
    <w:rsid w:val="007E09FA"/>
    <w:rsid w:val="007E174D"/>
    <w:rsid w:val="007E3C3F"/>
    <w:rsid w:val="007E51B2"/>
    <w:rsid w:val="007E5773"/>
    <w:rsid w:val="007F4141"/>
    <w:rsid w:val="007F449C"/>
    <w:rsid w:val="007F6A4E"/>
    <w:rsid w:val="00800582"/>
    <w:rsid w:val="00805723"/>
    <w:rsid w:val="0080589B"/>
    <w:rsid w:val="00806603"/>
    <w:rsid w:val="00806BDF"/>
    <w:rsid w:val="008079DA"/>
    <w:rsid w:val="0081099A"/>
    <w:rsid w:val="0081140B"/>
    <w:rsid w:val="008117FB"/>
    <w:rsid w:val="00821FC8"/>
    <w:rsid w:val="0082547F"/>
    <w:rsid w:val="00827809"/>
    <w:rsid w:val="008306DF"/>
    <w:rsid w:val="00832286"/>
    <w:rsid w:val="00832510"/>
    <w:rsid w:val="00832C99"/>
    <w:rsid w:val="00834544"/>
    <w:rsid w:val="00835F34"/>
    <w:rsid w:val="00836DF2"/>
    <w:rsid w:val="00844322"/>
    <w:rsid w:val="00844422"/>
    <w:rsid w:val="00845D46"/>
    <w:rsid w:val="00846674"/>
    <w:rsid w:val="008466C0"/>
    <w:rsid w:val="00850471"/>
    <w:rsid w:val="008536E0"/>
    <w:rsid w:val="00854437"/>
    <w:rsid w:val="0085693E"/>
    <w:rsid w:val="00862991"/>
    <w:rsid w:val="008634D8"/>
    <w:rsid w:val="008639B4"/>
    <w:rsid w:val="00863F0E"/>
    <w:rsid w:val="008643BF"/>
    <w:rsid w:val="00864443"/>
    <w:rsid w:val="00864B94"/>
    <w:rsid w:val="008655E2"/>
    <w:rsid w:val="00865A62"/>
    <w:rsid w:val="00866599"/>
    <w:rsid w:val="00867341"/>
    <w:rsid w:val="00867F31"/>
    <w:rsid w:val="00873BFD"/>
    <w:rsid w:val="008753D6"/>
    <w:rsid w:val="00875755"/>
    <w:rsid w:val="0087645C"/>
    <w:rsid w:val="00877FBB"/>
    <w:rsid w:val="008804BE"/>
    <w:rsid w:val="00880DA5"/>
    <w:rsid w:val="00882656"/>
    <w:rsid w:val="008832A1"/>
    <w:rsid w:val="008865A0"/>
    <w:rsid w:val="008868DF"/>
    <w:rsid w:val="00891242"/>
    <w:rsid w:val="00891AB3"/>
    <w:rsid w:val="00892342"/>
    <w:rsid w:val="00892E5E"/>
    <w:rsid w:val="00894A85"/>
    <w:rsid w:val="0089701F"/>
    <w:rsid w:val="008A031C"/>
    <w:rsid w:val="008A2886"/>
    <w:rsid w:val="008A3E6A"/>
    <w:rsid w:val="008A6F23"/>
    <w:rsid w:val="008A7A5B"/>
    <w:rsid w:val="008B182E"/>
    <w:rsid w:val="008B56A6"/>
    <w:rsid w:val="008B6D8F"/>
    <w:rsid w:val="008B704F"/>
    <w:rsid w:val="008B7C2C"/>
    <w:rsid w:val="008C00B9"/>
    <w:rsid w:val="008C03F9"/>
    <w:rsid w:val="008C0749"/>
    <w:rsid w:val="008C0C3D"/>
    <w:rsid w:val="008C1536"/>
    <w:rsid w:val="008C3D8A"/>
    <w:rsid w:val="008C6BA5"/>
    <w:rsid w:val="008C6DF1"/>
    <w:rsid w:val="008D0C00"/>
    <w:rsid w:val="008D1D72"/>
    <w:rsid w:val="008D202E"/>
    <w:rsid w:val="008D2656"/>
    <w:rsid w:val="008D2B20"/>
    <w:rsid w:val="008E2218"/>
    <w:rsid w:val="008E3583"/>
    <w:rsid w:val="008E3BB3"/>
    <w:rsid w:val="008E412B"/>
    <w:rsid w:val="008E50A4"/>
    <w:rsid w:val="008E52CA"/>
    <w:rsid w:val="008E5F3E"/>
    <w:rsid w:val="008F380D"/>
    <w:rsid w:val="008F5674"/>
    <w:rsid w:val="008F5F4F"/>
    <w:rsid w:val="008F7387"/>
    <w:rsid w:val="008F7A21"/>
    <w:rsid w:val="00901CAF"/>
    <w:rsid w:val="00901F07"/>
    <w:rsid w:val="00902B4D"/>
    <w:rsid w:val="0090525C"/>
    <w:rsid w:val="00906F1D"/>
    <w:rsid w:val="009071F4"/>
    <w:rsid w:val="009073A7"/>
    <w:rsid w:val="0090790F"/>
    <w:rsid w:val="00907F44"/>
    <w:rsid w:val="00907FD5"/>
    <w:rsid w:val="00910115"/>
    <w:rsid w:val="00910DE8"/>
    <w:rsid w:val="00913F0F"/>
    <w:rsid w:val="00915E2A"/>
    <w:rsid w:val="00917939"/>
    <w:rsid w:val="00917D6F"/>
    <w:rsid w:val="0092073F"/>
    <w:rsid w:val="00920790"/>
    <w:rsid w:val="00920ABE"/>
    <w:rsid w:val="00920ADD"/>
    <w:rsid w:val="009221E3"/>
    <w:rsid w:val="009234E2"/>
    <w:rsid w:val="00925129"/>
    <w:rsid w:val="0092645B"/>
    <w:rsid w:val="00930CE5"/>
    <w:rsid w:val="009400F1"/>
    <w:rsid w:val="00942088"/>
    <w:rsid w:val="0094452E"/>
    <w:rsid w:val="009459D7"/>
    <w:rsid w:val="00946EF7"/>
    <w:rsid w:val="00947519"/>
    <w:rsid w:val="00947942"/>
    <w:rsid w:val="00952078"/>
    <w:rsid w:val="00954090"/>
    <w:rsid w:val="009549EB"/>
    <w:rsid w:val="00955C5C"/>
    <w:rsid w:val="009574DB"/>
    <w:rsid w:val="00957C5D"/>
    <w:rsid w:val="00961A77"/>
    <w:rsid w:val="00961F34"/>
    <w:rsid w:val="00964089"/>
    <w:rsid w:val="009644BD"/>
    <w:rsid w:val="00971C39"/>
    <w:rsid w:val="00973329"/>
    <w:rsid w:val="0097405C"/>
    <w:rsid w:val="00974CED"/>
    <w:rsid w:val="00974F11"/>
    <w:rsid w:val="00980BAD"/>
    <w:rsid w:val="00982275"/>
    <w:rsid w:val="0098278C"/>
    <w:rsid w:val="00984978"/>
    <w:rsid w:val="009871E3"/>
    <w:rsid w:val="00987BE6"/>
    <w:rsid w:val="00991867"/>
    <w:rsid w:val="0099249F"/>
    <w:rsid w:val="00995271"/>
    <w:rsid w:val="009972F6"/>
    <w:rsid w:val="0099758F"/>
    <w:rsid w:val="009977F5"/>
    <w:rsid w:val="009A100B"/>
    <w:rsid w:val="009A1316"/>
    <w:rsid w:val="009A225C"/>
    <w:rsid w:val="009A270D"/>
    <w:rsid w:val="009A2B87"/>
    <w:rsid w:val="009A2C8A"/>
    <w:rsid w:val="009A33E5"/>
    <w:rsid w:val="009A4416"/>
    <w:rsid w:val="009A48C7"/>
    <w:rsid w:val="009A593E"/>
    <w:rsid w:val="009B1A7B"/>
    <w:rsid w:val="009B2975"/>
    <w:rsid w:val="009B4EB4"/>
    <w:rsid w:val="009B4EFB"/>
    <w:rsid w:val="009B5A9C"/>
    <w:rsid w:val="009B684F"/>
    <w:rsid w:val="009B6E79"/>
    <w:rsid w:val="009C11A7"/>
    <w:rsid w:val="009C2797"/>
    <w:rsid w:val="009C2AEB"/>
    <w:rsid w:val="009C3AA3"/>
    <w:rsid w:val="009C7850"/>
    <w:rsid w:val="009D24D5"/>
    <w:rsid w:val="009D2648"/>
    <w:rsid w:val="009D2CDF"/>
    <w:rsid w:val="009D4CA4"/>
    <w:rsid w:val="009D5639"/>
    <w:rsid w:val="009D72A0"/>
    <w:rsid w:val="009E6D65"/>
    <w:rsid w:val="009E75DD"/>
    <w:rsid w:val="009F5082"/>
    <w:rsid w:val="009F73FA"/>
    <w:rsid w:val="009F76B4"/>
    <w:rsid w:val="00A000D1"/>
    <w:rsid w:val="00A00521"/>
    <w:rsid w:val="00A02374"/>
    <w:rsid w:val="00A024A6"/>
    <w:rsid w:val="00A03F3B"/>
    <w:rsid w:val="00A06E40"/>
    <w:rsid w:val="00A0781F"/>
    <w:rsid w:val="00A100C5"/>
    <w:rsid w:val="00A112CA"/>
    <w:rsid w:val="00A12ED4"/>
    <w:rsid w:val="00A153F6"/>
    <w:rsid w:val="00A156AF"/>
    <w:rsid w:val="00A20398"/>
    <w:rsid w:val="00A21614"/>
    <w:rsid w:val="00A217B1"/>
    <w:rsid w:val="00A21CCC"/>
    <w:rsid w:val="00A22B57"/>
    <w:rsid w:val="00A27AAE"/>
    <w:rsid w:val="00A31F05"/>
    <w:rsid w:val="00A324DC"/>
    <w:rsid w:val="00A355C6"/>
    <w:rsid w:val="00A3661A"/>
    <w:rsid w:val="00A36918"/>
    <w:rsid w:val="00A371F0"/>
    <w:rsid w:val="00A416EC"/>
    <w:rsid w:val="00A42630"/>
    <w:rsid w:val="00A43E06"/>
    <w:rsid w:val="00A44DD5"/>
    <w:rsid w:val="00A46181"/>
    <w:rsid w:val="00A4636E"/>
    <w:rsid w:val="00A47729"/>
    <w:rsid w:val="00A5198B"/>
    <w:rsid w:val="00A52F37"/>
    <w:rsid w:val="00A5443C"/>
    <w:rsid w:val="00A57BC0"/>
    <w:rsid w:val="00A57C2C"/>
    <w:rsid w:val="00A61003"/>
    <w:rsid w:val="00A61C62"/>
    <w:rsid w:val="00A61F36"/>
    <w:rsid w:val="00A64F92"/>
    <w:rsid w:val="00A675BE"/>
    <w:rsid w:val="00A67973"/>
    <w:rsid w:val="00A7251A"/>
    <w:rsid w:val="00A77FEF"/>
    <w:rsid w:val="00A80707"/>
    <w:rsid w:val="00A82104"/>
    <w:rsid w:val="00A82611"/>
    <w:rsid w:val="00A83577"/>
    <w:rsid w:val="00A84A02"/>
    <w:rsid w:val="00A84BBB"/>
    <w:rsid w:val="00A85AB9"/>
    <w:rsid w:val="00A92DA9"/>
    <w:rsid w:val="00A940BA"/>
    <w:rsid w:val="00A9437E"/>
    <w:rsid w:val="00A9463F"/>
    <w:rsid w:val="00A955F3"/>
    <w:rsid w:val="00A96169"/>
    <w:rsid w:val="00AA2FE6"/>
    <w:rsid w:val="00AA343F"/>
    <w:rsid w:val="00AA360D"/>
    <w:rsid w:val="00AA429A"/>
    <w:rsid w:val="00AA467F"/>
    <w:rsid w:val="00AA4A7B"/>
    <w:rsid w:val="00AA5365"/>
    <w:rsid w:val="00AA7F66"/>
    <w:rsid w:val="00AB17DC"/>
    <w:rsid w:val="00AB1EA2"/>
    <w:rsid w:val="00AB2CE3"/>
    <w:rsid w:val="00AB6C53"/>
    <w:rsid w:val="00AB7760"/>
    <w:rsid w:val="00AB7AD5"/>
    <w:rsid w:val="00AC1BC2"/>
    <w:rsid w:val="00AC3672"/>
    <w:rsid w:val="00AC4985"/>
    <w:rsid w:val="00AC6E4A"/>
    <w:rsid w:val="00AC6E7E"/>
    <w:rsid w:val="00AC746D"/>
    <w:rsid w:val="00AD02A3"/>
    <w:rsid w:val="00AD4103"/>
    <w:rsid w:val="00AD4548"/>
    <w:rsid w:val="00AD4A5B"/>
    <w:rsid w:val="00AD6ED8"/>
    <w:rsid w:val="00AE243B"/>
    <w:rsid w:val="00AE4681"/>
    <w:rsid w:val="00AE57DD"/>
    <w:rsid w:val="00AE6123"/>
    <w:rsid w:val="00AE6B0E"/>
    <w:rsid w:val="00AF5E1A"/>
    <w:rsid w:val="00AF639F"/>
    <w:rsid w:val="00B00289"/>
    <w:rsid w:val="00B01C23"/>
    <w:rsid w:val="00B0397A"/>
    <w:rsid w:val="00B10AD3"/>
    <w:rsid w:val="00B10EA8"/>
    <w:rsid w:val="00B119F0"/>
    <w:rsid w:val="00B11FAD"/>
    <w:rsid w:val="00B14C94"/>
    <w:rsid w:val="00B14D2C"/>
    <w:rsid w:val="00B15FDE"/>
    <w:rsid w:val="00B2281C"/>
    <w:rsid w:val="00B245B6"/>
    <w:rsid w:val="00B2583C"/>
    <w:rsid w:val="00B26365"/>
    <w:rsid w:val="00B26DB1"/>
    <w:rsid w:val="00B272AB"/>
    <w:rsid w:val="00B309DD"/>
    <w:rsid w:val="00B35863"/>
    <w:rsid w:val="00B3665B"/>
    <w:rsid w:val="00B37A4B"/>
    <w:rsid w:val="00B40802"/>
    <w:rsid w:val="00B422C4"/>
    <w:rsid w:val="00B42C55"/>
    <w:rsid w:val="00B44955"/>
    <w:rsid w:val="00B51140"/>
    <w:rsid w:val="00B5176C"/>
    <w:rsid w:val="00B53068"/>
    <w:rsid w:val="00B53E71"/>
    <w:rsid w:val="00B60637"/>
    <w:rsid w:val="00B60975"/>
    <w:rsid w:val="00B612A5"/>
    <w:rsid w:val="00B613F3"/>
    <w:rsid w:val="00B61442"/>
    <w:rsid w:val="00B639C6"/>
    <w:rsid w:val="00B64880"/>
    <w:rsid w:val="00B65145"/>
    <w:rsid w:val="00B65EDB"/>
    <w:rsid w:val="00B67046"/>
    <w:rsid w:val="00B7035F"/>
    <w:rsid w:val="00B71482"/>
    <w:rsid w:val="00B71824"/>
    <w:rsid w:val="00B72AE2"/>
    <w:rsid w:val="00B730C3"/>
    <w:rsid w:val="00B73BB9"/>
    <w:rsid w:val="00B75348"/>
    <w:rsid w:val="00B77767"/>
    <w:rsid w:val="00B81FC2"/>
    <w:rsid w:val="00B84715"/>
    <w:rsid w:val="00B85D99"/>
    <w:rsid w:val="00B86A7A"/>
    <w:rsid w:val="00B90512"/>
    <w:rsid w:val="00B91148"/>
    <w:rsid w:val="00B96139"/>
    <w:rsid w:val="00B9799C"/>
    <w:rsid w:val="00BA0CCA"/>
    <w:rsid w:val="00BA1B78"/>
    <w:rsid w:val="00BA2160"/>
    <w:rsid w:val="00BA2233"/>
    <w:rsid w:val="00BA2F56"/>
    <w:rsid w:val="00BA3292"/>
    <w:rsid w:val="00BA33D6"/>
    <w:rsid w:val="00BA4F60"/>
    <w:rsid w:val="00BA5237"/>
    <w:rsid w:val="00BB18E3"/>
    <w:rsid w:val="00BB2D8B"/>
    <w:rsid w:val="00BB41EB"/>
    <w:rsid w:val="00BB5F7C"/>
    <w:rsid w:val="00BB7E7C"/>
    <w:rsid w:val="00BC1220"/>
    <w:rsid w:val="00BC16F5"/>
    <w:rsid w:val="00BC630C"/>
    <w:rsid w:val="00BC7A4A"/>
    <w:rsid w:val="00BD08B9"/>
    <w:rsid w:val="00BD0CF8"/>
    <w:rsid w:val="00BD0EBE"/>
    <w:rsid w:val="00BD1993"/>
    <w:rsid w:val="00BD2EFB"/>
    <w:rsid w:val="00BD599F"/>
    <w:rsid w:val="00BD6338"/>
    <w:rsid w:val="00BE00AF"/>
    <w:rsid w:val="00BE10D7"/>
    <w:rsid w:val="00BE208D"/>
    <w:rsid w:val="00BE2130"/>
    <w:rsid w:val="00BE2F5F"/>
    <w:rsid w:val="00BE3A3B"/>
    <w:rsid w:val="00BE3F1E"/>
    <w:rsid w:val="00BE605D"/>
    <w:rsid w:val="00BE7DC2"/>
    <w:rsid w:val="00BF0340"/>
    <w:rsid w:val="00BF0D11"/>
    <w:rsid w:val="00BF18F9"/>
    <w:rsid w:val="00BF229B"/>
    <w:rsid w:val="00BF5E9B"/>
    <w:rsid w:val="00BF7427"/>
    <w:rsid w:val="00C00A59"/>
    <w:rsid w:val="00C01695"/>
    <w:rsid w:val="00C01C4F"/>
    <w:rsid w:val="00C02145"/>
    <w:rsid w:val="00C035F4"/>
    <w:rsid w:val="00C03C6A"/>
    <w:rsid w:val="00C12064"/>
    <w:rsid w:val="00C12709"/>
    <w:rsid w:val="00C14744"/>
    <w:rsid w:val="00C15B6D"/>
    <w:rsid w:val="00C21D0E"/>
    <w:rsid w:val="00C2217D"/>
    <w:rsid w:val="00C25348"/>
    <w:rsid w:val="00C2540D"/>
    <w:rsid w:val="00C2624E"/>
    <w:rsid w:val="00C26C49"/>
    <w:rsid w:val="00C27B58"/>
    <w:rsid w:val="00C31E57"/>
    <w:rsid w:val="00C332C9"/>
    <w:rsid w:val="00C33C43"/>
    <w:rsid w:val="00C34A36"/>
    <w:rsid w:val="00C34CBC"/>
    <w:rsid w:val="00C366CD"/>
    <w:rsid w:val="00C37B39"/>
    <w:rsid w:val="00C4136B"/>
    <w:rsid w:val="00C42443"/>
    <w:rsid w:val="00C43B41"/>
    <w:rsid w:val="00C43CDF"/>
    <w:rsid w:val="00C43D01"/>
    <w:rsid w:val="00C46967"/>
    <w:rsid w:val="00C4709D"/>
    <w:rsid w:val="00C47C25"/>
    <w:rsid w:val="00C5000F"/>
    <w:rsid w:val="00C508F9"/>
    <w:rsid w:val="00C520FF"/>
    <w:rsid w:val="00C526EF"/>
    <w:rsid w:val="00C53397"/>
    <w:rsid w:val="00C53575"/>
    <w:rsid w:val="00C54828"/>
    <w:rsid w:val="00C55164"/>
    <w:rsid w:val="00C56C30"/>
    <w:rsid w:val="00C604AD"/>
    <w:rsid w:val="00C6386F"/>
    <w:rsid w:val="00C64188"/>
    <w:rsid w:val="00C71F4F"/>
    <w:rsid w:val="00C72675"/>
    <w:rsid w:val="00C73242"/>
    <w:rsid w:val="00C73C23"/>
    <w:rsid w:val="00C7717B"/>
    <w:rsid w:val="00C77AF5"/>
    <w:rsid w:val="00C77DD3"/>
    <w:rsid w:val="00C8043D"/>
    <w:rsid w:val="00C8116F"/>
    <w:rsid w:val="00C82597"/>
    <w:rsid w:val="00C82A7B"/>
    <w:rsid w:val="00C843D9"/>
    <w:rsid w:val="00C869F8"/>
    <w:rsid w:val="00C86BBA"/>
    <w:rsid w:val="00C87199"/>
    <w:rsid w:val="00C87EDA"/>
    <w:rsid w:val="00C91B7C"/>
    <w:rsid w:val="00C91DE2"/>
    <w:rsid w:val="00C92266"/>
    <w:rsid w:val="00C94290"/>
    <w:rsid w:val="00C95757"/>
    <w:rsid w:val="00C95D86"/>
    <w:rsid w:val="00C96479"/>
    <w:rsid w:val="00CA0CAE"/>
    <w:rsid w:val="00CA44E2"/>
    <w:rsid w:val="00CA5ACA"/>
    <w:rsid w:val="00CA5C04"/>
    <w:rsid w:val="00CB06AF"/>
    <w:rsid w:val="00CB5779"/>
    <w:rsid w:val="00CB5FCC"/>
    <w:rsid w:val="00CB6BB0"/>
    <w:rsid w:val="00CB7DC0"/>
    <w:rsid w:val="00CC02BA"/>
    <w:rsid w:val="00CC345A"/>
    <w:rsid w:val="00CC4E4E"/>
    <w:rsid w:val="00CC67B6"/>
    <w:rsid w:val="00CD001A"/>
    <w:rsid w:val="00CD0985"/>
    <w:rsid w:val="00CD13A0"/>
    <w:rsid w:val="00CD305F"/>
    <w:rsid w:val="00CD5CFC"/>
    <w:rsid w:val="00CD6546"/>
    <w:rsid w:val="00CD7311"/>
    <w:rsid w:val="00CE0D1A"/>
    <w:rsid w:val="00CE0F01"/>
    <w:rsid w:val="00CE234F"/>
    <w:rsid w:val="00CE44BC"/>
    <w:rsid w:val="00CE4A26"/>
    <w:rsid w:val="00CE5D77"/>
    <w:rsid w:val="00CE6711"/>
    <w:rsid w:val="00CF135E"/>
    <w:rsid w:val="00CF13DA"/>
    <w:rsid w:val="00CF5ABF"/>
    <w:rsid w:val="00CF6700"/>
    <w:rsid w:val="00CF79C6"/>
    <w:rsid w:val="00D00D92"/>
    <w:rsid w:val="00D01925"/>
    <w:rsid w:val="00D02B3A"/>
    <w:rsid w:val="00D10262"/>
    <w:rsid w:val="00D11749"/>
    <w:rsid w:val="00D11ABC"/>
    <w:rsid w:val="00D12291"/>
    <w:rsid w:val="00D12EA1"/>
    <w:rsid w:val="00D1407D"/>
    <w:rsid w:val="00D1464E"/>
    <w:rsid w:val="00D152DB"/>
    <w:rsid w:val="00D15513"/>
    <w:rsid w:val="00D15CEA"/>
    <w:rsid w:val="00D165A0"/>
    <w:rsid w:val="00D201DA"/>
    <w:rsid w:val="00D205F8"/>
    <w:rsid w:val="00D2193B"/>
    <w:rsid w:val="00D22807"/>
    <w:rsid w:val="00D2610D"/>
    <w:rsid w:val="00D266E9"/>
    <w:rsid w:val="00D26B38"/>
    <w:rsid w:val="00D276E6"/>
    <w:rsid w:val="00D27F02"/>
    <w:rsid w:val="00D30B2D"/>
    <w:rsid w:val="00D3185E"/>
    <w:rsid w:val="00D3330E"/>
    <w:rsid w:val="00D36B44"/>
    <w:rsid w:val="00D415CA"/>
    <w:rsid w:val="00D4483B"/>
    <w:rsid w:val="00D45B24"/>
    <w:rsid w:val="00D46275"/>
    <w:rsid w:val="00D464F4"/>
    <w:rsid w:val="00D47E08"/>
    <w:rsid w:val="00D5094C"/>
    <w:rsid w:val="00D55401"/>
    <w:rsid w:val="00D65677"/>
    <w:rsid w:val="00D662BA"/>
    <w:rsid w:val="00D67882"/>
    <w:rsid w:val="00D71086"/>
    <w:rsid w:val="00D74369"/>
    <w:rsid w:val="00D812A7"/>
    <w:rsid w:val="00D816D5"/>
    <w:rsid w:val="00D826A3"/>
    <w:rsid w:val="00D837C8"/>
    <w:rsid w:val="00D862B4"/>
    <w:rsid w:val="00D90B45"/>
    <w:rsid w:val="00D92DE1"/>
    <w:rsid w:val="00D950F7"/>
    <w:rsid w:val="00D95BC2"/>
    <w:rsid w:val="00D97E30"/>
    <w:rsid w:val="00DA1653"/>
    <w:rsid w:val="00DA18E8"/>
    <w:rsid w:val="00DA39C4"/>
    <w:rsid w:val="00DA4AB5"/>
    <w:rsid w:val="00DA52BC"/>
    <w:rsid w:val="00DB2A2D"/>
    <w:rsid w:val="00DB340F"/>
    <w:rsid w:val="00DB37EE"/>
    <w:rsid w:val="00DB5333"/>
    <w:rsid w:val="00DC01CA"/>
    <w:rsid w:val="00DC1F28"/>
    <w:rsid w:val="00DC3B72"/>
    <w:rsid w:val="00DC6598"/>
    <w:rsid w:val="00DC6A24"/>
    <w:rsid w:val="00DC71D4"/>
    <w:rsid w:val="00DC7797"/>
    <w:rsid w:val="00DC7F75"/>
    <w:rsid w:val="00DD0041"/>
    <w:rsid w:val="00DD051B"/>
    <w:rsid w:val="00DD127A"/>
    <w:rsid w:val="00DD1CC8"/>
    <w:rsid w:val="00DD26D8"/>
    <w:rsid w:val="00DD33C6"/>
    <w:rsid w:val="00DD43E4"/>
    <w:rsid w:val="00DD4EA3"/>
    <w:rsid w:val="00DE1265"/>
    <w:rsid w:val="00DE181C"/>
    <w:rsid w:val="00DE44B7"/>
    <w:rsid w:val="00DE497A"/>
    <w:rsid w:val="00DE7074"/>
    <w:rsid w:val="00DF1187"/>
    <w:rsid w:val="00DF1310"/>
    <w:rsid w:val="00DF5C8F"/>
    <w:rsid w:val="00DF6B5B"/>
    <w:rsid w:val="00E00124"/>
    <w:rsid w:val="00E00D36"/>
    <w:rsid w:val="00E00E59"/>
    <w:rsid w:val="00E019C2"/>
    <w:rsid w:val="00E020EA"/>
    <w:rsid w:val="00E025C5"/>
    <w:rsid w:val="00E041CB"/>
    <w:rsid w:val="00E04753"/>
    <w:rsid w:val="00E05743"/>
    <w:rsid w:val="00E058C0"/>
    <w:rsid w:val="00E05F53"/>
    <w:rsid w:val="00E1283F"/>
    <w:rsid w:val="00E13783"/>
    <w:rsid w:val="00E13AB5"/>
    <w:rsid w:val="00E14286"/>
    <w:rsid w:val="00E14A9C"/>
    <w:rsid w:val="00E14AF9"/>
    <w:rsid w:val="00E15276"/>
    <w:rsid w:val="00E16507"/>
    <w:rsid w:val="00E24AD3"/>
    <w:rsid w:val="00E2511C"/>
    <w:rsid w:val="00E255FE"/>
    <w:rsid w:val="00E264EC"/>
    <w:rsid w:val="00E2690E"/>
    <w:rsid w:val="00E26CDA"/>
    <w:rsid w:val="00E26E4F"/>
    <w:rsid w:val="00E3172F"/>
    <w:rsid w:val="00E32B1B"/>
    <w:rsid w:val="00E33A89"/>
    <w:rsid w:val="00E34BBE"/>
    <w:rsid w:val="00E36181"/>
    <w:rsid w:val="00E3696F"/>
    <w:rsid w:val="00E40648"/>
    <w:rsid w:val="00E4106C"/>
    <w:rsid w:val="00E42624"/>
    <w:rsid w:val="00E43C94"/>
    <w:rsid w:val="00E448C7"/>
    <w:rsid w:val="00E46809"/>
    <w:rsid w:val="00E46E27"/>
    <w:rsid w:val="00E47693"/>
    <w:rsid w:val="00E5264C"/>
    <w:rsid w:val="00E55896"/>
    <w:rsid w:val="00E562BD"/>
    <w:rsid w:val="00E56B73"/>
    <w:rsid w:val="00E61280"/>
    <w:rsid w:val="00E62DDC"/>
    <w:rsid w:val="00E65199"/>
    <w:rsid w:val="00E655BF"/>
    <w:rsid w:val="00E74C83"/>
    <w:rsid w:val="00E74F3D"/>
    <w:rsid w:val="00E75FA4"/>
    <w:rsid w:val="00E77149"/>
    <w:rsid w:val="00E77EEE"/>
    <w:rsid w:val="00E80146"/>
    <w:rsid w:val="00E80B87"/>
    <w:rsid w:val="00E81532"/>
    <w:rsid w:val="00E83557"/>
    <w:rsid w:val="00E85BD1"/>
    <w:rsid w:val="00E85EC1"/>
    <w:rsid w:val="00E90A8F"/>
    <w:rsid w:val="00E913BC"/>
    <w:rsid w:val="00E91897"/>
    <w:rsid w:val="00E91C4C"/>
    <w:rsid w:val="00E972D9"/>
    <w:rsid w:val="00EA3334"/>
    <w:rsid w:val="00EA3958"/>
    <w:rsid w:val="00EA3C83"/>
    <w:rsid w:val="00EA4E71"/>
    <w:rsid w:val="00EB1876"/>
    <w:rsid w:val="00EB24C6"/>
    <w:rsid w:val="00EB2DFF"/>
    <w:rsid w:val="00EB4240"/>
    <w:rsid w:val="00EB6F3B"/>
    <w:rsid w:val="00EB7096"/>
    <w:rsid w:val="00EB7D33"/>
    <w:rsid w:val="00EB7FD6"/>
    <w:rsid w:val="00EC18B8"/>
    <w:rsid w:val="00EC3AB6"/>
    <w:rsid w:val="00EC3FF5"/>
    <w:rsid w:val="00EC409B"/>
    <w:rsid w:val="00EC6989"/>
    <w:rsid w:val="00EC6A45"/>
    <w:rsid w:val="00EC7E45"/>
    <w:rsid w:val="00ED0006"/>
    <w:rsid w:val="00ED1ADA"/>
    <w:rsid w:val="00ED1D6D"/>
    <w:rsid w:val="00ED23E1"/>
    <w:rsid w:val="00ED445D"/>
    <w:rsid w:val="00ED50B9"/>
    <w:rsid w:val="00ED61D5"/>
    <w:rsid w:val="00ED7C53"/>
    <w:rsid w:val="00EE0A6A"/>
    <w:rsid w:val="00EE1823"/>
    <w:rsid w:val="00EE2260"/>
    <w:rsid w:val="00EE3474"/>
    <w:rsid w:val="00EE4149"/>
    <w:rsid w:val="00EE4508"/>
    <w:rsid w:val="00EE72E6"/>
    <w:rsid w:val="00EE7506"/>
    <w:rsid w:val="00EF2CFB"/>
    <w:rsid w:val="00EF353E"/>
    <w:rsid w:val="00EF4C55"/>
    <w:rsid w:val="00EF5F5D"/>
    <w:rsid w:val="00F03FEC"/>
    <w:rsid w:val="00F05A5A"/>
    <w:rsid w:val="00F12507"/>
    <w:rsid w:val="00F13E4D"/>
    <w:rsid w:val="00F14E18"/>
    <w:rsid w:val="00F156F7"/>
    <w:rsid w:val="00F16EB2"/>
    <w:rsid w:val="00F171E7"/>
    <w:rsid w:val="00F202FC"/>
    <w:rsid w:val="00F206DA"/>
    <w:rsid w:val="00F20E88"/>
    <w:rsid w:val="00F23F9C"/>
    <w:rsid w:val="00F24151"/>
    <w:rsid w:val="00F252F0"/>
    <w:rsid w:val="00F30DF1"/>
    <w:rsid w:val="00F311C4"/>
    <w:rsid w:val="00F326B1"/>
    <w:rsid w:val="00F34922"/>
    <w:rsid w:val="00F35E62"/>
    <w:rsid w:val="00F42B3D"/>
    <w:rsid w:val="00F458E8"/>
    <w:rsid w:val="00F47945"/>
    <w:rsid w:val="00F47E8D"/>
    <w:rsid w:val="00F530A6"/>
    <w:rsid w:val="00F54198"/>
    <w:rsid w:val="00F544CE"/>
    <w:rsid w:val="00F55830"/>
    <w:rsid w:val="00F56142"/>
    <w:rsid w:val="00F57A4A"/>
    <w:rsid w:val="00F60ECE"/>
    <w:rsid w:val="00F65462"/>
    <w:rsid w:val="00F6583C"/>
    <w:rsid w:val="00F66069"/>
    <w:rsid w:val="00F660DF"/>
    <w:rsid w:val="00F666F4"/>
    <w:rsid w:val="00F66952"/>
    <w:rsid w:val="00F66CCC"/>
    <w:rsid w:val="00F6701E"/>
    <w:rsid w:val="00F71EB7"/>
    <w:rsid w:val="00F741CA"/>
    <w:rsid w:val="00F77E76"/>
    <w:rsid w:val="00F82D1B"/>
    <w:rsid w:val="00F85BC2"/>
    <w:rsid w:val="00F85E18"/>
    <w:rsid w:val="00F8618C"/>
    <w:rsid w:val="00F86BD5"/>
    <w:rsid w:val="00F870CF"/>
    <w:rsid w:val="00F87E0A"/>
    <w:rsid w:val="00F915DA"/>
    <w:rsid w:val="00F9160B"/>
    <w:rsid w:val="00F91FB2"/>
    <w:rsid w:val="00F92AE1"/>
    <w:rsid w:val="00F93994"/>
    <w:rsid w:val="00F94396"/>
    <w:rsid w:val="00F95A65"/>
    <w:rsid w:val="00F96095"/>
    <w:rsid w:val="00FA4C46"/>
    <w:rsid w:val="00FA54DE"/>
    <w:rsid w:val="00FA62B5"/>
    <w:rsid w:val="00FA67B1"/>
    <w:rsid w:val="00FA7ADC"/>
    <w:rsid w:val="00FB0FA0"/>
    <w:rsid w:val="00FB161A"/>
    <w:rsid w:val="00FB4289"/>
    <w:rsid w:val="00FB4B99"/>
    <w:rsid w:val="00FB51DE"/>
    <w:rsid w:val="00FB6334"/>
    <w:rsid w:val="00FB6569"/>
    <w:rsid w:val="00FB78F8"/>
    <w:rsid w:val="00FC068E"/>
    <w:rsid w:val="00FC3917"/>
    <w:rsid w:val="00FC4D38"/>
    <w:rsid w:val="00FC62EF"/>
    <w:rsid w:val="00FC7F5B"/>
    <w:rsid w:val="00FD03BE"/>
    <w:rsid w:val="00FD0468"/>
    <w:rsid w:val="00FD0CB5"/>
    <w:rsid w:val="00FD19B0"/>
    <w:rsid w:val="00FD4F53"/>
    <w:rsid w:val="00FE2A90"/>
    <w:rsid w:val="00FE372C"/>
    <w:rsid w:val="00FE4C21"/>
    <w:rsid w:val="00FE4D07"/>
    <w:rsid w:val="00FE6557"/>
    <w:rsid w:val="00FE690F"/>
    <w:rsid w:val="00FE6B68"/>
    <w:rsid w:val="00FF06C4"/>
    <w:rsid w:val="00FF0792"/>
    <w:rsid w:val="00FF292C"/>
    <w:rsid w:val="00FF3E89"/>
    <w:rsid w:val="00FF4CF2"/>
    <w:rsid w:val="00FF4DE5"/>
    <w:rsid w:val="00FF52FF"/>
    <w:rsid w:val="0136CA92"/>
    <w:rsid w:val="01D4C53A"/>
    <w:rsid w:val="022DCB64"/>
    <w:rsid w:val="024B9328"/>
    <w:rsid w:val="0358EAB6"/>
    <w:rsid w:val="05E1955C"/>
    <w:rsid w:val="06661897"/>
    <w:rsid w:val="071F1446"/>
    <w:rsid w:val="07EF7BD2"/>
    <w:rsid w:val="081A365B"/>
    <w:rsid w:val="08401E22"/>
    <w:rsid w:val="0A357B9D"/>
    <w:rsid w:val="0A4E5BB7"/>
    <w:rsid w:val="0A578EE9"/>
    <w:rsid w:val="0B965F9E"/>
    <w:rsid w:val="0D4AD00A"/>
    <w:rsid w:val="0DA203D1"/>
    <w:rsid w:val="10FC3FA6"/>
    <w:rsid w:val="14C2897D"/>
    <w:rsid w:val="14D4686B"/>
    <w:rsid w:val="16FE4C0F"/>
    <w:rsid w:val="17104615"/>
    <w:rsid w:val="19835506"/>
    <w:rsid w:val="1A911F27"/>
    <w:rsid w:val="1D14B33B"/>
    <w:rsid w:val="1D6C9230"/>
    <w:rsid w:val="1E415226"/>
    <w:rsid w:val="2459C5F9"/>
    <w:rsid w:val="2717500F"/>
    <w:rsid w:val="29567380"/>
    <w:rsid w:val="2A7AAAF8"/>
    <w:rsid w:val="2A8CC94D"/>
    <w:rsid w:val="2C0E5CD4"/>
    <w:rsid w:val="2C7110FD"/>
    <w:rsid w:val="2D3DC1F6"/>
    <w:rsid w:val="2D54B6E8"/>
    <w:rsid w:val="2F89416F"/>
    <w:rsid w:val="31C10FB2"/>
    <w:rsid w:val="34D67C4B"/>
    <w:rsid w:val="34DCA22B"/>
    <w:rsid w:val="350E39A5"/>
    <w:rsid w:val="35CDA76C"/>
    <w:rsid w:val="36458660"/>
    <w:rsid w:val="38E350BD"/>
    <w:rsid w:val="3958470C"/>
    <w:rsid w:val="3C10263D"/>
    <w:rsid w:val="3CBEE12E"/>
    <w:rsid w:val="3DF9779A"/>
    <w:rsid w:val="42C7BFB0"/>
    <w:rsid w:val="43913B64"/>
    <w:rsid w:val="4412287A"/>
    <w:rsid w:val="4435BA6F"/>
    <w:rsid w:val="44B83926"/>
    <w:rsid w:val="451C5C3B"/>
    <w:rsid w:val="45696598"/>
    <w:rsid w:val="47971048"/>
    <w:rsid w:val="4B051F8F"/>
    <w:rsid w:val="4C250DB3"/>
    <w:rsid w:val="4C8AC6CD"/>
    <w:rsid w:val="4F2E5952"/>
    <w:rsid w:val="525C4892"/>
    <w:rsid w:val="52C2C51C"/>
    <w:rsid w:val="54232291"/>
    <w:rsid w:val="55510C4C"/>
    <w:rsid w:val="5649E1F1"/>
    <w:rsid w:val="571D5EDC"/>
    <w:rsid w:val="57445639"/>
    <w:rsid w:val="57B011CC"/>
    <w:rsid w:val="57F635F3"/>
    <w:rsid w:val="5A5965CB"/>
    <w:rsid w:val="5AEA7E2C"/>
    <w:rsid w:val="5BA54A8C"/>
    <w:rsid w:val="62E6D667"/>
    <w:rsid w:val="65B751BD"/>
    <w:rsid w:val="67E757DF"/>
    <w:rsid w:val="69DACD57"/>
    <w:rsid w:val="6A12510D"/>
    <w:rsid w:val="6A80EC21"/>
    <w:rsid w:val="6BED9FDE"/>
    <w:rsid w:val="6BF8972D"/>
    <w:rsid w:val="6D52992E"/>
    <w:rsid w:val="6E96A3F4"/>
    <w:rsid w:val="6FED5041"/>
    <w:rsid w:val="70F5B30D"/>
    <w:rsid w:val="7514AB1B"/>
    <w:rsid w:val="75593629"/>
    <w:rsid w:val="786780F3"/>
    <w:rsid w:val="79D7763C"/>
    <w:rsid w:val="7C9CA9C8"/>
    <w:rsid w:val="7CCB661C"/>
    <w:rsid w:val="7CDE82D2"/>
    <w:rsid w:val="7E74C6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15:docId w15:val="{3A4B51C7-D2B9-49E1-9F9E-7766EFE0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2"/>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b/>
      <w:iCs/>
      <w:szCs w:val="28"/>
    </w:rPr>
  </w:style>
  <w:style w:type="paragraph" w:styleId="Heading3">
    <w:name w:val="heading 3"/>
    <w:basedOn w:val="Normal"/>
    <w:next w:val="Normal"/>
    <w:qFormat/>
    <w:pPr>
      <w:keepNext/>
      <w:numPr>
        <w:ilvl w:val="2"/>
        <w:numId w:val="11"/>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C34A36"/>
    <w:rPr>
      <w:sz w:val="20"/>
      <w:szCs w:val="20"/>
    </w:rPr>
  </w:style>
  <w:style w:type="character" w:customStyle="1" w:styleId="CommentTextChar">
    <w:name w:val="Comment Text Char"/>
    <w:basedOn w:val="DefaultParagraphFont"/>
    <w:link w:val="CommentText"/>
    <w:rsid w:val="00C34A36"/>
    <w:rPr>
      <w:rFonts w:ascii="Arial" w:hAnsi="Arial" w:cs="Arial"/>
      <w:lang w:eastAsia="en-US"/>
    </w:rPr>
  </w:style>
  <w:style w:type="character" w:styleId="CommentReference">
    <w:name w:val="annotation reference"/>
    <w:basedOn w:val="DefaultParagraphFont"/>
    <w:semiHidden/>
    <w:unhideWhenUsed/>
    <w:rsid w:val="00C34A36"/>
    <w:rPr>
      <w:sz w:val="16"/>
      <w:szCs w:val="16"/>
    </w:rPr>
  </w:style>
  <w:style w:type="paragraph" w:styleId="Revision">
    <w:name w:val="Revision"/>
    <w:hidden/>
    <w:uiPriority w:val="99"/>
    <w:semiHidden/>
    <w:rsid w:val="006355FA"/>
    <w:rPr>
      <w:rFonts w:ascii="Arial" w:hAnsi="Arial" w:cs="Arial"/>
      <w:sz w:val="24"/>
      <w:szCs w:val="22"/>
      <w:lang w:eastAsia="en-US"/>
    </w:rPr>
  </w:style>
  <w:style w:type="paragraph" w:styleId="CommentSubject">
    <w:name w:val="annotation subject"/>
    <w:basedOn w:val="CommentText"/>
    <w:next w:val="CommentText"/>
    <w:link w:val="CommentSubjectChar"/>
    <w:semiHidden/>
    <w:unhideWhenUsed/>
    <w:rsid w:val="006355FA"/>
    <w:rPr>
      <w:b/>
      <w:bCs/>
    </w:rPr>
  </w:style>
  <w:style w:type="character" w:customStyle="1" w:styleId="CommentSubjectChar">
    <w:name w:val="Comment Subject Char"/>
    <w:basedOn w:val="CommentTextChar"/>
    <w:link w:val="CommentSubject"/>
    <w:semiHidden/>
    <w:rsid w:val="006355FA"/>
    <w:rPr>
      <w:rFonts w:ascii="Arial" w:hAnsi="Arial" w:cs="Arial"/>
      <w:b/>
      <w:bCs/>
      <w:lang w:eastAsia="en-US"/>
    </w:rPr>
  </w:style>
  <w:style w:type="character" w:styleId="Mention">
    <w:name w:val="Mention"/>
    <w:basedOn w:val="DefaultParagraphFont"/>
    <w:uiPriority w:val="99"/>
    <w:unhideWhenUsed/>
    <w:rsid w:val="00BF18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137">
      <w:bodyDiv w:val="1"/>
      <w:marLeft w:val="0"/>
      <w:marRight w:val="0"/>
      <w:marTop w:val="0"/>
      <w:marBottom w:val="0"/>
      <w:divBdr>
        <w:top w:val="none" w:sz="0" w:space="0" w:color="auto"/>
        <w:left w:val="none" w:sz="0" w:space="0" w:color="auto"/>
        <w:bottom w:val="none" w:sz="0" w:space="0" w:color="auto"/>
        <w:right w:val="none" w:sz="0" w:space="0" w:color="auto"/>
      </w:divBdr>
    </w:div>
    <w:div w:id="280115505">
      <w:bodyDiv w:val="1"/>
      <w:marLeft w:val="0"/>
      <w:marRight w:val="0"/>
      <w:marTop w:val="0"/>
      <w:marBottom w:val="0"/>
      <w:divBdr>
        <w:top w:val="none" w:sz="0" w:space="0" w:color="auto"/>
        <w:left w:val="none" w:sz="0" w:space="0" w:color="auto"/>
        <w:bottom w:val="none" w:sz="0" w:space="0" w:color="auto"/>
        <w:right w:val="none" w:sz="0" w:space="0" w:color="auto"/>
      </w:divBdr>
    </w:div>
    <w:div w:id="577979724">
      <w:bodyDiv w:val="1"/>
      <w:marLeft w:val="0"/>
      <w:marRight w:val="0"/>
      <w:marTop w:val="0"/>
      <w:marBottom w:val="0"/>
      <w:divBdr>
        <w:top w:val="none" w:sz="0" w:space="0" w:color="auto"/>
        <w:left w:val="none" w:sz="0" w:space="0" w:color="auto"/>
        <w:bottom w:val="none" w:sz="0" w:space="0" w:color="auto"/>
        <w:right w:val="none" w:sz="0" w:space="0" w:color="auto"/>
      </w:divBdr>
    </w:div>
    <w:div w:id="1792170772">
      <w:bodyDiv w:val="1"/>
      <w:marLeft w:val="0"/>
      <w:marRight w:val="0"/>
      <w:marTop w:val="0"/>
      <w:marBottom w:val="0"/>
      <w:divBdr>
        <w:top w:val="none" w:sz="0" w:space="0" w:color="auto"/>
        <w:left w:val="none" w:sz="0" w:space="0" w:color="auto"/>
        <w:bottom w:val="none" w:sz="0" w:space="0" w:color="auto"/>
        <w:right w:val="none" w:sz="0" w:space="0" w:color="auto"/>
      </w:divBdr>
    </w:div>
    <w:div w:id="1895964573">
      <w:bodyDiv w:val="1"/>
      <w:marLeft w:val="0"/>
      <w:marRight w:val="0"/>
      <w:marTop w:val="0"/>
      <w:marBottom w:val="0"/>
      <w:divBdr>
        <w:top w:val="none" w:sz="0" w:space="0" w:color="auto"/>
        <w:left w:val="none" w:sz="0" w:space="0" w:color="auto"/>
        <w:bottom w:val="none" w:sz="0" w:space="0" w:color="auto"/>
        <w:right w:val="none" w:sz="0" w:space="0" w:color="auto"/>
      </w:divBdr>
    </w:div>
    <w:div w:id="204023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fbbfa-3ea0-4d8e-acde-632e83cd9c55" xsi:nil="true"/>
    <_dlc_DocId xmlns="f6cfbbfa-3ea0-4d8e-acde-632e83cd9c55">ONRW-2126615823-8269</_dlc_DocId>
    <_dlc_DocIdUrl xmlns="f6cfbbfa-3ea0-4d8e-acde-632e83cd9c55">
      <Url>https://prodonrgov.sharepoint.com/_layouts/15/DocIdRedir.aspx?ID=ONRW-2126615823-8269</Url>
      <Description>ONRW-2126615823-8269</Description>
    </_dlc_DocIdUrl>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Subdivision xmlns="f6cfbbfa-3ea0-4d8e-acde-632e83cd9c55" xsi:nil="true"/>
    <GDA_x0020_Purpose xmlns="f6cfbbfa-3ea0-4d8e-acde-632e83cd9c55" xsi:nil="true"/>
    <Dutyholder xmlns="f6cfbbfa-3ea0-4d8e-acde-632e83cd9c55" xsi:nil="true"/>
    <lcf76f155ced4ddcb4097134ff3c332f xmlns="6ee01a08-9bb3-4510-887c-4508c532eb2e">
      <Terms xmlns="http://schemas.microsoft.com/office/infopath/2007/PartnerControls"/>
    </lcf76f155ced4ddcb4097134ff3c332f>
    <Document_x0020_Status xmlns="f6cfbbfa-3ea0-4d8e-acde-632e83cd9c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82c93ee35fd8ff950cfc5657121d4b9d">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d9a60a15c6576bfec3866ff31301bef2"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5780F-2889-4DD7-8F85-E0FC5CD85289}">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customXml/itemProps2.xml><?xml version="1.0" encoding="utf-8"?>
<ds:datastoreItem xmlns:ds="http://schemas.openxmlformats.org/officeDocument/2006/customXml" ds:itemID="{8CFC80CF-4684-40D0-8E8F-1216B2034863}">
  <ds:schemaRefs>
    <ds:schemaRef ds:uri="http://schemas.microsoft.com/sharepoint/v3/contenttype/forms"/>
  </ds:schemaRefs>
</ds:datastoreItem>
</file>

<file path=customXml/itemProps3.xml><?xml version="1.0" encoding="utf-8"?>
<ds:datastoreItem xmlns:ds="http://schemas.openxmlformats.org/officeDocument/2006/customXml" ds:itemID="{C97249D3-5E4B-465F-93AF-46D391F33B5B}">
  <ds:schemaRefs>
    <ds:schemaRef ds:uri="http://schemas.microsoft.com/sharepoint/events"/>
  </ds:schemaRefs>
</ds:datastoreItem>
</file>

<file path=customXml/itemProps4.xml><?xml version="1.0" encoding="utf-8"?>
<ds:datastoreItem xmlns:ds="http://schemas.openxmlformats.org/officeDocument/2006/customXml" ds:itemID="{1BFE0B28-D0FB-4D39-A90B-B476A62D1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E0A575-9853-41D7-8BCA-572C9CA63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4601</Words>
  <Characters>26229</Characters>
  <DocSecurity>0</DocSecurity>
  <Lines>218</Lines>
  <Paragraphs>61</Paragraphs>
  <ScaleCrop>false</ScaleCrop>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2017-10-03T10:43:00Z</cp:lastPrinted>
  <dcterms:created xsi:type="dcterms:W3CDTF">2025-11-26T10:46:00Z</dcterms:created>
  <dcterms:modified xsi:type="dcterms:W3CDTF">2025-11-26T10:46:00Z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0x0101002BFD813B9BA5F84C8E4BDD131736DF68</vt:lpwstr>
  </property>
  <property fmtid="{D5CDD505-2E9C-101B-9397-08002B2CF9AE}" pid="4" name="_dlc_DocIdItemGuid">
    <vt:lpwstr>46ffb3da-e8d3-4a48-a9fc-5b409a1c6a57</vt:lpwstr>
  </property>
  <property fmtid="{D5CDD505-2E9C-101B-9397-08002B2CF9AE}" pid="5" name="BCS1">
    <vt:lpwstr>10;#4.4.1 Safety Reports/Cases: Assessment|7500dff8-3c6d-475f-a6b6-75de36a7fde4</vt:lpwstr>
  </property>
  <property fmtid="{D5CDD505-2E9C-101B-9397-08002B2CF9AE}" pid="6" name="MSIP_Label_9e5e003a-90eb-47c9-a506-ad47e7a0b281_Enabled">
    <vt:lpwstr>true</vt:lpwstr>
  </property>
  <property fmtid="{D5CDD505-2E9C-101B-9397-08002B2CF9AE}" pid="7" name="MSIP_Label_9e5e003a-90eb-47c9-a506-ad47e7a0b281_SetDate">
    <vt:lpwstr>2022-07-01T09:29:12Z</vt:lpwstr>
  </property>
  <property fmtid="{D5CDD505-2E9C-101B-9397-08002B2CF9AE}" pid="8" name="MSIP_Label_9e5e003a-90eb-47c9-a506-ad47e7a0b281_Method">
    <vt:lpwstr>Privileged</vt:lpwstr>
  </property>
  <property fmtid="{D5CDD505-2E9C-101B-9397-08002B2CF9AE}" pid="9" name="MSIP_Label_9e5e003a-90eb-47c9-a506-ad47e7a0b281_Name">
    <vt:lpwstr>OFFICIAL</vt:lpwstr>
  </property>
  <property fmtid="{D5CDD505-2E9C-101B-9397-08002B2CF9AE}" pid="10" name="MSIP_Label_9e5e003a-90eb-47c9-a506-ad47e7a0b281_SiteId">
    <vt:lpwstr>742775df-8077-48d6-81d0-1e82a1f52cb8</vt:lpwstr>
  </property>
  <property fmtid="{D5CDD505-2E9C-101B-9397-08002B2CF9AE}" pid="11" name="MSIP_Label_9e5e003a-90eb-47c9-a506-ad47e7a0b281_ActionId">
    <vt:lpwstr>23638b36-612a-40f8-bb73-956cbf377e51</vt:lpwstr>
  </property>
  <property fmtid="{D5CDD505-2E9C-101B-9397-08002B2CF9AE}" pid="12" name="MSIP_Label_9e5e003a-90eb-47c9-a506-ad47e7a0b281_ContentBits">
    <vt:lpwstr>0</vt:lpwstr>
  </property>
  <property fmtid="{D5CDD505-2E9C-101B-9397-08002B2CF9AE}" pid="13" name="MediaServiceImageTags">
    <vt:lpwstr/>
  </property>
  <property fmtid="{D5CDD505-2E9C-101B-9397-08002B2CF9AE}" pid="14" name="docLang">
    <vt:lpwstr>en</vt:lpwstr>
  </property>
</Properties>
</file>