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179E" w14:textId="77777777" w:rsidR="00E20DBB" w:rsidRDefault="00E20DBB"/>
    <w:p w14:paraId="4FEA179F" w14:textId="77777777" w:rsidR="00E20DBB" w:rsidRDefault="00E20DBB"/>
    <w:tbl>
      <w:tblPr>
        <w:tblW w:w="9655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295"/>
        <w:gridCol w:w="598"/>
        <w:gridCol w:w="2762"/>
      </w:tblGrid>
      <w:tr w:rsidR="00912985" w:rsidRPr="001F7C5D" w14:paraId="4FEA17AE" w14:textId="77777777" w:rsidTr="00EC397F">
        <w:trPr>
          <w:trHeight w:val="773"/>
        </w:trPr>
        <w:tc>
          <w:tcPr>
            <w:tcW w:w="6295" w:type="dxa"/>
            <w:shd w:val="clear" w:color="auto" w:fill="auto"/>
          </w:tcPr>
          <w:p w14:paraId="6B556465" w14:textId="77777777" w:rsidR="00356C30" w:rsidRDefault="00C52A35" w:rsidP="00EC397F">
            <w:pPr>
              <w:rPr>
                <w:rFonts w:cs="Arial"/>
                <w:sz w:val="24"/>
              </w:rPr>
            </w:pPr>
            <w:r w:rsidRPr="00C52A35">
              <w:rPr>
                <w:sz w:val="24"/>
                <w:lang w:val="en"/>
              </w:rPr>
              <w:br/>
            </w:r>
            <w:r w:rsidR="009E3FDD" w:rsidRPr="00356C30">
              <w:rPr>
                <w:rFonts w:cs="Arial"/>
                <w:sz w:val="24"/>
              </w:rPr>
              <w:t>Nuclear Projects and Development</w:t>
            </w:r>
          </w:p>
          <w:p w14:paraId="6A471106" w14:textId="77777777" w:rsidR="00356C30" w:rsidRDefault="009E3FDD" w:rsidP="00EC397F">
            <w:pPr>
              <w:rPr>
                <w:rFonts w:cs="Arial"/>
                <w:sz w:val="24"/>
              </w:rPr>
            </w:pPr>
            <w:r w:rsidRPr="00356C30">
              <w:rPr>
                <w:rFonts w:cs="Arial"/>
                <w:sz w:val="24"/>
              </w:rPr>
              <w:t>Department for Energy Security and Net Zero</w:t>
            </w:r>
          </w:p>
          <w:p w14:paraId="055841D7" w14:textId="77777777" w:rsidR="00356C30" w:rsidRDefault="009E3FDD" w:rsidP="00EC397F">
            <w:pPr>
              <w:rPr>
                <w:rFonts w:cs="Arial"/>
                <w:sz w:val="24"/>
              </w:rPr>
            </w:pPr>
            <w:r w:rsidRPr="00356C30">
              <w:rPr>
                <w:rFonts w:cs="Arial"/>
                <w:sz w:val="24"/>
              </w:rPr>
              <w:t>3-8 Whitehall Place</w:t>
            </w:r>
          </w:p>
          <w:p w14:paraId="6F027CF6" w14:textId="77777777" w:rsidR="00356C30" w:rsidRDefault="009E3FDD" w:rsidP="00EC397F">
            <w:pPr>
              <w:rPr>
                <w:rFonts w:cs="Arial"/>
                <w:sz w:val="24"/>
              </w:rPr>
            </w:pPr>
            <w:r w:rsidRPr="00356C30">
              <w:rPr>
                <w:rFonts w:cs="Arial"/>
                <w:sz w:val="24"/>
              </w:rPr>
              <w:t xml:space="preserve">London </w:t>
            </w:r>
          </w:p>
          <w:p w14:paraId="4FEA17A1" w14:textId="7BBBCF09" w:rsidR="00912985" w:rsidRPr="00C52A35" w:rsidRDefault="009E3FDD" w:rsidP="00EC397F">
            <w:pPr>
              <w:rPr>
                <w:rFonts w:cs="Arial"/>
                <w:sz w:val="24"/>
              </w:rPr>
            </w:pPr>
            <w:r w:rsidRPr="00356C30">
              <w:rPr>
                <w:rFonts w:cs="Arial"/>
                <w:sz w:val="24"/>
              </w:rPr>
              <w:t>SW1A 2AW</w:t>
            </w:r>
          </w:p>
          <w:p w14:paraId="4FEA17A2" w14:textId="77777777" w:rsidR="00912985" w:rsidRPr="00C52A35" w:rsidRDefault="00912985" w:rsidP="00EC397F">
            <w:pPr>
              <w:rPr>
                <w:rStyle w:val="Hyperlink"/>
                <w:color w:val="006D68"/>
              </w:rPr>
            </w:pPr>
          </w:p>
          <w:p w14:paraId="4FEA17A3" w14:textId="4DF4AB79" w:rsidR="00912985" w:rsidRPr="00262152" w:rsidRDefault="002260B8" w:rsidP="00EC397F">
            <w:pPr>
              <w:rPr>
                <w:rFonts w:cs="Arial"/>
                <w:color w:val="006D68"/>
                <w:sz w:val="24"/>
              </w:rPr>
            </w:pPr>
            <w:hyperlink r:id="rId7" w:history="1">
              <w:r w:rsidR="00610A2D" w:rsidRPr="00262152">
                <w:rPr>
                  <w:rStyle w:val="Hyperlink"/>
                  <w:rFonts w:cs="Arial"/>
                  <w:color w:val="006D68"/>
                  <w:sz w:val="24"/>
                </w:rPr>
                <w:t>RABconsultation@energysecurity.gov.uk</w:t>
              </w:r>
            </w:hyperlink>
          </w:p>
        </w:tc>
        <w:tc>
          <w:tcPr>
            <w:tcW w:w="3360" w:type="dxa"/>
            <w:gridSpan w:val="2"/>
            <w:vMerge w:val="restart"/>
            <w:shd w:val="clear" w:color="auto" w:fill="auto"/>
          </w:tcPr>
          <w:p w14:paraId="4FEA17A4" w14:textId="77777777" w:rsidR="00912985" w:rsidRPr="001F7C5D" w:rsidRDefault="00912985" w:rsidP="00EC397F">
            <w:pPr>
              <w:ind w:left="170" w:hanging="86"/>
              <w:rPr>
                <w:rFonts w:cs="Arial"/>
                <w:sz w:val="24"/>
              </w:rPr>
            </w:pPr>
            <w:r w:rsidRPr="001F7C5D">
              <w:rPr>
                <w:rFonts w:cs="Arial"/>
                <w:sz w:val="24"/>
              </w:rPr>
              <w:t>Redgrave Court</w:t>
            </w:r>
          </w:p>
          <w:p w14:paraId="4FEA17A5" w14:textId="77777777" w:rsidR="00912985" w:rsidRPr="001F7C5D" w:rsidRDefault="00912985" w:rsidP="00EC397F">
            <w:pPr>
              <w:ind w:left="170" w:hanging="86"/>
              <w:rPr>
                <w:rFonts w:cs="Arial"/>
                <w:sz w:val="24"/>
              </w:rPr>
            </w:pPr>
            <w:r w:rsidRPr="001F7C5D">
              <w:rPr>
                <w:rFonts w:cs="Arial"/>
                <w:sz w:val="24"/>
              </w:rPr>
              <w:t xml:space="preserve">Merton Road </w:t>
            </w:r>
          </w:p>
          <w:p w14:paraId="4FEA17A6" w14:textId="77777777" w:rsidR="00912985" w:rsidRPr="001F7C5D" w:rsidRDefault="00912985" w:rsidP="00EC397F">
            <w:pPr>
              <w:ind w:left="170" w:hanging="86"/>
              <w:rPr>
                <w:rFonts w:cs="Arial"/>
                <w:sz w:val="24"/>
              </w:rPr>
            </w:pPr>
            <w:r w:rsidRPr="001F7C5D">
              <w:rPr>
                <w:rFonts w:cs="Arial"/>
                <w:sz w:val="24"/>
              </w:rPr>
              <w:t xml:space="preserve">Bootle </w:t>
            </w:r>
          </w:p>
          <w:p w14:paraId="4FEA17A7" w14:textId="77777777" w:rsidR="00912985" w:rsidRPr="001F7C5D" w:rsidRDefault="00912985" w:rsidP="00EC397F">
            <w:pPr>
              <w:ind w:left="170" w:hanging="86"/>
              <w:rPr>
                <w:rFonts w:cs="Arial"/>
                <w:sz w:val="24"/>
              </w:rPr>
            </w:pPr>
            <w:r w:rsidRPr="001F7C5D">
              <w:rPr>
                <w:rFonts w:cs="Arial"/>
                <w:sz w:val="24"/>
              </w:rPr>
              <w:t xml:space="preserve">Merseyside </w:t>
            </w:r>
          </w:p>
          <w:p w14:paraId="4FEA17A8" w14:textId="77777777" w:rsidR="00912985" w:rsidRPr="001F7C5D" w:rsidRDefault="00912985" w:rsidP="00EC397F">
            <w:pPr>
              <w:ind w:left="170" w:hanging="86"/>
              <w:rPr>
                <w:rFonts w:cs="Arial"/>
                <w:sz w:val="24"/>
              </w:rPr>
            </w:pPr>
            <w:r w:rsidRPr="001F7C5D">
              <w:rPr>
                <w:rFonts w:cs="Arial"/>
                <w:sz w:val="24"/>
              </w:rPr>
              <w:t xml:space="preserve">L20 7HS </w:t>
            </w:r>
          </w:p>
          <w:p w14:paraId="4FEA17A9" w14:textId="77777777" w:rsidR="00912985" w:rsidRPr="001F7C5D" w:rsidRDefault="00912985" w:rsidP="00EC397F">
            <w:pPr>
              <w:ind w:left="170" w:hanging="86"/>
              <w:rPr>
                <w:rFonts w:cs="Arial"/>
                <w:sz w:val="24"/>
              </w:rPr>
            </w:pPr>
          </w:p>
          <w:p w14:paraId="4FEA17AA" w14:textId="77777777" w:rsidR="00912985" w:rsidRPr="001F7C5D" w:rsidRDefault="00912985" w:rsidP="00EC397F">
            <w:pPr>
              <w:rPr>
                <w:rFonts w:cs="Arial"/>
                <w:color w:val="006D68"/>
                <w:sz w:val="24"/>
              </w:rPr>
            </w:pPr>
            <w:r w:rsidRPr="001F7C5D">
              <w:rPr>
                <w:rFonts w:cs="Arial"/>
                <w:sz w:val="24"/>
              </w:rPr>
              <w:t xml:space="preserve"> </w:t>
            </w:r>
            <w:hyperlink r:id="rId8" w:history="1">
              <w:r w:rsidRPr="001F7C5D">
                <w:rPr>
                  <w:rStyle w:val="Hyperlink"/>
                  <w:rFonts w:cs="Arial"/>
                  <w:color w:val="006D68"/>
                  <w:sz w:val="24"/>
                </w:rPr>
                <w:t>Contact@onr.gov.uk</w:t>
              </w:r>
            </w:hyperlink>
            <w:r w:rsidRPr="001F7C5D">
              <w:rPr>
                <w:rFonts w:cs="Arial"/>
                <w:color w:val="006D68"/>
                <w:sz w:val="24"/>
              </w:rPr>
              <w:t xml:space="preserve">  </w:t>
            </w:r>
          </w:p>
          <w:p w14:paraId="4FEA17AB" w14:textId="77777777" w:rsidR="00912985" w:rsidRPr="001F7C5D" w:rsidRDefault="00912985" w:rsidP="00EC397F">
            <w:pPr>
              <w:ind w:left="170" w:hanging="86"/>
              <w:rPr>
                <w:rFonts w:cs="Arial"/>
                <w:sz w:val="24"/>
              </w:rPr>
            </w:pPr>
          </w:p>
          <w:p w14:paraId="4FEA17AC" w14:textId="5B722E74" w:rsidR="00912985" w:rsidRPr="001F7C5D" w:rsidRDefault="001F7C5D" w:rsidP="00EC397F">
            <w:pPr>
              <w:ind w:left="170" w:hanging="8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Unique ref: </w:t>
            </w:r>
            <w:r w:rsidR="00B05F40" w:rsidRPr="00B05F40">
              <w:rPr>
                <w:rFonts w:cs="Arial"/>
                <w:sz w:val="24"/>
              </w:rPr>
              <w:t>2024/4262</w:t>
            </w:r>
          </w:p>
          <w:p w14:paraId="4FEA17AD" w14:textId="77777777" w:rsidR="00912985" w:rsidRPr="001F7C5D" w:rsidRDefault="00912985" w:rsidP="00EC397F">
            <w:pPr>
              <w:ind w:left="170" w:hanging="86"/>
              <w:rPr>
                <w:rFonts w:cs="Arial"/>
                <w:sz w:val="24"/>
              </w:rPr>
            </w:pPr>
          </w:p>
        </w:tc>
      </w:tr>
      <w:tr w:rsidR="00912985" w:rsidRPr="001F7C5D" w14:paraId="4FEA17B2" w14:textId="77777777" w:rsidTr="00EC397F">
        <w:trPr>
          <w:trHeight w:val="772"/>
        </w:trPr>
        <w:tc>
          <w:tcPr>
            <w:tcW w:w="6295" w:type="dxa"/>
            <w:shd w:val="clear" w:color="auto" w:fill="auto"/>
          </w:tcPr>
          <w:p w14:paraId="4FEA17AF" w14:textId="77777777" w:rsidR="00912985" w:rsidRDefault="00912985" w:rsidP="00EC397F">
            <w:pPr>
              <w:rPr>
                <w:rFonts w:cs="Arial"/>
                <w:sz w:val="24"/>
              </w:rPr>
            </w:pPr>
          </w:p>
          <w:p w14:paraId="4FEA17B0" w14:textId="5554F22D" w:rsidR="00C52A35" w:rsidRPr="001F7C5D" w:rsidRDefault="009E3FDD" w:rsidP="00EC397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29</w:t>
            </w:r>
            <w:r w:rsidR="00C52A35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January</w:t>
            </w:r>
            <w:r w:rsidR="00C52A35">
              <w:rPr>
                <w:rFonts w:cs="Arial"/>
                <w:sz w:val="24"/>
              </w:rPr>
              <w:t xml:space="preserve"> 20</w:t>
            </w:r>
            <w:r>
              <w:rPr>
                <w:rFonts w:cs="Arial"/>
                <w:sz w:val="24"/>
              </w:rPr>
              <w:t>24</w:t>
            </w:r>
          </w:p>
        </w:tc>
        <w:tc>
          <w:tcPr>
            <w:tcW w:w="3360" w:type="dxa"/>
            <w:gridSpan w:val="2"/>
            <w:vMerge/>
            <w:shd w:val="clear" w:color="auto" w:fill="auto"/>
          </w:tcPr>
          <w:p w14:paraId="4FEA17B1" w14:textId="77777777" w:rsidR="00912985" w:rsidRPr="001F7C5D" w:rsidRDefault="00912985" w:rsidP="00EC397F">
            <w:pPr>
              <w:rPr>
                <w:rFonts w:cs="Arial"/>
                <w:sz w:val="24"/>
              </w:rPr>
            </w:pPr>
          </w:p>
        </w:tc>
      </w:tr>
      <w:tr w:rsidR="00912985" w:rsidRPr="001F7C5D" w14:paraId="4FEA17B5" w14:textId="77777777" w:rsidTr="00EC397F">
        <w:tc>
          <w:tcPr>
            <w:tcW w:w="6295" w:type="dxa"/>
            <w:shd w:val="clear" w:color="auto" w:fill="auto"/>
          </w:tcPr>
          <w:p w14:paraId="4FEA17B3" w14:textId="77777777" w:rsidR="00912985" w:rsidRPr="003F382F" w:rsidRDefault="00912985" w:rsidP="00EC397F">
            <w:pPr>
              <w:rPr>
                <w:rFonts w:cs="Arial"/>
                <w:b/>
                <w:sz w:val="24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14:paraId="4FEA17B4" w14:textId="77777777" w:rsidR="00912985" w:rsidRPr="001F7C5D" w:rsidRDefault="00912985" w:rsidP="00EC397F">
            <w:pPr>
              <w:rPr>
                <w:rFonts w:cs="Arial"/>
                <w:sz w:val="24"/>
              </w:rPr>
            </w:pPr>
          </w:p>
        </w:tc>
      </w:tr>
      <w:tr w:rsidR="00912985" w:rsidRPr="001F7C5D" w14:paraId="4FEA17B8" w14:textId="77777777" w:rsidTr="00EC397F">
        <w:tc>
          <w:tcPr>
            <w:tcW w:w="6893" w:type="dxa"/>
            <w:gridSpan w:val="2"/>
            <w:shd w:val="clear" w:color="auto" w:fill="auto"/>
          </w:tcPr>
          <w:p w14:paraId="4FEA17B6" w14:textId="77777777" w:rsidR="00912985" w:rsidRPr="001F7C5D" w:rsidRDefault="00912985" w:rsidP="00EC397F">
            <w:pPr>
              <w:rPr>
                <w:rFonts w:cs="Arial"/>
                <w:sz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4FEA17B7" w14:textId="77777777" w:rsidR="00912985" w:rsidRPr="001F7C5D" w:rsidRDefault="00912985" w:rsidP="00EC397F">
            <w:pPr>
              <w:rPr>
                <w:rFonts w:cs="Arial"/>
                <w:sz w:val="24"/>
              </w:rPr>
            </w:pPr>
          </w:p>
        </w:tc>
      </w:tr>
    </w:tbl>
    <w:p w14:paraId="4FEA17B9" w14:textId="77777777" w:rsidR="00912985" w:rsidRDefault="004678EF" w:rsidP="004678EF">
      <w:pPr>
        <w:adjustRightInd w:val="0"/>
        <w:spacing w:line="240" w:lineRule="atLeast"/>
        <w:rPr>
          <w:rFonts w:eastAsiaTheme="minorHAnsi" w:cs="Arial"/>
          <w:iCs/>
          <w:color w:val="000000"/>
          <w:sz w:val="24"/>
          <w:lang w:eastAsia="en-GB"/>
        </w:rPr>
      </w:pPr>
      <w:r w:rsidRPr="004678EF">
        <w:rPr>
          <w:rFonts w:eastAsiaTheme="minorHAnsi" w:cs="Arial"/>
          <w:iCs/>
          <w:color w:val="000000"/>
          <w:sz w:val="24"/>
          <w:lang w:eastAsia="en-GB"/>
        </w:rPr>
        <w:t>To whom it may concern</w:t>
      </w:r>
    </w:p>
    <w:p w14:paraId="4FEA17BA" w14:textId="77777777" w:rsidR="004678EF" w:rsidRDefault="004678EF" w:rsidP="004678EF">
      <w:pPr>
        <w:adjustRightInd w:val="0"/>
        <w:spacing w:line="240" w:lineRule="atLeast"/>
        <w:rPr>
          <w:rFonts w:eastAsiaTheme="minorHAnsi" w:cs="Arial"/>
          <w:iCs/>
          <w:color w:val="000000"/>
          <w:sz w:val="24"/>
          <w:lang w:eastAsia="en-GB"/>
        </w:rPr>
      </w:pPr>
    </w:p>
    <w:p w14:paraId="5ED8FCF5" w14:textId="77777777" w:rsidR="00CB7162" w:rsidRDefault="00CB7162" w:rsidP="00CB7162">
      <w:pPr>
        <w:pStyle w:val="Default"/>
        <w:rPr>
          <w:b/>
          <w:iCs/>
        </w:rPr>
      </w:pPr>
      <w:r w:rsidRPr="00E94F13">
        <w:rPr>
          <w:b/>
          <w:iCs/>
        </w:rPr>
        <w:t>ONR Consultation Response – Regulated Asset Base Licence Consultation Modifications to Sizewell C Limited’s electricity generation licence</w:t>
      </w:r>
    </w:p>
    <w:p w14:paraId="07F80520" w14:textId="77777777" w:rsidR="00CB7162" w:rsidRDefault="00CB7162" w:rsidP="00CB7162">
      <w:pPr>
        <w:pStyle w:val="Default"/>
        <w:rPr>
          <w:b/>
          <w:iCs/>
        </w:rPr>
      </w:pPr>
    </w:p>
    <w:p w14:paraId="588F0CF4" w14:textId="5C173BC4" w:rsidR="009D6819" w:rsidRDefault="00BF0D0A" w:rsidP="000B176F">
      <w:pPr>
        <w:pStyle w:val="Default"/>
        <w:rPr>
          <w:iCs/>
          <w:highlight w:val="yellow"/>
        </w:rPr>
      </w:pPr>
      <w:r>
        <w:rPr>
          <w:iCs/>
        </w:rPr>
        <w:t xml:space="preserve">Thank you for the opportunity to comment on </w:t>
      </w:r>
      <w:r w:rsidR="0012799E">
        <w:rPr>
          <w:iCs/>
        </w:rPr>
        <w:t xml:space="preserve">proposed modifications </w:t>
      </w:r>
      <w:r w:rsidR="0012799E" w:rsidRPr="009D6819">
        <w:rPr>
          <w:iCs/>
        </w:rPr>
        <w:t xml:space="preserve">to Sizewell C Limited’s Electricity Generation Licence </w:t>
      </w:r>
      <w:r w:rsidR="00875E6F">
        <w:rPr>
          <w:iCs/>
        </w:rPr>
        <w:t>re</w:t>
      </w:r>
      <w:r w:rsidR="0053356B">
        <w:rPr>
          <w:iCs/>
        </w:rPr>
        <w:t xml:space="preserve">lated to the </w:t>
      </w:r>
      <w:r w:rsidR="00875E6F" w:rsidRPr="009D6819">
        <w:rPr>
          <w:iCs/>
        </w:rPr>
        <w:t>Regulated Asset Base</w:t>
      </w:r>
      <w:r w:rsidR="00467FBD">
        <w:rPr>
          <w:iCs/>
        </w:rPr>
        <w:t xml:space="preserve">; </w:t>
      </w:r>
      <w:r w:rsidR="0053356B">
        <w:rPr>
          <w:iCs/>
        </w:rPr>
        <w:t>t</w:t>
      </w:r>
      <w:r w:rsidR="009D6819" w:rsidRPr="009D6819">
        <w:rPr>
          <w:iCs/>
        </w:rPr>
        <w:t xml:space="preserve">his letter </w:t>
      </w:r>
      <w:r w:rsidR="0053356B">
        <w:rPr>
          <w:iCs/>
        </w:rPr>
        <w:t>provides our</w:t>
      </w:r>
      <w:r w:rsidR="009D6819" w:rsidRPr="009D6819">
        <w:rPr>
          <w:iCs/>
        </w:rPr>
        <w:t xml:space="preserve"> response. Our mission is to pro</w:t>
      </w:r>
      <w:r w:rsidR="00F640DC">
        <w:rPr>
          <w:iCs/>
        </w:rPr>
        <w:t>tect society by securing safe nuclear operations.</w:t>
      </w:r>
      <w:r w:rsidR="00E10DF6">
        <w:rPr>
          <w:iCs/>
        </w:rPr>
        <w:t xml:space="preserve"> </w:t>
      </w:r>
      <w:r w:rsidR="009D6819" w:rsidRPr="00AC419F">
        <w:rPr>
          <w:iCs/>
        </w:rPr>
        <w:t xml:space="preserve">Therefore, we have provided general comments </w:t>
      </w:r>
      <w:r w:rsidR="00FE40AA" w:rsidRPr="00AC419F">
        <w:rPr>
          <w:iCs/>
        </w:rPr>
        <w:t>below</w:t>
      </w:r>
      <w:r w:rsidR="00FE2FD5" w:rsidRPr="00AC419F">
        <w:rPr>
          <w:iCs/>
        </w:rPr>
        <w:t xml:space="preserve"> in relation to our regulatory purposes</w:t>
      </w:r>
      <w:r w:rsidR="00926BA0" w:rsidRPr="00AC419F">
        <w:rPr>
          <w:iCs/>
        </w:rPr>
        <w:t xml:space="preserve"> and a response to question 3 </w:t>
      </w:r>
      <w:r w:rsidR="00AC419F" w:rsidRPr="00AC419F">
        <w:rPr>
          <w:iCs/>
        </w:rPr>
        <w:t>to set out our position in relation to incentives.</w:t>
      </w:r>
      <w:r w:rsidR="00AC419F">
        <w:rPr>
          <w:iCs/>
          <w:highlight w:val="yellow"/>
        </w:rPr>
        <w:t xml:space="preserve"> </w:t>
      </w:r>
    </w:p>
    <w:p w14:paraId="7BF85866" w14:textId="77777777" w:rsidR="009F655D" w:rsidRDefault="009F655D" w:rsidP="000B176F">
      <w:pPr>
        <w:pStyle w:val="Default"/>
        <w:rPr>
          <w:iCs/>
          <w:highlight w:val="yellow"/>
        </w:rPr>
      </w:pPr>
    </w:p>
    <w:p w14:paraId="7C39E8F7" w14:textId="3AEED9E8" w:rsidR="009F655D" w:rsidRPr="005E62D5" w:rsidRDefault="009F655D" w:rsidP="000B176F">
      <w:pPr>
        <w:pStyle w:val="Default"/>
        <w:rPr>
          <w:iCs/>
        </w:rPr>
      </w:pPr>
      <w:r w:rsidRPr="005E62D5">
        <w:rPr>
          <w:iCs/>
        </w:rPr>
        <w:t xml:space="preserve">We have </w:t>
      </w:r>
      <w:r w:rsidR="00467FBD">
        <w:rPr>
          <w:iCs/>
        </w:rPr>
        <w:t>three</w:t>
      </w:r>
      <w:r w:rsidR="00467FBD" w:rsidRPr="005E62D5">
        <w:rPr>
          <w:iCs/>
        </w:rPr>
        <w:t xml:space="preserve"> </w:t>
      </w:r>
      <w:r w:rsidRPr="005E62D5">
        <w:rPr>
          <w:iCs/>
        </w:rPr>
        <w:t xml:space="preserve">general comments, one on the prioritisation of safety and </w:t>
      </w:r>
      <w:r w:rsidR="00467FBD">
        <w:rPr>
          <w:iCs/>
        </w:rPr>
        <w:t>two</w:t>
      </w:r>
      <w:r w:rsidR="00467FBD" w:rsidRPr="005E62D5">
        <w:rPr>
          <w:iCs/>
        </w:rPr>
        <w:t xml:space="preserve"> </w:t>
      </w:r>
      <w:r w:rsidRPr="005E62D5">
        <w:rPr>
          <w:iCs/>
        </w:rPr>
        <w:t>on specific areas of our regulation</w:t>
      </w:r>
      <w:r w:rsidR="005E62D5" w:rsidRPr="005E62D5">
        <w:rPr>
          <w:iCs/>
        </w:rPr>
        <w:t>:</w:t>
      </w:r>
    </w:p>
    <w:p w14:paraId="2665487F" w14:textId="77777777" w:rsidR="00C4428E" w:rsidRDefault="00C4428E" w:rsidP="004678EF">
      <w:pPr>
        <w:pStyle w:val="Default"/>
        <w:rPr>
          <w:iCs/>
        </w:rPr>
      </w:pPr>
    </w:p>
    <w:p w14:paraId="152E776E" w14:textId="2F5E883E" w:rsidR="00925326" w:rsidRPr="000B57D5" w:rsidRDefault="000B57D5" w:rsidP="004678EF">
      <w:pPr>
        <w:pStyle w:val="Default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Safety Prioritised</w:t>
      </w:r>
    </w:p>
    <w:p w14:paraId="2FBD88C5" w14:textId="33B308CC" w:rsidR="00CF4AF9" w:rsidRDefault="00CF4AF9" w:rsidP="004678EF">
      <w:pPr>
        <w:pStyle w:val="Default"/>
        <w:rPr>
          <w:iCs/>
          <w:color w:val="auto"/>
        </w:rPr>
      </w:pPr>
      <w:r>
        <w:rPr>
          <w:iCs/>
          <w:color w:val="auto"/>
        </w:rPr>
        <w:t xml:space="preserve">We welcome the clear requirement of compliance with </w:t>
      </w:r>
      <w:r w:rsidR="00467FBD">
        <w:rPr>
          <w:iCs/>
          <w:color w:val="auto"/>
        </w:rPr>
        <w:t>nuclear site licence (</w:t>
      </w:r>
      <w:r>
        <w:rPr>
          <w:iCs/>
          <w:color w:val="auto"/>
        </w:rPr>
        <w:t>NSL</w:t>
      </w:r>
      <w:r w:rsidR="00467FBD">
        <w:rPr>
          <w:iCs/>
          <w:color w:val="auto"/>
        </w:rPr>
        <w:t>)</w:t>
      </w:r>
      <w:r>
        <w:rPr>
          <w:iCs/>
          <w:color w:val="auto"/>
        </w:rPr>
        <w:t xml:space="preserve"> requirements and all other regulatory requirements as part of the core obligations in Special Condition 2</w:t>
      </w:r>
      <w:r w:rsidR="00444256">
        <w:rPr>
          <w:iCs/>
          <w:color w:val="auto"/>
        </w:rPr>
        <w:t xml:space="preserve">, together with the inclusion in Special Condition 5 Part B of the required resource </w:t>
      </w:r>
      <w:r w:rsidR="00D84F65">
        <w:rPr>
          <w:iCs/>
          <w:color w:val="auto"/>
        </w:rPr>
        <w:t>related to safety</w:t>
      </w:r>
      <w:r>
        <w:rPr>
          <w:iCs/>
          <w:color w:val="auto"/>
        </w:rPr>
        <w:t>. We consider that this provides reassurance that the modified licence conditions and any associated guidance will prioritise safety.</w:t>
      </w:r>
    </w:p>
    <w:p w14:paraId="60CE53CE" w14:textId="77777777" w:rsidR="00063127" w:rsidRDefault="00063127" w:rsidP="004678EF">
      <w:pPr>
        <w:pStyle w:val="Default"/>
        <w:rPr>
          <w:iCs/>
          <w:color w:val="auto"/>
        </w:rPr>
      </w:pPr>
    </w:p>
    <w:p w14:paraId="2C4039C3" w14:textId="416DFA4D" w:rsidR="00190266" w:rsidRDefault="00AA5880" w:rsidP="004678EF">
      <w:pPr>
        <w:pStyle w:val="Default"/>
        <w:rPr>
          <w:b/>
          <w:bCs/>
          <w:iCs/>
        </w:rPr>
      </w:pPr>
      <w:r>
        <w:rPr>
          <w:b/>
          <w:bCs/>
          <w:iCs/>
        </w:rPr>
        <w:t>Asset Management Plans</w:t>
      </w:r>
    </w:p>
    <w:p w14:paraId="281B4472" w14:textId="64A2D7B3" w:rsidR="00AA5880" w:rsidRDefault="00AA5880" w:rsidP="004678EF">
      <w:pPr>
        <w:pStyle w:val="Default"/>
        <w:rPr>
          <w:iCs/>
        </w:rPr>
      </w:pPr>
      <w:r>
        <w:rPr>
          <w:iCs/>
        </w:rPr>
        <w:t>We welcome the requirement</w:t>
      </w:r>
      <w:r w:rsidR="002E4AFE">
        <w:rPr>
          <w:iCs/>
        </w:rPr>
        <w:t xml:space="preserve"> in Special Condition 18</w:t>
      </w:r>
      <w:r>
        <w:rPr>
          <w:iCs/>
        </w:rPr>
        <w:t xml:space="preserve"> for asset management plans to be consistent with </w:t>
      </w:r>
      <w:r w:rsidR="00042F93">
        <w:rPr>
          <w:iCs/>
        </w:rPr>
        <w:t>the safety case</w:t>
      </w:r>
      <w:r w:rsidR="002E4AFE">
        <w:rPr>
          <w:iCs/>
        </w:rPr>
        <w:t xml:space="preserve">. </w:t>
      </w:r>
      <w:r w:rsidR="002B7E2D">
        <w:rPr>
          <w:iCs/>
        </w:rPr>
        <w:t xml:space="preserve">We regulate asset management </w:t>
      </w:r>
      <w:r w:rsidR="007567AD">
        <w:rPr>
          <w:iCs/>
        </w:rPr>
        <w:t xml:space="preserve">via Nuclear Licence Condition 28 which </w:t>
      </w:r>
      <w:r w:rsidR="002B7E2D" w:rsidRPr="007567AD">
        <w:rPr>
          <w:iCs/>
        </w:rPr>
        <w:t>ensure</w:t>
      </w:r>
      <w:r w:rsidR="007567AD" w:rsidRPr="007567AD">
        <w:rPr>
          <w:iCs/>
        </w:rPr>
        <w:t>s</w:t>
      </w:r>
      <w:r w:rsidR="002B7E2D" w:rsidRPr="007567AD">
        <w:rPr>
          <w:iCs/>
        </w:rPr>
        <w:t xml:space="preserve"> that all plant which may affect safety, receives regular and systematic Examination, Inspection, Maintenance and Testin</w:t>
      </w:r>
      <w:r w:rsidR="00FA714C">
        <w:rPr>
          <w:iCs/>
        </w:rPr>
        <w:t>g for which an asset management would need to be in place.</w:t>
      </w:r>
    </w:p>
    <w:p w14:paraId="204686D5" w14:textId="77777777" w:rsidR="00CF4AF9" w:rsidRDefault="00CF4AF9" w:rsidP="004678EF">
      <w:pPr>
        <w:pStyle w:val="Default"/>
        <w:rPr>
          <w:iCs/>
        </w:rPr>
      </w:pPr>
    </w:p>
    <w:p w14:paraId="4AA68E01" w14:textId="6590D638" w:rsidR="00F26087" w:rsidRPr="00F26087" w:rsidRDefault="00F26087" w:rsidP="00F26087">
      <w:pPr>
        <w:rPr>
          <w:rFonts w:cs="Arial"/>
          <w:b/>
          <w:bCs/>
          <w:sz w:val="24"/>
        </w:rPr>
      </w:pPr>
      <w:r w:rsidRPr="00F26087">
        <w:rPr>
          <w:rFonts w:cs="Arial"/>
          <w:b/>
          <w:bCs/>
          <w:sz w:val="24"/>
        </w:rPr>
        <w:t xml:space="preserve">Q3. Do consultees consider that the operational performance incentives included in the proposed modifications encourage the right behaviours? </w:t>
      </w:r>
    </w:p>
    <w:p w14:paraId="4FEA17C2" w14:textId="77777777" w:rsidR="004678EF" w:rsidRDefault="004678EF" w:rsidP="000D5165">
      <w:pPr>
        <w:pStyle w:val="Default"/>
        <w:rPr>
          <w:iCs/>
        </w:rPr>
      </w:pPr>
    </w:p>
    <w:p w14:paraId="27DEE373" w14:textId="77777777" w:rsidR="00A252F4" w:rsidRDefault="00693C23" w:rsidP="00164D3E">
      <w:pPr>
        <w:pStyle w:val="Default"/>
        <w:rPr>
          <w:iCs/>
          <w:color w:val="auto"/>
        </w:rPr>
      </w:pPr>
      <w:r>
        <w:rPr>
          <w:iCs/>
          <w:color w:val="auto"/>
        </w:rPr>
        <w:t xml:space="preserve">We have a strong interest in the incentives within the RAB to ensure that the behaviour they drive in our dutyholders is beneficial to safety and security. </w:t>
      </w:r>
      <w:r w:rsidR="00E67D28">
        <w:rPr>
          <w:iCs/>
          <w:color w:val="auto"/>
        </w:rPr>
        <w:t xml:space="preserve">As a result we have been working with the Department of Energy Security and Net Zero and Ofgem </w:t>
      </w:r>
      <w:r w:rsidR="00901952">
        <w:rPr>
          <w:iCs/>
          <w:color w:val="auto"/>
        </w:rPr>
        <w:t xml:space="preserve">to ensure that economic regulation will appropriately mirror the market </w:t>
      </w:r>
      <w:r w:rsidR="00901952">
        <w:rPr>
          <w:iCs/>
          <w:color w:val="auto"/>
        </w:rPr>
        <w:lastRenderedPageBreak/>
        <w:t xml:space="preserve">conditions within which other licensees currently operate and are able to effectively comply </w:t>
      </w:r>
      <w:r w:rsidR="00A25B0D">
        <w:rPr>
          <w:iCs/>
          <w:color w:val="auto"/>
        </w:rPr>
        <w:t>with our regulatory requirements.</w:t>
      </w:r>
    </w:p>
    <w:p w14:paraId="208E8BB3" w14:textId="77777777" w:rsidR="00A252F4" w:rsidRDefault="00A252F4" w:rsidP="00164D3E">
      <w:pPr>
        <w:pStyle w:val="Default"/>
        <w:rPr>
          <w:iCs/>
          <w:color w:val="auto"/>
        </w:rPr>
      </w:pPr>
    </w:p>
    <w:p w14:paraId="4FEA17CA" w14:textId="2565641A" w:rsidR="00D760F0" w:rsidRDefault="00A25B0D" w:rsidP="00164D3E">
      <w:pPr>
        <w:pStyle w:val="Default"/>
        <w:rPr>
          <w:iCs/>
        </w:rPr>
      </w:pPr>
      <w:r>
        <w:rPr>
          <w:iCs/>
          <w:color w:val="auto"/>
        </w:rPr>
        <w:t xml:space="preserve">We welcome the emphasis on safety in Special Condition 55 for the availability incentive. </w:t>
      </w:r>
      <w:r w:rsidR="00693C23">
        <w:rPr>
          <w:iCs/>
          <w:color w:val="auto"/>
        </w:rPr>
        <w:t xml:space="preserve">We will continue to engage with </w:t>
      </w:r>
      <w:r w:rsidR="00056B43">
        <w:rPr>
          <w:iCs/>
          <w:color w:val="auto"/>
        </w:rPr>
        <w:t xml:space="preserve">the Department for Energy Security and Net Zero and Ofgem </w:t>
      </w:r>
      <w:r w:rsidR="00427627">
        <w:rPr>
          <w:iCs/>
          <w:color w:val="auto"/>
        </w:rPr>
        <w:t xml:space="preserve">prior to any grant of the modified economic licence and </w:t>
      </w:r>
      <w:r w:rsidR="000E2580">
        <w:rPr>
          <w:iCs/>
          <w:color w:val="auto"/>
        </w:rPr>
        <w:t>following that would</w:t>
      </w:r>
      <w:r w:rsidR="00427627">
        <w:rPr>
          <w:iCs/>
          <w:color w:val="auto"/>
        </w:rPr>
        <w:t xml:space="preserve"> </w:t>
      </w:r>
      <w:r w:rsidR="00CD4637">
        <w:rPr>
          <w:iCs/>
          <w:color w:val="auto"/>
        </w:rPr>
        <w:t xml:space="preserve">put a Memorandum of Understanding </w:t>
      </w:r>
      <w:r w:rsidR="00CF493D">
        <w:rPr>
          <w:iCs/>
          <w:color w:val="auto"/>
        </w:rPr>
        <w:t xml:space="preserve">with the economic regulator </w:t>
      </w:r>
      <w:r w:rsidR="00CD4637">
        <w:rPr>
          <w:iCs/>
          <w:color w:val="auto"/>
        </w:rPr>
        <w:t>in place to facilitate continued engagement</w:t>
      </w:r>
      <w:r w:rsidR="00CF493D">
        <w:rPr>
          <w:iCs/>
          <w:color w:val="auto"/>
        </w:rPr>
        <w:t>.</w:t>
      </w:r>
    </w:p>
    <w:p w14:paraId="4FEA17D0" w14:textId="77777777" w:rsidR="00B237E3" w:rsidRDefault="00B237E3" w:rsidP="00B237E3">
      <w:pPr>
        <w:adjustRightInd w:val="0"/>
        <w:rPr>
          <w:color w:val="008080"/>
        </w:rPr>
      </w:pPr>
    </w:p>
    <w:p w14:paraId="4FEA17D1" w14:textId="35D4D60A" w:rsidR="00912985" w:rsidRPr="004678EF" w:rsidRDefault="004678EF" w:rsidP="004678EF">
      <w:pPr>
        <w:autoSpaceDE w:val="0"/>
        <w:autoSpaceDN w:val="0"/>
        <w:adjustRightInd w:val="0"/>
        <w:rPr>
          <w:rFonts w:eastAsiaTheme="minorHAnsi" w:cs="Arial"/>
          <w:iCs/>
          <w:color w:val="000000"/>
          <w:sz w:val="24"/>
          <w:lang w:eastAsia="en-GB"/>
        </w:rPr>
      </w:pPr>
      <w:r w:rsidRPr="004678EF">
        <w:rPr>
          <w:rFonts w:eastAsiaTheme="minorHAnsi" w:cs="Arial"/>
          <w:iCs/>
          <w:color w:val="000000"/>
          <w:sz w:val="24"/>
          <w:lang w:eastAsia="en-GB"/>
        </w:rPr>
        <w:t>Thank you for consulting ONR</w:t>
      </w:r>
      <w:r w:rsidR="0065153D">
        <w:rPr>
          <w:rFonts w:eastAsiaTheme="minorHAnsi" w:cs="Arial"/>
          <w:iCs/>
          <w:color w:val="000000"/>
          <w:sz w:val="24"/>
          <w:lang w:eastAsia="en-GB"/>
        </w:rPr>
        <w:t>.</w:t>
      </w:r>
      <w:r>
        <w:rPr>
          <w:rFonts w:eastAsiaTheme="minorHAnsi" w:cs="Arial"/>
          <w:iCs/>
          <w:color w:val="000000"/>
          <w:sz w:val="24"/>
          <w:lang w:eastAsia="en-GB"/>
        </w:rPr>
        <w:t xml:space="preserve"> </w:t>
      </w:r>
      <w:r w:rsidR="0065153D">
        <w:rPr>
          <w:rFonts w:eastAsiaTheme="minorHAnsi" w:cs="Arial"/>
          <w:iCs/>
          <w:color w:val="000000"/>
          <w:sz w:val="24"/>
          <w:lang w:eastAsia="en-GB"/>
        </w:rPr>
        <w:t xml:space="preserve">We </w:t>
      </w:r>
      <w:r>
        <w:rPr>
          <w:rFonts w:eastAsiaTheme="minorHAnsi" w:cs="Arial"/>
          <w:iCs/>
          <w:color w:val="000000"/>
          <w:sz w:val="24"/>
          <w:lang w:eastAsia="en-GB"/>
        </w:rPr>
        <w:t xml:space="preserve">hope these </w:t>
      </w:r>
      <w:r w:rsidRPr="004678EF">
        <w:rPr>
          <w:rFonts w:eastAsiaTheme="minorHAnsi" w:cs="Arial"/>
          <w:iCs/>
          <w:color w:val="000000"/>
          <w:sz w:val="24"/>
          <w:lang w:eastAsia="en-GB"/>
        </w:rPr>
        <w:t>comments are helpful, and we will be very pleased</w:t>
      </w:r>
      <w:r>
        <w:rPr>
          <w:rFonts w:eastAsiaTheme="minorHAnsi" w:cs="Arial"/>
          <w:iCs/>
          <w:color w:val="000000"/>
          <w:sz w:val="24"/>
          <w:lang w:eastAsia="en-GB"/>
        </w:rPr>
        <w:t xml:space="preserve"> to discuss them with </w:t>
      </w:r>
      <w:r w:rsidR="002B7FAD">
        <w:rPr>
          <w:rFonts w:eastAsiaTheme="minorHAnsi" w:cs="Arial"/>
          <w:iCs/>
          <w:color w:val="000000"/>
          <w:sz w:val="24"/>
          <w:lang w:eastAsia="en-GB"/>
        </w:rPr>
        <w:t>you</w:t>
      </w:r>
      <w:r>
        <w:rPr>
          <w:rFonts w:eastAsiaTheme="minorHAnsi" w:cs="Arial"/>
          <w:iCs/>
          <w:color w:val="000000"/>
          <w:sz w:val="24"/>
          <w:lang w:eastAsia="en-GB"/>
        </w:rPr>
        <w:t xml:space="preserve"> in </w:t>
      </w:r>
      <w:r w:rsidRPr="004678EF">
        <w:rPr>
          <w:rFonts w:eastAsiaTheme="minorHAnsi" w:cs="Arial"/>
          <w:iCs/>
          <w:color w:val="000000"/>
          <w:sz w:val="24"/>
          <w:lang w:eastAsia="en-GB"/>
        </w:rPr>
        <w:t>more detail as necessary.</w:t>
      </w:r>
    </w:p>
    <w:p w14:paraId="3FBE82F6" w14:textId="77777777" w:rsidR="00D32138" w:rsidRDefault="00D32138" w:rsidP="00D32138">
      <w:pPr>
        <w:rPr>
          <w:rFonts w:eastAsiaTheme="minorHAnsi" w:cs="Arial"/>
          <w:sz w:val="24"/>
        </w:rPr>
      </w:pPr>
    </w:p>
    <w:p w14:paraId="3903A323" w14:textId="78F22CB6" w:rsidR="00E94F13" w:rsidRDefault="00E94F13" w:rsidP="004678EF">
      <w:pPr>
        <w:rPr>
          <w:rFonts w:cs="Arial"/>
          <w:sz w:val="24"/>
        </w:rPr>
      </w:pPr>
    </w:p>
    <w:p w14:paraId="2CB0F7B6" w14:textId="77777777" w:rsidR="00E94F13" w:rsidRPr="001F7C5D" w:rsidRDefault="00E94F13" w:rsidP="004678EF">
      <w:pPr>
        <w:rPr>
          <w:rFonts w:cs="Arial"/>
          <w:sz w:val="24"/>
        </w:rPr>
      </w:pPr>
    </w:p>
    <w:p w14:paraId="4FEA17D3" w14:textId="20DA1540" w:rsidR="00912985" w:rsidRDefault="00912985" w:rsidP="00912985">
      <w:pPr>
        <w:rPr>
          <w:rFonts w:cs="Arial"/>
          <w:sz w:val="24"/>
        </w:rPr>
      </w:pPr>
      <w:r w:rsidRPr="001F7C5D">
        <w:rPr>
          <w:rFonts w:cs="Arial"/>
          <w:sz w:val="24"/>
        </w:rPr>
        <w:t>Yours sincerely</w:t>
      </w:r>
    </w:p>
    <w:p w14:paraId="26B47091" w14:textId="08CBF913" w:rsidR="006743A5" w:rsidRDefault="006743A5" w:rsidP="00912985">
      <w:pPr>
        <w:rPr>
          <w:rFonts w:cs="Arial"/>
          <w:sz w:val="24"/>
        </w:rPr>
      </w:pPr>
    </w:p>
    <w:p w14:paraId="6006ACE9" w14:textId="53728D67" w:rsidR="00046A69" w:rsidRPr="00046A69" w:rsidRDefault="00046A69" w:rsidP="00046A69">
      <w:pPr>
        <w:rPr>
          <w:rFonts w:cs="Arial"/>
          <w:b/>
          <w:bCs/>
          <w:sz w:val="24"/>
        </w:rPr>
      </w:pPr>
      <w:r w:rsidRPr="00046A69">
        <w:rPr>
          <w:rFonts w:cs="Arial"/>
          <w:b/>
          <w:bCs/>
          <w:sz w:val="24"/>
        </w:rPr>
        <w:t>Sarah Brown</w:t>
      </w:r>
    </w:p>
    <w:p w14:paraId="7B24401B" w14:textId="77777777" w:rsidR="00046A69" w:rsidRPr="00046A69" w:rsidRDefault="00046A69" w:rsidP="00046A69">
      <w:pPr>
        <w:rPr>
          <w:rFonts w:cs="Arial"/>
          <w:b/>
          <w:bCs/>
          <w:sz w:val="24"/>
        </w:rPr>
      </w:pPr>
      <w:r w:rsidRPr="00046A69">
        <w:rPr>
          <w:rFonts w:cs="Arial"/>
          <w:b/>
          <w:bCs/>
          <w:sz w:val="24"/>
        </w:rPr>
        <w:t>Head of Policy, Policy and Communications Directorate</w:t>
      </w:r>
    </w:p>
    <w:p w14:paraId="0619C646" w14:textId="34BFFBCC" w:rsidR="00696A38" w:rsidRPr="00046A69" w:rsidRDefault="00696A38" w:rsidP="00696A38">
      <w:pPr>
        <w:rPr>
          <w:rFonts w:cs="Arial"/>
          <w:b/>
          <w:bCs/>
          <w:color w:val="006D68"/>
          <w:sz w:val="24"/>
          <w:lang w:eastAsia="en-GB"/>
        </w:rPr>
      </w:pPr>
    </w:p>
    <w:sectPr w:rsidR="00696A38" w:rsidRPr="00046A69" w:rsidSect="00CE52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53" w:right="1138" w:bottom="677" w:left="1584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13B9" w14:textId="77777777" w:rsidR="00BF2ADC" w:rsidRDefault="00BF2ADC">
      <w:r>
        <w:separator/>
      </w:r>
    </w:p>
  </w:endnote>
  <w:endnote w:type="continuationSeparator" w:id="0">
    <w:p w14:paraId="4EC2E39E" w14:textId="77777777" w:rsidR="00BF2ADC" w:rsidRDefault="00BF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079780"/>
      <w:docPartObj>
        <w:docPartGallery w:val="Page Numbers (Bottom of Page)"/>
        <w:docPartUnique/>
      </w:docPartObj>
    </w:sdtPr>
    <w:sdtEndPr/>
    <w:sdtContent>
      <w:sdt>
        <w:sdtPr>
          <w:id w:val="-309871317"/>
          <w:docPartObj>
            <w:docPartGallery w:val="Page Numbers (Top of Page)"/>
            <w:docPartUnique/>
          </w:docPartObj>
        </w:sdtPr>
        <w:sdtEndPr/>
        <w:sdtContent>
          <w:p w14:paraId="4FEA17E1" w14:textId="77777777" w:rsidR="0053356B" w:rsidRPr="00B56CCE" w:rsidRDefault="00912985" w:rsidP="009D71C0">
            <w:pPr>
              <w:pStyle w:val="Footer"/>
              <w:tabs>
                <w:tab w:val="clear" w:pos="4153"/>
                <w:tab w:val="clear" w:pos="8306"/>
                <w:tab w:val="right" w:pos="9214"/>
              </w:tabs>
              <w:rPr>
                <w:b/>
                <w:color w:val="006D68"/>
                <w:sz w:val="14"/>
                <w:szCs w:val="14"/>
              </w:rPr>
            </w:pPr>
            <w:r w:rsidRPr="00B56CCE">
              <w:rPr>
                <w:color w:val="006D68"/>
                <w:sz w:val="14"/>
                <w:szCs w:val="14"/>
              </w:rPr>
              <w:t>Office for Nuclear Regulation</w:t>
            </w:r>
            <w:r w:rsidRPr="00B56CCE">
              <w:rPr>
                <w:color w:val="006D68"/>
                <w:sz w:val="14"/>
                <w:szCs w:val="14"/>
              </w:rPr>
              <w:tab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Page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PAGE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930D5E">
              <w:rPr>
                <w:b/>
                <w:noProof/>
                <w:color w:val="006D68"/>
                <w:sz w:val="14"/>
                <w:szCs w:val="14"/>
              </w:rPr>
              <w:t>2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 of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NUMPAGES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930D5E">
              <w:rPr>
                <w:b/>
                <w:noProof/>
                <w:color w:val="006D68"/>
                <w:sz w:val="14"/>
                <w:szCs w:val="14"/>
              </w:rPr>
              <w:t>2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</w:p>
          <w:p w14:paraId="4FEA17E2" w14:textId="77777777" w:rsidR="0053356B" w:rsidRDefault="0053356B" w:rsidP="009D71C0">
            <w:pPr>
              <w:pStyle w:val="Footer"/>
              <w:jc w:val="center"/>
            </w:pPr>
          </w:p>
          <w:p w14:paraId="4FEA17E3" w14:textId="77777777" w:rsidR="0053356B" w:rsidRDefault="002260B8" w:rsidP="00825538">
            <w:pPr>
              <w:pStyle w:val="Footer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600855"/>
      <w:docPartObj>
        <w:docPartGallery w:val="Page Numbers (Bottom of Page)"/>
        <w:docPartUnique/>
      </w:docPartObj>
    </w:sdtPr>
    <w:sdtEndPr/>
    <w:sdtContent>
      <w:sdt>
        <w:sdtPr>
          <w:id w:val="1575542659"/>
          <w:docPartObj>
            <w:docPartGallery w:val="Page Numbers (Top of Page)"/>
            <w:docPartUnique/>
          </w:docPartObj>
        </w:sdtPr>
        <w:sdtEndPr/>
        <w:sdtContent>
          <w:p w14:paraId="4FEA17E7" w14:textId="77777777" w:rsidR="0053356B" w:rsidRPr="00B56CCE" w:rsidRDefault="00912985" w:rsidP="005D6429">
            <w:pPr>
              <w:pStyle w:val="Footer"/>
              <w:tabs>
                <w:tab w:val="clear" w:pos="4153"/>
                <w:tab w:val="clear" w:pos="8306"/>
                <w:tab w:val="right" w:pos="9214"/>
              </w:tabs>
              <w:rPr>
                <w:b/>
                <w:color w:val="006D68"/>
                <w:sz w:val="14"/>
                <w:szCs w:val="14"/>
              </w:rPr>
            </w:pPr>
            <w:r w:rsidRPr="00B56CCE">
              <w:rPr>
                <w:color w:val="006D68"/>
                <w:sz w:val="14"/>
                <w:szCs w:val="14"/>
              </w:rPr>
              <w:t>Office for Nuclear Regulation</w:t>
            </w:r>
            <w:r w:rsidRPr="00B56CCE">
              <w:rPr>
                <w:color w:val="006D68"/>
                <w:sz w:val="14"/>
                <w:szCs w:val="14"/>
              </w:rPr>
              <w:tab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Page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PAGE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EA1355">
              <w:rPr>
                <w:b/>
                <w:noProof/>
                <w:color w:val="006D68"/>
                <w:sz w:val="14"/>
                <w:szCs w:val="14"/>
              </w:rPr>
              <w:t>1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 of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NUMPAGES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EA1355">
              <w:rPr>
                <w:b/>
                <w:noProof/>
                <w:color w:val="006D68"/>
                <w:sz w:val="14"/>
                <w:szCs w:val="14"/>
              </w:rPr>
              <w:t>2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</w:p>
          <w:p w14:paraId="4FEA17E8" w14:textId="77777777" w:rsidR="0053356B" w:rsidRDefault="002260B8" w:rsidP="00825538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7B9D" w14:textId="77777777" w:rsidR="00BF2ADC" w:rsidRDefault="00BF2ADC">
      <w:r>
        <w:separator/>
      </w:r>
    </w:p>
  </w:footnote>
  <w:footnote w:type="continuationSeparator" w:id="0">
    <w:p w14:paraId="7F2FEE07" w14:textId="77777777" w:rsidR="00BF2ADC" w:rsidRDefault="00BF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17DE" w14:textId="77777777" w:rsidR="0053356B" w:rsidRDefault="0053356B">
    <w:pPr>
      <w:pStyle w:val="Header"/>
    </w:pPr>
  </w:p>
  <w:p w14:paraId="4FEA17DF" w14:textId="77777777" w:rsidR="0053356B" w:rsidRDefault="0053356B" w:rsidP="00A50304">
    <w:pPr>
      <w:pStyle w:val="Header"/>
      <w:jc w:val="center"/>
      <w:rPr>
        <w:b/>
        <w:color w:val="006D68"/>
        <w:sz w:val="24"/>
        <w:szCs w:val="14"/>
      </w:rPr>
    </w:pPr>
  </w:p>
  <w:p w14:paraId="4FEA17E0" w14:textId="77777777" w:rsidR="0053356B" w:rsidRDefault="0053356B" w:rsidP="00A503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17E4" w14:textId="77777777" w:rsidR="0053356B" w:rsidRDefault="00A83C4F" w:rsidP="00A83C4F">
    <w:pPr>
      <w:pStyle w:val="Header"/>
      <w:rPr>
        <w:b/>
        <w:color w:val="006D68"/>
        <w:sz w:val="2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EA17E9" wp14:editId="4FEA17EA">
          <wp:simplePos x="0" y="0"/>
          <wp:positionH relativeFrom="page">
            <wp:posOffset>435254</wp:posOffset>
          </wp:positionH>
          <wp:positionV relativeFrom="page">
            <wp:posOffset>543128</wp:posOffset>
          </wp:positionV>
          <wp:extent cx="2895600" cy="638175"/>
          <wp:effectExtent l="0" t="0" r="0" b="9525"/>
          <wp:wrapNone/>
          <wp:docPr id="5" name="Picture 5" descr="ONRlogoA4col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NRlogoA4col_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04" t="22215" r="7504" b="22215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A17E5" w14:textId="77777777" w:rsidR="0053356B" w:rsidRDefault="0053356B" w:rsidP="006C01EB">
    <w:pPr>
      <w:pStyle w:val="Header"/>
      <w:jc w:val="center"/>
      <w:rPr>
        <w:b/>
        <w:color w:val="006D68"/>
        <w:sz w:val="24"/>
        <w:szCs w:val="14"/>
      </w:rPr>
    </w:pPr>
  </w:p>
  <w:p w14:paraId="4FEA17E6" w14:textId="77777777" w:rsidR="0053356B" w:rsidRDefault="00533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8AB"/>
    <w:multiLevelType w:val="hybridMultilevel"/>
    <w:tmpl w:val="9620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2A03"/>
    <w:multiLevelType w:val="hybridMultilevel"/>
    <w:tmpl w:val="F6C0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27A1C"/>
    <w:multiLevelType w:val="hybridMultilevel"/>
    <w:tmpl w:val="896C6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73382">
    <w:abstractNumId w:val="2"/>
  </w:num>
  <w:num w:numId="2" w16cid:durableId="706370673">
    <w:abstractNumId w:val="0"/>
  </w:num>
  <w:num w:numId="3" w16cid:durableId="191693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5"/>
    <w:rsid w:val="00003323"/>
    <w:rsid w:val="00015F01"/>
    <w:rsid w:val="0004278C"/>
    <w:rsid w:val="00042F93"/>
    <w:rsid w:val="00046A69"/>
    <w:rsid w:val="00056B43"/>
    <w:rsid w:val="00063127"/>
    <w:rsid w:val="00063A36"/>
    <w:rsid w:val="00092D5B"/>
    <w:rsid w:val="00093658"/>
    <w:rsid w:val="000A0467"/>
    <w:rsid w:val="000B176F"/>
    <w:rsid w:val="000B57D5"/>
    <w:rsid w:val="000C7783"/>
    <w:rsid w:val="000D5165"/>
    <w:rsid w:val="000E2580"/>
    <w:rsid w:val="000E7D44"/>
    <w:rsid w:val="001037D1"/>
    <w:rsid w:val="00127852"/>
    <w:rsid w:val="0012799E"/>
    <w:rsid w:val="00164D3E"/>
    <w:rsid w:val="0017059F"/>
    <w:rsid w:val="00190266"/>
    <w:rsid w:val="001B0F35"/>
    <w:rsid w:val="001C7F5A"/>
    <w:rsid w:val="001F7C5D"/>
    <w:rsid w:val="00213043"/>
    <w:rsid w:val="00225BBA"/>
    <w:rsid w:val="002260B8"/>
    <w:rsid w:val="00262152"/>
    <w:rsid w:val="00290DA2"/>
    <w:rsid w:val="002B7E2D"/>
    <w:rsid w:val="002B7FAD"/>
    <w:rsid w:val="002E4AFE"/>
    <w:rsid w:val="002F1FBB"/>
    <w:rsid w:val="00302CE1"/>
    <w:rsid w:val="00356C30"/>
    <w:rsid w:val="00360CA1"/>
    <w:rsid w:val="00370A88"/>
    <w:rsid w:val="003D2CE5"/>
    <w:rsid w:val="003D61C7"/>
    <w:rsid w:val="003F382F"/>
    <w:rsid w:val="004218C3"/>
    <w:rsid w:val="00427627"/>
    <w:rsid w:val="00435907"/>
    <w:rsid w:val="00444256"/>
    <w:rsid w:val="004678EF"/>
    <w:rsid w:val="00467FBD"/>
    <w:rsid w:val="004715DA"/>
    <w:rsid w:val="004D3570"/>
    <w:rsid w:val="0053356B"/>
    <w:rsid w:val="005529F1"/>
    <w:rsid w:val="005814C6"/>
    <w:rsid w:val="005974B6"/>
    <w:rsid w:val="005E53B1"/>
    <w:rsid w:val="005E62D5"/>
    <w:rsid w:val="005F104E"/>
    <w:rsid w:val="00610A2D"/>
    <w:rsid w:val="00636425"/>
    <w:rsid w:val="00636B96"/>
    <w:rsid w:val="0065153D"/>
    <w:rsid w:val="0066330D"/>
    <w:rsid w:val="006743A5"/>
    <w:rsid w:val="00693C23"/>
    <w:rsid w:val="00696A38"/>
    <w:rsid w:val="006A44E5"/>
    <w:rsid w:val="006B6791"/>
    <w:rsid w:val="00736688"/>
    <w:rsid w:val="007567AD"/>
    <w:rsid w:val="007965F2"/>
    <w:rsid w:val="007A6F12"/>
    <w:rsid w:val="007A79F4"/>
    <w:rsid w:val="00856D3C"/>
    <w:rsid w:val="00874369"/>
    <w:rsid w:val="00875E6F"/>
    <w:rsid w:val="008B6E99"/>
    <w:rsid w:val="008C1635"/>
    <w:rsid w:val="00901952"/>
    <w:rsid w:val="00910F4A"/>
    <w:rsid w:val="00912985"/>
    <w:rsid w:val="00925326"/>
    <w:rsid w:val="00926BA0"/>
    <w:rsid w:val="00930CDF"/>
    <w:rsid w:val="00930D5E"/>
    <w:rsid w:val="0096200B"/>
    <w:rsid w:val="00996ED9"/>
    <w:rsid w:val="009A0771"/>
    <w:rsid w:val="009A1571"/>
    <w:rsid w:val="009C6FE9"/>
    <w:rsid w:val="009D6819"/>
    <w:rsid w:val="009E3FDD"/>
    <w:rsid w:val="009F52A2"/>
    <w:rsid w:val="009F655D"/>
    <w:rsid w:val="00A05F15"/>
    <w:rsid w:val="00A252F4"/>
    <w:rsid w:val="00A25B0D"/>
    <w:rsid w:val="00A279CA"/>
    <w:rsid w:val="00A303C6"/>
    <w:rsid w:val="00A36A16"/>
    <w:rsid w:val="00A7134A"/>
    <w:rsid w:val="00A716A9"/>
    <w:rsid w:val="00A81620"/>
    <w:rsid w:val="00A83C4F"/>
    <w:rsid w:val="00AA5880"/>
    <w:rsid w:val="00AB2220"/>
    <w:rsid w:val="00AC419F"/>
    <w:rsid w:val="00B05F40"/>
    <w:rsid w:val="00B237E3"/>
    <w:rsid w:val="00B27FE4"/>
    <w:rsid w:val="00B344C2"/>
    <w:rsid w:val="00B41104"/>
    <w:rsid w:val="00B45EFD"/>
    <w:rsid w:val="00B60188"/>
    <w:rsid w:val="00BF0D0A"/>
    <w:rsid w:val="00BF2ADC"/>
    <w:rsid w:val="00C00A8E"/>
    <w:rsid w:val="00C04474"/>
    <w:rsid w:val="00C11860"/>
    <w:rsid w:val="00C4428E"/>
    <w:rsid w:val="00C52A35"/>
    <w:rsid w:val="00C52CC6"/>
    <w:rsid w:val="00C7136F"/>
    <w:rsid w:val="00C7785F"/>
    <w:rsid w:val="00CB7162"/>
    <w:rsid w:val="00CD4384"/>
    <w:rsid w:val="00CD4637"/>
    <w:rsid w:val="00CF478A"/>
    <w:rsid w:val="00CF493D"/>
    <w:rsid w:val="00CF4AF9"/>
    <w:rsid w:val="00D32138"/>
    <w:rsid w:val="00D71502"/>
    <w:rsid w:val="00D760F0"/>
    <w:rsid w:val="00D84F65"/>
    <w:rsid w:val="00DA5E09"/>
    <w:rsid w:val="00DB0D5D"/>
    <w:rsid w:val="00E10DF6"/>
    <w:rsid w:val="00E20DBB"/>
    <w:rsid w:val="00E30273"/>
    <w:rsid w:val="00E363DE"/>
    <w:rsid w:val="00E67D28"/>
    <w:rsid w:val="00E94F13"/>
    <w:rsid w:val="00E95805"/>
    <w:rsid w:val="00EA1355"/>
    <w:rsid w:val="00F01879"/>
    <w:rsid w:val="00F26087"/>
    <w:rsid w:val="00F53F4E"/>
    <w:rsid w:val="00F640DC"/>
    <w:rsid w:val="00FA714C"/>
    <w:rsid w:val="00FB172C"/>
    <w:rsid w:val="00FB6731"/>
    <w:rsid w:val="00FD41CD"/>
    <w:rsid w:val="00FE2FD5"/>
    <w:rsid w:val="00FE40AA"/>
    <w:rsid w:val="00FE7CFF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179E"/>
  <w15:docId w15:val="{0710EB2C-F72E-405C-B8C1-CA3B4567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8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link w:val="Heading2Char"/>
    <w:uiPriority w:val="9"/>
    <w:qFormat/>
    <w:rsid w:val="00F640D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1298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912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985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rsid w:val="0091298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12985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12985"/>
    <w:rPr>
      <w:rFonts w:ascii="Calibri" w:eastAsia="Times New Roman" w:hAnsi="Calibri" w:cs="Times New Roman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0D5165"/>
    <w:pPr>
      <w:autoSpaceDE w:val="0"/>
      <w:autoSpaceDN w:val="0"/>
    </w:pPr>
    <w:rPr>
      <w:rFonts w:eastAsiaTheme="minorHAnsi" w:cs="Arial"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760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0A2D"/>
    <w:rPr>
      <w:color w:val="605E5C"/>
      <w:shd w:val="clear" w:color="auto" w:fill="E1DFDD"/>
    </w:rPr>
  </w:style>
  <w:style w:type="paragraph" w:customStyle="1" w:styleId="gmail-paragraph">
    <w:name w:val="gmail-paragraph"/>
    <w:basedOn w:val="Normal"/>
    <w:rsid w:val="009D681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gmail-normaltextrun">
    <w:name w:val="gmail-normaltextrun"/>
    <w:basedOn w:val="DefaultParagraphFont"/>
    <w:rsid w:val="009D6819"/>
  </w:style>
  <w:style w:type="character" w:customStyle="1" w:styleId="gmail-eop">
    <w:name w:val="gmail-eop"/>
    <w:basedOn w:val="DefaultParagraphFont"/>
    <w:rsid w:val="009D6819"/>
  </w:style>
  <w:style w:type="character" w:customStyle="1" w:styleId="Heading2Char">
    <w:name w:val="Heading 2 Char"/>
    <w:basedOn w:val="DefaultParagraphFont"/>
    <w:link w:val="Heading2"/>
    <w:uiPriority w:val="9"/>
    <w:rsid w:val="00F640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0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C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0CD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CD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F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743A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onr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Bconsultation@energysecurity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Olivia Croucher</cp:lastModifiedBy>
  <cp:revision>2</cp:revision>
  <cp:lastPrinted>2019-10-08T12:03:00Z</cp:lastPrinted>
  <dcterms:created xsi:type="dcterms:W3CDTF">2024-01-30T09:55:00Z</dcterms:created>
  <dcterms:modified xsi:type="dcterms:W3CDTF">2024-01-30T09:55:00Z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2024-01-26T09:19:22Z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ab541faa-d1af-47e3-b657-4a48017f8c00</vt:lpwstr>
  </property>
  <property fmtid="{D5CDD505-2E9C-101B-9397-08002B2CF9AE}" pid="8" name="MSIP_Label_9e5e003a-90eb-47c9-a506-ad47e7a0b281_ContentBits">
    <vt:lpwstr>0</vt:lpwstr>
  </property>
</Properties>
</file>