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627D12" w14:paraId="4573E01E" w14:textId="77777777" w:rsidTr="0048438C">
        <w:trPr>
          <w:trHeight w:val="211"/>
        </w:trPr>
        <w:tc>
          <w:tcPr>
            <w:tcW w:w="9897" w:type="dxa"/>
            <w:gridSpan w:val="2"/>
            <w:vAlign w:val="center"/>
          </w:tcPr>
          <w:p w14:paraId="4573E01D" w14:textId="2825D1DF" w:rsidR="00220466" w:rsidRPr="00627D12" w:rsidRDefault="0048438C" w:rsidP="0048438C">
            <w:pPr>
              <w:jc w:val="center"/>
              <w:rPr>
                <w:b/>
                <w:sz w:val="28"/>
                <w:szCs w:val="28"/>
              </w:rPr>
            </w:pPr>
            <w:r>
              <w:rPr>
                <w:b/>
                <w:sz w:val="28"/>
                <w:szCs w:val="28"/>
              </w:rPr>
              <w:t>GDA Regulatory Observation</w:t>
            </w:r>
          </w:p>
        </w:tc>
      </w:tr>
      <w:tr w:rsidR="00220466" w:rsidRPr="0048438C" w14:paraId="4573E020" w14:textId="77777777" w:rsidTr="0048438C">
        <w:trPr>
          <w:trHeight w:val="202"/>
        </w:trPr>
        <w:tc>
          <w:tcPr>
            <w:tcW w:w="9897" w:type="dxa"/>
            <w:gridSpan w:val="2"/>
            <w:shd w:val="clear" w:color="auto" w:fill="D9D9D9" w:themeFill="background1" w:themeFillShade="D9"/>
          </w:tcPr>
          <w:p w14:paraId="4573E01F" w14:textId="77777777" w:rsidR="00220466" w:rsidRPr="0048438C" w:rsidRDefault="00220466" w:rsidP="0048438C">
            <w:pPr>
              <w:spacing w:before="60" w:after="60"/>
              <w:jc w:val="center"/>
              <w:rPr>
                <w:b/>
                <w:szCs w:val="24"/>
              </w:rPr>
            </w:pPr>
            <w:r w:rsidRPr="0048438C">
              <w:rPr>
                <w:b/>
                <w:szCs w:val="24"/>
              </w:rPr>
              <w:t>REGULATOR TO COMPLETE</w:t>
            </w:r>
          </w:p>
        </w:tc>
      </w:tr>
      <w:tr w:rsidR="00220466" w:rsidRPr="0048438C" w14:paraId="4573E023" w14:textId="77777777" w:rsidTr="009459D7">
        <w:trPr>
          <w:trHeight w:val="202"/>
        </w:trPr>
        <w:tc>
          <w:tcPr>
            <w:tcW w:w="4948" w:type="dxa"/>
          </w:tcPr>
          <w:p w14:paraId="4573E021" w14:textId="77777777" w:rsidR="00220466" w:rsidRPr="0048438C" w:rsidRDefault="00C34CBC" w:rsidP="0048438C">
            <w:pPr>
              <w:spacing w:before="60" w:after="60"/>
              <w:rPr>
                <w:b/>
                <w:szCs w:val="24"/>
              </w:rPr>
            </w:pPr>
            <w:r w:rsidRPr="0048438C">
              <w:rPr>
                <w:b/>
                <w:szCs w:val="24"/>
              </w:rPr>
              <w:t>RO</w:t>
            </w:r>
            <w:r w:rsidR="00220466" w:rsidRPr="0048438C">
              <w:rPr>
                <w:b/>
                <w:szCs w:val="24"/>
              </w:rPr>
              <w:t xml:space="preserve"> unique no.:</w:t>
            </w:r>
          </w:p>
        </w:tc>
        <w:tc>
          <w:tcPr>
            <w:tcW w:w="4949" w:type="dxa"/>
          </w:tcPr>
          <w:p w14:paraId="4573E022" w14:textId="009B8D11" w:rsidR="00220466" w:rsidRPr="0048438C" w:rsidRDefault="00684E8C" w:rsidP="0048438C">
            <w:pPr>
              <w:spacing w:before="60" w:after="60"/>
              <w:rPr>
                <w:szCs w:val="24"/>
              </w:rPr>
            </w:pPr>
            <w:r w:rsidRPr="0048438C">
              <w:rPr>
                <w:szCs w:val="24"/>
              </w:rPr>
              <w:t>R</w:t>
            </w:r>
            <w:r w:rsidR="00F31805">
              <w:rPr>
                <w:szCs w:val="24"/>
              </w:rPr>
              <w:t>O</w:t>
            </w:r>
            <w:r w:rsidRPr="0048438C">
              <w:rPr>
                <w:szCs w:val="24"/>
              </w:rPr>
              <w:t>-</w:t>
            </w:r>
            <w:r w:rsidR="00AB1EA2">
              <w:rPr>
                <w:szCs w:val="24"/>
              </w:rPr>
              <w:t>H</w:t>
            </w:r>
            <w:r w:rsidR="00381F42">
              <w:rPr>
                <w:szCs w:val="24"/>
              </w:rPr>
              <w:t>OLTEC</w:t>
            </w:r>
            <w:r w:rsidR="0032528A">
              <w:rPr>
                <w:szCs w:val="24"/>
              </w:rPr>
              <w:t>SMR300</w:t>
            </w:r>
            <w:r w:rsidR="00381F42">
              <w:rPr>
                <w:szCs w:val="24"/>
              </w:rPr>
              <w:t>-0</w:t>
            </w:r>
            <w:r w:rsidR="005346B2">
              <w:rPr>
                <w:szCs w:val="24"/>
              </w:rPr>
              <w:t>13</w:t>
            </w:r>
          </w:p>
        </w:tc>
      </w:tr>
      <w:tr w:rsidR="00220466" w:rsidRPr="0048438C" w14:paraId="4573E026" w14:textId="77777777" w:rsidTr="009459D7">
        <w:trPr>
          <w:trHeight w:val="202"/>
        </w:trPr>
        <w:tc>
          <w:tcPr>
            <w:tcW w:w="4948" w:type="dxa"/>
          </w:tcPr>
          <w:p w14:paraId="4573E024" w14:textId="61F5DE6D" w:rsidR="00220466" w:rsidRPr="0048438C" w:rsidRDefault="00850471" w:rsidP="0048438C">
            <w:pPr>
              <w:spacing w:before="60" w:after="60"/>
              <w:rPr>
                <w:b/>
                <w:szCs w:val="24"/>
              </w:rPr>
            </w:pPr>
            <w:r w:rsidRPr="0048438C">
              <w:rPr>
                <w:b/>
                <w:szCs w:val="24"/>
              </w:rPr>
              <w:t>Revision:</w:t>
            </w:r>
          </w:p>
        </w:tc>
        <w:tc>
          <w:tcPr>
            <w:tcW w:w="4949" w:type="dxa"/>
          </w:tcPr>
          <w:p w14:paraId="4573E025" w14:textId="607B2FBC" w:rsidR="00220466" w:rsidRPr="0048438C" w:rsidRDefault="00F11DE4" w:rsidP="0048438C">
            <w:pPr>
              <w:spacing w:before="60" w:after="60"/>
              <w:rPr>
                <w:szCs w:val="24"/>
              </w:rPr>
            </w:pPr>
            <w:r>
              <w:rPr>
                <w:szCs w:val="24"/>
              </w:rPr>
              <w:t>1</w:t>
            </w:r>
          </w:p>
        </w:tc>
      </w:tr>
      <w:tr w:rsidR="00850471" w:rsidRPr="0048438C" w14:paraId="3FF001D1" w14:textId="77777777" w:rsidTr="009459D7">
        <w:trPr>
          <w:trHeight w:val="202"/>
        </w:trPr>
        <w:tc>
          <w:tcPr>
            <w:tcW w:w="4948" w:type="dxa"/>
          </w:tcPr>
          <w:p w14:paraId="20FBBDA3" w14:textId="34CA6CCC" w:rsidR="00850471" w:rsidRPr="0048438C" w:rsidRDefault="00850471" w:rsidP="0048438C">
            <w:pPr>
              <w:spacing w:before="60" w:after="60"/>
              <w:rPr>
                <w:b/>
                <w:szCs w:val="24"/>
              </w:rPr>
            </w:pPr>
            <w:r w:rsidRPr="0048438C">
              <w:rPr>
                <w:b/>
                <w:szCs w:val="24"/>
              </w:rPr>
              <w:t>Date sent:</w:t>
            </w:r>
          </w:p>
        </w:tc>
        <w:tc>
          <w:tcPr>
            <w:tcW w:w="4949" w:type="dxa"/>
          </w:tcPr>
          <w:p w14:paraId="74A6D96C" w14:textId="2708D43C" w:rsidR="00850471" w:rsidRPr="0048438C" w:rsidRDefault="00895EBA" w:rsidP="0048438C">
            <w:pPr>
              <w:spacing w:before="60" w:after="60"/>
              <w:rPr>
                <w:szCs w:val="24"/>
                <w:highlight w:val="yellow"/>
              </w:rPr>
            </w:pPr>
            <w:r>
              <w:rPr>
                <w:szCs w:val="24"/>
              </w:rPr>
              <w:t>1</w:t>
            </w:r>
            <w:r w:rsidR="0003299E">
              <w:rPr>
                <w:szCs w:val="24"/>
              </w:rPr>
              <w:t>5</w:t>
            </w:r>
            <w:r w:rsidR="00031108" w:rsidRPr="006716B5">
              <w:rPr>
                <w:szCs w:val="24"/>
              </w:rPr>
              <w:t>/</w:t>
            </w:r>
            <w:r>
              <w:rPr>
                <w:szCs w:val="24"/>
              </w:rPr>
              <w:t>10</w:t>
            </w:r>
            <w:r w:rsidR="00031108" w:rsidRPr="006716B5">
              <w:rPr>
                <w:szCs w:val="24"/>
              </w:rPr>
              <w:t>/2025</w:t>
            </w:r>
          </w:p>
        </w:tc>
      </w:tr>
      <w:tr w:rsidR="00220466" w:rsidRPr="0048438C" w14:paraId="4573E029" w14:textId="77777777" w:rsidTr="009459D7">
        <w:trPr>
          <w:trHeight w:val="211"/>
        </w:trPr>
        <w:tc>
          <w:tcPr>
            <w:tcW w:w="4948" w:type="dxa"/>
          </w:tcPr>
          <w:p w14:paraId="4573E027" w14:textId="77777777" w:rsidR="00220466" w:rsidRPr="0048438C" w:rsidRDefault="00220466" w:rsidP="0048438C">
            <w:pPr>
              <w:spacing w:before="60" w:after="60"/>
              <w:rPr>
                <w:b/>
                <w:szCs w:val="24"/>
              </w:rPr>
            </w:pPr>
            <w:r w:rsidRPr="0048438C">
              <w:rPr>
                <w:b/>
                <w:szCs w:val="24"/>
              </w:rPr>
              <w:t>Acknowledgement required by:</w:t>
            </w:r>
          </w:p>
        </w:tc>
        <w:tc>
          <w:tcPr>
            <w:tcW w:w="4949" w:type="dxa"/>
          </w:tcPr>
          <w:p w14:paraId="4573E028" w14:textId="2A0420C0" w:rsidR="00220466" w:rsidRPr="0048438C" w:rsidRDefault="00055187" w:rsidP="0048438C">
            <w:pPr>
              <w:spacing w:before="60" w:after="60"/>
              <w:rPr>
                <w:szCs w:val="24"/>
              </w:rPr>
            </w:pPr>
            <w:r>
              <w:rPr>
                <w:szCs w:val="24"/>
              </w:rPr>
              <w:t>2</w:t>
            </w:r>
            <w:r w:rsidR="0003299E">
              <w:rPr>
                <w:szCs w:val="24"/>
              </w:rPr>
              <w:t>2</w:t>
            </w:r>
            <w:r w:rsidR="006716B5" w:rsidRPr="006716B5">
              <w:rPr>
                <w:szCs w:val="24"/>
              </w:rPr>
              <w:t>/</w:t>
            </w:r>
            <w:r>
              <w:rPr>
                <w:szCs w:val="24"/>
              </w:rPr>
              <w:t>10</w:t>
            </w:r>
            <w:r w:rsidR="006716B5" w:rsidRPr="006716B5">
              <w:rPr>
                <w:szCs w:val="24"/>
              </w:rPr>
              <w:t>/2025</w:t>
            </w:r>
            <w:r w:rsidR="00850471" w:rsidRPr="006716B5">
              <w:rPr>
                <w:szCs w:val="24"/>
              </w:rPr>
              <w:t xml:space="preserve"> </w:t>
            </w:r>
          </w:p>
        </w:tc>
      </w:tr>
      <w:tr w:rsidR="00220466" w:rsidRPr="0048438C" w14:paraId="4573E02C" w14:textId="77777777" w:rsidTr="009459D7">
        <w:trPr>
          <w:trHeight w:val="202"/>
        </w:trPr>
        <w:tc>
          <w:tcPr>
            <w:tcW w:w="4948" w:type="dxa"/>
          </w:tcPr>
          <w:p w14:paraId="4573E02A" w14:textId="2C90C52D" w:rsidR="00220466" w:rsidRPr="0048438C" w:rsidRDefault="00C34CBC" w:rsidP="0048438C">
            <w:pPr>
              <w:spacing w:before="60" w:after="60"/>
              <w:rPr>
                <w:b/>
                <w:szCs w:val="24"/>
              </w:rPr>
            </w:pPr>
            <w:r w:rsidRPr="0048438C">
              <w:rPr>
                <w:b/>
                <w:szCs w:val="24"/>
              </w:rPr>
              <w:t xml:space="preserve">Resolution Plan </w:t>
            </w:r>
            <w:r w:rsidR="0000781D" w:rsidRPr="0048438C">
              <w:rPr>
                <w:b/>
                <w:szCs w:val="24"/>
              </w:rPr>
              <w:t xml:space="preserve">Agreement </w:t>
            </w:r>
            <w:r w:rsidRPr="0048438C">
              <w:rPr>
                <w:b/>
                <w:szCs w:val="24"/>
              </w:rPr>
              <w:t>Required by</w:t>
            </w:r>
            <w:r w:rsidR="00220466" w:rsidRPr="0048438C">
              <w:rPr>
                <w:b/>
                <w:szCs w:val="24"/>
              </w:rPr>
              <w:t>:</w:t>
            </w:r>
          </w:p>
        </w:tc>
        <w:tc>
          <w:tcPr>
            <w:tcW w:w="4949" w:type="dxa"/>
          </w:tcPr>
          <w:p w14:paraId="4573E02B" w14:textId="7028CBC2" w:rsidR="0000781D" w:rsidRPr="0048438C" w:rsidRDefault="0096584C" w:rsidP="0048438C">
            <w:pPr>
              <w:spacing w:before="60" w:after="60"/>
              <w:rPr>
                <w:szCs w:val="24"/>
                <w:highlight w:val="yellow"/>
              </w:rPr>
            </w:pPr>
            <w:r>
              <w:rPr>
                <w:szCs w:val="24"/>
              </w:rPr>
              <w:t>2</w:t>
            </w:r>
            <w:r w:rsidR="0003299E">
              <w:rPr>
                <w:szCs w:val="24"/>
              </w:rPr>
              <w:t>9</w:t>
            </w:r>
            <w:r w:rsidR="00850471" w:rsidRPr="003971BE">
              <w:rPr>
                <w:szCs w:val="24"/>
              </w:rPr>
              <w:t>/</w:t>
            </w:r>
            <w:r w:rsidR="004B4CAC" w:rsidRPr="003971BE">
              <w:rPr>
                <w:szCs w:val="24"/>
              </w:rPr>
              <w:t>10</w:t>
            </w:r>
            <w:r w:rsidR="00850471" w:rsidRPr="003971BE">
              <w:rPr>
                <w:szCs w:val="24"/>
              </w:rPr>
              <w:t>/</w:t>
            </w:r>
            <w:r w:rsidR="00A95569" w:rsidRPr="003971BE">
              <w:rPr>
                <w:szCs w:val="24"/>
              </w:rPr>
              <w:t>202</w:t>
            </w:r>
            <w:r w:rsidR="004B4CAC" w:rsidRPr="003971BE">
              <w:rPr>
                <w:szCs w:val="24"/>
              </w:rPr>
              <w:t>5</w:t>
            </w:r>
          </w:p>
        </w:tc>
      </w:tr>
      <w:tr w:rsidR="00220466" w:rsidRPr="0048438C" w14:paraId="4573E032" w14:textId="77777777" w:rsidTr="009459D7">
        <w:trPr>
          <w:trHeight w:val="168"/>
        </w:trPr>
        <w:tc>
          <w:tcPr>
            <w:tcW w:w="4948" w:type="dxa"/>
          </w:tcPr>
          <w:p w14:paraId="4573E030" w14:textId="641F0447" w:rsidR="00220466" w:rsidRPr="0048438C" w:rsidRDefault="00867341" w:rsidP="0048438C">
            <w:pPr>
              <w:spacing w:before="60" w:after="60"/>
              <w:rPr>
                <w:b/>
                <w:szCs w:val="24"/>
              </w:rPr>
            </w:pPr>
            <w:r>
              <w:rPr>
                <w:b/>
                <w:szCs w:val="24"/>
              </w:rPr>
              <w:t>Record Reference</w:t>
            </w:r>
            <w:r w:rsidR="00494EE4" w:rsidRPr="0048438C">
              <w:rPr>
                <w:b/>
                <w:szCs w:val="24"/>
              </w:rPr>
              <w:t>:</w:t>
            </w:r>
          </w:p>
        </w:tc>
        <w:tc>
          <w:tcPr>
            <w:tcW w:w="4949" w:type="dxa"/>
          </w:tcPr>
          <w:p w14:paraId="4573E031" w14:textId="444E5E3E" w:rsidR="00220466" w:rsidRPr="0048438C" w:rsidRDefault="004B4CAC" w:rsidP="0048438C">
            <w:pPr>
              <w:spacing w:before="60" w:after="60"/>
              <w:rPr>
                <w:szCs w:val="24"/>
              </w:rPr>
            </w:pPr>
            <w:r>
              <w:rPr>
                <w:szCs w:val="24"/>
              </w:rPr>
              <w:t>AR-</w:t>
            </w:r>
            <w:r w:rsidR="00AD2990">
              <w:rPr>
                <w:szCs w:val="24"/>
              </w:rPr>
              <w:t>01786</w:t>
            </w:r>
          </w:p>
        </w:tc>
      </w:tr>
      <w:tr w:rsidR="0040443F" w:rsidRPr="0048438C" w14:paraId="4573E035" w14:textId="77777777" w:rsidTr="009459D7">
        <w:trPr>
          <w:trHeight w:val="202"/>
        </w:trPr>
        <w:tc>
          <w:tcPr>
            <w:tcW w:w="4948" w:type="dxa"/>
          </w:tcPr>
          <w:p w14:paraId="4573E033" w14:textId="26F0FB88" w:rsidR="0040443F" w:rsidRPr="0048438C" w:rsidRDefault="0040443F" w:rsidP="0040443F">
            <w:pPr>
              <w:spacing w:before="60" w:after="60"/>
              <w:rPr>
                <w:b/>
                <w:szCs w:val="24"/>
              </w:rPr>
            </w:pPr>
            <w:r w:rsidRPr="0048438C">
              <w:rPr>
                <w:b/>
                <w:szCs w:val="24"/>
              </w:rPr>
              <w:t>Related RQ / RO No. and CM9 Ref:</w:t>
            </w:r>
            <w:r w:rsidRPr="0048438C">
              <w:rPr>
                <w:szCs w:val="24"/>
              </w:rPr>
              <w:t xml:space="preserve"> (if any)</w:t>
            </w:r>
            <w:r w:rsidRPr="0048438C">
              <w:rPr>
                <w:b/>
                <w:szCs w:val="24"/>
              </w:rPr>
              <w:t>:</w:t>
            </w:r>
          </w:p>
        </w:tc>
        <w:tc>
          <w:tcPr>
            <w:tcW w:w="4949" w:type="dxa"/>
          </w:tcPr>
          <w:p w14:paraId="10515E0F" w14:textId="308451CA" w:rsidR="0096584C" w:rsidRDefault="0096584C" w:rsidP="0040443F">
            <w:pPr>
              <w:spacing w:before="60" w:after="60"/>
            </w:pPr>
            <w:r>
              <w:t>RO-HOLTECSMR300-001</w:t>
            </w:r>
          </w:p>
          <w:p w14:paraId="4DE39399" w14:textId="167FFE43" w:rsidR="0096584C" w:rsidRDefault="0096584C" w:rsidP="0096584C">
            <w:pPr>
              <w:spacing w:before="60" w:after="60"/>
            </w:pPr>
            <w:r>
              <w:t>RO-HOLTECSMR300-011</w:t>
            </w:r>
          </w:p>
          <w:p w14:paraId="5769CCD8" w14:textId="01D2D566" w:rsidR="004B32DA" w:rsidRPr="00EC2C8F" w:rsidRDefault="004B32DA" w:rsidP="0040443F">
            <w:pPr>
              <w:spacing w:before="60" w:after="60"/>
            </w:pPr>
            <w:r w:rsidRPr="00EC2C8F">
              <w:t>RQ-</w:t>
            </w:r>
            <w:r w:rsidR="00F31805" w:rsidRPr="00EC2C8F">
              <w:t>01</w:t>
            </w:r>
            <w:r w:rsidR="00F31805">
              <w:t>755</w:t>
            </w:r>
          </w:p>
          <w:p w14:paraId="4573E034" w14:textId="3CA73932" w:rsidR="00F31805" w:rsidRPr="00450A86" w:rsidRDefault="004B32DA" w:rsidP="009773CB">
            <w:pPr>
              <w:spacing w:before="60" w:after="60"/>
            </w:pPr>
            <w:r w:rsidRPr="00EC2C8F">
              <w:t>RQ-</w:t>
            </w:r>
            <w:r w:rsidR="00F31805" w:rsidRPr="00EC2C8F">
              <w:t>0</w:t>
            </w:r>
            <w:r w:rsidR="00F31805">
              <w:t>2028</w:t>
            </w:r>
          </w:p>
        </w:tc>
      </w:tr>
      <w:tr w:rsidR="00850471" w:rsidRPr="0048438C" w14:paraId="4573E03E" w14:textId="77777777" w:rsidTr="009459D7">
        <w:trPr>
          <w:trHeight w:val="202"/>
        </w:trPr>
        <w:tc>
          <w:tcPr>
            <w:tcW w:w="4948" w:type="dxa"/>
          </w:tcPr>
          <w:p w14:paraId="4573E03C" w14:textId="77777777" w:rsidR="00850471" w:rsidRPr="0048438C" w:rsidRDefault="00850471" w:rsidP="0048438C">
            <w:pPr>
              <w:spacing w:before="60" w:after="60"/>
              <w:rPr>
                <w:b/>
                <w:szCs w:val="24"/>
              </w:rPr>
            </w:pPr>
            <w:r w:rsidRPr="0048438C">
              <w:rPr>
                <w:b/>
                <w:szCs w:val="24"/>
              </w:rPr>
              <w:t>Observation title:</w:t>
            </w:r>
          </w:p>
        </w:tc>
        <w:tc>
          <w:tcPr>
            <w:tcW w:w="4949" w:type="dxa"/>
          </w:tcPr>
          <w:p w14:paraId="4573E03D" w14:textId="0289845A" w:rsidR="0040443F" w:rsidRPr="00477D24" w:rsidRDefault="00107E98" w:rsidP="0048438C">
            <w:pPr>
              <w:spacing w:before="60" w:after="60"/>
            </w:pPr>
            <w:r>
              <w:t>C&amp;I Architecture</w:t>
            </w:r>
          </w:p>
        </w:tc>
      </w:tr>
      <w:tr w:rsidR="00CC67B6" w:rsidRPr="0048438C" w14:paraId="4573E043" w14:textId="77777777" w:rsidTr="009459D7">
        <w:trPr>
          <w:trHeight w:val="202"/>
        </w:trPr>
        <w:tc>
          <w:tcPr>
            <w:tcW w:w="4948" w:type="dxa"/>
          </w:tcPr>
          <w:p w14:paraId="71E06B30" w14:textId="77777777" w:rsidR="00CC67B6" w:rsidRPr="0048438C" w:rsidRDefault="00CC67B6" w:rsidP="0048438C">
            <w:pPr>
              <w:spacing w:before="60" w:after="60"/>
              <w:rPr>
                <w:szCs w:val="24"/>
              </w:rPr>
            </w:pPr>
            <w:r w:rsidRPr="0048438C">
              <w:rPr>
                <w:b/>
                <w:szCs w:val="24"/>
              </w:rPr>
              <w:t>Lead technical topic:</w:t>
            </w:r>
          </w:p>
          <w:p w14:paraId="781ADE67" w14:textId="77777777" w:rsidR="0087645C" w:rsidRPr="0087645C" w:rsidRDefault="0087645C" w:rsidP="0087645C">
            <w:pPr>
              <w:spacing w:before="60" w:after="60"/>
              <w:rPr>
                <w:szCs w:val="24"/>
              </w:rPr>
            </w:pPr>
            <w:r w:rsidRPr="0087645C">
              <w:rPr>
                <w:szCs w:val="24"/>
              </w:rPr>
              <w:t>Control &amp; Instrumentation</w:t>
            </w:r>
          </w:p>
          <w:p w14:paraId="4573E040" w14:textId="2F996D08" w:rsidR="00CC67B6" w:rsidRPr="0048438C" w:rsidRDefault="00CC67B6" w:rsidP="0087645C">
            <w:pPr>
              <w:pStyle w:val="ListParagraph"/>
              <w:spacing w:before="60" w:after="60"/>
              <w:ind w:left="0"/>
              <w:rPr>
                <w:szCs w:val="24"/>
              </w:rPr>
            </w:pPr>
          </w:p>
        </w:tc>
        <w:tc>
          <w:tcPr>
            <w:tcW w:w="4949" w:type="dxa"/>
          </w:tcPr>
          <w:p w14:paraId="0BA3764E" w14:textId="77777777" w:rsidR="00CC67B6" w:rsidRDefault="00CC67B6" w:rsidP="0048438C">
            <w:pPr>
              <w:spacing w:before="60" w:after="60"/>
              <w:rPr>
                <w:b/>
                <w:szCs w:val="24"/>
              </w:rPr>
            </w:pPr>
            <w:r w:rsidRPr="0048438C">
              <w:rPr>
                <w:b/>
                <w:szCs w:val="24"/>
              </w:rPr>
              <w:t>Related technical topic(s):</w:t>
            </w:r>
          </w:p>
          <w:p w14:paraId="08CB8827" w14:textId="77777777" w:rsidR="003A6935" w:rsidRPr="003A6935" w:rsidRDefault="003A6935" w:rsidP="003A6935">
            <w:pPr>
              <w:spacing w:before="60" w:after="60"/>
              <w:rPr>
                <w:szCs w:val="24"/>
              </w:rPr>
            </w:pPr>
            <w:r w:rsidRPr="003A6935">
              <w:rPr>
                <w:szCs w:val="24"/>
              </w:rPr>
              <w:t>Electrical Engineering</w:t>
            </w:r>
          </w:p>
          <w:p w14:paraId="3CB201B2" w14:textId="77777777" w:rsidR="003A6935" w:rsidRPr="003A6935" w:rsidRDefault="003A6935" w:rsidP="003A6935">
            <w:pPr>
              <w:spacing w:before="60" w:after="60"/>
              <w:rPr>
                <w:szCs w:val="24"/>
              </w:rPr>
            </w:pPr>
            <w:r w:rsidRPr="003A6935">
              <w:rPr>
                <w:szCs w:val="24"/>
              </w:rPr>
              <w:t>Fault Studies</w:t>
            </w:r>
          </w:p>
          <w:p w14:paraId="253C1BEE" w14:textId="77777777" w:rsidR="003A6935" w:rsidRPr="003A6935" w:rsidRDefault="003A6935" w:rsidP="003A6935">
            <w:pPr>
              <w:spacing w:before="60" w:after="60"/>
              <w:rPr>
                <w:szCs w:val="24"/>
              </w:rPr>
            </w:pPr>
            <w:r w:rsidRPr="003A6935">
              <w:rPr>
                <w:szCs w:val="24"/>
              </w:rPr>
              <w:t>Human Factors</w:t>
            </w:r>
          </w:p>
          <w:p w14:paraId="09D9AB8D" w14:textId="77777777" w:rsidR="003A6935" w:rsidRPr="003A6935" w:rsidRDefault="003A6935" w:rsidP="003A6935">
            <w:pPr>
              <w:spacing w:before="60" w:after="60"/>
              <w:rPr>
                <w:szCs w:val="24"/>
              </w:rPr>
            </w:pPr>
            <w:r w:rsidRPr="003A6935">
              <w:rPr>
                <w:szCs w:val="24"/>
              </w:rPr>
              <w:t>Probabilistic Safety Analysis</w:t>
            </w:r>
          </w:p>
          <w:p w14:paraId="1619CB9C" w14:textId="77777777" w:rsidR="00506430" w:rsidRDefault="003A6935" w:rsidP="00506430">
            <w:pPr>
              <w:spacing w:before="60" w:after="60"/>
              <w:rPr>
                <w:bCs/>
                <w:szCs w:val="24"/>
              </w:rPr>
            </w:pPr>
            <w:r w:rsidRPr="003A6935">
              <w:rPr>
                <w:szCs w:val="24"/>
              </w:rPr>
              <w:t>Security</w:t>
            </w:r>
          </w:p>
          <w:p w14:paraId="63391268" w14:textId="54C148FC" w:rsidR="00506430" w:rsidRPr="00646253" w:rsidRDefault="00506430" w:rsidP="00506430">
            <w:pPr>
              <w:spacing w:before="60" w:after="60"/>
              <w:rPr>
                <w:bCs/>
                <w:szCs w:val="24"/>
              </w:rPr>
            </w:pPr>
            <w:r w:rsidRPr="00646253">
              <w:rPr>
                <w:bCs/>
                <w:szCs w:val="24"/>
              </w:rPr>
              <w:t>Severe Accident</w:t>
            </w:r>
            <w:r>
              <w:rPr>
                <w:bCs/>
                <w:szCs w:val="24"/>
              </w:rPr>
              <w:t xml:space="preserve"> Analysis</w:t>
            </w:r>
          </w:p>
          <w:p w14:paraId="4573E042" w14:textId="1F8400D1" w:rsidR="00CC67B6" w:rsidRPr="0048438C" w:rsidRDefault="00CC67B6" w:rsidP="00B07D25">
            <w:pPr>
              <w:spacing w:before="60" w:after="60"/>
              <w:rPr>
                <w:szCs w:val="24"/>
              </w:rPr>
            </w:pPr>
            <w:r w:rsidRPr="0048438C">
              <w:rPr>
                <w:szCs w:val="24"/>
                <w:lang w:eastAsia="en-GB"/>
              </w:rPr>
              <w:fldChar w:fldCharType="begin"/>
            </w:r>
            <w:r w:rsidRPr="0048438C">
              <w:rPr>
                <w:szCs w:val="24"/>
                <w:lang w:eastAsia="en-GB"/>
              </w:rPr>
              <w:instrText xml:space="preserve"> MERGEFIELD F10 </w:instrText>
            </w:r>
            <w:r w:rsidRPr="0048438C">
              <w:rPr>
                <w:szCs w:val="24"/>
                <w:lang w:eastAsia="en-GB"/>
              </w:rPr>
              <w:fldChar w:fldCharType="end"/>
            </w:r>
          </w:p>
        </w:tc>
      </w:tr>
      <w:tr w:rsidR="00850471" w:rsidRPr="0048438C" w14:paraId="4573E045" w14:textId="77777777" w:rsidTr="00494EE4">
        <w:trPr>
          <w:trHeight w:val="242"/>
        </w:trPr>
        <w:tc>
          <w:tcPr>
            <w:tcW w:w="9897" w:type="dxa"/>
            <w:gridSpan w:val="2"/>
            <w:shd w:val="clear" w:color="auto" w:fill="CCCCCC"/>
          </w:tcPr>
          <w:p w14:paraId="4573E044" w14:textId="7ECC632F" w:rsidR="00850471" w:rsidRPr="00581D5B" w:rsidRDefault="00581D5B" w:rsidP="0048438C">
            <w:pPr>
              <w:spacing w:before="60" w:after="60"/>
              <w:rPr>
                <w:b/>
                <w:iCs/>
                <w:szCs w:val="24"/>
              </w:rPr>
            </w:pPr>
            <w:r w:rsidRPr="00581D5B">
              <w:rPr>
                <w:b/>
                <w:iCs/>
                <w:szCs w:val="24"/>
              </w:rPr>
              <w:t>REGULATORY OBSERVATION:</w:t>
            </w:r>
          </w:p>
        </w:tc>
      </w:tr>
      <w:tr w:rsidR="002E1C56" w:rsidRPr="0048438C" w14:paraId="4573E049" w14:textId="77777777" w:rsidTr="00494EE4">
        <w:tc>
          <w:tcPr>
            <w:tcW w:w="9897" w:type="dxa"/>
            <w:gridSpan w:val="2"/>
          </w:tcPr>
          <w:p w14:paraId="70689DAB" w14:textId="7DBE1688" w:rsidR="00790F40" w:rsidRPr="00381F42" w:rsidRDefault="00790F40" w:rsidP="002E1C56">
            <w:pPr>
              <w:rPr>
                <w:b/>
                <w:bCs/>
                <w:szCs w:val="24"/>
                <w:u w:val="single"/>
              </w:rPr>
            </w:pPr>
            <w:r w:rsidRPr="00381F42">
              <w:rPr>
                <w:b/>
                <w:bCs/>
                <w:szCs w:val="24"/>
                <w:u w:val="single"/>
              </w:rPr>
              <w:t>Background</w:t>
            </w:r>
          </w:p>
          <w:p w14:paraId="6D15AC57" w14:textId="77777777" w:rsidR="00790F40" w:rsidRPr="004B32DA" w:rsidRDefault="00790F40" w:rsidP="002E1C56">
            <w:pPr>
              <w:rPr>
                <w:szCs w:val="24"/>
              </w:rPr>
            </w:pPr>
          </w:p>
          <w:p w14:paraId="14490C5F" w14:textId="77777777" w:rsidR="00B468C6" w:rsidRDefault="00136C8A" w:rsidP="00F42235">
            <w:pPr>
              <w:rPr>
                <w:szCs w:val="24"/>
              </w:rPr>
            </w:pPr>
            <w:r w:rsidRPr="004B32DA">
              <w:rPr>
                <w:szCs w:val="24"/>
              </w:rPr>
              <w:t xml:space="preserve">The provision of nuclear safety functions to trip nuclear power plant reactors and initiate post trip cooling of the core (which continues to produce significant quantities of heat post trip) is a key role of </w:t>
            </w:r>
            <w:r w:rsidR="00F42235" w:rsidRPr="004B32DA">
              <w:rPr>
                <w:szCs w:val="24"/>
              </w:rPr>
              <w:t xml:space="preserve">nuclear power plant </w:t>
            </w:r>
            <w:r w:rsidRPr="004B32DA">
              <w:rPr>
                <w:szCs w:val="24"/>
              </w:rPr>
              <w:t xml:space="preserve">Control and Instrumentation (C&amp;I) equipment.  </w:t>
            </w:r>
          </w:p>
          <w:p w14:paraId="33945C12" w14:textId="77777777" w:rsidR="00A831EF" w:rsidRDefault="00A831EF" w:rsidP="00F42235">
            <w:pPr>
              <w:rPr>
                <w:szCs w:val="24"/>
              </w:rPr>
            </w:pPr>
          </w:p>
          <w:p w14:paraId="36867934" w14:textId="4E5B9B56" w:rsidR="00FF346F" w:rsidRDefault="00E90756" w:rsidP="00E90756">
            <w:pPr>
              <w:rPr>
                <w:szCs w:val="24"/>
              </w:rPr>
            </w:pPr>
            <w:r w:rsidRPr="00E90756">
              <w:rPr>
                <w:szCs w:val="24"/>
              </w:rPr>
              <w:t>ONR expects the C&amp;I architecture to be designed in a way that</w:t>
            </w:r>
            <w:r>
              <w:rPr>
                <w:szCs w:val="24"/>
              </w:rPr>
              <w:t xml:space="preserve"> </w:t>
            </w:r>
            <w:r w:rsidR="00ED28DE">
              <w:rPr>
                <w:szCs w:val="24"/>
              </w:rPr>
              <w:t xml:space="preserve">ensures that the risk of the system not responding </w:t>
            </w:r>
            <w:r w:rsidR="00FD0DDD">
              <w:rPr>
                <w:szCs w:val="24"/>
              </w:rPr>
              <w:t xml:space="preserve">adequately </w:t>
            </w:r>
            <w:r w:rsidR="00FF346F">
              <w:rPr>
                <w:szCs w:val="24"/>
              </w:rPr>
              <w:t xml:space="preserve">to a </w:t>
            </w:r>
            <w:r w:rsidR="00FD0DDD">
              <w:rPr>
                <w:szCs w:val="24"/>
              </w:rPr>
              <w:t xml:space="preserve">postulated initiating event </w:t>
            </w:r>
            <w:r w:rsidR="00FF346F">
              <w:rPr>
                <w:szCs w:val="24"/>
              </w:rPr>
              <w:t>is reduced as low as reasona</w:t>
            </w:r>
            <w:r w:rsidR="002447AF">
              <w:rPr>
                <w:szCs w:val="24"/>
              </w:rPr>
              <w:t>bly</w:t>
            </w:r>
            <w:r w:rsidR="00FF346F">
              <w:rPr>
                <w:szCs w:val="24"/>
              </w:rPr>
              <w:t xml:space="preserve"> practicable. </w:t>
            </w:r>
          </w:p>
          <w:p w14:paraId="5CD3F02B" w14:textId="77777777" w:rsidR="00FF346F" w:rsidRDefault="00FF346F" w:rsidP="00F42235">
            <w:pPr>
              <w:rPr>
                <w:szCs w:val="24"/>
              </w:rPr>
            </w:pPr>
          </w:p>
          <w:p w14:paraId="425B7E34" w14:textId="35AD4A4E" w:rsidR="00B468C6" w:rsidRDefault="00E90756" w:rsidP="00E90756">
            <w:pPr>
              <w:rPr>
                <w:szCs w:val="24"/>
              </w:rPr>
            </w:pPr>
            <w:r>
              <w:rPr>
                <w:szCs w:val="24"/>
              </w:rPr>
              <w:t>C</w:t>
            </w:r>
            <w:r w:rsidR="00882F9A">
              <w:rPr>
                <w:szCs w:val="24"/>
              </w:rPr>
              <w:t xml:space="preserve">oncepts such as </w:t>
            </w:r>
            <w:r w:rsidR="00C31169">
              <w:rPr>
                <w:szCs w:val="24"/>
              </w:rPr>
              <w:t>defence in depth</w:t>
            </w:r>
            <w:r w:rsidR="00F97009">
              <w:rPr>
                <w:szCs w:val="24"/>
              </w:rPr>
              <w:t>, independence, diversity</w:t>
            </w:r>
            <w:r w:rsidR="00482380">
              <w:rPr>
                <w:szCs w:val="24"/>
              </w:rPr>
              <w:t xml:space="preserve"> and the single failure </w:t>
            </w:r>
            <w:r w:rsidR="00AA618A">
              <w:rPr>
                <w:szCs w:val="24"/>
              </w:rPr>
              <w:t>criteri</w:t>
            </w:r>
            <w:r w:rsidR="006C216E">
              <w:rPr>
                <w:szCs w:val="24"/>
              </w:rPr>
              <w:t>on</w:t>
            </w:r>
            <w:r w:rsidR="00882F9A">
              <w:rPr>
                <w:szCs w:val="24"/>
              </w:rPr>
              <w:t xml:space="preserve"> </w:t>
            </w:r>
            <w:r>
              <w:rPr>
                <w:szCs w:val="24"/>
              </w:rPr>
              <w:t xml:space="preserve">are </w:t>
            </w:r>
            <w:r w:rsidRPr="00E90756">
              <w:rPr>
                <w:szCs w:val="24"/>
              </w:rPr>
              <w:t xml:space="preserve">principles </w:t>
            </w:r>
            <w:r>
              <w:rPr>
                <w:szCs w:val="24"/>
              </w:rPr>
              <w:t xml:space="preserve">that </w:t>
            </w:r>
            <w:r w:rsidRPr="00E90756">
              <w:rPr>
                <w:szCs w:val="24"/>
              </w:rPr>
              <w:t xml:space="preserve">are internationally recognised as </w:t>
            </w:r>
            <w:r w:rsidR="00506430">
              <w:rPr>
                <w:szCs w:val="24"/>
              </w:rPr>
              <w:t>relevant good practice</w:t>
            </w:r>
            <w:r w:rsidRPr="00E90756">
              <w:rPr>
                <w:szCs w:val="24"/>
              </w:rPr>
              <w:t xml:space="preserve"> </w:t>
            </w:r>
            <w:r w:rsidR="00506430">
              <w:rPr>
                <w:szCs w:val="24"/>
              </w:rPr>
              <w:t>and</w:t>
            </w:r>
            <w:r w:rsidRPr="00E90756">
              <w:rPr>
                <w:szCs w:val="24"/>
              </w:rPr>
              <w:t xml:space="preserve"> set out in IAEA standards (SSR-2/1</w:t>
            </w:r>
            <w:r w:rsidR="00316756">
              <w:rPr>
                <w:szCs w:val="24"/>
              </w:rPr>
              <w:t xml:space="preserve"> </w:t>
            </w:r>
            <w:r w:rsidR="00553F4C">
              <w:rPr>
                <w:szCs w:val="24"/>
              </w:rPr>
              <w:fldChar w:fldCharType="begin"/>
            </w:r>
            <w:r w:rsidR="00553F4C">
              <w:rPr>
                <w:szCs w:val="24"/>
              </w:rPr>
              <w:instrText xml:space="preserve"> REF _Ref211417782 \r \h </w:instrText>
            </w:r>
            <w:r w:rsidR="00553F4C">
              <w:rPr>
                <w:szCs w:val="24"/>
              </w:rPr>
            </w:r>
            <w:r w:rsidR="00553F4C">
              <w:rPr>
                <w:szCs w:val="24"/>
              </w:rPr>
              <w:fldChar w:fldCharType="separate"/>
            </w:r>
            <w:r w:rsidR="00553F4C">
              <w:rPr>
                <w:szCs w:val="24"/>
                <w:cs/>
              </w:rPr>
              <w:t>‎</w:t>
            </w:r>
            <w:r w:rsidR="00553F4C">
              <w:rPr>
                <w:szCs w:val="24"/>
              </w:rPr>
              <w:t>[7]</w:t>
            </w:r>
            <w:r w:rsidR="00553F4C">
              <w:rPr>
                <w:szCs w:val="24"/>
              </w:rPr>
              <w:fldChar w:fldCharType="end"/>
            </w:r>
            <w:r w:rsidR="00553F4C">
              <w:rPr>
                <w:szCs w:val="24"/>
              </w:rPr>
              <w:t xml:space="preserve"> </w:t>
            </w:r>
            <w:r w:rsidR="00316756">
              <w:rPr>
                <w:szCs w:val="24"/>
              </w:rPr>
              <w:t xml:space="preserve">and </w:t>
            </w:r>
            <w:r w:rsidRPr="00E90756">
              <w:rPr>
                <w:szCs w:val="24"/>
              </w:rPr>
              <w:t>SSG-39</w:t>
            </w:r>
            <w:r w:rsidR="00553F4C">
              <w:rPr>
                <w:szCs w:val="24"/>
              </w:rPr>
              <w:t xml:space="preserve"> </w:t>
            </w:r>
            <w:r w:rsidR="009D1312">
              <w:rPr>
                <w:szCs w:val="24"/>
              </w:rPr>
              <w:fldChar w:fldCharType="begin"/>
            </w:r>
            <w:r w:rsidR="009D1312">
              <w:rPr>
                <w:szCs w:val="24"/>
              </w:rPr>
              <w:instrText xml:space="preserve"> REF _Ref211417740 \r \h </w:instrText>
            </w:r>
            <w:r w:rsidR="009D1312">
              <w:rPr>
                <w:szCs w:val="24"/>
              </w:rPr>
            </w:r>
            <w:r w:rsidR="009D1312">
              <w:rPr>
                <w:szCs w:val="24"/>
              </w:rPr>
              <w:fldChar w:fldCharType="separate"/>
            </w:r>
            <w:r w:rsidR="009D1312">
              <w:rPr>
                <w:szCs w:val="24"/>
                <w:cs/>
              </w:rPr>
              <w:t>‎</w:t>
            </w:r>
            <w:r w:rsidR="009D1312">
              <w:rPr>
                <w:szCs w:val="24"/>
              </w:rPr>
              <w:t>[8]</w:t>
            </w:r>
            <w:r w:rsidR="009D1312">
              <w:rPr>
                <w:szCs w:val="24"/>
              </w:rPr>
              <w:fldChar w:fldCharType="end"/>
            </w:r>
            <w:r w:rsidRPr="00E90756">
              <w:rPr>
                <w:szCs w:val="24"/>
              </w:rPr>
              <w:t>)</w:t>
            </w:r>
            <w:r>
              <w:rPr>
                <w:szCs w:val="24"/>
              </w:rPr>
              <w:t>.</w:t>
            </w:r>
          </w:p>
          <w:p w14:paraId="10888F95" w14:textId="77777777" w:rsidR="00E90756" w:rsidRDefault="00E90756" w:rsidP="00E90756">
            <w:pPr>
              <w:rPr>
                <w:szCs w:val="24"/>
              </w:rPr>
            </w:pPr>
          </w:p>
          <w:p w14:paraId="294F41FB" w14:textId="7F8C6998" w:rsidR="000B1ED8" w:rsidRDefault="000B1ED8" w:rsidP="000B1ED8">
            <w:pPr>
              <w:rPr>
                <w:szCs w:val="24"/>
              </w:rPr>
            </w:pPr>
            <w:r>
              <w:rPr>
                <w:szCs w:val="24"/>
              </w:rPr>
              <w:t xml:space="preserve">The Holtec SMR-300 </w:t>
            </w:r>
            <w:r w:rsidR="00882AC6">
              <w:rPr>
                <w:szCs w:val="24"/>
              </w:rPr>
              <w:t xml:space="preserve">C&amp;I </w:t>
            </w:r>
            <w:r w:rsidR="007C61A5">
              <w:rPr>
                <w:szCs w:val="24"/>
              </w:rPr>
              <w:t>architecture</w:t>
            </w:r>
            <w:r w:rsidR="00F54BD1">
              <w:rPr>
                <w:szCs w:val="24"/>
              </w:rPr>
              <w:t xml:space="preserve">, as presented in the documents </w:t>
            </w:r>
            <w:r w:rsidR="00EA268D">
              <w:rPr>
                <w:szCs w:val="24"/>
              </w:rPr>
              <w:t xml:space="preserve">assessed </w:t>
            </w:r>
            <w:r w:rsidR="00F54BD1">
              <w:rPr>
                <w:szCs w:val="24"/>
              </w:rPr>
              <w:t>during this GDA (Refs [1], [2], [3], [4] &amp; [5])</w:t>
            </w:r>
            <w:r w:rsidR="00506430">
              <w:rPr>
                <w:szCs w:val="24"/>
              </w:rPr>
              <w:t>,</w:t>
            </w:r>
            <w:r>
              <w:rPr>
                <w:szCs w:val="24"/>
              </w:rPr>
              <w:t xml:space="preserve"> consists of the following systems:-</w:t>
            </w:r>
          </w:p>
          <w:p w14:paraId="6378CCFE" w14:textId="77777777" w:rsidR="000B1ED8" w:rsidRDefault="000B1ED8" w:rsidP="000B1ED8">
            <w:pPr>
              <w:rPr>
                <w:szCs w:val="24"/>
              </w:rPr>
            </w:pPr>
          </w:p>
          <w:p w14:paraId="0BA8AB35" w14:textId="6C31DA13" w:rsidR="000B1ED8" w:rsidRDefault="000B1ED8" w:rsidP="000B1ED8">
            <w:pPr>
              <w:pStyle w:val="ListParagraph"/>
              <w:numPr>
                <w:ilvl w:val="0"/>
                <w:numId w:val="41"/>
              </w:numPr>
              <w:rPr>
                <w:szCs w:val="24"/>
              </w:rPr>
            </w:pPr>
            <w:r>
              <w:rPr>
                <w:szCs w:val="24"/>
              </w:rPr>
              <w:t>Plant Control System (PCS)</w:t>
            </w:r>
            <w:r w:rsidR="007C4F55">
              <w:rPr>
                <w:szCs w:val="24"/>
              </w:rPr>
              <w:t xml:space="preserve"> </w:t>
            </w:r>
          </w:p>
          <w:p w14:paraId="27E924EB" w14:textId="4188D2FA" w:rsidR="000B1ED8" w:rsidRDefault="000B1ED8" w:rsidP="000B1ED8">
            <w:pPr>
              <w:pStyle w:val="ListParagraph"/>
              <w:numPr>
                <w:ilvl w:val="0"/>
                <w:numId w:val="41"/>
              </w:numPr>
              <w:rPr>
                <w:szCs w:val="24"/>
              </w:rPr>
            </w:pPr>
            <w:r>
              <w:rPr>
                <w:szCs w:val="24"/>
              </w:rPr>
              <w:t>Plant</w:t>
            </w:r>
            <w:r w:rsidR="00381AF1">
              <w:rPr>
                <w:szCs w:val="24"/>
              </w:rPr>
              <w:t xml:space="preserve"> Safety System (PSS)</w:t>
            </w:r>
            <w:r w:rsidR="007C4F55">
              <w:rPr>
                <w:szCs w:val="24"/>
              </w:rPr>
              <w:t xml:space="preserve"> </w:t>
            </w:r>
          </w:p>
          <w:p w14:paraId="62D23762" w14:textId="20CEA636" w:rsidR="005F6D21" w:rsidRDefault="005F6D21" w:rsidP="000B1ED8">
            <w:pPr>
              <w:pStyle w:val="ListParagraph"/>
              <w:numPr>
                <w:ilvl w:val="0"/>
                <w:numId w:val="41"/>
              </w:numPr>
              <w:rPr>
                <w:szCs w:val="24"/>
              </w:rPr>
            </w:pPr>
            <w:r>
              <w:rPr>
                <w:szCs w:val="24"/>
              </w:rPr>
              <w:t>Diverse Actuation System (DAS)</w:t>
            </w:r>
            <w:r w:rsidR="007C4F55">
              <w:rPr>
                <w:szCs w:val="24"/>
              </w:rPr>
              <w:t xml:space="preserve"> </w:t>
            </w:r>
          </w:p>
          <w:p w14:paraId="6B4C37E1" w14:textId="77777777" w:rsidR="00E90756" w:rsidRDefault="005F6D21" w:rsidP="000B1ED8">
            <w:pPr>
              <w:pStyle w:val="ListParagraph"/>
              <w:numPr>
                <w:ilvl w:val="0"/>
                <w:numId w:val="41"/>
              </w:numPr>
              <w:rPr>
                <w:szCs w:val="24"/>
              </w:rPr>
            </w:pPr>
            <w:r>
              <w:rPr>
                <w:szCs w:val="24"/>
              </w:rPr>
              <w:t>Post Accident Monitoring Systems (PAMS)</w:t>
            </w:r>
            <w:r w:rsidR="007C4F55">
              <w:rPr>
                <w:szCs w:val="24"/>
              </w:rPr>
              <w:t xml:space="preserve"> </w:t>
            </w:r>
          </w:p>
          <w:p w14:paraId="525780D2" w14:textId="77777777" w:rsidR="00E90756" w:rsidRDefault="00E90756" w:rsidP="00E90756">
            <w:pPr>
              <w:rPr>
                <w:szCs w:val="24"/>
              </w:rPr>
            </w:pPr>
          </w:p>
          <w:p w14:paraId="05AFBCF1" w14:textId="27F5E4DA" w:rsidR="00381AF1" w:rsidRPr="00670132" w:rsidRDefault="00670132" w:rsidP="00450A86">
            <w:pPr>
              <w:rPr>
                <w:szCs w:val="24"/>
              </w:rPr>
            </w:pPr>
            <w:r w:rsidRPr="005346B2">
              <w:rPr>
                <w:szCs w:val="24"/>
              </w:rPr>
              <w:t>The identification and classification of safety functions and categorisation of SSCs according to a process that meets regulatory expectations has not been undertaken.</w:t>
            </w:r>
            <w:r w:rsidR="005F6D21" w:rsidRPr="00670132">
              <w:rPr>
                <w:szCs w:val="24"/>
              </w:rPr>
              <w:br/>
            </w:r>
          </w:p>
          <w:p w14:paraId="21DC6BF8" w14:textId="58BBD4FA" w:rsidR="00F31805" w:rsidRDefault="009773CB" w:rsidP="00F31805">
            <w:pPr>
              <w:rPr>
                <w:szCs w:val="24"/>
              </w:rPr>
            </w:pPr>
            <w:r>
              <w:rPr>
                <w:szCs w:val="24"/>
              </w:rPr>
              <w:t>P</w:t>
            </w:r>
            <w:r w:rsidR="00F31805" w:rsidRPr="00F31805">
              <w:rPr>
                <w:szCs w:val="24"/>
              </w:rPr>
              <w:t xml:space="preserve">otential shortfalls have been identified which could compromise the ability of the C&amp;I architecture </w:t>
            </w:r>
            <w:r w:rsidR="00F31805">
              <w:rPr>
                <w:szCs w:val="24"/>
              </w:rPr>
              <w:t>in the areas outlined below</w:t>
            </w:r>
            <w:r w:rsidR="00F31805" w:rsidRPr="00F31805">
              <w:rPr>
                <w:szCs w:val="24"/>
              </w:rPr>
              <w:t xml:space="preserve">. The submissions received to date do not provide sufficient justification as to why the </w:t>
            </w:r>
            <w:r w:rsidR="00506430" w:rsidRPr="005346B2">
              <w:rPr>
                <w:szCs w:val="24"/>
              </w:rPr>
              <w:t xml:space="preserve">design </w:t>
            </w:r>
            <w:r w:rsidR="004D5B77" w:rsidRPr="005346B2">
              <w:rPr>
                <w:szCs w:val="24"/>
              </w:rPr>
              <w:t>is likely</w:t>
            </w:r>
            <w:r w:rsidR="001C1B8F" w:rsidRPr="005346B2">
              <w:rPr>
                <w:szCs w:val="24"/>
              </w:rPr>
              <w:t xml:space="preserve"> to be</w:t>
            </w:r>
            <w:r w:rsidR="00F31805" w:rsidRPr="005346B2">
              <w:rPr>
                <w:szCs w:val="24"/>
              </w:rPr>
              <w:t xml:space="preserve"> acceptable</w:t>
            </w:r>
            <w:r w:rsidR="00F31805" w:rsidRPr="00F31805">
              <w:rPr>
                <w:szCs w:val="24"/>
              </w:rPr>
              <w:t xml:space="preserve">, and how the SMR-300 C&amp;I architecture meets </w:t>
            </w:r>
            <w:r w:rsidR="00F31805">
              <w:rPr>
                <w:szCs w:val="24"/>
              </w:rPr>
              <w:t>relevant</w:t>
            </w:r>
            <w:r w:rsidR="00F31805" w:rsidRPr="00F31805">
              <w:rPr>
                <w:szCs w:val="24"/>
              </w:rPr>
              <w:t xml:space="preserve"> good practice principles</w:t>
            </w:r>
            <w:r w:rsidR="00F31805">
              <w:rPr>
                <w:szCs w:val="24"/>
              </w:rPr>
              <w:t>.</w:t>
            </w:r>
          </w:p>
          <w:p w14:paraId="0BC015E0" w14:textId="77777777" w:rsidR="00AF0556" w:rsidRDefault="00AF0556" w:rsidP="00B443DE">
            <w:pPr>
              <w:rPr>
                <w:szCs w:val="24"/>
              </w:rPr>
            </w:pPr>
          </w:p>
          <w:p w14:paraId="58C1D12A" w14:textId="0229567A" w:rsidR="003C1A7B" w:rsidRDefault="00AF0556" w:rsidP="009773CB">
            <w:pPr>
              <w:pStyle w:val="ListParagraph"/>
              <w:numPr>
                <w:ilvl w:val="0"/>
                <w:numId w:val="44"/>
              </w:numPr>
              <w:rPr>
                <w:szCs w:val="24"/>
              </w:rPr>
            </w:pPr>
            <w:r w:rsidRPr="00F31805">
              <w:rPr>
                <w:b/>
                <w:bCs/>
                <w:szCs w:val="24"/>
              </w:rPr>
              <w:t>Independence</w:t>
            </w:r>
            <w:r w:rsidR="002259BA">
              <w:rPr>
                <w:b/>
                <w:bCs/>
                <w:szCs w:val="24"/>
              </w:rPr>
              <w:t xml:space="preserve"> &amp; CCF</w:t>
            </w:r>
            <w:r w:rsidRPr="00F31805">
              <w:rPr>
                <w:szCs w:val="24"/>
              </w:rPr>
              <w:t xml:space="preserve"> –</w:t>
            </w:r>
            <w:r w:rsidR="009773CB">
              <w:rPr>
                <w:szCs w:val="24"/>
              </w:rPr>
              <w:t xml:space="preserve"> </w:t>
            </w:r>
            <w:r w:rsidR="00EA268D">
              <w:rPr>
                <w:szCs w:val="24"/>
              </w:rPr>
              <w:t xml:space="preserve">the </w:t>
            </w:r>
            <w:r w:rsidR="009773CB">
              <w:rPr>
                <w:szCs w:val="24"/>
              </w:rPr>
              <w:t xml:space="preserve">systems which deliver functions across the defence in depth model </w:t>
            </w:r>
            <w:r w:rsidR="00EA268D">
              <w:rPr>
                <w:szCs w:val="24"/>
              </w:rPr>
              <w:t>(</w:t>
            </w:r>
            <w:r w:rsidR="00F54BD1">
              <w:rPr>
                <w:szCs w:val="24"/>
              </w:rPr>
              <w:t>levels 2 to 4</w:t>
            </w:r>
            <w:r w:rsidR="00EA268D">
              <w:rPr>
                <w:szCs w:val="24"/>
              </w:rPr>
              <w:t>)</w:t>
            </w:r>
            <w:r w:rsidR="00F54BD1">
              <w:rPr>
                <w:szCs w:val="24"/>
              </w:rPr>
              <w:t xml:space="preserve"> </w:t>
            </w:r>
            <w:r w:rsidR="009773CB">
              <w:rPr>
                <w:szCs w:val="24"/>
              </w:rPr>
              <w:t>rely on common systems or components. Should there be a failure of these systems or components,</w:t>
            </w:r>
            <w:r w:rsidR="00EA268D">
              <w:rPr>
                <w:szCs w:val="24"/>
              </w:rPr>
              <w:t xml:space="preserve"> then the ability of multiple systems </w:t>
            </w:r>
            <w:r w:rsidR="002259BA">
              <w:rPr>
                <w:szCs w:val="24"/>
              </w:rPr>
              <w:t xml:space="preserve">(and therefore multiple layers </w:t>
            </w:r>
            <w:r w:rsidR="00F878AF">
              <w:rPr>
                <w:szCs w:val="24"/>
              </w:rPr>
              <w:t>of defence</w:t>
            </w:r>
            <w:r w:rsidR="002259BA">
              <w:rPr>
                <w:szCs w:val="24"/>
              </w:rPr>
              <w:t xml:space="preserve">) </w:t>
            </w:r>
            <w:r w:rsidR="00EA268D">
              <w:rPr>
                <w:szCs w:val="24"/>
              </w:rPr>
              <w:t>to respond to a fault could be compromised</w:t>
            </w:r>
            <w:r w:rsidR="002259BA">
              <w:rPr>
                <w:szCs w:val="24"/>
              </w:rPr>
              <w:t xml:space="preserve">. Furthermore, many of these systems or components are of a common design, </w:t>
            </w:r>
            <w:r w:rsidR="00F878AF">
              <w:rPr>
                <w:szCs w:val="24"/>
              </w:rPr>
              <w:t xml:space="preserve">meaning </w:t>
            </w:r>
            <w:r w:rsidR="002259BA">
              <w:rPr>
                <w:szCs w:val="24"/>
              </w:rPr>
              <w:t xml:space="preserve">a common cause failure </w:t>
            </w:r>
            <w:r w:rsidR="00F878AF">
              <w:rPr>
                <w:szCs w:val="24"/>
              </w:rPr>
              <w:t xml:space="preserve">could result in </w:t>
            </w:r>
            <w:r w:rsidR="002259BA">
              <w:rPr>
                <w:szCs w:val="24"/>
              </w:rPr>
              <w:t xml:space="preserve">multiple systems being </w:t>
            </w:r>
            <w:r w:rsidR="00F878AF">
              <w:rPr>
                <w:szCs w:val="24"/>
              </w:rPr>
              <w:t>un</w:t>
            </w:r>
            <w:r w:rsidR="002259BA">
              <w:rPr>
                <w:szCs w:val="24"/>
              </w:rPr>
              <w:t>able to respond to faults.</w:t>
            </w:r>
          </w:p>
          <w:p w14:paraId="327276B4" w14:textId="7217AAA9" w:rsidR="00BC0866" w:rsidRPr="00891485" w:rsidRDefault="00BD36F3" w:rsidP="00891485">
            <w:pPr>
              <w:pStyle w:val="ListParagraph"/>
              <w:numPr>
                <w:ilvl w:val="0"/>
                <w:numId w:val="44"/>
              </w:numPr>
              <w:rPr>
                <w:szCs w:val="24"/>
              </w:rPr>
            </w:pPr>
            <w:r w:rsidRPr="00F31805">
              <w:rPr>
                <w:b/>
                <w:bCs/>
                <w:szCs w:val="24"/>
              </w:rPr>
              <w:t>Single Failure</w:t>
            </w:r>
            <w:r w:rsidR="00E137F3" w:rsidRPr="00F31805">
              <w:rPr>
                <w:b/>
                <w:bCs/>
                <w:szCs w:val="24"/>
              </w:rPr>
              <w:t xml:space="preserve"> </w:t>
            </w:r>
            <w:r w:rsidR="00EC280B" w:rsidRPr="00F31805">
              <w:rPr>
                <w:b/>
                <w:bCs/>
                <w:szCs w:val="24"/>
              </w:rPr>
              <w:t>Criteri</w:t>
            </w:r>
            <w:r w:rsidR="002F2512" w:rsidRPr="00F31805">
              <w:rPr>
                <w:b/>
                <w:bCs/>
                <w:szCs w:val="24"/>
              </w:rPr>
              <w:t>on</w:t>
            </w:r>
            <w:r w:rsidRPr="00F31805">
              <w:rPr>
                <w:szCs w:val="24"/>
              </w:rPr>
              <w:t xml:space="preserve"> – </w:t>
            </w:r>
            <w:r w:rsidR="00927E74" w:rsidRPr="005346B2">
              <w:rPr>
                <w:szCs w:val="24"/>
              </w:rPr>
              <w:t xml:space="preserve">The </w:t>
            </w:r>
            <w:r w:rsidR="00873259" w:rsidRPr="005346B2">
              <w:rPr>
                <w:szCs w:val="24"/>
              </w:rPr>
              <w:t xml:space="preserve">PSS consists of two divisions, </w:t>
            </w:r>
            <w:r w:rsidR="00012A95" w:rsidRPr="005346B2">
              <w:rPr>
                <w:szCs w:val="24"/>
              </w:rPr>
              <w:t xml:space="preserve">in a 1 out of 2 </w:t>
            </w:r>
            <w:r w:rsidR="006472EB" w:rsidRPr="005346B2">
              <w:rPr>
                <w:szCs w:val="24"/>
              </w:rPr>
              <w:t xml:space="preserve">voting </w:t>
            </w:r>
            <w:r w:rsidR="00012A95" w:rsidRPr="005346B2">
              <w:rPr>
                <w:szCs w:val="24"/>
              </w:rPr>
              <w:t>configuration</w:t>
            </w:r>
            <w:r w:rsidR="00350872" w:rsidRPr="005346B2">
              <w:rPr>
                <w:szCs w:val="24"/>
              </w:rPr>
              <w:t xml:space="preserve">. </w:t>
            </w:r>
            <w:r w:rsidR="00013C91" w:rsidRPr="005346B2">
              <w:rPr>
                <w:szCs w:val="24"/>
              </w:rPr>
              <w:t xml:space="preserve">If a failure is detected in one of the divisions, that division </w:t>
            </w:r>
            <w:r w:rsidR="00C16CEB" w:rsidRPr="005346B2">
              <w:rPr>
                <w:szCs w:val="24"/>
              </w:rPr>
              <w:t>fails “as i</w:t>
            </w:r>
            <w:r w:rsidR="00EF596D" w:rsidRPr="005346B2">
              <w:rPr>
                <w:szCs w:val="24"/>
              </w:rPr>
              <w:t xml:space="preserve">s” and then the system continues to operate in a 1 out of 1 </w:t>
            </w:r>
            <w:r w:rsidR="006F1A5E" w:rsidRPr="005346B2">
              <w:rPr>
                <w:szCs w:val="24"/>
              </w:rPr>
              <w:t xml:space="preserve">voting </w:t>
            </w:r>
            <w:r w:rsidR="00EF596D" w:rsidRPr="005346B2">
              <w:rPr>
                <w:szCs w:val="24"/>
              </w:rPr>
              <w:t xml:space="preserve">configuration. During this time </w:t>
            </w:r>
            <w:r w:rsidR="00013C91" w:rsidRPr="005346B2">
              <w:rPr>
                <w:szCs w:val="24"/>
              </w:rPr>
              <w:t xml:space="preserve">the </w:t>
            </w:r>
            <w:r w:rsidR="00217EE9" w:rsidRPr="005346B2">
              <w:rPr>
                <w:szCs w:val="24"/>
              </w:rPr>
              <w:t xml:space="preserve">delivery of the safety functions </w:t>
            </w:r>
            <w:r w:rsidR="00440C7F" w:rsidRPr="005346B2">
              <w:rPr>
                <w:szCs w:val="24"/>
              </w:rPr>
              <w:t>is</w:t>
            </w:r>
            <w:r w:rsidR="00217EE9" w:rsidRPr="005346B2">
              <w:rPr>
                <w:szCs w:val="24"/>
              </w:rPr>
              <w:t xml:space="preserve"> </w:t>
            </w:r>
            <w:r w:rsidR="003F1A24" w:rsidRPr="005346B2">
              <w:rPr>
                <w:szCs w:val="24"/>
              </w:rPr>
              <w:t xml:space="preserve">therefore </w:t>
            </w:r>
            <w:r w:rsidR="00217EE9" w:rsidRPr="005346B2">
              <w:rPr>
                <w:szCs w:val="24"/>
              </w:rPr>
              <w:t xml:space="preserve">reliant on that one </w:t>
            </w:r>
            <w:r w:rsidR="003F1A24" w:rsidRPr="005346B2">
              <w:rPr>
                <w:szCs w:val="24"/>
              </w:rPr>
              <w:t xml:space="preserve">remaining </w:t>
            </w:r>
            <w:r w:rsidR="00217EE9" w:rsidRPr="005346B2">
              <w:rPr>
                <w:szCs w:val="24"/>
              </w:rPr>
              <w:t>division having no</w:t>
            </w:r>
            <w:r w:rsidR="008D5014">
              <w:rPr>
                <w:szCs w:val="24"/>
              </w:rPr>
              <w:t xml:space="preserve"> identified</w:t>
            </w:r>
            <w:r w:rsidR="00217EE9" w:rsidRPr="005346B2">
              <w:rPr>
                <w:szCs w:val="24"/>
              </w:rPr>
              <w:t xml:space="preserve"> undetected failures</w:t>
            </w:r>
            <w:r w:rsidR="003F1A24" w:rsidRPr="005346B2">
              <w:rPr>
                <w:szCs w:val="24"/>
              </w:rPr>
              <w:t xml:space="preserve"> and being able to undertake its safety function.</w:t>
            </w:r>
          </w:p>
          <w:p w14:paraId="046C8931" w14:textId="77777777" w:rsidR="00BC0866" w:rsidRDefault="00BC0866" w:rsidP="00B443DE">
            <w:pPr>
              <w:rPr>
                <w:szCs w:val="24"/>
              </w:rPr>
            </w:pPr>
          </w:p>
          <w:p w14:paraId="4313DD26" w14:textId="6C4093A1" w:rsidR="00790F40" w:rsidRPr="004B32DA" w:rsidRDefault="00A2458E" w:rsidP="00B443DE">
            <w:pPr>
              <w:rPr>
                <w:szCs w:val="24"/>
              </w:rPr>
            </w:pPr>
            <w:r w:rsidRPr="004B32DA">
              <w:rPr>
                <w:szCs w:val="24"/>
              </w:rPr>
              <w:t>This R</w:t>
            </w:r>
            <w:r w:rsidR="00F31805">
              <w:rPr>
                <w:szCs w:val="24"/>
              </w:rPr>
              <w:t>O</w:t>
            </w:r>
            <w:r w:rsidRPr="004B32DA">
              <w:rPr>
                <w:szCs w:val="24"/>
              </w:rPr>
              <w:t xml:space="preserve"> has therefore been raised to ensure that these </w:t>
            </w:r>
            <w:r w:rsidR="00F878AF">
              <w:rPr>
                <w:szCs w:val="24"/>
              </w:rPr>
              <w:t>potential shortfalls</w:t>
            </w:r>
            <w:r w:rsidR="00F878AF" w:rsidRPr="004B32DA">
              <w:rPr>
                <w:szCs w:val="24"/>
              </w:rPr>
              <w:t xml:space="preserve"> </w:t>
            </w:r>
            <w:r w:rsidRPr="004B32DA">
              <w:rPr>
                <w:szCs w:val="24"/>
              </w:rPr>
              <w:t>are resolved in a satisfactory and timely manner for the SMR-300.</w:t>
            </w:r>
          </w:p>
          <w:p w14:paraId="556F3A70" w14:textId="77777777" w:rsidR="00790F40" w:rsidRDefault="00790F40" w:rsidP="002E1C56">
            <w:pPr>
              <w:rPr>
                <w:szCs w:val="24"/>
              </w:rPr>
            </w:pPr>
          </w:p>
          <w:p w14:paraId="525AD6B3" w14:textId="2E7E69D6" w:rsidR="002E1C56" w:rsidRPr="00381F42" w:rsidRDefault="00FC44CA" w:rsidP="002E1C56">
            <w:pPr>
              <w:rPr>
                <w:b/>
                <w:bCs/>
                <w:szCs w:val="24"/>
                <w:u w:val="single"/>
              </w:rPr>
            </w:pPr>
            <w:r w:rsidRPr="00381F42">
              <w:rPr>
                <w:b/>
                <w:bCs/>
                <w:szCs w:val="24"/>
                <w:u w:val="single"/>
              </w:rPr>
              <w:t>Relevant Legislation, Standards and Guidance</w:t>
            </w:r>
          </w:p>
          <w:p w14:paraId="01EB7CA1" w14:textId="77777777" w:rsidR="002E1C56" w:rsidRPr="004B32DA" w:rsidRDefault="002E1C56" w:rsidP="002E1C56">
            <w:pPr>
              <w:rPr>
                <w:szCs w:val="24"/>
              </w:rPr>
            </w:pPr>
          </w:p>
          <w:p w14:paraId="4BA96969" w14:textId="19D80272" w:rsidR="00D37A33" w:rsidRDefault="00D37A33" w:rsidP="00D37A33">
            <w:pPr>
              <w:rPr>
                <w:szCs w:val="24"/>
              </w:rPr>
            </w:pPr>
            <w:r w:rsidRPr="004B32DA">
              <w:rPr>
                <w:szCs w:val="24"/>
              </w:rPr>
              <w:t xml:space="preserve">The following </w:t>
            </w:r>
            <w:r w:rsidR="00647F09" w:rsidRPr="004B32DA">
              <w:rPr>
                <w:szCs w:val="24"/>
              </w:rPr>
              <w:t>Safety Assessment Principles (</w:t>
            </w:r>
            <w:r w:rsidRPr="004B32DA">
              <w:rPr>
                <w:szCs w:val="24"/>
              </w:rPr>
              <w:t>SAPS</w:t>
            </w:r>
            <w:r w:rsidR="00647F09" w:rsidRPr="004B32DA">
              <w:rPr>
                <w:szCs w:val="24"/>
              </w:rPr>
              <w:t>)</w:t>
            </w:r>
            <w:r w:rsidRPr="004B32DA">
              <w:rPr>
                <w:szCs w:val="24"/>
              </w:rPr>
              <w:t xml:space="preserve"> [</w:t>
            </w:r>
            <w:r w:rsidR="00F54BD1">
              <w:rPr>
                <w:szCs w:val="24"/>
              </w:rPr>
              <w:t>6</w:t>
            </w:r>
            <w:r w:rsidRPr="004B32DA">
              <w:rPr>
                <w:szCs w:val="24"/>
              </w:rPr>
              <w:t>] are of particular relevance to this RO:</w:t>
            </w:r>
          </w:p>
          <w:p w14:paraId="19D29CD6" w14:textId="77777777" w:rsidR="00EC2C8F" w:rsidRPr="004B32DA" w:rsidRDefault="00EC2C8F" w:rsidP="00D37A33">
            <w:pPr>
              <w:rPr>
                <w:szCs w:val="24"/>
              </w:rPr>
            </w:pPr>
          </w:p>
          <w:p w14:paraId="0626B11C" w14:textId="7D0A2D5B" w:rsidR="00D37A33" w:rsidRPr="004B32DA" w:rsidRDefault="00D37A33" w:rsidP="00D37A33">
            <w:pPr>
              <w:pStyle w:val="ListParagraph"/>
              <w:numPr>
                <w:ilvl w:val="0"/>
                <w:numId w:val="27"/>
              </w:numPr>
              <w:rPr>
                <w:szCs w:val="24"/>
              </w:rPr>
            </w:pPr>
            <w:r w:rsidRPr="004B32DA">
              <w:rPr>
                <w:szCs w:val="24"/>
              </w:rPr>
              <w:t>E</w:t>
            </w:r>
            <w:r w:rsidR="00EC2C8F">
              <w:rPr>
                <w:szCs w:val="24"/>
              </w:rPr>
              <w:t>K</w:t>
            </w:r>
            <w:r w:rsidRPr="004B32DA">
              <w:rPr>
                <w:szCs w:val="24"/>
              </w:rPr>
              <w:t>P.3    Defence in depth</w:t>
            </w:r>
          </w:p>
          <w:p w14:paraId="64245531" w14:textId="723CE9BB" w:rsidR="00D37A33" w:rsidRPr="004B32DA" w:rsidRDefault="00D37A33" w:rsidP="00D37A33">
            <w:pPr>
              <w:pStyle w:val="ListParagraph"/>
              <w:numPr>
                <w:ilvl w:val="0"/>
                <w:numId w:val="27"/>
              </w:numPr>
              <w:rPr>
                <w:szCs w:val="24"/>
              </w:rPr>
            </w:pPr>
            <w:r w:rsidRPr="004B32DA">
              <w:rPr>
                <w:szCs w:val="24"/>
              </w:rPr>
              <w:t>EDR.1    Failure to Safety</w:t>
            </w:r>
          </w:p>
          <w:p w14:paraId="6D5B319A" w14:textId="43AD8E66" w:rsidR="0010722F" w:rsidRPr="004B32DA" w:rsidRDefault="0010722F" w:rsidP="00D37A33">
            <w:pPr>
              <w:pStyle w:val="ListParagraph"/>
              <w:numPr>
                <w:ilvl w:val="0"/>
                <w:numId w:val="27"/>
              </w:numPr>
              <w:rPr>
                <w:szCs w:val="24"/>
              </w:rPr>
            </w:pPr>
            <w:r w:rsidRPr="004B32DA">
              <w:rPr>
                <w:szCs w:val="24"/>
              </w:rPr>
              <w:t>EDR.2</w:t>
            </w:r>
            <w:r w:rsidR="00C16A4C" w:rsidRPr="004B32DA">
              <w:rPr>
                <w:szCs w:val="24"/>
              </w:rPr>
              <w:t xml:space="preserve">    Redundancy, diversity and segregation</w:t>
            </w:r>
          </w:p>
          <w:p w14:paraId="60E53687" w14:textId="77777777" w:rsidR="00D37A33" w:rsidRPr="004B32DA" w:rsidRDefault="00D37A33" w:rsidP="00D37A33">
            <w:pPr>
              <w:pStyle w:val="ListParagraph"/>
              <w:numPr>
                <w:ilvl w:val="0"/>
                <w:numId w:val="27"/>
              </w:numPr>
              <w:rPr>
                <w:szCs w:val="24"/>
              </w:rPr>
            </w:pPr>
            <w:r w:rsidRPr="004B32DA">
              <w:rPr>
                <w:szCs w:val="24"/>
              </w:rPr>
              <w:t>EDR.3    Common Cause Failure</w:t>
            </w:r>
          </w:p>
          <w:p w14:paraId="5469D14D" w14:textId="483C347F" w:rsidR="00D37A33" w:rsidRPr="004B32DA" w:rsidRDefault="00D37A33" w:rsidP="00D37A33">
            <w:pPr>
              <w:pStyle w:val="ListParagraph"/>
              <w:numPr>
                <w:ilvl w:val="0"/>
                <w:numId w:val="27"/>
              </w:numPr>
              <w:rPr>
                <w:szCs w:val="24"/>
              </w:rPr>
            </w:pPr>
            <w:r w:rsidRPr="004B32DA">
              <w:rPr>
                <w:szCs w:val="24"/>
              </w:rPr>
              <w:t>EDR.4    Single failure criterion</w:t>
            </w:r>
          </w:p>
          <w:p w14:paraId="2F556D60" w14:textId="7DA1D4AA" w:rsidR="006A0A26" w:rsidRPr="004B32DA" w:rsidRDefault="006A0A26" w:rsidP="00D37A33">
            <w:pPr>
              <w:pStyle w:val="ListParagraph"/>
              <w:numPr>
                <w:ilvl w:val="0"/>
                <w:numId w:val="27"/>
              </w:numPr>
              <w:rPr>
                <w:szCs w:val="24"/>
              </w:rPr>
            </w:pPr>
            <w:r w:rsidRPr="004B32DA">
              <w:rPr>
                <w:szCs w:val="24"/>
              </w:rPr>
              <w:t>ERC.2    Shutdown systems</w:t>
            </w:r>
          </w:p>
          <w:p w14:paraId="7A8F6544" w14:textId="2CE9F41E" w:rsidR="00D37A33" w:rsidRPr="004B32DA" w:rsidRDefault="00D37A33" w:rsidP="00D37A33">
            <w:pPr>
              <w:pStyle w:val="ListParagraph"/>
              <w:numPr>
                <w:ilvl w:val="0"/>
                <w:numId w:val="27"/>
              </w:numPr>
              <w:rPr>
                <w:szCs w:val="24"/>
              </w:rPr>
            </w:pPr>
            <w:r w:rsidRPr="004B32DA">
              <w:rPr>
                <w:szCs w:val="24"/>
              </w:rPr>
              <w:t xml:space="preserve">ESS.1    </w:t>
            </w:r>
            <w:r w:rsidR="00EC2C8F">
              <w:rPr>
                <w:szCs w:val="24"/>
              </w:rPr>
              <w:t xml:space="preserve"> </w:t>
            </w:r>
            <w:r w:rsidRPr="004B32DA">
              <w:rPr>
                <w:szCs w:val="24"/>
              </w:rPr>
              <w:t>Provision of safety systems</w:t>
            </w:r>
          </w:p>
          <w:p w14:paraId="6A2CC9ED" w14:textId="77777777" w:rsidR="00D37A33" w:rsidRPr="004B32DA" w:rsidRDefault="00D37A33" w:rsidP="00D37A33">
            <w:pPr>
              <w:pStyle w:val="ListParagraph"/>
              <w:numPr>
                <w:ilvl w:val="0"/>
                <w:numId w:val="27"/>
              </w:numPr>
              <w:rPr>
                <w:szCs w:val="24"/>
              </w:rPr>
            </w:pPr>
            <w:r w:rsidRPr="004B32DA">
              <w:rPr>
                <w:szCs w:val="24"/>
              </w:rPr>
              <w:t>ESS.18   Failure independence</w:t>
            </w:r>
          </w:p>
          <w:p w14:paraId="534B7C69" w14:textId="77777777" w:rsidR="00D37A33" w:rsidRPr="004B32DA" w:rsidRDefault="00D37A33" w:rsidP="00D37A33">
            <w:pPr>
              <w:pStyle w:val="ListParagraph"/>
              <w:numPr>
                <w:ilvl w:val="0"/>
                <w:numId w:val="27"/>
              </w:numPr>
              <w:rPr>
                <w:szCs w:val="24"/>
              </w:rPr>
            </w:pPr>
            <w:r w:rsidRPr="004B32DA">
              <w:rPr>
                <w:szCs w:val="24"/>
              </w:rPr>
              <w:t>ESS.21   Reliability</w:t>
            </w:r>
          </w:p>
          <w:p w14:paraId="11F0B6E4" w14:textId="77777777" w:rsidR="00D37A33" w:rsidRDefault="00D37A33" w:rsidP="00D37A33">
            <w:pPr>
              <w:pStyle w:val="ListParagraph"/>
              <w:numPr>
                <w:ilvl w:val="0"/>
                <w:numId w:val="27"/>
              </w:numPr>
              <w:rPr>
                <w:szCs w:val="24"/>
              </w:rPr>
            </w:pPr>
            <w:r w:rsidRPr="004B32DA">
              <w:rPr>
                <w:szCs w:val="24"/>
              </w:rPr>
              <w:lastRenderedPageBreak/>
              <w:t>ESS.27   Computer-based safety systems</w:t>
            </w:r>
          </w:p>
          <w:p w14:paraId="4266F6C9" w14:textId="77777777" w:rsidR="00D37A33" w:rsidRPr="004B32DA" w:rsidRDefault="00D37A33" w:rsidP="009F4849">
            <w:pPr>
              <w:rPr>
                <w:szCs w:val="24"/>
              </w:rPr>
            </w:pPr>
          </w:p>
          <w:p w14:paraId="38E10A7F" w14:textId="0AEE475A" w:rsidR="00A934A4" w:rsidRDefault="00EE223E" w:rsidP="009F4849">
            <w:pPr>
              <w:rPr>
                <w:szCs w:val="24"/>
              </w:rPr>
            </w:pPr>
            <w:r>
              <w:rPr>
                <w:szCs w:val="24"/>
              </w:rPr>
              <w:t xml:space="preserve">The following international </w:t>
            </w:r>
            <w:r w:rsidR="002B2930">
              <w:rPr>
                <w:szCs w:val="24"/>
              </w:rPr>
              <w:t>standards</w:t>
            </w:r>
            <w:r w:rsidR="00713364">
              <w:rPr>
                <w:szCs w:val="24"/>
              </w:rPr>
              <w:t xml:space="preserve"> </w:t>
            </w:r>
            <w:r w:rsidR="003327CB">
              <w:rPr>
                <w:szCs w:val="24"/>
              </w:rPr>
              <w:t>and,</w:t>
            </w:r>
            <w:r w:rsidR="002B2930">
              <w:rPr>
                <w:szCs w:val="24"/>
              </w:rPr>
              <w:t xml:space="preserve"> Technical</w:t>
            </w:r>
            <w:r w:rsidR="00A934A4" w:rsidRPr="004B32DA">
              <w:rPr>
                <w:szCs w:val="24"/>
              </w:rPr>
              <w:t xml:space="preserve"> Assessment Guides (TAGs) </w:t>
            </w:r>
            <w:r w:rsidR="00A934A4">
              <w:rPr>
                <w:szCs w:val="24"/>
              </w:rPr>
              <w:t>are particularly relevant to the shortfalls described above:-</w:t>
            </w:r>
          </w:p>
          <w:p w14:paraId="70D8E6AD" w14:textId="77777777" w:rsidR="00A934A4" w:rsidRDefault="00A934A4" w:rsidP="009F4849">
            <w:pPr>
              <w:rPr>
                <w:szCs w:val="24"/>
              </w:rPr>
            </w:pPr>
          </w:p>
          <w:p w14:paraId="0DDB81EE" w14:textId="6264A016" w:rsidR="00824C74" w:rsidRPr="000B11B8" w:rsidRDefault="00824C74" w:rsidP="00A934A4">
            <w:pPr>
              <w:pStyle w:val="ListParagraph"/>
              <w:numPr>
                <w:ilvl w:val="0"/>
                <w:numId w:val="45"/>
              </w:numPr>
              <w:rPr>
                <w:b/>
                <w:bCs/>
                <w:szCs w:val="24"/>
              </w:rPr>
            </w:pPr>
            <w:r w:rsidRPr="000B11B8">
              <w:rPr>
                <w:b/>
                <w:bCs/>
                <w:szCs w:val="24"/>
              </w:rPr>
              <w:t>Independence</w:t>
            </w:r>
            <w:r w:rsidR="00F54BD1">
              <w:rPr>
                <w:b/>
                <w:bCs/>
                <w:szCs w:val="24"/>
              </w:rPr>
              <w:t xml:space="preserve"> &amp; CCF</w:t>
            </w:r>
          </w:p>
          <w:p w14:paraId="5399F3E0" w14:textId="77777777" w:rsidR="00824C74" w:rsidRDefault="00824C74" w:rsidP="00FB1E7F">
            <w:pPr>
              <w:pStyle w:val="ListParagraph"/>
              <w:rPr>
                <w:szCs w:val="24"/>
              </w:rPr>
            </w:pPr>
          </w:p>
          <w:p w14:paraId="0B34B730" w14:textId="5076AA4D" w:rsidR="00E90756" w:rsidRDefault="00E90756" w:rsidP="003971BE">
            <w:pPr>
              <w:pStyle w:val="ListParagraph"/>
              <w:numPr>
                <w:ilvl w:val="0"/>
                <w:numId w:val="27"/>
              </w:numPr>
              <w:rPr>
                <w:i/>
                <w:iCs/>
                <w:szCs w:val="24"/>
              </w:rPr>
            </w:pPr>
            <w:r w:rsidRPr="00E90756">
              <w:rPr>
                <w:szCs w:val="24"/>
              </w:rPr>
              <w:t xml:space="preserve">IAEA Specific Safety Requirements SSR-2/1 </w:t>
            </w:r>
            <w:r w:rsidR="00F54BD1">
              <w:rPr>
                <w:szCs w:val="24"/>
              </w:rPr>
              <w:t xml:space="preserve">[7] </w:t>
            </w:r>
            <w:r w:rsidRPr="00E90756">
              <w:rPr>
                <w:szCs w:val="24"/>
              </w:rPr>
              <w:t xml:space="preserve">– Requirement </w:t>
            </w:r>
            <w:r w:rsidR="003327CB" w:rsidRPr="00E90756">
              <w:rPr>
                <w:szCs w:val="24"/>
              </w:rPr>
              <w:t>21:</w:t>
            </w:r>
            <w:r w:rsidRPr="00E90756">
              <w:rPr>
                <w:szCs w:val="24"/>
              </w:rPr>
              <w:t xml:space="preserve"> Physical separation and independence of safety systems states </w:t>
            </w:r>
            <w:r w:rsidRPr="00450A86">
              <w:rPr>
                <w:i/>
                <w:iCs/>
                <w:szCs w:val="24"/>
              </w:rPr>
              <w:t>“Interference between safety systems or between redundant elements of a system shall be prevented by means such as physical separation, electrical isolation, functional independence and independence of communication (data transfer), as appropriate.”</w:t>
            </w:r>
          </w:p>
          <w:p w14:paraId="338C62E8" w14:textId="3056DD78" w:rsidR="00F31805" w:rsidRPr="00450A86" w:rsidRDefault="00F31805" w:rsidP="003971BE">
            <w:pPr>
              <w:pStyle w:val="ListParagraph"/>
              <w:numPr>
                <w:ilvl w:val="0"/>
                <w:numId w:val="27"/>
              </w:numPr>
              <w:rPr>
                <w:i/>
                <w:iCs/>
                <w:szCs w:val="24"/>
              </w:rPr>
            </w:pPr>
            <w:r w:rsidRPr="009B30FB">
              <w:rPr>
                <w:szCs w:val="24"/>
              </w:rPr>
              <w:t>IAEA Specific Safety Requirements SSR-2/1</w:t>
            </w:r>
            <w:r w:rsidR="00F54BD1">
              <w:rPr>
                <w:szCs w:val="24"/>
              </w:rPr>
              <w:t xml:space="preserve"> [7]</w:t>
            </w:r>
            <w:r w:rsidRPr="009B30FB">
              <w:rPr>
                <w:szCs w:val="24"/>
              </w:rPr>
              <w:t xml:space="preserve"> – Requirement </w:t>
            </w:r>
            <w:r w:rsidR="003327CB" w:rsidRPr="009B30FB">
              <w:rPr>
                <w:szCs w:val="24"/>
              </w:rPr>
              <w:t>2</w:t>
            </w:r>
            <w:r w:rsidR="003327CB" w:rsidRPr="006B2AF5">
              <w:rPr>
                <w:szCs w:val="24"/>
              </w:rPr>
              <w:t>4:</w:t>
            </w:r>
            <w:r w:rsidRPr="006B2AF5">
              <w:rPr>
                <w:szCs w:val="24"/>
              </w:rPr>
              <w:t xml:space="preserve"> Common Cause failures states </w:t>
            </w:r>
            <w:r w:rsidRPr="006B2AF5">
              <w:rPr>
                <w:i/>
                <w:iCs/>
                <w:szCs w:val="24"/>
              </w:rPr>
              <w:t>“The design of equipment shall take due account of the potential for common cause failures of items important to safety, to determine how the concepts of diversity, redundancy, physical separation and functional independence have to be applied to achieve the necessary reliability.”</w:t>
            </w:r>
          </w:p>
          <w:p w14:paraId="13D0D8B4" w14:textId="55E601A2" w:rsidR="00E90756" w:rsidRDefault="006B2AF5" w:rsidP="003971BE">
            <w:pPr>
              <w:pStyle w:val="ListParagraph"/>
              <w:numPr>
                <w:ilvl w:val="0"/>
                <w:numId w:val="27"/>
              </w:numPr>
              <w:rPr>
                <w:i/>
                <w:iCs/>
                <w:szCs w:val="24"/>
              </w:rPr>
            </w:pPr>
            <w:r w:rsidRPr="006B2AF5">
              <w:rPr>
                <w:szCs w:val="24"/>
              </w:rPr>
              <w:t>IAEA Specific Safety Requirements SSR-2/1</w:t>
            </w:r>
            <w:r w:rsidR="00F54BD1">
              <w:rPr>
                <w:szCs w:val="24"/>
              </w:rPr>
              <w:t xml:space="preserve"> [7]</w:t>
            </w:r>
            <w:r w:rsidRPr="006B2AF5">
              <w:rPr>
                <w:szCs w:val="24"/>
              </w:rPr>
              <w:t xml:space="preserve"> – Requirement 64: Separation of protection systems and control systems states </w:t>
            </w:r>
            <w:r w:rsidRPr="00450A86">
              <w:rPr>
                <w:i/>
                <w:iCs/>
                <w:szCs w:val="24"/>
              </w:rPr>
              <w:t>“Interference between protection systems and control systems at the nuclear power plant shall be prevented by means of separation, by avoiding interconnections or by suitable functional independence.”</w:t>
            </w:r>
          </w:p>
          <w:p w14:paraId="75D62B8E" w14:textId="6A5D90EA" w:rsidR="006B2AF5" w:rsidRDefault="006B2AF5" w:rsidP="006B2AF5">
            <w:pPr>
              <w:pStyle w:val="ListParagraph"/>
              <w:numPr>
                <w:ilvl w:val="0"/>
                <w:numId w:val="27"/>
              </w:numPr>
              <w:rPr>
                <w:i/>
                <w:iCs/>
                <w:szCs w:val="24"/>
              </w:rPr>
            </w:pPr>
            <w:r w:rsidRPr="00BD133E">
              <w:rPr>
                <w:szCs w:val="24"/>
              </w:rPr>
              <w:t xml:space="preserve">IAEA Safety Standard SSG-39 </w:t>
            </w:r>
            <w:r>
              <w:rPr>
                <w:szCs w:val="24"/>
              </w:rPr>
              <w:t>[</w:t>
            </w:r>
            <w:r w:rsidR="00F54BD1">
              <w:rPr>
                <w:szCs w:val="24"/>
              </w:rPr>
              <w:t>8</w:t>
            </w:r>
            <w:r>
              <w:rPr>
                <w:szCs w:val="24"/>
              </w:rPr>
              <w:t xml:space="preserve">], section 4.14 </w:t>
            </w:r>
            <w:r w:rsidRPr="00BD133E">
              <w:rPr>
                <w:szCs w:val="24"/>
              </w:rPr>
              <w:t>states</w:t>
            </w:r>
            <w:r>
              <w:rPr>
                <w:szCs w:val="24"/>
              </w:rPr>
              <w:t xml:space="preserve"> </w:t>
            </w:r>
            <w:r>
              <w:rPr>
                <w:i/>
                <w:iCs/>
                <w:szCs w:val="24"/>
              </w:rPr>
              <w:t>“</w:t>
            </w:r>
            <w:r w:rsidRPr="006B2AF5">
              <w:rPr>
                <w:i/>
                <w:iCs/>
                <w:szCs w:val="24"/>
              </w:rPr>
              <w:t>Independence within the overall I&amp;C architecture is intended to prevent the propagation of failures between systems, and to avoid, where practical, exposure of multiple systems to the same sources of common cause failure.</w:t>
            </w:r>
            <w:r>
              <w:rPr>
                <w:i/>
                <w:iCs/>
                <w:szCs w:val="24"/>
              </w:rPr>
              <w:t>”</w:t>
            </w:r>
          </w:p>
          <w:p w14:paraId="3AB95CA0" w14:textId="68B7EA63" w:rsidR="006B2AF5" w:rsidRPr="00450A86" w:rsidRDefault="006B2AF5" w:rsidP="00960105">
            <w:pPr>
              <w:pStyle w:val="ListParagraph"/>
              <w:numPr>
                <w:ilvl w:val="0"/>
                <w:numId w:val="27"/>
              </w:numPr>
              <w:rPr>
                <w:i/>
                <w:iCs/>
                <w:szCs w:val="24"/>
              </w:rPr>
            </w:pPr>
            <w:r w:rsidRPr="00960105">
              <w:rPr>
                <w:szCs w:val="24"/>
              </w:rPr>
              <w:t xml:space="preserve">IAEA Safety Standard SSG-39 </w:t>
            </w:r>
            <w:r w:rsidR="00E8389A">
              <w:rPr>
                <w:szCs w:val="24"/>
              </w:rPr>
              <w:fldChar w:fldCharType="begin"/>
            </w:r>
            <w:r w:rsidR="00E8389A">
              <w:rPr>
                <w:szCs w:val="24"/>
              </w:rPr>
              <w:instrText xml:space="preserve"> REF _Ref211417740 \r \h </w:instrText>
            </w:r>
            <w:r w:rsidR="00E8389A">
              <w:rPr>
                <w:szCs w:val="24"/>
              </w:rPr>
            </w:r>
            <w:r w:rsidR="00E8389A">
              <w:rPr>
                <w:szCs w:val="24"/>
              </w:rPr>
              <w:fldChar w:fldCharType="separate"/>
            </w:r>
            <w:r w:rsidR="00E8389A">
              <w:rPr>
                <w:szCs w:val="24"/>
                <w:cs/>
              </w:rPr>
              <w:t>‎</w:t>
            </w:r>
            <w:r w:rsidR="00E8389A">
              <w:rPr>
                <w:szCs w:val="24"/>
              </w:rPr>
              <w:t>[8]</w:t>
            </w:r>
            <w:r w:rsidR="00E8389A">
              <w:rPr>
                <w:szCs w:val="24"/>
              </w:rPr>
              <w:fldChar w:fldCharType="end"/>
            </w:r>
            <w:r w:rsidRPr="00960105">
              <w:rPr>
                <w:szCs w:val="24"/>
              </w:rPr>
              <w:t xml:space="preserve">, section 4.15 states </w:t>
            </w:r>
            <w:r w:rsidR="00960105" w:rsidRPr="00960105">
              <w:rPr>
                <w:i/>
                <w:iCs/>
                <w:szCs w:val="24"/>
              </w:rPr>
              <w:t>“The overall I&amp;C architecture should neither compromise the independence of safety system divisions, nor the independence of the different levels of the defence in depth applied at the plant.</w:t>
            </w:r>
            <w:r w:rsidR="00960105">
              <w:rPr>
                <w:i/>
                <w:iCs/>
                <w:szCs w:val="24"/>
              </w:rPr>
              <w:t>”</w:t>
            </w:r>
          </w:p>
          <w:p w14:paraId="378A2486" w14:textId="16B6A16B" w:rsidR="005C5057" w:rsidRPr="005C5057" w:rsidRDefault="005C5057" w:rsidP="00450A86">
            <w:pPr>
              <w:pStyle w:val="ListParagraph"/>
              <w:numPr>
                <w:ilvl w:val="0"/>
                <w:numId w:val="27"/>
              </w:numPr>
            </w:pPr>
            <w:r w:rsidRPr="005C5057">
              <w:t xml:space="preserve">IEC 61513:2013 </w:t>
            </w:r>
            <w:r w:rsidR="00E8389A">
              <w:t>[</w:t>
            </w:r>
            <w:r w:rsidR="00E8389A">
              <w:rPr>
                <w:szCs w:val="24"/>
              </w:rPr>
              <w:t>10</w:t>
            </w:r>
            <w:r w:rsidR="00E8389A">
              <w:t>]</w:t>
            </w:r>
            <w:r w:rsidR="00AE06CA">
              <w:t xml:space="preserve"> </w:t>
            </w:r>
            <w:r w:rsidRPr="005C5057">
              <w:t xml:space="preserve">para 5.4.2.6 states </w:t>
            </w:r>
            <w:r w:rsidRPr="00450A86">
              <w:rPr>
                <w:i/>
                <w:iCs/>
              </w:rPr>
              <w:t>“Where Class 1 and lower class I&amp;C systems are claimed in the deterministic safety case as different lines of defence effective for design basis accidents, these systems shall be independent.”</w:t>
            </w:r>
          </w:p>
          <w:p w14:paraId="524EAC68" w14:textId="1B553E44" w:rsidR="00F54BD1" w:rsidRDefault="00F54BD1" w:rsidP="00F54BD1">
            <w:pPr>
              <w:pStyle w:val="ListParagraph"/>
              <w:numPr>
                <w:ilvl w:val="0"/>
                <w:numId w:val="47"/>
              </w:numPr>
              <w:rPr>
                <w:i/>
                <w:iCs/>
                <w:szCs w:val="24"/>
              </w:rPr>
            </w:pPr>
            <w:r w:rsidRPr="00763580">
              <w:rPr>
                <w:szCs w:val="24"/>
              </w:rPr>
              <w:t xml:space="preserve">IEC 61513:2013 </w:t>
            </w:r>
            <w:r w:rsidR="00E8389A">
              <w:rPr>
                <w:szCs w:val="24"/>
              </w:rPr>
              <w:t>[10]</w:t>
            </w:r>
            <w:r>
              <w:rPr>
                <w:szCs w:val="24"/>
              </w:rPr>
              <w:t xml:space="preserve"> para 5.4.2.6 </w:t>
            </w:r>
            <w:r w:rsidRPr="00763580">
              <w:rPr>
                <w:szCs w:val="24"/>
              </w:rPr>
              <w:t xml:space="preserve">states </w:t>
            </w:r>
            <w:r w:rsidRPr="00763580">
              <w:rPr>
                <w:i/>
                <w:iCs/>
                <w:szCs w:val="24"/>
              </w:rPr>
              <w:t>“The I&amp;C architectural design should use the principle of diversity where high reliability is required for a safety group, and hence sources and effects of CCF are to be considered.</w:t>
            </w:r>
            <w:r>
              <w:rPr>
                <w:i/>
                <w:iCs/>
                <w:szCs w:val="24"/>
              </w:rPr>
              <w:t xml:space="preserve"> </w:t>
            </w:r>
            <w:r w:rsidRPr="00763580">
              <w:rPr>
                <w:i/>
                <w:iCs/>
                <w:szCs w:val="24"/>
              </w:rPr>
              <w:t>Functional, signal and equipment diversity should be considered.</w:t>
            </w:r>
            <w:r>
              <w:rPr>
                <w:i/>
                <w:iCs/>
                <w:szCs w:val="24"/>
              </w:rPr>
              <w:t>”</w:t>
            </w:r>
          </w:p>
          <w:p w14:paraId="65502EBD" w14:textId="666A1318" w:rsidR="00182E42" w:rsidRDefault="00CE73F8" w:rsidP="003F0897">
            <w:pPr>
              <w:pStyle w:val="ListParagraph"/>
              <w:numPr>
                <w:ilvl w:val="0"/>
                <w:numId w:val="47"/>
              </w:numPr>
              <w:rPr>
                <w:i/>
                <w:iCs/>
                <w:szCs w:val="24"/>
              </w:rPr>
            </w:pPr>
            <w:r w:rsidRPr="003F0897">
              <w:rPr>
                <w:szCs w:val="24"/>
              </w:rPr>
              <w:t>IEC 61513</w:t>
            </w:r>
            <w:r w:rsidR="004A4869" w:rsidRPr="003F0897">
              <w:rPr>
                <w:szCs w:val="24"/>
              </w:rPr>
              <w:t>:2</w:t>
            </w:r>
            <w:r w:rsidR="005C5057">
              <w:rPr>
                <w:szCs w:val="24"/>
              </w:rPr>
              <w:t>0</w:t>
            </w:r>
            <w:r w:rsidR="004A4869" w:rsidRPr="003F0897">
              <w:rPr>
                <w:szCs w:val="24"/>
              </w:rPr>
              <w:t xml:space="preserve">13 </w:t>
            </w:r>
            <w:r w:rsidR="00E8389A">
              <w:rPr>
                <w:szCs w:val="24"/>
              </w:rPr>
              <w:fldChar w:fldCharType="begin"/>
            </w:r>
            <w:r w:rsidR="00E8389A">
              <w:rPr>
                <w:szCs w:val="24"/>
              </w:rPr>
              <w:instrText xml:space="preserve"> REF _Ref211417693 \r \h </w:instrText>
            </w:r>
            <w:r w:rsidR="00E8389A">
              <w:rPr>
                <w:szCs w:val="24"/>
              </w:rPr>
            </w:r>
            <w:r w:rsidR="00E8389A">
              <w:rPr>
                <w:szCs w:val="24"/>
              </w:rPr>
              <w:fldChar w:fldCharType="separate"/>
            </w:r>
            <w:r w:rsidR="00E8389A">
              <w:rPr>
                <w:szCs w:val="24"/>
                <w:cs/>
              </w:rPr>
              <w:t>‎</w:t>
            </w:r>
            <w:r w:rsidR="00E8389A">
              <w:rPr>
                <w:szCs w:val="24"/>
              </w:rPr>
              <w:t>[10]</w:t>
            </w:r>
            <w:r w:rsidR="00E8389A">
              <w:rPr>
                <w:szCs w:val="24"/>
              </w:rPr>
              <w:fldChar w:fldCharType="end"/>
            </w:r>
            <w:r w:rsidR="00AE06CA">
              <w:rPr>
                <w:szCs w:val="24"/>
              </w:rPr>
              <w:t xml:space="preserve"> </w:t>
            </w:r>
            <w:r w:rsidR="004A4869" w:rsidRPr="003F0897">
              <w:rPr>
                <w:szCs w:val="24"/>
              </w:rPr>
              <w:t xml:space="preserve">para 6.2.3.3.3 states </w:t>
            </w:r>
            <w:r w:rsidR="003F0897" w:rsidRPr="003F0897">
              <w:rPr>
                <w:i/>
                <w:iCs/>
                <w:szCs w:val="24"/>
              </w:rPr>
              <w:t>“Independence includes provisions to prevent adverse interaction between subsystems of the system or with other systems which might result from abnormal operation or from failure of</w:t>
            </w:r>
            <w:r w:rsidR="003F0897">
              <w:rPr>
                <w:i/>
                <w:iCs/>
                <w:szCs w:val="24"/>
              </w:rPr>
              <w:t xml:space="preserve"> </w:t>
            </w:r>
            <w:r w:rsidR="003F0897" w:rsidRPr="003F0897">
              <w:rPr>
                <w:i/>
                <w:iCs/>
                <w:szCs w:val="24"/>
              </w:rPr>
              <w:t xml:space="preserve">any component in either </w:t>
            </w:r>
            <w:r w:rsidR="003F0897">
              <w:rPr>
                <w:i/>
                <w:iCs/>
                <w:szCs w:val="24"/>
              </w:rPr>
              <w:t>s</w:t>
            </w:r>
            <w:r w:rsidR="003F0897" w:rsidRPr="003F0897">
              <w:rPr>
                <w:i/>
                <w:iCs/>
                <w:szCs w:val="24"/>
              </w:rPr>
              <w:t>ubsystem or system, including from common-cause failure.</w:t>
            </w:r>
            <w:r w:rsidR="003F0897">
              <w:rPr>
                <w:i/>
                <w:iCs/>
                <w:szCs w:val="24"/>
              </w:rPr>
              <w:t>”</w:t>
            </w:r>
          </w:p>
          <w:p w14:paraId="05997EE7" w14:textId="1692BCFA" w:rsidR="004C504F" w:rsidRPr="004C504F" w:rsidRDefault="007D02B9" w:rsidP="00BE3151">
            <w:pPr>
              <w:pStyle w:val="ListParagraph"/>
              <w:numPr>
                <w:ilvl w:val="0"/>
                <w:numId w:val="47"/>
              </w:numPr>
              <w:rPr>
                <w:i/>
                <w:iCs/>
                <w:szCs w:val="24"/>
              </w:rPr>
            </w:pPr>
            <w:r>
              <w:rPr>
                <w:szCs w:val="24"/>
              </w:rPr>
              <w:t xml:space="preserve">IEC 62340:2010 </w:t>
            </w:r>
            <w:r w:rsidR="00E8389A">
              <w:rPr>
                <w:szCs w:val="24"/>
              </w:rPr>
              <w:fldChar w:fldCharType="begin"/>
            </w:r>
            <w:r w:rsidR="00E8389A">
              <w:rPr>
                <w:szCs w:val="24"/>
              </w:rPr>
              <w:instrText xml:space="preserve"> REF _Ref211417643 \r \h </w:instrText>
            </w:r>
            <w:r w:rsidR="00E8389A">
              <w:rPr>
                <w:szCs w:val="24"/>
              </w:rPr>
            </w:r>
            <w:r w:rsidR="00E8389A">
              <w:rPr>
                <w:szCs w:val="24"/>
              </w:rPr>
              <w:fldChar w:fldCharType="separate"/>
            </w:r>
            <w:r w:rsidR="00E8389A">
              <w:rPr>
                <w:szCs w:val="24"/>
                <w:cs/>
              </w:rPr>
              <w:t>‎</w:t>
            </w:r>
            <w:r w:rsidR="00E8389A">
              <w:rPr>
                <w:szCs w:val="24"/>
              </w:rPr>
              <w:t>[11]</w:t>
            </w:r>
            <w:r w:rsidR="00E8389A">
              <w:rPr>
                <w:szCs w:val="24"/>
              </w:rPr>
              <w:fldChar w:fldCharType="end"/>
            </w:r>
            <w:r w:rsidR="00842CAB">
              <w:rPr>
                <w:szCs w:val="24"/>
              </w:rPr>
              <w:t xml:space="preserve"> </w:t>
            </w:r>
            <w:r>
              <w:rPr>
                <w:szCs w:val="24"/>
              </w:rPr>
              <w:t xml:space="preserve">para 7.1 </w:t>
            </w:r>
            <w:r w:rsidR="00BE3151">
              <w:rPr>
                <w:szCs w:val="24"/>
              </w:rPr>
              <w:t xml:space="preserve">states the principle of independence is </w:t>
            </w:r>
            <w:r w:rsidR="00713364">
              <w:rPr>
                <w:szCs w:val="24"/>
              </w:rPr>
              <w:t xml:space="preserve">that </w:t>
            </w:r>
            <w:r w:rsidR="00BE3151" w:rsidRPr="00BE3151">
              <w:rPr>
                <w:i/>
                <w:iCs/>
                <w:szCs w:val="24"/>
              </w:rPr>
              <w:t>“I&amp;C systems perform their safety functions independently if a postulated failure of one of these I&amp;C systems does not prevent the other systems from performing their functions as intended</w:t>
            </w:r>
            <w:r w:rsidR="00713364">
              <w:rPr>
                <w:i/>
                <w:iCs/>
                <w:szCs w:val="24"/>
              </w:rPr>
              <w:t>.</w:t>
            </w:r>
            <w:r w:rsidR="00BE3151" w:rsidRPr="00BE3151">
              <w:rPr>
                <w:i/>
                <w:iCs/>
                <w:szCs w:val="24"/>
              </w:rPr>
              <w:t>”</w:t>
            </w:r>
          </w:p>
          <w:p w14:paraId="4DA198AA" w14:textId="5AD08E1D" w:rsidR="00595244" w:rsidRDefault="004C504F" w:rsidP="00595244">
            <w:pPr>
              <w:pStyle w:val="ListParagraph"/>
              <w:numPr>
                <w:ilvl w:val="0"/>
                <w:numId w:val="47"/>
              </w:numPr>
              <w:rPr>
                <w:i/>
                <w:iCs/>
                <w:szCs w:val="24"/>
              </w:rPr>
            </w:pPr>
            <w:r>
              <w:rPr>
                <w:szCs w:val="24"/>
              </w:rPr>
              <w:t xml:space="preserve">IEC 62340:2010 </w:t>
            </w:r>
            <w:r w:rsidR="00FC1ADD">
              <w:rPr>
                <w:szCs w:val="24"/>
              </w:rPr>
              <w:fldChar w:fldCharType="begin"/>
            </w:r>
            <w:r w:rsidR="00FC1ADD">
              <w:rPr>
                <w:szCs w:val="24"/>
              </w:rPr>
              <w:instrText xml:space="preserve"> REF _Ref211417643 \r \h </w:instrText>
            </w:r>
            <w:r w:rsidR="00FC1ADD">
              <w:rPr>
                <w:szCs w:val="24"/>
              </w:rPr>
            </w:r>
            <w:r w:rsidR="00FC1ADD">
              <w:rPr>
                <w:szCs w:val="24"/>
              </w:rPr>
              <w:fldChar w:fldCharType="separate"/>
            </w:r>
            <w:r w:rsidR="00FC1ADD">
              <w:rPr>
                <w:szCs w:val="24"/>
                <w:cs/>
              </w:rPr>
              <w:t>‎</w:t>
            </w:r>
            <w:r w:rsidR="00FC1ADD">
              <w:rPr>
                <w:szCs w:val="24"/>
              </w:rPr>
              <w:t>[11]</w:t>
            </w:r>
            <w:r w:rsidR="00FC1ADD">
              <w:rPr>
                <w:szCs w:val="24"/>
              </w:rPr>
              <w:fldChar w:fldCharType="end"/>
            </w:r>
            <w:r w:rsidR="00842CAB">
              <w:rPr>
                <w:szCs w:val="24"/>
              </w:rPr>
              <w:t xml:space="preserve"> </w:t>
            </w:r>
            <w:r>
              <w:rPr>
                <w:szCs w:val="24"/>
              </w:rPr>
              <w:t xml:space="preserve">para </w:t>
            </w:r>
            <w:r w:rsidR="00AD41C6">
              <w:rPr>
                <w:szCs w:val="24"/>
              </w:rPr>
              <w:t>7.1.3 states</w:t>
            </w:r>
            <w:r w:rsidR="007A6F84">
              <w:rPr>
                <w:szCs w:val="24"/>
              </w:rPr>
              <w:t xml:space="preserve"> </w:t>
            </w:r>
            <w:r w:rsidR="007A6F84" w:rsidRPr="007A6F84">
              <w:rPr>
                <w:i/>
                <w:iCs/>
                <w:szCs w:val="24"/>
              </w:rPr>
              <w:t>“The design of the architecture of I&amp;C systems which are claimed to be independent I&amp;C systems shall provide: a) system specific processing paths from sensing the plant status to the actuation of the plant safety systems without using shared components</w:t>
            </w:r>
            <w:r w:rsidR="00713364">
              <w:rPr>
                <w:i/>
                <w:iCs/>
                <w:szCs w:val="24"/>
              </w:rPr>
              <w:t>.</w:t>
            </w:r>
            <w:r w:rsidR="007A6F84" w:rsidRPr="007A6F84">
              <w:rPr>
                <w:i/>
                <w:iCs/>
                <w:szCs w:val="24"/>
              </w:rPr>
              <w:t>”</w:t>
            </w:r>
            <w:r w:rsidR="00595244">
              <w:rPr>
                <w:i/>
                <w:iCs/>
                <w:szCs w:val="24"/>
              </w:rPr>
              <w:t xml:space="preserve"> </w:t>
            </w:r>
          </w:p>
          <w:p w14:paraId="368D326D" w14:textId="03824177" w:rsidR="00F31805" w:rsidRPr="00450A86" w:rsidRDefault="00F31805" w:rsidP="00F31805">
            <w:pPr>
              <w:pStyle w:val="ListParagraph"/>
              <w:numPr>
                <w:ilvl w:val="0"/>
                <w:numId w:val="47"/>
              </w:numPr>
              <w:rPr>
                <w:i/>
                <w:iCs/>
                <w:szCs w:val="24"/>
              </w:rPr>
            </w:pPr>
            <w:r w:rsidRPr="005778FD">
              <w:rPr>
                <w:szCs w:val="24"/>
              </w:rPr>
              <w:lastRenderedPageBreak/>
              <w:t xml:space="preserve">ONR TAG 30 </w:t>
            </w:r>
            <w:r w:rsidR="009D614C">
              <w:rPr>
                <w:szCs w:val="24"/>
              </w:rPr>
              <w:fldChar w:fldCharType="begin"/>
            </w:r>
            <w:r w:rsidR="009D614C">
              <w:rPr>
                <w:szCs w:val="24"/>
              </w:rPr>
              <w:instrText xml:space="preserve"> REF _Ref211417628 \r \h </w:instrText>
            </w:r>
            <w:r w:rsidR="009D614C">
              <w:rPr>
                <w:szCs w:val="24"/>
              </w:rPr>
            </w:r>
            <w:r w:rsidR="009D614C">
              <w:rPr>
                <w:szCs w:val="24"/>
              </w:rPr>
              <w:fldChar w:fldCharType="separate"/>
            </w:r>
            <w:r w:rsidR="009D614C">
              <w:rPr>
                <w:szCs w:val="24"/>
                <w:cs/>
              </w:rPr>
              <w:t>‎</w:t>
            </w:r>
            <w:r w:rsidR="009D614C">
              <w:rPr>
                <w:szCs w:val="24"/>
              </w:rPr>
              <w:t>[12]</w:t>
            </w:r>
            <w:r w:rsidR="009D614C">
              <w:rPr>
                <w:szCs w:val="24"/>
              </w:rPr>
              <w:fldChar w:fldCharType="end"/>
            </w:r>
            <w:r>
              <w:rPr>
                <w:szCs w:val="24"/>
              </w:rPr>
              <w:t xml:space="preserve"> </w:t>
            </w:r>
            <w:r w:rsidRPr="005778FD">
              <w:rPr>
                <w:szCs w:val="24"/>
              </w:rPr>
              <w:t xml:space="preserve">states </w:t>
            </w:r>
            <w:r w:rsidRPr="005778FD">
              <w:rPr>
                <w:i/>
                <w:iCs/>
                <w:szCs w:val="24"/>
              </w:rPr>
              <w:t>“</w:t>
            </w:r>
            <w:r w:rsidRPr="005778FD">
              <w:rPr>
                <w:i/>
                <w:iCs/>
                <w:color w:val="000000" w:themeColor="text1"/>
                <w:szCs w:val="24"/>
              </w:rPr>
              <w:t>The general approach used for the inclusion of (hardware / software) common cause failure (CCF) events into the system models is clear. The approach is adequate and includes consideration of both intra-system and inter-system CCF events.”</w:t>
            </w:r>
          </w:p>
          <w:p w14:paraId="097C60FE" w14:textId="38008EA3" w:rsidR="005A24E2" w:rsidRPr="00595244" w:rsidRDefault="00CE4D34" w:rsidP="00595244">
            <w:pPr>
              <w:pStyle w:val="ListParagraph"/>
              <w:numPr>
                <w:ilvl w:val="0"/>
                <w:numId w:val="47"/>
              </w:numPr>
              <w:rPr>
                <w:i/>
                <w:iCs/>
                <w:szCs w:val="24"/>
              </w:rPr>
            </w:pPr>
            <w:r>
              <w:rPr>
                <w:szCs w:val="24"/>
              </w:rPr>
              <w:t xml:space="preserve">ONR TAG </w:t>
            </w:r>
            <w:r w:rsidRPr="00CE4D34">
              <w:rPr>
                <w:szCs w:val="24"/>
              </w:rPr>
              <w:t>NS-TAST-GD-036</w:t>
            </w:r>
            <w:r w:rsidR="00842CAB">
              <w:rPr>
                <w:szCs w:val="24"/>
              </w:rPr>
              <w:t xml:space="preserve"> </w:t>
            </w:r>
            <w:r w:rsidR="00EE0B3A">
              <w:rPr>
                <w:szCs w:val="24"/>
              </w:rPr>
              <w:fldChar w:fldCharType="begin"/>
            </w:r>
            <w:r w:rsidR="00EE0B3A">
              <w:rPr>
                <w:szCs w:val="24"/>
              </w:rPr>
              <w:instrText xml:space="preserve"> REF _Ref211417604 \r \h </w:instrText>
            </w:r>
            <w:r w:rsidR="00EE0B3A">
              <w:rPr>
                <w:szCs w:val="24"/>
              </w:rPr>
            </w:r>
            <w:r w:rsidR="00EE0B3A">
              <w:rPr>
                <w:szCs w:val="24"/>
              </w:rPr>
              <w:fldChar w:fldCharType="separate"/>
            </w:r>
            <w:r w:rsidR="00EE0B3A">
              <w:rPr>
                <w:szCs w:val="24"/>
                <w:cs/>
              </w:rPr>
              <w:t>‎</w:t>
            </w:r>
            <w:r w:rsidR="00EE0B3A">
              <w:rPr>
                <w:szCs w:val="24"/>
              </w:rPr>
              <w:t>[13]</w:t>
            </w:r>
            <w:r w:rsidR="00EE0B3A">
              <w:rPr>
                <w:szCs w:val="24"/>
              </w:rPr>
              <w:fldChar w:fldCharType="end"/>
            </w:r>
            <w:r w:rsidR="00CD3118">
              <w:rPr>
                <w:szCs w:val="24"/>
              </w:rPr>
              <w:t xml:space="preserve">, </w:t>
            </w:r>
            <w:r w:rsidR="009E6640">
              <w:rPr>
                <w:szCs w:val="24"/>
              </w:rPr>
              <w:t xml:space="preserve">Section 3.5 </w:t>
            </w:r>
            <w:r w:rsidR="0057157A">
              <w:rPr>
                <w:szCs w:val="24"/>
              </w:rPr>
              <w:t xml:space="preserve">and paragraphs 89 to 93 </w:t>
            </w:r>
            <w:r w:rsidR="009E6640">
              <w:rPr>
                <w:szCs w:val="24"/>
              </w:rPr>
              <w:t>provides further guidance related to independence and its role in supporting defence in depth.</w:t>
            </w:r>
          </w:p>
          <w:p w14:paraId="5223D69F" w14:textId="77777777" w:rsidR="00595244" w:rsidRPr="00595244" w:rsidRDefault="00595244" w:rsidP="00595244">
            <w:pPr>
              <w:pStyle w:val="ListParagraph"/>
              <w:rPr>
                <w:i/>
                <w:iCs/>
                <w:szCs w:val="24"/>
              </w:rPr>
            </w:pPr>
          </w:p>
          <w:p w14:paraId="466A0509" w14:textId="3CCFA50D" w:rsidR="00182C57" w:rsidRPr="0063170C" w:rsidRDefault="00A934A4" w:rsidP="00A934A4">
            <w:pPr>
              <w:pStyle w:val="ListParagraph"/>
              <w:numPr>
                <w:ilvl w:val="0"/>
                <w:numId w:val="45"/>
              </w:numPr>
              <w:rPr>
                <w:b/>
                <w:bCs/>
                <w:szCs w:val="24"/>
              </w:rPr>
            </w:pPr>
            <w:r w:rsidRPr="0063170C">
              <w:rPr>
                <w:b/>
                <w:bCs/>
                <w:szCs w:val="24"/>
              </w:rPr>
              <w:t>Single Failure Criteri</w:t>
            </w:r>
            <w:r w:rsidR="007749D6">
              <w:rPr>
                <w:b/>
                <w:bCs/>
                <w:szCs w:val="24"/>
              </w:rPr>
              <w:t>on</w:t>
            </w:r>
          </w:p>
          <w:p w14:paraId="0A79CB67" w14:textId="77777777" w:rsidR="00A934A4" w:rsidRDefault="00A934A4" w:rsidP="00A934A4">
            <w:pPr>
              <w:rPr>
                <w:szCs w:val="24"/>
              </w:rPr>
            </w:pPr>
          </w:p>
          <w:p w14:paraId="3FDE09CE" w14:textId="0176780F" w:rsidR="006B2AF5" w:rsidRPr="00450A86" w:rsidRDefault="006B2AF5" w:rsidP="006B2AF5">
            <w:pPr>
              <w:pStyle w:val="ListParagraph"/>
              <w:numPr>
                <w:ilvl w:val="0"/>
                <w:numId w:val="46"/>
              </w:numPr>
              <w:rPr>
                <w:i/>
                <w:iCs/>
                <w:szCs w:val="24"/>
              </w:rPr>
            </w:pPr>
            <w:r w:rsidRPr="006B2AF5">
              <w:rPr>
                <w:szCs w:val="24"/>
              </w:rPr>
              <w:t xml:space="preserve">IAEA Specific Safety Requirements SSR-2/1 </w:t>
            </w:r>
            <w:r w:rsidR="00F54BD1">
              <w:rPr>
                <w:szCs w:val="24"/>
              </w:rPr>
              <w:t xml:space="preserve">[7] </w:t>
            </w:r>
            <w:r w:rsidRPr="006B2AF5">
              <w:rPr>
                <w:szCs w:val="24"/>
              </w:rPr>
              <w:t xml:space="preserve">– Requirement </w:t>
            </w:r>
            <w:r w:rsidR="003327CB" w:rsidRPr="006B2AF5">
              <w:rPr>
                <w:szCs w:val="24"/>
              </w:rPr>
              <w:t>25:</w:t>
            </w:r>
            <w:r w:rsidRPr="006B2AF5">
              <w:rPr>
                <w:szCs w:val="24"/>
              </w:rPr>
              <w:t xml:space="preserve"> Single failure criterion states </w:t>
            </w:r>
            <w:r w:rsidRPr="006B2AF5">
              <w:rPr>
                <w:i/>
                <w:iCs/>
                <w:szCs w:val="24"/>
              </w:rPr>
              <w:t>“The single failure criterion shall be applied to each safety group incorporated in the plant design.</w:t>
            </w:r>
            <w:r>
              <w:rPr>
                <w:i/>
                <w:iCs/>
                <w:szCs w:val="24"/>
              </w:rPr>
              <w:t>”</w:t>
            </w:r>
          </w:p>
          <w:p w14:paraId="56ABC769" w14:textId="472B7FED" w:rsidR="00A934A4" w:rsidRDefault="00627846" w:rsidP="00627B60">
            <w:pPr>
              <w:pStyle w:val="ListParagraph"/>
              <w:numPr>
                <w:ilvl w:val="0"/>
                <w:numId w:val="46"/>
              </w:numPr>
              <w:rPr>
                <w:i/>
                <w:iCs/>
                <w:szCs w:val="24"/>
              </w:rPr>
            </w:pPr>
            <w:r w:rsidRPr="00BD133E">
              <w:rPr>
                <w:szCs w:val="24"/>
              </w:rPr>
              <w:t>IAEA Safety Standard SSG-39</w:t>
            </w:r>
            <w:r w:rsidR="00CC7995" w:rsidRPr="00BD133E">
              <w:rPr>
                <w:szCs w:val="24"/>
              </w:rPr>
              <w:t xml:space="preserve"> </w:t>
            </w:r>
            <w:r w:rsidR="00A702A2">
              <w:rPr>
                <w:szCs w:val="24"/>
              </w:rPr>
              <w:t>[</w:t>
            </w:r>
            <w:r w:rsidR="00F54BD1">
              <w:rPr>
                <w:szCs w:val="24"/>
              </w:rPr>
              <w:t>8</w:t>
            </w:r>
            <w:r w:rsidR="00A702A2">
              <w:rPr>
                <w:szCs w:val="24"/>
              </w:rPr>
              <w:t xml:space="preserve">] </w:t>
            </w:r>
            <w:r w:rsidR="00CC7995" w:rsidRPr="00BD133E">
              <w:rPr>
                <w:szCs w:val="24"/>
              </w:rPr>
              <w:t>s</w:t>
            </w:r>
            <w:r w:rsidR="00627B60" w:rsidRPr="00BD133E">
              <w:rPr>
                <w:szCs w:val="24"/>
              </w:rPr>
              <w:t>tates “</w:t>
            </w:r>
            <w:r w:rsidR="00627B60" w:rsidRPr="00BD133E">
              <w:rPr>
                <w:i/>
                <w:iCs/>
                <w:szCs w:val="24"/>
              </w:rPr>
              <w:t>Any identified failures that cannot be detected by periodic testing, alarm or anomalous indication should be assumed to exist in conjunction with single failures when evaluating conformance with the single failure criterion. Failure of self-test features, self-diagnostic features or self-alarm features themselves should be detected and revealed.”</w:t>
            </w:r>
          </w:p>
          <w:p w14:paraId="08F27BB8" w14:textId="5C37644B" w:rsidR="00DF3B30" w:rsidRDefault="004575C3" w:rsidP="00627B60">
            <w:pPr>
              <w:pStyle w:val="ListParagraph"/>
              <w:numPr>
                <w:ilvl w:val="0"/>
                <w:numId w:val="46"/>
              </w:numPr>
              <w:rPr>
                <w:i/>
                <w:iCs/>
                <w:szCs w:val="24"/>
              </w:rPr>
            </w:pPr>
            <w:r>
              <w:rPr>
                <w:szCs w:val="24"/>
              </w:rPr>
              <w:t xml:space="preserve">ONR TAG 06 </w:t>
            </w:r>
            <w:r w:rsidR="002C5ACF">
              <w:rPr>
                <w:szCs w:val="24"/>
              </w:rPr>
              <w:fldChar w:fldCharType="begin"/>
            </w:r>
            <w:r w:rsidR="002C5ACF">
              <w:rPr>
                <w:szCs w:val="24"/>
              </w:rPr>
              <w:instrText xml:space="preserve"> REF _Ref211327202 \r \h </w:instrText>
            </w:r>
            <w:r w:rsidR="002C5ACF">
              <w:rPr>
                <w:szCs w:val="24"/>
              </w:rPr>
            </w:r>
            <w:r w:rsidR="002C5ACF">
              <w:rPr>
                <w:szCs w:val="24"/>
              </w:rPr>
              <w:fldChar w:fldCharType="separate"/>
            </w:r>
            <w:r w:rsidR="004111E0">
              <w:rPr>
                <w:szCs w:val="24"/>
                <w:cs/>
              </w:rPr>
              <w:t>‎</w:t>
            </w:r>
            <w:r w:rsidR="004111E0">
              <w:rPr>
                <w:szCs w:val="24"/>
              </w:rPr>
              <w:t>[9]</w:t>
            </w:r>
            <w:r w:rsidR="002C5ACF">
              <w:rPr>
                <w:szCs w:val="24"/>
              </w:rPr>
              <w:fldChar w:fldCharType="end"/>
            </w:r>
            <w:r w:rsidR="002C5ACF">
              <w:rPr>
                <w:szCs w:val="24"/>
              </w:rPr>
              <w:t xml:space="preserve"> – Appendix 4</w:t>
            </w:r>
          </w:p>
          <w:p w14:paraId="5CFF96C2" w14:textId="77777777" w:rsidR="0091148E" w:rsidRDefault="0091148E" w:rsidP="00627B60">
            <w:pPr>
              <w:pStyle w:val="ListParagraph"/>
              <w:rPr>
                <w:i/>
                <w:iCs/>
                <w:szCs w:val="24"/>
              </w:rPr>
            </w:pPr>
          </w:p>
          <w:p w14:paraId="20BEE796" w14:textId="5F32E037" w:rsidR="00F00EF9" w:rsidRPr="00381F42" w:rsidRDefault="00F00EF9" w:rsidP="00317C74">
            <w:pPr>
              <w:keepNext/>
              <w:rPr>
                <w:b/>
                <w:bCs/>
                <w:szCs w:val="24"/>
                <w:u w:val="single"/>
              </w:rPr>
            </w:pPr>
            <w:r w:rsidRPr="00381F42">
              <w:rPr>
                <w:b/>
                <w:bCs/>
                <w:szCs w:val="24"/>
                <w:u w:val="single"/>
              </w:rPr>
              <w:t>Regulatory Expectations</w:t>
            </w:r>
          </w:p>
          <w:p w14:paraId="588418A9" w14:textId="77777777" w:rsidR="00F00EF9" w:rsidRPr="004B32DA" w:rsidRDefault="00F00EF9" w:rsidP="00317C74">
            <w:pPr>
              <w:keepNext/>
              <w:rPr>
                <w:szCs w:val="24"/>
              </w:rPr>
            </w:pPr>
          </w:p>
          <w:p w14:paraId="1D4A4169" w14:textId="1DE37A52" w:rsidR="006A7917" w:rsidRPr="004B32DA" w:rsidRDefault="001246DE" w:rsidP="006A7917">
            <w:pPr>
              <w:rPr>
                <w:szCs w:val="24"/>
              </w:rPr>
            </w:pPr>
            <w:r w:rsidRPr="004B32DA">
              <w:rPr>
                <w:szCs w:val="24"/>
              </w:rPr>
              <w:t>I</w:t>
            </w:r>
            <w:r w:rsidR="006A7917" w:rsidRPr="004B32DA">
              <w:rPr>
                <w:szCs w:val="24"/>
              </w:rPr>
              <w:t xml:space="preserve">t is ONR’s expectation </w:t>
            </w:r>
            <w:r w:rsidR="003327CB" w:rsidRPr="004B32DA">
              <w:rPr>
                <w:szCs w:val="24"/>
              </w:rPr>
              <w:t>that: -</w:t>
            </w:r>
          </w:p>
          <w:p w14:paraId="11AA6B8F" w14:textId="77777777" w:rsidR="006A7917" w:rsidRPr="004B32DA" w:rsidRDefault="006A7917" w:rsidP="006A7917">
            <w:pPr>
              <w:rPr>
                <w:szCs w:val="24"/>
              </w:rPr>
            </w:pPr>
          </w:p>
          <w:p w14:paraId="592FC8AE" w14:textId="0554D428" w:rsidR="006A7917" w:rsidRDefault="006A7917" w:rsidP="00317C74">
            <w:pPr>
              <w:pStyle w:val="ListParagraph"/>
              <w:numPr>
                <w:ilvl w:val="0"/>
                <w:numId w:val="31"/>
              </w:numPr>
              <w:rPr>
                <w:szCs w:val="24"/>
              </w:rPr>
            </w:pPr>
            <w:r w:rsidRPr="004B32DA">
              <w:rPr>
                <w:szCs w:val="24"/>
              </w:rPr>
              <w:t xml:space="preserve">Safety systems </w:t>
            </w:r>
            <w:r w:rsidR="00DE1D5B">
              <w:rPr>
                <w:szCs w:val="24"/>
              </w:rPr>
              <w:t xml:space="preserve">which </w:t>
            </w:r>
            <w:r w:rsidR="00472BBF">
              <w:rPr>
                <w:szCs w:val="24"/>
              </w:rPr>
              <w:t xml:space="preserve">provide different layers of safety in order to provide defence in depth are independent as far as is </w:t>
            </w:r>
            <w:r w:rsidR="00960105">
              <w:rPr>
                <w:szCs w:val="24"/>
              </w:rPr>
              <w:t>reasonably</w:t>
            </w:r>
            <w:r w:rsidR="00472BBF">
              <w:rPr>
                <w:szCs w:val="24"/>
              </w:rPr>
              <w:t xml:space="preserve"> practicable</w:t>
            </w:r>
            <w:r w:rsidR="0043678D">
              <w:rPr>
                <w:szCs w:val="24"/>
              </w:rPr>
              <w:t xml:space="preserve">, </w:t>
            </w:r>
            <w:r w:rsidR="00C03B52">
              <w:rPr>
                <w:szCs w:val="24"/>
              </w:rPr>
              <w:t xml:space="preserve">and that a </w:t>
            </w:r>
            <w:r w:rsidR="00395798">
              <w:rPr>
                <w:szCs w:val="24"/>
              </w:rPr>
              <w:t>system or component</w:t>
            </w:r>
            <w:r w:rsidR="00F73E90" w:rsidRPr="00F73E90">
              <w:rPr>
                <w:szCs w:val="24"/>
              </w:rPr>
              <w:t xml:space="preserve"> important to safety is not adversely affected by the spurious operation or failure of associated or adjacent systems</w:t>
            </w:r>
            <w:r w:rsidR="001957BB">
              <w:rPr>
                <w:szCs w:val="24"/>
              </w:rPr>
              <w:t>.</w:t>
            </w:r>
          </w:p>
          <w:p w14:paraId="7D29B33A" w14:textId="77777777" w:rsidR="004B32DA" w:rsidRPr="004B32DA" w:rsidRDefault="004B32DA" w:rsidP="004B32DA">
            <w:pPr>
              <w:pStyle w:val="ListParagraph"/>
              <w:ind w:left="1080"/>
              <w:rPr>
                <w:szCs w:val="24"/>
              </w:rPr>
            </w:pPr>
          </w:p>
          <w:p w14:paraId="07477E9B" w14:textId="5A5A1208" w:rsidR="004B32DA" w:rsidRDefault="00482937" w:rsidP="00482937">
            <w:pPr>
              <w:pStyle w:val="ListParagraph"/>
              <w:numPr>
                <w:ilvl w:val="0"/>
                <w:numId w:val="31"/>
              </w:numPr>
              <w:rPr>
                <w:szCs w:val="24"/>
              </w:rPr>
            </w:pPr>
            <w:r>
              <w:rPr>
                <w:szCs w:val="24"/>
              </w:rPr>
              <w:t xml:space="preserve">The design incorporates sufficient diversity </w:t>
            </w:r>
            <w:r w:rsidR="00E4075A">
              <w:rPr>
                <w:szCs w:val="24"/>
              </w:rPr>
              <w:t xml:space="preserve">such </w:t>
            </w:r>
            <w:r w:rsidR="009D007E">
              <w:rPr>
                <w:szCs w:val="24"/>
              </w:rPr>
              <w:t xml:space="preserve">that the fulfilment of </w:t>
            </w:r>
            <w:r>
              <w:rPr>
                <w:szCs w:val="24"/>
              </w:rPr>
              <w:t xml:space="preserve">safety functions </w:t>
            </w:r>
            <w:r w:rsidR="0055034C">
              <w:rPr>
                <w:szCs w:val="24"/>
              </w:rPr>
              <w:t xml:space="preserve">is </w:t>
            </w:r>
            <w:r w:rsidR="009D007E">
              <w:rPr>
                <w:szCs w:val="24"/>
              </w:rPr>
              <w:t xml:space="preserve">not impeded by common cause failures. </w:t>
            </w:r>
          </w:p>
          <w:p w14:paraId="5636AACE" w14:textId="77777777" w:rsidR="00F149CE" w:rsidRPr="00F149CE" w:rsidRDefault="00F149CE" w:rsidP="00F149CE">
            <w:pPr>
              <w:pStyle w:val="ListParagraph"/>
              <w:rPr>
                <w:szCs w:val="24"/>
              </w:rPr>
            </w:pPr>
          </w:p>
          <w:p w14:paraId="1B22448B" w14:textId="43182A2C" w:rsidR="007A18FC" w:rsidRDefault="002D3957" w:rsidP="002D3957">
            <w:pPr>
              <w:pStyle w:val="ListParagraph"/>
              <w:numPr>
                <w:ilvl w:val="0"/>
                <w:numId w:val="31"/>
              </w:numPr>
              <w:rPr>
                <w:szCs w:val="24"/>
              </w:rPr>
            </w:pPr>
            <w:r>
              <w:rPr>
                <w:szCs w:val="24"/>
              </w:rPr>
              <w:t xml:space="preserve">Systems that are the principle means of delivering a Category A safety function should be designed to meet the single failure criterion. </w:t>
            </w:r>
            <w:r w:rsidR="007C4F55" w:rsidRPr="00450A86">
              <w:rPr>
                <w:szCs w:val="24"/>
              </w:rPr>
              <w:t xml:space="preserve">During any normally permissible state of plant </w:t>
            </w:r>
            <w:r w:rsidR="007C4F55" w:rsidRPr="005346B2">
              <w:rPr>
                <w:szCs w:val="24"/>
              </w:rPr>
              <w:t xml:space="preserve">availability, </w:t>
            </w:r>
            <w:r w:rsidR="009911C4" w:rsidRPr="005346B2">
              <w:rPr>
                <w:szCs w:val="24"/>
              </w:rPr>
              <w:t>no failure</w:t>
            </w:r>
            <w:r w:rsidR="00FA3233" w:rsidRPr="005346B2">
              <w:rPr>
                <w:szCs w:val="24"/>
              </w:rPr>
              <w:t>s</w:t>
            </w:r>
            <w:r w:rsidR="007C4F55" w:rsidRPr="005346B2">
              <w:rPr>
                <w:szCs w:val="24"/>
              </w:rPr>
              <w:t xml:space="preserve">, assumed </w:t>
            </w:r>
            <w:r w:rsidR="007C4F55" w:rsidRPr="007C4F55">
              <w:rPr>
                <w:szCs w:val="24"/>
              </w:rPr>
              <w:t>to occur anywhere within the systems provided to secure a safety function, should prevent the performance of that safety function.</w:t>
            </w:r>
            <w:r w:rsidR="007C4F55">
              <w:rPr>
                <w:szCs w:val="24"/>
              </w:rPr>
              <w:t xml:space="preserve"> </w:t>
            </w:r>
            <w:r>
              <w:rPr>
                <w:szCs w:val="24"/>
              </w:rPr>
              <w:t>If</w:t>
            </w:r>
            <w:r w:rsidRPr="002D3957">
              <w:rPr>
                <w:szCs w:val="24"/>
              </w:rPr>
              <w:t xml:space="preserve"> </w:t>
            </w:r>
            <w:r w:rsidR="00E75DAA">
              <w:rPr>
                <w:szCs w:val="24"/>
              </w:rPr>
              <w:t xml:space="preserve">an </w:t>
            </w:r>
            <w:r w:rsidR="007860E3">
              <w:rPr>
                <w:szCs w:val="24"/>
              </w:rPr>
              <w:t>identifiable</w:t>
            </w:r>
            <w:r w:rsidR="00107916">
              <w:rPr>
                <w:szCs w:val="24"/>
              </w:rPr>
              <w:t xml:space="preserve">, </w:t>
            </w:r>
            <w:r w:rsidRPr="002D3957">
              <w:rPr>
                <w:szCs w:val="24"/>
              </w:rPr>
              <w:t xml:space="preserve">undetectable </w:t>
            </w:r>
            <w:r w:rsidR="00B255D4">
              <w:rPr>
                <w:szCs w:val="24"/>
              </w:rPr>
              <w:t>failure</w:t>
            </w:r>
            <w:r w:rsidR="007860E3">
              <w:rPr>
                <w:szCs w:val="24"/>
              </w:rPr>
              <w:t xml:space="preserve"> </w:t>
            </w:r>
            <w:r>
              <w:rPr>
                <w:szCs w:val="24"/>
              </w:rPr>
              <w:t>anywhere in the system</w:t>
            </w:r>
            <w:r w:rsidRPr="002D3957">
              <w:rPr>
                <w:szCs w:val="24"/>
              </w:rPr>
              <w:t xml:space="preserve"> is not eliminated, the failure must be assumed in addition to the single failure when applying the single failure criterion. </w:t>
            </w:r>
            <w:r w:rsidR="00EA268D">
              <w:rPr>
                <w:szCs w:val="24"/>
              </w:rPr>
              <w:t>Furthermore, if</w:t>
            </w:r>
            <w:r w:rsidR="007C4F55">
              <w:rPr>
                <w:szCs w:val="24"/>
              </w:rPr>
              <w:t xml:space="preserve"> online maintenance needs to be undertaken </w:t>
            </w:r>
            <w:r>
              <w:rPr>
                <w:szCs w:val="24"/>
              </w:rPr>
              <w:t xml:space="preserve">in any plant </w:t>
            </w:r>
            <w:r w:rsidR="003327CB">
              <w:rPr>
                <w:szCs w:val="24"/>
              </w:rPr>
              <w:t>state,</w:t>
            </w:r>
            <w:r>
              <w:rPr>
                <w:szCs w:val="24"/>
              </w:rPr>
              <w:t xml:space="preserve"> </w:t>
            </w:r>
            <w:r w:rsidR="007C4F55">
              <w:rPr>
                <w:szCs w:val="24"/>
              </w:rPr>
              <w:t xml:space="preserve">then </w:t>
            </w:r>
            <w:r>
              <w:rPr>
                <w:szCs w:val="24"/>
              </w:rPr>
              <w:t xml:space="preserve">this needs to be also considered in addition to applying the single failure criterion. </w:t>
            </w:r>
          </w:p>
          <w:p w14:paraId="5405102C" w14:textId="77777777" w:rsidR="00AE7AF9" w:rsidRPr="00AE7AF9" w:rsidRDefault="00AE7AF9" w:rsidP="00AE7AF9">
            <w:pPr>
              <w:rPr>
                <w:szCs w:val="24"/>
              </w:rPr>
            </w:pPr>
          </w:p>
          <w:p w14:paraId="0E2FAD6A" w14:textId="43E86CF6" w:rsidR="002D3957" w:rsidRDefault="002D3957" w:rsidP="002D3957">
            <w:pPr>
              <w:pStyle w:val="ListParagraph"/>
              <w:numPr>
                <w:ilvl w:val="0"/>
                <w:numId w:val="31"/>
              </w:numPr>
              <w:rPr>
                <w:szCs w:val="24"/>
              </w:rPr>
            </w:pPr>
            <w:r>
              <w:rPr>
                <w:szCs w:val="24"/>
              </w:rPr>
              <w:t>T</w:t>
            </w:r>
            <w:r w:rsidRPr="002D3957">
              <w:rPr>
                <w:szCs w:val="24"/>
              </w:rPr>
              <w:t>his RO should be addressed in conjunction with</w:t>
            </w:r>
            <w:r>
              <w:rPr>
                <w:szCs w:val="24"/>
              </w:rPr>
              <w:t xml:space="preserve"> RO-</w:t>
            </w:r>
            <w:r w:rsidR="005C1F9F">
              <w:rPr>
                <w:szCs w:val="24"/>
              </w:rPr>
              <w:t>HOLTECSMR</w:t>
            </w:r>
            <w:r w:rsidR="008D5A5A">
              <w:rPr>
                <w:szCs w:val="24"/>
              </w:rPr>
              <w:t>300-</w:t>
            </w:r>
            <w:r>
              <w:rPr>
                <w:szCs w:val="24"/>
              </w:rPr>
              <w:t>001 Action 3</w:t>
            </w:r>
            <w:r w:rsidR="00256CB1">
              <w:rPr>
                <w:szCs w:val="24"/>
              </w:rPr>
              <w:t xml:space="preserve"> and RO-HOLTECSMR300-011</w:t>
            </w:r>
            <w:r w:rsidR="005A4214">
              <w:rPr>
                <w:szCs w:val="24"/>
              </w:rPr>
              <w:t xml:space="preserve"> Actions 3 and 4.</w:t>
            </w:r>
          </w:p>
          <w:p w14:paraId="3FCBE38A" w14:textId="77777777" w:rsidR="005B1742" w:rsidRPr="005B1742" w:rsidRDefault="005B1742" w:rsidP="005B1742">
            <w:pPr>
              <w:rPr>
                <w:szCs w:val="24"/>
              </w:rPr>
            </w:pPr>
          </w:p>
          <w:p w14:paraId="02128A56" w14:textId="77777777" w:rsidR="002E1C56" w:rsidRPr="00381F42" w:rsidRDefault="002E1C56" w:rsidP="00C465CB">
            <w:pPr>
              <w:keepNext/>
              <w:rPr>
                <w:b/>
                <w:bCs/>
                <w:szCs w:val="24"/>
                <w:u w:val="single"/>
              </w:rPr>
            </w:pPr>
            <w:r w:rsidRPr="00381F42">
              <w:rPr>
                <w:b/>
                <w:bCs/>
                <w:szCs w:val="24"/>
                <w:u w:val="single"/>
              </w:rPr>
              <w:t>References</w:t>
            </w:r>
          </w:p>
          <w:p w14:paraId="01707806" w14:textId="77777777" w:rsidR="004953DD" w:rsidRPr="00EC2C8F" w:rsidRDefault="004953DD" w:rsidP="00C465CB">
            <w:pPr>
              <w:keepNext/>
              <w:rPr>
                <w:szCs w:val="24"/>
              </w:rPr>
            </w:pPr>
          </w:p>
          <w:p w14:paraId="2435F932" w14:textId="739E7176" w:rsidR="004953DD" w:rsidRPr="00EC2C8F" w:rsidRDefault="004953DD" w:rsidP="00EC2C8F">
            <w:pPr>
              <w:pStyle w:val="ListParagraph"/>
              <w:numPr>
                <w:ilvl w:val="0"/>
                <w:numId w:val="40"/>
              </w:numPr>
              <w:ind w:left="527" w:hanging="357"/>
            </w:pPr>
            <w:r w:rsidRPr="00EC2C8F">
              <w:rPr>
                <w:szCs w:val="24"/>
              </w:rPr>
              <w:t>Holtec</w:t>
            </w:r>
            <w:r w:rsidRPr="00EC2C8F">
              <w:t xml:space="preserve"> SMR GDA PSR PART B Chapter 4 Control and Instrumentation Systems - HI-2240338-R0.0</w:t>
            </w:r>
          </w:p>
          <w:p w14:paraId="45A5BDA5" w14:textId="77777777" w:rsidR="004953DD" w:rsidRPr="004B32DA" w:rsidRDefault="004953DD" w:rsidP="004953DD">
            <w:pPr>
              <w:rPr>
                <w:szCs w:val="24"/>
              </w:rPr>
            </w:pPr>
          </w:p>
          <w:p w14:paraId="02692B8D" w14:textId="50219C2A" w:rsidR="004953DD" w:rsidRPr="00EC2C8F" w:rsidRDefault="004953DD" w:rsidP="00EC2C8F">
            <w:pPr>
              <w:pStyle w:val="ListParagraph"/>
              <w:numPr>
                <w:ilvl w:val="0"/>
                <w:numId w:val="40"/>
              </w:numPr>
              <w:ind w:left="527" w:hanging="357"/>
              <w:rPr>
                <w:szCs w:val="24"/>
              </w:rPr>
            </w:pPr>
            <w:r w:rsidRPr="00EC2C8F">
              <w:rPr>
                <w:szCs w:val="24"/>
              </w:rPr>
              <w:t>System Design Description for Diverse Actuation System - HI-2210177-R0</w:t>
            </w:r>
          </w:p>
          <w:p w14:paraId="17B87413" w14:textId="77777777" w:rsidR="004953DD" w:rsidRPr="004B32DA" w:rsidRDefault="004953DD" w:rsidP="004953DD">
            <w:pPr>
              <w:rPr>
                <w:szCs w:val="24"/>
              </w:rPr>
            </w:pPr>
          </w:p>
          <w:p w14:paraId="1A49CB0F" w14:textId="6AD5FF30" w:rsidR="004953DD" w:rsidRPr="00EC2C8F" w:rsidRDefault="004953DD" w:rsidP="00EC2C8F">
            <w:pPr>
              <w:pStyle w:val="ListParagraph"/>
              <w:numPr>
                <w:ilvl w:val="0"/>
                <w:numId w:val="40"/>
              </w:numPr>
              <w:ind w:left="527" w:hanging="357"/>
              <w:rPr>
                <w:szCs w:val="24"/>
              </w:rPr>
            </w:pPr>
            <w:r w:rsidRPr="00EC2C8F">
              <w:rPr>
                <w:szCs w:val="24"/>
              </w:rPr>
              <w:t>System Design Description for Plant Safety System (PSS) – HI-2167088</w:t>
            </w:r>
          </w:p>
          <w:p w14:paraId="24AD377A" w14:textId="77777777" w:rsidR="004953DD" w:rsidRPr="00EC2C8F" w:rsidRDefault="004953DD" w:rsidP="00C465CB">
            <w:pPr>
              <w:keepNext/>
              <w:rPr>
                <w:szCs w:val="24"/>
              </w:rPr>
            </w:pPr>
          </w:p>
          <w:p w14:paraId="66295AF2" w14:textId="7F043EB1" w:rsidR="004858E3" w:rsidRDefault="003F62E3" w:rsidP="00EC2C8F">
            <w:pPr>
              <w:pStyle w:val="ListParagraph"/>
              <w:numPr>
                <w:ilvl w:val="0"/>
                <w:numId w:val="40"/>
              </w:numPr>
              <w:ind w:left="527" w:hanging="357"/>
              <w:rPr>
                <w:szCs w:val="24"/>
              </w:rPr>
            </w:pPr>
            <w:r w:rsidRPr="00EC2C8F">
              <w:rPr>
                <w:szCs w:val="24"/>
              </w:rPr>
              <w:t>System Design Description for Plant Safety System (P</w:t>
            </w:r>
            <w:r>
              <w:rPr>
                <w:szCs w:val="24"/>
              </w:rPr>
              <w:t>C</w:t>
            </w:r>
            <w:r w:rsidRPr="00EC2C8F">
              <w:rPr>
                <w:szCs w:val="24"/>
              </w:rPr>
              <w:t>S)</w:t>
            </w:r>
            <w:r>
              <w:rPr>
                <w:szCs w:val="24"/>
              </w:rPr>
              <w:t xml:space="preserve"> – HI-2240655</w:t>
            </w:r>
          </w:p>
          <w:p w14:paraId="322920CA" w14:textId="77777777" w:rsidR="008E3D72" w:rsidRPr="008E3D72" w:rsidRDefault="008E3D72" w:rsidP="008E3D72">
            <w:pPr>
              <w:pStyle w:val="ListParagraph"/>
              <w:rPr>
                <w:szCs w:val="24"/>
              </w:rPr>
            </w:pPr>
          </w:p>
          <w:p w14:paraId="268AB406" w14:textId="49CFAA31" w:rsidR="008E3D72" w:rsidRDefault="008E3D72" w:rsidP="00EC2C8F">
            <w:pPr>
              <w:pStyle w:val="ListParagraph"/>
              <w:numPr>
                <w:ilvl w:val="0"/>
                <w:numId w:val="40"/>
              </w:numPr>
              <w:ind w:left="527" w:hanging="357"/>
              <w:rPr>
                <w:szCs w:val="24"/>
              </w:rPr>
            </w:pPr>
            <w:r w:rsidRPr="008E3D72">
              <w:rPr>
                <w:szCs w:val="24"/>
              </w:rPr>
              <w:t>Two division Safety Systems Compliance with Applicable Rules and Regulations</w:t>
            </w:r>
            <w:r>
              <w:rPr>
                <w:szCs w:val="24"/>
              </w:rPr>
              <w:t xml:space="preserve"> </w:t>
            </w:r>
            <w:r w:rsidR="00E95FF8">
              <w:rPr>
                <w:szCs w:val="24"/>
              </w:rPr>
              <w:t>– JEXK-0143-1049-P</w:t>
            </w:r>
            <w:r w:rsidR="00313772">
              <w:rPr>
                <w:szCs w:val="24"/>
              </w:rPr>
              <w:t>(R0)</w:t>
            </w:r>
          </w:p>
          <w:p w14:paraId="0CBFA8A5" w14:textId="77777777" w:rsidR="00182765" w:rsidRPr="00182765" w:rsidRDefault="00182765" w:rsidP="00182765">
            <w:pPr>
              <w:pStyle w:val="ListParagraph"/>
              <w:rPr>
                <w:szCs w:val="24"/>
              </w:rPr>
            </w:pPr>
          </w:p>
          <w:p w14:paraId="1CE19C09" w14:textId="45C1C30F" w:rsidR="00F54BD1" w:rsidRPr="00450A86" w:rsidRDefault="002E1C56" w:rsidP="00F54BD1">
            <w:pPr>
              <w:pStyle w:val="ListParagraph"/>
              <w:numPr>
                <w:ilvl w:val="0"/>
                <w:numId w:val="40"/>
              </w:numPr>
              <w:ind w:left="527" w:hanging="357"/>
              <w:rPr>
                <w:szCs w:val="24"/>
              </w:rPr>
            </w:pPr>
            <w:r w:rsidRPr="00EC2C8F">
              <w:rPr>
                <w:szCs w:val="24"/>
              </w:rPr>
              <w:t>ONR Safety Assessment Principles – Rev 0, 2014</w:t>
            </w:r>
          </w:p>
          <w:p w14:paraId="6405B50D" w14:textId="77777777" w:rsidR="00AE06CA" w:rsidRPr="00AE06CA" w:rsidRDefault="00AE06CA" w:rsidP="00AE06CA">
            <w:pPr>
              <w:pStyle w:val="ListParagraph"/>
              <w:rPr>
                <w:szCs w:val="24"/>
              </w:rPr>
            </w:pPr>
          </w:p>
          <w:p w14:paraId="0718D1B4" w14:textId="2EBFB529" w:rsidR="00F54BD1" w:rsidRDefault="00F54BD1" w:rsidP="00AE06CA">
            <w:pPr>
              <w:pStyle w:val="ListParagraph"/>
              <w:numPr>
                <w:ilvl w:val="0"/>
                <w:numId w:val="40"/>
              </w:numPr>
              <w:ind w:left="527" w:hanging="357"/>
              <w:rPr>
                <w:szCs w:val="24"/>
              </w:rPr>
            </w:pPr>
            <w:bookmarkStart w:id="0" w:name="_Ref211417782"/>
            <w:r w:rsidRPr="00E90756">
              <w:rPr>
                <w:szCs w:val="24"/>
              </w:rPr>
              <w:t>IAEA Specific Safety Requirements SSR-2/1</w:t>
            </w:r>
            <w:bookmarkEnd w:id="0"/>
          </w:p>
          <w:p w14:paraId="3BE19F56" w14:textId="77777777" w:rsidR="00F54BD1" w:rsidRPr="00450A86" w:rsidRDefault="00F54BD1" w:rsidP="00450A86">
            <w:pPr>
              <w:pStyle w:val="ListParagraph"/>
              <w:rPr>
                <w:szCs w:val="24"/>
              </w:rPr>
            </w:pPr>
          </w:p>
          <w:p w14:paraId="3739B500" w14:textId="21A640A1" w:rsidR="00F54BD1" w:rsidRDefault="00F54BD1" w:rsidP="00450A86">
            <w:pPr>
              <w:pStyle w:val="ListParagraph"/>
              <w:numPr>
                <w:ilvl w:val="0"/>
                <w:numId w:val="40"/>
              </w:numPr>
              <w:ind w:left="527"/>
            </w:pPr>
            <w:bookmarkStart w:id="1" w:name="_Ref211417740"/>
            <w:r>
              <w:t xml:space="preserve">IAEA SSG-39 - </w:t>
            </w:r>
            <w:r w:rsidRPr="00211B58">
              <w:t>Design of Instrumentation and Control Systems for Nuclear Power Plants</w:t>
            </w:r>
            <w:bookmarkEnd w:id="1"/>
          </w:p>
          <w:p w14:paraId="08A5A835" w14:textId="77777777" w:rsidR="004575C3" w:rsidRDefault="004575C3" w:rsidP="004575C3">
            <w:pPr>
              <w:pStyle w:val="ListParagraph"/>
            </w:pPr>
          </w:p>
          <w:p w14:paraId="2F3E6B43" w14:textId="48A680AB" w:rsidR="004575C3" w:rsidRPr="00F54BD1" w:rsidRDefault="009A7C83" w:rsidP="009A7C83">
            <w:pPr>
              <w:pStyle w:val="ListParagraph"/>
              <w:numPr>
                <w:ilvl w:val="0"/>
                <w:numId w:val="40"/>
              </w:numPr>
              <w:ind w:left="527"/>
            </w:pPr>
            <w:bookmarkStart w:id="2" w:name="_Ref211327202"/>
            <w:r w:rsidRPr="009A7C83">
              <w:t>NS-TAST-GD-006</w:t>
            </w:r>
            <w:r>
              <w:t xml:space="preserve"> </w:t>
            </w:r>
            <w:r w:rsidR="006A5DA3">
              <w:t>–</w:t>
            </w:r>
            <w:bookmarkEnd w:id="2"/>
            <w:r>
              <w:t xml:space="preserve"> </w:t>
            </w:r>
            <w:r w:rsidR="006A5DA3">
              <w:t>Design Basis Analysis</w:t>
            </w:r>
            <w:r w:rsidR="00FB5FEE">
              <w:t xml:space="preserve">, </w:t>
            </w:r>
            <w:r w:rsidR="0021782A">
              <w:t>ht</w:t>
            </w:r>
            <w:r w:rsidR="00FB5FEE" w:rsidRPr="00FB5FEE">
              <w:t>tps://www.onr.org.uk/media/documents/guidance/ns-tast-gd-0</w:t>
            </w:r>
            <w:r w:rsidR="004111E0">
              <w:t>06</w:t>
            </w:r>
            <w:r w:rsidR="00FB5FEE" w:rsidRPr="00FB5FEE">
              <w:t>.docx</w:t>
            </w:r>
          </w:p>
          <w:p w14:paraId="5E31ACE6" w14:textId="77777777" w:rsidR="00F54BD1" w:rsidRPr="00450A86" w:rsidRDefault="00F54BD1" w:rsidP="00450A86">
            <w:pPr>
              <w:pStyle w:val="ListParagraph"/>
              <w:rPr>
                <w:szCs w:val="24"/>
              </w:rPr>
            </w:pPr>
          </w:p>
          <w:p w14:paraId="6B06194E" w14:textId="4541C469" w:rsidR="00AE06CA" w:rsidRDefault="00AE06CA" w:rsidP="00AE06CA">
            <w:pPr>
              <w:pStyle w:val="ListParagraph"/>
              <w:numPr>
                <w:ilvl w:val="0"/>
                <w:numId w:val="40"/>
              </w:numPr>
              <w:ind w:left="527" w:hanging="357"/>
              <w:rPr>
                <w:szCs w:val="24"/>
              </w:rPr>
            </w:pPr>
            <w:bookmarkStart w:id="3" w:name="_Ref211417693"/>
            <w:r w:rsidRPr="00EC2C8F">
              <w:rPr>
                <w:szCs w:val="24"/>
              </w:rPr>
              <w:t>IEC 61513 - Nuclear power plants – Instrumentation and control important to safety – General Requirements for Safety</w:t>
            </w:r>
            <w:bookmarkEnd w:id="3"/>
          </w:p>
          <w:p w14:paraId="3ABE9739" w14:textId="77777777" w:rsidR="001E6A3E" w:rsidRPr="001E6A3E" w:rsidRDefault="001E6A3E" w:rsidP="001E6A3E">
            <w:pPr>
              <w:pStyle w:val="ListParagraph"/>
              <w:rPr>
                <w:szCs w:val="24"/>
              </w:rPr>
            </w:pPr>
          </w:p>
          <w:p w14:paraId="3F0B5388" w14:textId="77777777" w:rsidR="00211B58" w:rsidRPr="00211B58" w:rsidRDefault="00B2411A" w:rsidP="003971BE">
            <w:pPr>
              <w:pStyle w:val="ListParagraph"/>
              <w:numPr>
                <w:ilvl w:val="0"/>
                <w:numId w:val="40"/>
              </w:numPr>
              <w:ind w:left="527"/>
            </w:pPr>
            <w:bookmarkStart w:id="4" w:name="_Ref211417643"/>
            <w:r w:rsidRPr="00211B58">
              <w:rPr>
                <w:szCs w:val="24"/>
              </w:rPr>
              <w:t>IEC 62340 - Nuclear power plants - Instrumentation and control systems important to safety - Requirements for coping with common cause failure (CCF)</w:t>
            </w:r>
            <w:bookmarkEnd w:id="4"/>
          </w:p>
          <w:p w14:paraId="30905DC0" w14:textId="77777777" w:rsidR="00211B58" w:rsidRPr="00211B58" w:rsidRDefault="00211B58" w:rsidP="00211B58">
            <w:pPr>
              <w:pStyle w:val="ListParagraph"/>
              <w:rPr>
                <w:szCs w:val="24"/>
              </w:rPr>
            </w:pPr>
          </w:p>
          <w:p w14:paraId="7FDBC418" w14:textId="77777777" w:rsidR="00F54BD1" w:rsidRDefault="00F54BD1" w:rsidP="00F54BD1">
            <w:pPr>
              <w:pStyle w:val="ListParagraph"/>
              <w:numPr>
                <w:ilvl w:val="0"/>
                <w:numId w:val="40"/>
              </w:numPr>
              <w:ind w:left="527"/>
            </w:pPr>
            <w:bookmarkStart w:id="5" w:name="_Ref211417628"/>
            <w:r w:rsidRPr="00A702A2">
              <w:t>NS-TAST-GD-030 - Adequacy of probabilistic safety analysis (PSA) modelling and supporting analysis</w:t>
            </w:r>
            <w:bookmarkEnd w:id="5"/>
          </w:p>
          <w:p w14:paraId="2D851779" w14:textId="77777777" w:rsidR="00F54BD1" w:rsidRPr="00211B58" w:rsidRDefault="00F54BD1" w:rsidP="00450A86"/>
          <w:p w14:paraId="2FE5576B" w14:textId="6671FFE3" w:rsidR="00D72420" w:rsidRDefault="00842CAB" w:rsidP="00450A86">
            <w:pPr>
              <w:pStyle w:val="ListParagraph"/>
              <w:numPr>
                <w:ilvl w:val="0"/>
                <w:numId w:val="40"/>
              </w:numPr>
              <w:ind w:left="527"/>
            </w:pPr>
            <w:bookmarkStart w:id="6" w:name="_Ref211417604"/>
            <w:r w:rsidRPr="00F54BD1">
              <w:rPr>
                <w:szCs w:val="24"/>
              </w:rPr>
              <w:t xml:space="preserve">NS-TAST-GD-036 - Redundancy, Diversity, Segregation and Layout of Structures, Systems and Components - </w:t>
            </w:r>
            <w:hyperlink r:id="rId12" w:history="1">
              <w:r w:rsidRPr="00EC2C8F">
                <w:t>https://www.onr.org.uk/media/documents/guidance/ns-tast-gd-036.docx</w:t>
              </w:r>
            </w:hyperlink>
            <w:bookmarkEnd w:id="6"/>
          </w:p>
          <w:p w14:paraId="6DCA2487" w14:textId="77777777" w:rsidR="00C067F3" w:rsidRDefault="00C067F3" w:rsidP="00C067F3">
            <w:pPr>
              <w:pStyle w:val="ListParagraph"/>
            </w:pPr>
          </w:p>
          <w:p w14:paraId="53BBFC47" w14:textId="1119C632" w:rsidR="00C067F3" w:rsidRDefault="00C067F3" w:rsidP="00C067F3">
            <w:pPr>
              <w:pStyle w:val="ListParagraph"/>
              <w:numPr>
                <w:ilvl w:val="0"/>
                <w:numId w:val="40"/>
              </w:numPr>
              <w:ind w:left="527"/>
            </w:pPr>
            <w:r w:rsidRPr="00C067F3">
              <w:t>NS-TAST-GD-046</w:t>
            </w:r>
            <w:r>
              <w:t xml:space="preserve"> - </w:t>
            </w:r>
            <w:r w:rsidRPr="00C067F3">
              <w:t>Computer Based Safety Systems</w:t>
            </w:r>
            <w:r>
              <w:t xml:space="preserve"> - </w:t>
            </w:r>
            <w:r w:rsidRPr="00C067F3">
              <w:t>NS-TAST-GD-046 - https://www.onr.org.uk/publications/regulatory-guidance/regulatory-assessment-and-permissioning/technical-assessment-guides-tags/nuclear-safety-tags/ns-tast-gd-046</w:t>
            </w:r>
          </w:p>
          <w:p w14:paraId="4573E048" w14:textId="58F88D8A" w:rsidR="002E1C56" w:rsidRPr="00A702A2" w:rsidRDefault="002E1C56" w:rsidP="00F54BD1">
            <w:pPr>
              <w:rPr>
                <w:szCs w:val="24"/>
              </w:rPr>
            </w:pPr>
          </w:p>
        </w:tc>
      </w:tr>
      <w:tr w:rsidR="00850471" w:rsidRPr="00581D5B" w14:paraId="4573E04B" w14:textId="77777777" w:rsidTr="00494EE4">
        <w:tc>
          <w:tcPr>
            <w:tcW w:w="9897" w:type="dxa"/>
            <w:gridSpan w:val="2"/>
            <w:shd w:val="clear" w:color="auto" w:fill="D9D9D9"/>
          </w:tcPr>
          <w:p w14:paraId="4573E04A" w14:textId="6BD52BAF" w:rsidR="00850471" w:rsidRPr="00581D5B" w:rsidRDefault="00581D5B" w:rsidP="004B32DA">
            <w:pPr>
              <w:keepNext/>
              <w:spacing w:before="60" w:after="60"/>
              <w:rPr>
                <w:b/>
                <w:iCs/>
                <w:szCs w:val="24"/>
              </w:rPr>
            </w:pPr>
            <w:r w:rsidRPr="00581D5B">
              <w:rPr>
                <w:b/>
                <w:iCs/>
                <w:szCs w:val="24"/>
              </w:rPr>
              <w:lastRenderedPageBreak/>
              <w:t>REGULATORY OBSERVATION ACTIONS</w:t>
            </w:r>
          </w:p>
        </w:tc>
      </w:tr>
      <w:tr w:rsidR="00850471" w:rsidRPr="0048438C" w14:paraId="4573E04E" w14:textId="77777777" w:rsidTr="00494EE4">
        <w:trPr>
          <w:trHeight w:val="242"/>
        </w:trPr>
        <w:tc>
          <w:tcPr>
            <w:tcW w:w="9897" w:type="dxa"/>
            <w:gridSpan w:val="2"/>
          </w:tcPr>
          <w:p w14:paraId="4573E04C" w14:textId="3E2134ED" w:rsidR="00850471" w:rsidRPr="0048438C" w:rsidRDefault="00850471" w:rsidP="0048438C">
            <w:pPr>
              <w:spacing w:before="60" w:after="60"/>
              <w:rPr>
                <w:b/>
                <w:szCs w:val="24"/>
              </w:rPr>
            </w:pPr>
            <w:bookmarkStart w:id="7" w:name="_Hlk204259656"/>
            <w:r w:rsidRPr="0048438C">
              <w:rPr>
                <w:b/>
                <w:szCs w:val="24"/>
              </w:rPr>
              <w:t>R</w:t>
            </w:r>
            <w:r w:rsidR="00F31805">
              <w:rPr>
                <w:b/>
                <w:szCs w:val="24"/>
              </w:rPr>
              <w:t>O</w:t>
            </w:r>
            <w:r w:rsidRPr="0048438C">
              <w:rPr>
                <w:b/>
                <w:szCs w:val="24"/>
              </w:rPr>
              <w:t>-</w:t>
            </w:r>
            <w:r w:rsidR="00381F42">
              <w:rPr>
                <w:b/>
                <w:szCs w:val="24"/>
              </w:rPr>
              <w:t>HOLTEC-0</w:t>
            </w:r>
            <w:r w:rsidR="0062429F">
              <w:rPr>
                <w:b/>
                <w:szCs w:val="24"/>
              </w:rPr>
              <w:t>13</w:t>
            </w:r>
            <w:r w:rsidRPr="0048438C">
              <w:rPr>
                <w:b/>
                <w:szCs w:val="24"/>
              </w:rPr>
              <w:t>.A1</w:t>
            </w:r>
            <w:r w:rsidR="000977CC" w:rsidRPr="0048438C">
              <w:rPr>
                <w:b/>
                <w:szCs w:val="24"/>
              </w:rPr>
              <w:t xml:space="preserve"> – </w:t>
            </w:r>
            <w:r w:rsidR="000D6A5E">
              <w:rPr>
                <w:b/>
                <w:szCs w:val="24"/>
              </w:rPr>
              <w:t>Independence</w:t>
            </w:r>
            <w:r w:rsidR="00960105">
              <w:rPr>
                <w:b/>
                <w:szCs w:val="24"/>
              </w:rPr>
              <w:t xml:space="preserve"> &amp; CCF</w:t>
            </w:r>
          </w:p>
          <w:p w14:paraId="7A171D9E" w14:textId="77777777" w:rsidR="00EB06B8" w:rsidRPr="007B66BD" w:rsidRDefault="00EB06B8" w:rsidP="00EB06B8">
            <w:pPr>
              <w:rPr>
                <w:sz w:val="20"/>
                <w:szCs w:val="20"/>
              </w:rPr>
            </w:pPr>
          </w:p>
          <w:p w14:paraId="63D842E3" w14:textId="288E08B5" w:rsidR="00EB06B8" w:rsidRPr="004B32DA" w:rsidRDefault="00EB06B8" w:rsidP="002D3957">
            <w:pPr>
              <w:rPr>
                <w:szCs w:val="24"/>
                <w:highlight w:val="yellow"/>
              </w:rPr>
            </w:pPr>
            <w:r w:rsidRPr="004B32DA">
              <w:rPr>
                <w:szCs w:val="24"/>
              </w:rPr>
              <w:t xml:space="preserve">In response to this Regulatory </w:t>
            </w:r>
            <w:r w:rsidR="00AE47FB">
              <w:rPr>
                <w:szCs w:val="24"/>
              </w:rPr>
              <w:t>Observation</w:t>
            </w:r>
            <w:r w:rsidRPr="004B32DA">
              <w:rPr>
                <w:szCs w:val="24"/>
              </w:rPr>
              <w:t xml:space="preserve"> Action, </w:t>
            </w:r>
            <w:r w:rsidR="00CA4E4D" w:rsidRPr="004B32DA">
              <w:rPr>
                <w:szCs w:val="24"/>
              </w:rPr>
              <w:t>Holtec</w:t>
            </w:r>
            <w:r w:rsidRPr="004B32DA">
              <w:rPr>
                <w:szCs w:val="24"/>
              </w:rPr>
              <w:t xml:space="preserve"> should</w:t>
            </w:r>
            <w:r w:rsidR="008D344C" w:rsidRPr="004B32DA">
              <w:rPr>
                <w:szCs w:val="24"/>
              </w:rPr>
              <w:t xml:space="preserve"> </w:t>
            </w:r>
            <w:r w:rsidR="00116FE7" w:rsidRPr="004B32DA">
              <w:rPr>
                <w:szCs w:val="24"/>
              </w:rPr>
              <w:t>p</w:t>
            </w:r>
            <w:r w:rsidR="008D344C" w:rsidRPr="004B32DA">
              <w:rPr>
                <w:szCs w:val="24"/>
              </w:rPr>
              <w:t xml:space="preserve">rovide a suitable and sufficient justification </w:t>
            </w:r>
            <w:r w:rsidR="002D3957">
              <w:rPr>
                <w:szCs w:val="24"/>
              </w:rPr>
              <w:t xml:space="preserve">to </w:t>
            </w:r>
            <w:r w:rsidR="002D3957" w:rsidRPr="002D3957">
              <w:rPr>
                <w:szCs w:val="24"/>
              </w:rPr>
              <w:t>demonstrate that there is adequate independence between the C&amp;I systems</w:t>
            </w:r>
            <w:r w:rsidR="00960105">
              <w:rPr>
                <w:szCs w:val="24"/>
              </w:rPr>
              <w:t xml:space="preserve"> </w:t>
            </w:r>
            <w:r w:rsidR="008D344C" w:rsidRPr="004B32DA">
              <w:rPr>
                <w:szCs w:val="24"/>
              </w:rPr>
              <w:t xml:space="preserve">in </w:t>
            </w:r>
            <w:r w:rsidR="00DB52B8" w:rsidRPr="004B32DA">
              <w:rPr>
                <w:szCs w:val="24"/>
              </w:rPr>
              <w:t>the</w:t>
            </w:r>
            <w:r w:rsidR="008D344C" w:rsidRPr="004B32DA">
              <w:rPr>
                <w:szCs w:val="24"/>
              </w:rPr>
              <w:t xml:space="preserve"> SMR-300</w:t>
            </w:r>
            <w:r w:rsidR="002D3957">
              <w:rPr>
                <w:szCs w:val="24"/>
              </w:rPr>
              <w:t xml:space="preserve"> desig</w:t>
            </w:r>
            <w:r w:rsidR="00F31805">
              <w:rPr>
                <w:szCs w:val="24"/>
              </w:rPr>
              <w:t xml:space="preserve">n including </w:t>
            </w:r>
            <w:r w:rsidR="006F3C0E">
              <w:rPr>
                <w:szCs w:val="24"/>
              </w:rPr>
              <w:t>protection against</w:t>
            </w:r>
            <w:r w:rsidR="00EA268D">
              <w:rPr>
                <w:szCs w:val="24"/>
              </w:rPr>
              <w:t xml:space="preserve"> </w:t>
            </w:r>
            <w:r w:rsidR="00F31805" w:rsidRPr="002D3957">
              <w:rPr>
                <w:szCs w:val="24"/>
              </w:rPr>
              <w:t>common cause failures</w:t>
            </w:r>
            <w:r w:rsidR="00F31805">
              <w:rPr>
                <w:szCs w:val="24"/>
              </w:rPr>
              <w:t>.</w:t>
            </w:r>
          </w:p>
          <w:p w14:paraId="7A8AEE7B" w14:textId="77777777" w:rsidR="00EB06B8" w:rsidRPr="004B32DA" w:rsidRDefault="00EB06B8" w:rsidP="00EB06B8">
            <w:pPr>
              <w:rPr>
                <w:szCs w:val="24"/>
              </w:rPr>
            </w:pPr>
          </w:p>
          <w:p w14:paraId="3EEBD3BA" w14:textId="77777777" w:rsidR="00EB06B8" w:rsidRPr="004B32DA" w:rsidRDefault="00EB06B8" w:rsidP="00EB06B8">
            <w:pPr>
              <w:rPr>
                <w:szCs w:val="24"/>
              </w:rPr>
            </w:pPr>
            <w:r w:rsidRPr="004B32DA">
              <w:rPr>
                <w:szCs w:val="24"/>
              </w:rPr>
              <w:t>Taking into account:</w:t>
            </w:r>
          </w:p>
          <w:p w14:paraId="782667E6" w14:textId="75635FA2" w:rsidR="00EB06B8" w:rsidRPr="004B32DA" w:rsidRDefault="00EB06B8" w:rsidP="005D78D5">
            <w:pPr>
              <w:pStyle w:val="ListParagraph"/>
              <w:numPr>
                <w:ilvl w:val="0"/>
                <w:numId w:val="28"/>
              </w:numPr>
              <w:rPr>
                <w:szCs w:val="24"/>
              </w:rPr>
            </w:pPr>
            <w:r w:rsidRPr="004B32DA">
              <w:rPr>
                <w:szCs w:val="24"/>
              </w:rPr>
              <w:t>ONR expectations</w:t>
            </w:r>
            <w:r w:rsidR="00553CAD" w:rsidRPr="004B32DA">
              <w:rPr>
                <w:szCs w:val="24"/>
              </w:rPr>
              <w:t xml:space="preserve"> as </w:t>
            </w:r>
            <w:r w:rsidR="000C6FA4" w:rsidRPr="004B32DA">
              <w:rPr>
                <w:szCs w:val="24"/>
              </w:rPr>
              <w:t>outlined in relevant standards and guidance</w:t>
            </w:r>
            <w:r w:rsidRPr="004B32DA">
              <w:rPr>
                <w:szCs w:val="24"/>
              </w:rPr>
              <w:t>;</w:t>
            </w:r>
          </w:p>
          <w:p w14:paraId="5E7B19FB" w14:textId="666FD9A5" w:rsidR="00FA493F" w:rsidRPr="004B32DA" w:rsidRDefault="007831F5" w:rsidP="005D78D5">
            <w:pPr>
              <w:pStyle w:val="ListParagraph"/>
              <w:numPr>
                <w:ilvl w:val="0"/>
                <w:numId w:val="28"/>
              </w:numPr>
              <w:rPr>
                <w:szCs w:val="24"/>
              </w:rPr>
            </w:pPr>
            <w:r>
              <w:rPr>
                <w:szCs w:val="24"/>
              </w:rPr>
              <w:lastRenderedPageBreak/>
              <w:t>e</w:t>
            </w:r>
            <w:r w:rsidR="00034DB9" w:rsidRPr="004B32DA">
              <w:rPr>
                <w:szCs w:val="24"/>
              </w:rPr>
              <w:t xml:space="preserve">stablished UK </w:t>
            </w:r>
            <w:r w:rsidR="00334AB1" w:rsidRPr="004B32DA">
              <w:rPr>
                <w:szCs w:val="24"/>
              </w:rPr>
              <w:t xml:space="preserve">relevant </w:t>
            </w:r>
            <w:r w:rsidR="00E35ED2" w:rsidRPr="004B32DA">
              <w:rPr>
                <w:szCs w:val="24"/>
              </w:rPr>
              <w:t>good practice</w:t>
            </w:r>
            <w:r w:rsidR="00EB06B8" w:rsidRPr="004B32DA">
              <w:rPr>
                <w:szCs w:val="24"/>
              </w:rPr>
              <w:t xml:space="preserve">; </w:t>
            </w:r>
          </w:p>
          <w:p w14:paraId="670A6700" w14:textId="6E9A6914" w:rsidR="00F31805" w:rsidRDefault="00903609" w:rsidP="0043678D">
            <w:pPr>
              <w:pStyle w:val="ListParagraph"/>
              <w:numPr>
                <w:ilvl w:val="0"/>
                <w:numId w:val="28"/>
              </w:numPr>
              <w:rPr>
                <w:szCs w:val="24"/>
              </w:rPr>
            </w:pPr>
            <w:r>
              <w:rPr>
                <w:szCs w:val="24"/>
              </w:rPr>
              <w:t xml:space="preserve">areas of the C&amp;I design where systems </w:t>
            </w:r>
            <w:r w:rsidR="00450A86">
              <w:rPr>
                <w:szCs w:val="24"/>
              </w:rPr>
              <w:t>providing Defence in Depth on one level require functionality from another system in another Defence in Depth level;</w:t>
            </w:r>
            <w:r w:rsidR="005D78D5">
              <w:rPr>
                <w:szCs w:val="24"/>
              </w:rPr>
              <w:t xml:space="preserve"> </w:t>
            </w:r>
          </w:p>
          <w:p w14:paraId="4E4CDC16" w14:textId="5C74B83A" w:rsidR="00F31805" w:rsidRPr="004B32DA" w:rsidRDefault="00F31805" w:rsidP="00F31805">
            <w:pPr>
              <w:pStyle w:val="ListParagraph"/>
              <w:numPr>
                <w:ilvl w:val="0"/>
                <w:numId w:val="28"/>
              </w:numPr>
              <w:rPr>
                <w:szCs w:val="24"/>
              </w:rPr>
            </w:pPr>
            <w:r w:rsidRPr="004B32DA">
              <w:rPr>
                <w:szCs w:val="24"/>
              </w:rPr>
              <w:t>relevant good practice and OPEX regarding the potential vulnerab</w:t>
            </w:r>
            <w:r w:rsidR="006537EF">
              <w:rPr>
                <w:szCs w:val="24"/>
              </w:rPr>
              <w:t>ility</w:t>
            </w:r>
            <w:r w:rsidRPr="004B32DA">
              <w:rPr>
                <w:szCs w:val="24"/>
              </w:rPr>
              <w:t xml:space="preserve"> to common cause failure of </w:t>
            </w:r>
            <w:r>
              <w:rPr>
                <w:szCs w:val="24"/>
              </w:rPr>
              <w:t xml:space="preserve">the </w:t>
            </w:r>
            <w:r w:rsidRPr="004B32DA">
              <w:rPr>
                <w:szCs w:val="24"/>
              </w:rPr>
              <w:t>technology</w:t>
            </w:r>
            <w:r>
              <w:rPr>
                <w:szCs w:val="24"/>
              </w:rPr>
              <w:t xml:space="preserve"> used in the C&amp;I design, including FPGAs</w:t>
            </w:r>
            <w:r w:rsidRPr="004B32DA">
              <w:rPr>
                <w:szCs w:val="24"/>
              </w:rPr>
              <w:t xml:space="preserve">; </w:t>
            </w:r>
          </w:p>
          <w:p w14:paraId="746CE0E2" w14:textId="59A9A50F" w:rsidR="00EB06B8" w:rsidRPr="00450A86" w:rsidRDefault="00F31805" w:rsidP="00F31805">
            <w:pPr>
              <w:pStyle w:val="ListParagraph"/>
              <w:numPr>
                <w:ilvl w:val="0"/>
                <w:numId w:val="28"/>
              </w:numPr>
              <w:rPr>
                <w:szCs w:val="24"/>
              </w:rPr>
            </w:pPr>
            <w:r w:rsidRPr="004B32DA">
              <w:rPr>
                <w:szCs w:val="24"/>
              </w:rPr>
              <w:t xml:space="preserve">the ability to deterministically demonstrate resistance to </w:t>
            </w:r>
            <w:r>
              <w:rPr>
                <w:szCs w:val="24"/>
              </w:rPr>
              <w:t xml:space="preserve">a </w:t>
            </w:r>
            <w:r w:rsidRPr="004B32DA">
              <w:rPr>
                <w:szCs w:val="24"/>
              </w:rPr>
              <w:t xml:space="preserve">common </w:t>
            </w:r>
            <w:r>
              <w:rPr>
                <w:szCs w:val="24"/>
              </w:rPr>
              <w:t xml:space="preserve">cause failure of the PIMS; </w:t>
            </w:r>
            <w:r w:rsidR="005D78D5" w:rsidRPr="00450A86">
              <w:rPr>
                <w:szCs w:val="24"/>
              </w:rPr>
              <w:t>and</w:t>
            </w:r>
          </w:p>
          <w:p w14:paraId="569F39BE" w14:textId="34BE249E" w:rsidR="00EB06B8" w:rsidRPr="005D78D5" w:rsidRDefault="007831F5" w:rsidP="005D78D5">
            <w:pPr>
              <w:pStyle w:val="ListParagraph"/>
              <w:numPr>
                <w:ilvl w:val="0"/>
                <w:numId w:val="28"/>
              </w:numPr>
              <w:rPr>
                <w:szCs w:val="24"/>
              </w:rPr>
            </w:pPr>
            <w:r>
              <w:rPr>
                <w:szCs w:val="24"/>
              </w:rPr>
              <w:t>r</w:t>
            </w:r>
            <w:r w:rsidRPr="004B32DA">
              <w:rPr>
                <w:szCs w:val="24"/>
              </w:rPr>
              <w:t xml:space="preserve">elevant </w:t>
            </w:r>
            <w:r w:rsidR="005D78D5" w:rsidRPr="004B32DA">
              <w:rPr>
                <w:szCs w:val="24"/>
              </w:rPr>
              <w:t xml:space="preserve">good practice regarding </w:t>
            </w:r>
            <w:r w:rsidR="000B7508">
              <w:rPr>
                <w:szCs w:val="24"/>
              </w:rPr>
              <w:t xml:space="preserve">defence in depth and </w:t>
            </w:r>
            <w:r w:rsidR="005D78D5" w:rsidRPr="004B32DA">
              <w:rPr>
                <w:szCs w:val="24"/>
              </w:rPr>
              <w:t>independence</w:t>
            </w:r>
            <w:r w:rsidR="005D78D5">
              <w:rPr>
                <w:szCs w:val="24"/>
              </w:rPr>
              <w:t>.</w:t>
            </w:r>
          </w:p>
          <w:p w14:paraId="34DF7F27" w14:textId="77777777" w:rsidR="00EB06B8" w:rsidRPr="003575DB" w:rsidRDefault="00EB06B8" w:rsidP="00EB06B8">
            <w:pPr>
              <w:rPr>
                <w:sz w:val="20"/>
                <w:szCs w:val="20"/>
              </w:rPr>
            </w:pPr>
          </w:p>
          <w:p w14:paraId="239D3C0C" w14:textId="77777777" w:rsidR="00151DA2" w:rsidRDefault="00151DA2" w:rsidP="003C3FE1">
            <w:pPr>
              <w:rPr>
                <w:b/>
                <w:szCs w:val="24"/>
              </w:rPr>
            </w:pPr>
          </w:p>
          <w:p w14:paraId="03355035" w14:textId="03BC86EA" w:rsidR="00BF70D0" w:rsidRPr="00450A86" w:rsidRDefault="00381F42" w:rsidP="00BF70D0">
            <w:pPr>
              <w:rPr>
                <w:b/>
                <w:bCs/>
                <w:szCs w:val="24"/>
              </w:rPr>
            </w:pPr>
            <w:r w:rsidRPr="00450A86">
              <w:rPr>
                <w:b/>
                <w:szCs w:val="24"/>
              </w:rPr>
              <w:t>R</w:t>
            </w:r>
            <w:r w:rsidR="00F31805">
              <w:rPr>
                <w:b/>
                <w:szCs w:val="24"/>
              </w:rPr>
              <w:t>O</w:t>
            </w:r>
            <w:r w:rsidRPr="00450A86">
              <w:rPr>
                <w:b/>
                <w:szCs w:val="24"/>
              </w:rPr>
              <w:t>-HOLTEC-0</w:t>
            </w:r>
            <w:r w:rsidR="0062429F">
              <w:rPr>
                <w:b/>
                <w:szCs w:val="24"/>
              </w:rPr>
              <w:t>13</w:t>
            </w:r>
            <w:r w:rsidR="007A3DC4" w:rsidRPr="00450A86">
              <w:rPr>
                <w:b/>
                <w:szCs w:val="24"/>
              </w:rPr>
              <w:t>.A</w:t>
            </w:r>
            <w:r w:rsidR="006537EF">
              <w:rPr>
                <w:b/>
                <w:szCs w:val="24"/>
              </w:rPr>
              <w:t>2</w:t>
            </w:r>
            <w:r w:rsidR="007A3DC4" w:rsidRPr="00450A86">
              <w:rPr>
                <w:b/>
                <w:szCs w:val="24"/>
              </w:rPr>
              <w:t xml:space="preserve"> – </w:t>
            </w:r>
            <w:r w:rsidR="00BF70D0" w:rsidRPr="00450A86">
              <w:rPr>
                <w:b/>
                <w:bCs/>
                <w:szCs w:val="24"/>
              </w:rPr>
              <w:t>Single Failure Criteri</w:t>
            </w:r>
            <w:r w:rsidR="00CA30D8" w:rsidRPr="00450A86">
              <w:rPr>
                <w:b/>
                <w:bCs/>
                <w:szCs w:val="24"/>
              </w:rPr>
              <w:t>on</w:t>
            </w:r>
          </w:p>
          <w:p w14:paraId="7197EA64" w14:textId="2F52A5F8" w:rsidR="00EB06B8" w:rsidRPr="00450A86" w:rsidRDefault="00EB06B8" w:rsidP="00EB06B8">
            <w:pPr>
              <w:rPr>
                <w:b/>
                <w:szCs w:val="24"/>
              </w:rPr>
            </w:pPr>
          </w:p>
          <w:p w14:paraId="27BBAB2C" w14:textId="0A147290" w:rsidR="007A3DC4" w:rsidRPr="004B32DA" w:rsidRDefault="007A3DC4" w:rsidP="00EB06B8">
            <w:pPr>
              <w:rPr>
                <w:szCs w:val="24"/>
              </w:rPr>
            </w:pPr>
            <w:r w:rsidRPr="004B32DA">
              <w:rPr>
                <w:szCs w:val="24"/>
              </w:rPr>
              <w:t>In response to this Regulatory</w:t>
            </w:r>
            <w:r w:rsidR="00AE47FB">
              <w:rPr>
                <w:szCs w:val="24"/>
              </w:rPr>
              <w:t xml:space="preserve"> Observation</w:t>
            </w:r>
            <w:r w:rsidRPr="004B32DA">
              <w:rPr>
                <w:szCs w:val="24"/>
              </w:rPr>
              <w:t xml:space="preserve"> Action, Holtec should</w:t>
            </w:r>
            <w:r w:rsidR="007D1FB2" w:rsidRPr="004B32DA">
              <w:rPr>
                <w:szCs w:val="24"/>
              </w:rPr>
              <w:t xml:space="preserve"> </w:t>
            </w:r>
            <w:r w:rsidR="00CD26D0" w:rsidRPr="004B32DA">
              <w:rPr>
                <w:szCs w:val="24"/>
              </w:rPr>
              <w:t xml:space="preserve">demonstrate </w:t>
            </w:r>
            <w:r w:rsidR="007D1FB2" w:rsidRPr="004B32DA">
              <w:rPr>
                <w:szCs w:val="24"/>
              </w:rPr>
              <w:t>how</w:t>
            </w:r>
            <w:r w:rsidR="002865C1" w:rsidRPr="004B32DA">
              <w:rPr>
                <w:szCs w:val="24"/>
              </w:rPr>
              <w:t xml:space="preserve"> the</w:t>
            </w:r>
            <w:r w:rsidR="007D1FB2" w:rsidRPr="004B32DA">
              <w:rPr>
                <w:szCs w:val="24"/>
              </w:rPr>
              <w:t xml:space="preserve"> </w:t>
            </w:r>
            <w:r w:rsidR="00971B00" w:rsidRPr="004B32DA">
              <w:rPr>
                <w:szCs w:val="24"/>
              </w:rPr>
              <w:t>SMR</w:t>
            </w:r>
            <w:r w:rsidR="00971B00" w:rsidRPr="004B32DA">
              <w:rPr>
                <w:szCs w:val="24"/>
              </w:rPr>
              <w:noBreakHyphen/>
              <w:t>300</w:t>
            </w:r>
            <w:r w:rsidR="00A16AAC" w:rsidRPr="004B32DA">
              <w:rPr>
                <w:szCs w:val="24"/>
              </w:rPr>
              <w:t xml:space="preserve"> </w:t>
            </w:r>
            <w:r w:rsidR="007D1FB2" w:rsidRPr="004B32DA">
              <w:rPr>
                <w:szCs w:val="24"/>
              </w:rPr>
              <w:t xml:space="preserve">design </w:t>
            </w:r>
            <w:r w:rsidR="00BF70D0">
              <w:rPr>
                <w:szCs w:val="24"/>
              </w:rPr>
              <w:t>meets the single fai</w:t>
            </w:r>
            <w:r w:rsidR="000C2DA7">
              <w:rPr>
                <w:szCs w:val="24"/>
              </w:rPr>
              <w:t>lure criteri</w:t>
            </w:r>
            <w:r w:rsidR="00CA30D8">
              <w:rPr>
                <w:szCs w:val="24"/>
              </w:rPr>
              <w:t>on</w:t>
            </w:r>
            <w:r w:rsidR="000C2DA7">
              <w:rPr>
                <w:szCs w:val="24"/>
              </w:rPr>
              <w:t xml:space="preserve"> for </w:t>
            </w:r>
            <w:r w:rsidR="006F3C0E">
              <w:rPr>
                <w:szCs w:val="24"/>
              </w:rPr>
              <w:t xml:space="preserve">those </w:t>
            </w:r>
            <w:r w:rsidR="00677411">
              <w:rPr>
                <w:szCs w:val="24"/>
              </w:rPr>
              <w:t xml:space="preserve">C&amp;I </w:t>
            </w:r>
            <w:r w:rsidR="000C2DA7">
              <w:rPr>
                <w:szCs w:val="24"/>
              </w:rPr>
              <w:t xml:space="preserve">systems </w:t>
            </w:r>
            <w:r w:rsidR="000C2DA7" w:rsidRPr="000C2DA7">
              <w:rPr>
                <w:szCs w:val="24"/>
              </w:rPr>
              <w:t>that are the principal means of fulfilling Category A safety functions.</w:t>
            </w:r>
          </w:p>
          <w:p w14:paraId="1D3C30D0" w14:textId="77777777" w:rsidR="00CD26D0" w:rsidRPr="004B32DA" w:rsidRDefault="00CD26D0" w:rsidP="00EB06B8">
            <w:pPr>
              <w:rPr>
                <w:szCs w:val="24"/>
              </w:rPr>
            </w:pPr>
          </w:p>
          <w:p w14:paraId="1EB92526" w14:textId="77777777" w:rsidR="00CD26D0" w:rsidRPr="004B32DA" w:rsidRDefault="00CD26D0" w:rsidP="00CD26D0">
            <w:pPr>
              <w:rPr>
                <w:szCs w:val="24"/>
              </w:rPr>
            </w:pPr>
            <w:r w:rsidRPr="004B32DA">
              <w:rPr>
                <w:szCs w:val="24"/>
              </w:rPr>
              <w:t>Taking into account:</w:t>
            </w:r>
          </w:p>
          <w:p w14:paraId="7CDA5307" w14:textId="77777777" w:rsidR="00D93326" w:rsidRPr="004B32DA" w:rsidRDefault="00D93326" w:rsidP="005D78D5">
            <w:pPr>
              <w:pStyle w:val="ListParagraph"/>
              <w:numPr>
                <w:ilvl w:val="0"/>
                <w:numId w:val="28"/>
              </w:numPr>
              <w:rPr>
                <w:szCs w:val="24"/>
              </w:rPr>
            </w:pPr>
            <w:r w:rsidRPr="004B32DA">
              <w:rPr>
                <w:szCs w:val="24"/>
              </w:rPr>
              <w:t xml:space="preserve">ONR expectations as outlined in relevant standards and guidance; </w:t>
            </w:r>
          </w:p>
          <w:p w14:paraId="0C8CBBC0" w14:textId="736950CB" w:rsidR="002A6CB7" w:rsidRDefault="007F3756" w:rsidP="005D78D5">
            <w:pPr>
              <w:pStyle w:val="ListParagraph"/>
              <w:numPr>
                <w:ilvl w:val="0"/>
                <w:numId w:val="28"/>
              </w:numPr>
              <w:rPr>
                <w:szCs w:val="24"/>
              </w:rPr>
            </w:pPr>
            <w:r>
              <w:rPr>
                <w:szCs w:val="24"/>
              </w:rPr>
              <w:t xml:space="preserve">Identifiable </w:t>
            </w:r>
            <w:r w:rsidR="008D5014">
              <w:rPr>
                <w:szCs w:val="24"/>
              </w:rPr>
              <w:t>undetected</w:t>
            </w:r>
            <w:r w:rsidR="007831F5">
              <w:rPr>
                <w:szCs w:val="24"/>
              </w:rPr>
              <w:t xml:space="preserve"> </w:t>
            </w:r>
            <w:r w:rsidR="006947ED">
              <w:rPr>
                <w:szCs w:val="24"/>
              </w:rPr>
              <w:t>failu</w:t>
            </w:r>
            <w:r w:rsidR="005347D1">
              <w:rPr>
                <w:szCs w:val="24"/>
              </w:rPr>
              <w:t>r</w:t>
            </w:r>
            <w:r w:rsidR="006947ED">
              <w:rPr>
                <w:szCs w:val="24"/>
              </w:rPr>
              <w:t>es with complex software systems such as the PSS,</w:t>
            </w:r>
            <w:r w:rsidR="00211D0A">
              <w:rPr>
                <w:szCs w:val="24"/>
              </w:rPr>
              <w:t xml:space="preserve"> FPGAs, the PIMS modules and actuators</w:t>
            </w:r>
            <w:r w:rsidR="007831F5">
              <w:rPr>
                <w:szCs w:val="24"/>
              </w:rPr>
              <w:t>;</w:t>
            </w:r>
          </w:p>
          <w:p w14:paraId="3B123283" w14:textId="2AF3C8CD" w:rsidR="00677411" w:rsidRDefault="007831F5" w:rsidP="005D78D5">
            <w:pPr>
              <w:pStyle w:val="ListParagraph"/>
              <w:numPr>
                <w:ilvl w:val="0"/>
                <w:numId w:val="28"/>
              </w:numPr>
              <w:rPr>
                <w:szCs w:val="24"/>
              </w:rPr>
            </w:pPr>
            <w:r>
              <w:rPr>
                <w:szCs w:val="24"/>
              </w:rPr>
              <w:t>a</w:t>
            </w:r>
            <w:r w:rsidR="00677411">
              <w:rPr>
                <w:szCs w:val="24"/>
              </w:rPr>
              <w:t>ll potential modes of operation</w:t>
            </w:r>
            <w:r w:rsidR="00E23E4A">
              <w:rPr>
                <w:szCs w:val="24"/>
              </w:rPr>
              <w:t>;</w:t>
            </w:r>
          </w:p>
          <w:p w14:paraId="3FD2E1F8" w14:textId="595ED223" w:rsidR="00CD26D0" w:rsidRPr="004B32DA" w:rsidRDefault="007831F5" w:rsidP="005D78D5">
            <w:pPr>
              <w:pStyle w:val="ListParagraph"/>
              <w:numPr>
                <w:ilvl w:val="0"/>
                <w:numId w:val="28"/>
              </w:numPr>
              <w:rPr>
                <w:szCs w:val="24"/>
              </w:rPr>
            </w:pPr>
            <w:r>
              <w:rPr>
                <w:szCs w:val="24"/>
              </w:rPr>
              <w:t xml:space="preserve">any </w:t>
            </w:r>
            <w:r w:rsidR="002A6CB7">
              <w:rPr>
                <w:szCs w:val="24"/>
              </w:rPr>
              <w:t xml:space="preserve">fault sequences that can </w:t>
            </w:r>
            <w:r w:rsidR="00815B5B">
              <w:rPr>
                <w:szCs w:val="24"/>
              </w:rPr>
              <w:t>affect the system</w:t>
            </w:r>
            <w:r w:rsidR="006F3C0E">
              <w:rPr>
                <w:szCs w:val="24"/>
              </w:rPr>
              <w:t>’</w:t>
            </w:r>
            <w:r w:rsidR="00815B5B">
              <w:rPr>
                <w:szCs w:val="24"/>
              </w:rPr>
              <w:t>s ability to respond to th</w:t>
            </w:r>
            <w:r w:rsidR="00CE4621">
              <w:rPr>
                <w:szCs w:val="24"/>
              </w:rPr>
              <w:t>at, or any other faults</w:t>
            </w:r>
            <w:r>
              <w:rPr>
                <w:szCs w:val="24"/>
              </w:rPr>
              <w:t xml:space="preserve">; </w:t>
            </w:r>
            <w:r w:rsidR="00CD26D0" w:rsidRPr="004B32DA">
              <w:rPr>
                <w:szCs w:val="24"/>
              </w:rPr>
              <w:t>and</w:t>
            </w:r>
          </w:p>
          <w:p w14:paraId="5429FB11" w14:textId="25B06374" w:rsidR="00CD26D0" w:rsidRDefault="007831F5" w:rsidP="005D78D5">
            <w:pPr>
              <w:pStyle w:val="ListParagraph"/>
              <w:numPr>
                <w:ilvl w:val="0"/>
                <w:numId w:val="28"/>
              </w:numPr>
              <w:rPr>
                <w:szCs w:val="24"/>
              </w:rPr>
            </w:pPr>
            <w:r>
              <w:rPr>
                <w:szCs w:val="24"/>
              </w:rPr>
              <w:t>r</w:t>
            </w:r>
            <w:r w:rsidRPr="004B32DA">
              <w:rPr>
                <w:szCs w:val="24"/>
              </w:rPr>
              <w:t xml:space="preserve">elevant </w:t>
            </w:r>
            <w:r w:rsidR="00CD26D0" w:rsidRPr="004B32DA">
              <w:rPr>
                <w:szCs w:val="24"/>
              </w:rPr>
              <w:t xml:space="preserve">good practice regarding </w:t>
            </w:r>
            <w:r w:rsidR="000B7508">
              <w:rPr>
                <w:szCs w:val="24"/>
              </w:rPr>
              <w:t>single failure tolerance</w:t>
            </w:r>
            <w:r w:rsidR="00725424" w:rsidRPr="004B32DA">
              <w:rPr>
                <w:szCs w:val="24"/>
              </w:rPr>
              <w:t>.</w:t>
            </w:r>
          </w:p>
          <w:bookmarkEnd w:id="7"/>
          <w:p w14:paraId="28B80DC2" w14:textId="77777777" w:rsidR="000B7508" w:rsidRDefault="000B7508" w:rsidP="000B7508">
            <w:pPr>
              <w:rPr>
                <w:szCs w:val="24"/>
              </w:rPr>
            </w:pPr>
          </w:p>
          <w:p w14:paraId="7DB4DE17" w14:textId="77777777" w:rsidR="00CD26D0" w:rsidRPr="004B32DA" w:rsidRDefault="00CD26D0" w:rsidP="00EB06B8">
            <w:pPr>
              <w:rPr>
                <w:szCs w:val="24"/>
              </w:rPr>
            </w:pPr>
          </w:p>
          <w:p w14:paraId="4573E04D" w14:textId="634577E5" w:rsidR="00850471" w:rsidRPr="00743573" w:rsidRDefault="00850471" w:rsidP="00EB06B8">
            <w:pPr>
              <w:spacing w:before="60" w:after="60"/>
              <w:rPr>
                <w:bCs/>
                <w:sz w:val="20"/>
                <w:szCs w:val="20"/>
              </w:rPr>
            </w:pPr>
            <w:r w:rsidRPr="004B32DA">
              <w:rPr>
                <w:bCs/>
                <w:szCs w:val="24"/>
              </w:rPr>
              <w:t>Resolution required by '</w:t>
            </w:r>
            <w:r w:rsidRPr="004B32DA">
              <w:rPr>
                <w:bCs/>
                <w:i/>
                <w:szCs w:val="24"/>
              </w:rPr>
              <w:t xml:space="preserve">to be determined by </w:t>
            </w:r>
            <w:r w:rsidR="00AB1EA2" w:rsidRPr="004B32DA">
              <w:rPr>
                <w:bCs/>
                <w:i/>
                <w:szCs w:val="24"/>
              </w:rPr>
              <w:t>Holtec</w:t>
            </w:r>
            <w:r w:rsidRPr="004B32DA">
              <w:rPr>
                <w:bCs/>
                <w:i/>
                <w:szCs w:val="24"/>
              </w:rPr>
              <w:t xml:space="preserve"> Resolution Plan</w:t>
            </w:r>
            <w:r w:rsidRPr="004B32DA">
              <w:rPr>
                <w:bCs/>
                <w:szCs w:val="24"/>
              </w:rPr>
              <w:t>'</w:t>
            </w:r>
            <w:r w:rsidR="007831F5">
              <w:rPr>
                <w:bCs/>
                <w:szCs w:val="24"/>
              </w:rPr>
              <w:t>.</w:t>
            </w:r>
          </w:p>
        </w:tc>
      </w:tr>
    </w:tbl>
    <w:p w14:paraId="6E129088" w14:textId="77777777" w:rsidR="00D837C8"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8438C" w14:paraId="4573E050" w14:textId="77777777" w:rsidTr="00D837C8">
        <w:trPr>
          <w:trHeight w:val="316"/>
        </w:trPr>
        <w:tc>
          <w:tcPr>
            <w:tcW w:w="9897" w:type="dxa"/>
            <w:gridSpan w:val="2"/>
            <w:shd w:val="clear" w:color="auto" w:fill="D9D9D9" w:themeFill="background1" w:themeFillShade="D9"/>
          </w:tcPr>
          <w:p w14:paraId="4573E04F" w14:textId="77777777" w:rsidR="00850471" w:rsidRPr="0048438C" w:rsidRDefault="00850471" w:rsidP="0048438C">
            <w:pPr>
              <w:spacing w:before="60" w:after="60"/>
              <w:jc w:val="center"/>
              <w:rPr>
                <w:szCs w:val="24"/>
              </w:rPr>
            </w:pPr>
            <w:r w:rsidRPr="0048438C">
              <w:rPr>
                <w:b/>
                <w:szCs w:val="24"/>
              </w:rPr>
              <w:t>REQUESTING PARTY TO COMPLETE</w:t>
            </w:r>
          </w:p>
        </w:tc>
      </w:tr>
      <w:tr w:rsidR="00850471" w:rsidRPr="0048438C" w14:paraId="4573E053" w14:textId="77777777" w:rsidTr="009459D7">
        <w:trPr>
          <w:trHeight w:val="204"/>
        </w:trPr>
        <w:tc>
          <w:tcPr>
            <w:tcW w:w="6436" w:type="dxa"/>
          </w:tcPr>
          <w:p w14:paraId="4573E051" w14:textId="4EF38771" w:rsidR="00850471" w:rsidRPr="0048438C" w:rsidRDefault="00850471" w:rsidP="0048438C">
            <w:pPr>
              <w:spacing w:before="60" w:after="60"/>
              <w:rPr>
                <w:b/>
                <w:szCs w:val="24"/>
              </w:rPr>
            </w:pPr>
            <w:r w:rsidRPr="0048438C">
              <w:rPr>
                <w:b/>
                <w:szCs w:val="24"/>
              </w:rPr>
              <w:t>Actual Acknowledgement date</w:t>
            </w:r>
            <w:r w:rsidR="00367C32">
              <w:rPr>
                <w:b/>
                <w:szCs w:val="24"/>
              </w:rPr>
              <w:t xml:space="preserve"> </w:t>
            </w:r>
            <w:r w:rsidR="00367C32" w:rsidRPr="009459D7">
              <w:rPr>
                <w:bCs/>
                <w:szCs w:val="24"/>
              </w:rPr>
              <w:t>(dd/mm/</w:t>
            </w:r>
            <w:proofErr w:type="spellStart"/>
            <w:r w:rsidR="00367C32" w:rsidRPr="009459D7">
              <w:rPr>
                <w:bCs/>
                <w:szCs w:val="24"/>
              </w:rPr>
              <w:t>yy</w:t>
            </w:r>
            <w:proofErr w:type="spellEnd"/>
            <w:r w:rsidR="00367C32" w:rsidRPr="009459D7">
              <w:rPr>
                <w:bCs/>
                <w:szCs w:val="24"/>
              </w:rPr>
              <w:t>)</w:t>
            </w:r>
            <w:r w:rsidRPr="0048438C">
              <w:rPr>
                <w:b/>
                <w:szCs w:val="24"/>
              </w:rPr>
              <w:t>:</w:t>
            </w:r>
          </w:p>
        </w:tc>
        <w:tc>
          <w:tcPr>
            <w:tcW w:w="3461" w:type="dxa"/>
          </w:tcPr>
          <w:p w14:paraId="4573E052" w14:textId="77777777" w:rsidR="00850471" w:rsidRPr="0048438C" w:rsidRDefault="00850471" w:rsidP="0048438C">
            <w:pPr>
              <w:spacing w:before="60" w:after="60"/>
              <w:jc w:val="center"/>
              <w:rPr>
                <w:b/>
                <w:szCs w:val="24"/>
              </w:rPr>
            </w:pPr>
          </w:p>
        </w:tc>
      </w:tr>
      <w:tr w:rsidR="00850471" w:rsidRPr="0048438C" w14:paraId="4573E056" w14:textId="77777777" w:rsidTr="009459D7">
        <w:trPr>
          <w:trHeight w:val="204"/>
        </w:trPr>
        <w:tc>
          <w:tcPr>
            <w:tcW w:w="6436" w:type="dxa"/>
          </w:tcPr>
          <w:p w14:paraId="4573E054" w14:textId="2C1E1120" w:rsidR="00850471" w:rsidRPr="0048438C" w:rsidRDefault="00850471" w:rsidP="0048438C">
            <w:pPr>
              <w:spacing w:before="60" w:after="60"/>
              <w:rPr>
                <w:b/>
                <w:szCs w:val="24"/>
              </w:rPr>
            </w:pPr>
            <w:r w:rsidRPr="0048438C">
              <w:rPr>
                <w:b/>
                <w:szCs w:val="24"/>
              </w:rPr>
              <w:t>RP stated Resolution Plan agreement date</w:t>
            </w:r>
            <w:r w:rsidR="009459D7">
              <w:rPr>
                <w:b/>
                <w:szCs w:val="24"/>
              </w:rPr>
              <w:t xml:space="preserve"> </w:t>
            </w:r>
            <w:r w:rsidR="009459D7" w:rsidRPr="009459D7">
              <w:rPr>
                <w:bCs/>
                <w:szCs w:val="24"/>
              </w:rPr>
              <w:t>(dd/mm/</w:t>
            </w:r>
            <w:proofErr w:type="spellStart"/>
            <w:r w:rsidR="009459D7" w:rsidRPr="009459D7">
              <w:rPr>
                <w:bCs/>
                <w:szCs w:val="24"/>
              </w:rPr>
              <w:t>yy</w:t>
            </w:r>
            <w:proofErr w:type="spellEnd"/>
            <w:r w:rsidR="009459D7" w:rsidRPr="009459D7">
              <w:rPr>
                <w:bCs/>
                <w:szCs w:val="24"/>
              </w:rPr>
              <w:t>)</w:t>
            </w:r>
            <w:r w:rsidRPr="0048438C">
              <w:rPr>
                <w:b/>
                <w:szCs w:val="24"/>
              </w:rPr>
              <w:t>:</w:t>
            </w:r>
          </w:p>
        </w:tc>
        <w:tc>
          <w:tcPr>
            <w:tcW w:w="3461" w:type="dxa"/>
          </w:tcPr>
          <w:p w14:paraId="4573E055" w14:textId="77777777" w:rsidR="00850471" w:rsidRPr="0048438C" w:rsidRDefault="00850471" w:rsidP="0048438C">
            <w:pPr>
              <w:spacing w:before="60" w:after="60"/>
              <w:jc w:val="center"/>
              <w:rPr>
                <w:b/>
                <w:szCs w:val="24"/>
              </w:rPr>
            </w:pPr>
          </w:p>
        </w:tc>
      </w:tr>
    </w:tbl>
    <w:p w14:paraId="4573E057" w14:textId="0F4061B4" w:rsidR="00ED1ADA" w:rsidRPr="0048438C" w:rsidRDefault="00ED1ADA" w:rsidP="006C0089">
      <w:pPr>
        <w:spacing w:before="60" w:after="60"/>
        <w:rPr>
          <w:szCs w:val="24"/>
        </w:rPr>
      </w:pPr>
    </w:p>
    <w:sectPr w:rsidR="00ED1ADA" w:rsidRPr="0048438C">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29F3" w14:textId="77777777" w:rsidR="006C3059" w:rsidRDefault="006C3059">
      <w:r>
        <w:separator/>
      </w:r>
    </w:p>
  </w:endnote>
  <w:endnote w:type="continuationSeparator" w:id="0">
    <w:p w14:paraId="2C079B65" w14:textId="77777777" w:rsidR="006C3059" w:rsidRDefault="006C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77777777" w:rsidR="00C15B6D" w:rsidRDefault="00C1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5C730B2C" w:rsidR="00C15B6D" w:rsidRDefault="00C15B6D">
    <w:pPr>
      <w:pStyle w:val="Footer"/>
      <w:tabs>
        <w:tab w:val="clear" w:pos="8306"/>
        <w:tab w:val="right" w:pos="9840"/>
      </w:tabs>
      <w:spacing w:before="120"/>
      <w:rPr>
        <w:lang w:val="en-US"/>
      </w:rPr>
    </w:pPr>
    <w:r>
      <w:rPr>
        <w:lang w:val="en-US"/>
      </w:rPr>
      <w:tab/>
    </w:r>
    <w:r w:rsidR="006300E5">
      <w:rPr>
        <w:lang w:val="en-US"/>
      </w:rPr>
      <w:t xml:space="preserve">                           </w:t>
    </w:r>
    <w:r w:rsidR="005A547C" w:rsidRPr="009D128E">
      <w:rPr>
        <w:sz w:val="22"/>
        <w:szCs w:val="22"/>
        <w:lang w:val="en-US"/>
      </w:rPr>
      <w:t xml:space="preserve">Page </w:t>
    </w:r>
    <w:r w:rsidR="005A547C" w:rsidRPr="009D128E">
      <w:rPr>
        <w:sz w:val="22"/>
        <w:szCs w:val="22"/>
        <w:lang w:val="en-US"/>
      </w:rPr>
      <w:fldChar w:fldCharType="begin"/>
    </w:r>
    <w:r w:rsidR="005A547C" w:rsidRPr="009D128E">
      <w:rPr>
        <w:sz w:val="22"/>
        <w:szCs w:val="22"/>
        <w:lang w:val="en-US"/>
      </w:rPr>
      <w:instrText xml:space="preserve"> PAGE </w:instrText>
    </w:r>
    <w:r w:rsidR="005A547C" w:rsidRPr="009D128E">
      <w:rPr>
        <w:sz w:val="22"/>
        <w:szCs w:val="22"/>
        <w:lang w:val="en-US"/>
      </w:rPr>
      <w:fldChar w:fldCharType="separate"/>
    </w:r>
    <w:r w:rsidR="005A547C">
      <w:rPr>
        <w:sz w:val="22"/>
        <w:lang w:val="en-US"/>
      </w:rPr>
      <w:t>1</w:t>
    </w:r>
    <w:r w:rsidR="005A547C" w:rsidRPr="009D128E">
      <w:rPr>
        <w:sz w:val="22"/>
        <w:szCs w:val="22"/>
        <w:lang w:val="en-US"/>
      </w:rPr>
      <w:fldChar w:fldCharType="end"/>
    </w:r>
    <w:r w:rsidR="005A547C" w:rsidRPr="009D128E">
      <w:rPr>
        <w:sz w:val="22"/>
        <w:szCs w:val="22"/>
        <w:lang w:val="en-US"/>
      </w:rPr>
      <w:t xml:space="preserve"> of </w:t>
    </w:r>
    <w:r w:rsidR="005A547C" w:rsidRPr="009D128E">
      <w:rPr>
        <w:sz w:val="22"/>
        <w:szCs w:val="22"/>
        <w:lang w:val="en-US"/>
      </w:rPr>
      <w:fldChar w:fldCharType="begin"/>
    </w:r>
    <w:r w:rsidR="005A547C" w:rsidRPr="009D128E">
      <w:rPr>
        <w:sz w:val="22"/>
        <w:szCs w:val="22"/>
        <w:lang w:val="en-US"/>
      </w:rPr>
      <w:instrText xml:space="preserve"> NUMPAGES </w:instrText>
    </w:r>
    <w:r w:rsidR="005A547C" w:rsidRPr="009D128E">
      <w:rPr>
        <w:sz w:val="22"/>
        <w:szCs w:val="22"/>
        <w:lang w:val="en-US"/>
      </w:rPr>
      <w:fldChar w:fldCharType="separate"/>
    </w:r>
    <w:r w:rsidR="005A547C">
      <w:rPr>
        <w:sz w:val="22"/>
        <w:lang w:val="en-US"/>
      </w:rPr>
      <w:t>3</w:t>
    </w:r>
    <w:r w:rsidR="005A547C" w:rsidRPr="009D128E">
      <w:rPr>
        <w:sz w:val="22"/>
        <w:szCs w:val="22"/>
        <w:lang w:val="en-US"/>
      </w:rPr>
      <w:fldChar w:fldCharType="end"/>
    </w:r>
    <w:r>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D67A" w14:textId="77777777" w:rsidR="00C067F3" w:rsidRDefault="00C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13277" w14:textId="77777777" w:rsidR="006C3059" w:rsidRDefault="006C3059">
      <w:r>
        <w:separator/>
      </w:r>
    </w:p>
  </w:footnote>
  <w:footnote w:type="continuationSeparator" w:id="0">
    <w:p w14:paraId="72C0BDFF" w14:textId="77777777" w:rsidR="006C3059" w:rsidRDefault="006C3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CE28" w14:textId="77777777" w:rsidR="00C067F3" w:rsidRDefault="00C0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rsidTr="003971BE">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C496" w14:textId="77777777" w:rsidR="00C067F3" w:rsidRDefault="00C0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4892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B00692"/>
    <w:multiLevelType w:val="hybridMultilevel"/>
    <w:tmpl w:val="863C12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1A956AE"/>
    <w:multiLevelType w:val="hybridMultilevel"/>
    <w:tmpl w:val="08AC1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8A010E"/>
    <w:multiLevelType w:val="hybridMultilevel"/>
    <w:tmpl w:val="794248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DC1D71"/>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69F273A"/>
    <w:multiLevelType w:val="hybridMultilevel"/>
    <w:tmpl w:val="26F847C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08BF4033"/>
    <w:multiLevelType w:val="hybridMultilevel"/>
    <w:tmpl w:val="9294DAF8"/>
    <w:lvl w:ilvl="0" w:tplc="14A42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D9335F"/>
    <w:multiLevelType w:val="hybridMultilevel"/>
    <w:tmpl w:val="ED52FCA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2" w15:restartNumberingAfterBreak="0">
    <w:nsid w:val="11F93E94"/>
    <w:multiLevelType w:val="hybridMultilevel"/>
    <w:tmpl w:val="F4F8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850EC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296F9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C6ABC"/>
    <w:multiLevelType w:val="hybridMultilevel"/>
    <w:tmpl w:val="3580FC7E"/>
    <w:lvl w:ilvl="0" w:tplc="0750E5E8">
      <w:numFmt w:val="bullet"/>
      <w:lvlText w:val=""/>
      <w:lvlJc w:val="left"/>
      <w:pPr>
        <w:ind w:left="1080" w:hanging="360"/>
      </w:pPr>
      <w:rPr>
        <w:rFonts w:ascii="Symbol" w:eastAsia="Times New Roman"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0604816"/>
    <w:multiLevelType w:val="hybridMultilevel"/>
    <w:tmpl w:val="E3CA5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977F2F"/>
    <w:multiLevelType w:val="hybridMultilevel"/>
    <w:tmpl w:val="A588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647B0"/>
    <w:multiLevelType w:val="hybridMultilevel"/>
    <w:tmpl w:val="C7E06DD8"/>
    <w:lvl w:ilvl="0" w:tplc="0750E5E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5F9570B"/>
    <w:multiLevelType w:val="hybridMultilevel"/>
    <w:tmpl w:val="038EC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AE7A4C"/>
    <w:multiLevelType w:val="hybridMultilevel"/>
    <w:tmpl w:val="F88CC07C"/>
    <w:lvl w:ilvl="0" w:tplc="1D16518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3" w15:restartNumberingAfterBreak="0">
    <w:nsid w:val="37156349"/>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965C98"/>
    <w:multiLevelType w:val="hybridMultilevel"/>
    <w:tmpl w:val="E32A540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633B1C"/>
    <w:multiLevelType w:val="hybridMultilevel"/>
    <w:tmpl w:val="CD6646EA"/>
    <w:lvl w:ilvl="0" w:tplc="0750E5E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8F71BB"/>
    <w:multiLevelType w:val="hybridMultilevel"/>
    <w:tmpl w:val="A9CE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6465F"/>
    <w:multiLevelType w:val="hybridMultilevel"/>
    <w:tmpl w:val="E60CE78A"/>
    <w:lvl w:ilvl="0" w:tplc="8D08F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580B04"/>
    <w:multiLevelType w:val="hybridMultilevel"/>
    <w:tmpl w:val="469C59F0"/>
    <w:lvl w:ilvl="0" w:tplc="3F1C83D6">
      <w:start w:val="1"/>
      <w:numFmt w:val="decimal"/>
      <w:pStyle w:val="Style1"/>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1311BB"/>
    <w:multiLevelType w:val="hybridMultilevel"/>
    <w:tmpl w:val="C6927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DA3231"/>
    <w:multiLevelType w:val="hybridMultilevel"/>
    <w:tmpl w:val="6B2E61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3F55E7"/>
    <w:multiLevelType w:val="hybridMultilevel"/>
    <w:tmpl w:val="6204A3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152CED"/>
    <w:multiLevelType w:val="hybridMultilevel"/>
    <w:tmpl w:val="524493F4"/>
    <w:lvl w:ilvl="0" w:tplc="0750E5E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0A97976"/>
    <w:multiLevelType w:val="hybridMultilevel"/>
    <w:tmpl w:val="F9C007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BB7294"/>
    <w:multiLevelType w:val="hybridMultilevel"/>
    <w:tmpl w:val="0680C2AC"/>
    <w:lvl w:ilvl="0" w:tplc="9D7AF4A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7C6672"/>
    <w:multiLevelType w:val="hybridMultilevel"/>
    <w:tmpl w:val="EE8AEA1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FD3F28"/>
    <w:multiLevelType w:val="hybridMultilevel"/>
    <w:tmpl w:val="908826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796C0771"/>
    <w:multiLevelType w:val="hybridMultilevel"/>
    <w:tmpl w:val="4BA2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F51E4F"/>
    <w:multiLevelType w:val="hybridMultilevel"/>
    <w:tmpl w:val="DEA4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2A06DC"/>
    <w:multiLevelType w:val="hybridMultilevel"/>
    <w:tmpl w:val="58DA38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580136">
    <w:abstractNumId w:val="39"/>
  </w:num>
  <w:num w:numId="2" w16cid:durableId="1038162188">
    <w:abstractNumId w:val="39"/>
  </w:num>
  <w:num w:numId="3" w16cid:durableId="1457485129">
    <w:abstractNumId w:val="39"/>
  </w:num>
  <w:num w:numId="4" w16cid:durableId="605386637">
    <w:abstractNumId w:val="36"/>
  </w:num>
  <w:num w:numId="5" w16cid:durableId="642780601">
    <w:abstractNumId w:val="26"/>
  </w:num>
  <w:num w:numId="6" w16cid:durableId="1993218993">
    <w:abstractNumId w:val="39"/>
  </w:num>
  <w:num w:numId="7" w16cid:durableId="1210649461">
    <w:abstractNumId w:val="39"/>
  </w:num>
  <w:num w:numId="8" w16cid:durableId="777143800">
    <w:abstractNumId w:val="39"/>
  </w:num>
  <w:num w:numId="9" w16cid:durableId="416095553">
    <w:abstractNumId w:val="39"/>
  </w:num>
  <w:num w:numId="10" w16cid:durableId="157312330">
    <w:abstractNumId w:val="39"/>
  </w:num>
  <w:num w:numId="11" w16cid:durableId="272445445">
    <w:abstractNumId w:val="39"/>
  </w:num>
  <w:num w:numId="12" w16cid:durableId="1954940256">
    <w:abstractNumId w:val="4"/>
  </w:num>
  <w:num w:numId="13" w16cid:durableId="228197380">
    <w:abstractNumId w:val="3"/>
  </w:num>
  <w:num w:numId="14" w16cid:durableId="717900545">
    <w:abstractNumId w:val="2"/>
  </w:num>
  <w:num w:numId="15" w16cid:durableId="936597274">
    <w:abstractNumId w:val="1"/>
  </w:num>
  <w:num w:numId="16" w16cid:durableId="1357922998">
    <w:abstractNumId w:val="0"/>
  </w:num>
  <w:num w:numId="17" w16cid:durableId="833574136">
    <w:abstractNumId w:val="16"/>
  </w:num>
  <w:num w:numId="18" w16cid:durableId="1027683759">
    <w:abstractNumId w:val="15"/>
  </w:num>
  <w:num w:numId="19" w16cid:durableId="1637100462">
    <w:abstractNumId w:val="35"/>
  </w:num>
  <w:num w:numId="20" w16cid:durableId="1174806318">
    <w:abstractNumId w:val="22"/>
  </w:num>
  <w:num w:numId="21" w16cid:durableId="945313271">
    <w:abstractNumId w:val="13"/>
  </w:num>
  <w:num w:numId="22" w16cid:durableId="1200700022">
    <w:abstractNumId w:val="14"/>
  </w:num>
  <w:num w:numId="23" w16cid:durableId="645672170">
    <w:abstractNumId w:val="8"/>
  </w:num>
  <w:num w:numId="24" w16cid:durableId="1840466613">
    <w:abstractNumId w:val="23"/>
  </w:num>
  <w:num w:numId="25" w16cid:durableId="558783778">
    <w:abstractNumId w:val="24"/>
  </w:num>
  <w:num w:numId="26" w16cid:durableId="2005090471">
    <w:abstractNumId w:val="10"/>
  </w:num>
  <w:num w:numId="27" w16cid:durableId="506792291">
    <w:abstractNumId w:val="40"/>
  </w:num>
  <w:num w:numId="28" w16cid:durableId="506754639">
    <w:abstractNumId w:val="27"/>
  </w:num>
  <w:num w:numId="29" w16cid:durableId="391004559">
    <w:abstractNumId w:val="41"/>
  </w:num>
  <w:num w:numId="30" w16cid:durableId="1573586199">
    <w:abstractNumId w:val="11"/>
  </w:num>
  <w:num w:numId="31" w16cid:durableId="1668629568">
    <w:abstractNumId w:val="17"/>
  </w:num>
  <w:num w:numId="32" w16cid:durableId="574973402">
    <w:abstractNumId w:val="42"/>
  </w:num>
  <w:num w:numId="33" w16cid:durableId="1912037978">
    <w:abstractNumId w:val="33"/>
  </w:num>
  <w:num w:numId="34" w16cid:durableId="163015471">
    <w:abstractNumId w:val="20"/>
  </w:num>
  <w:num w:numId="35" w16cid:durableId="1937637804">
    <w:abstractNumId w:val="25"/>
  </w:num>
  <w:num w:numId="36" w16cid:durableId="681862249">
    <w:abstractNumId w:val="30"/>
  </w:num>
  <w:num w:numId="37" w16cid:durableId="128254763">
    <w:abstractNumId w:val="28"/>
  </w:num>
  <w:num w:numId="38" w16cid:durableId="2146048349">
    <w:abstractNumId w:val="21"/>
  </w:num>
  <w:num w:numId="39" w16cid:durableId="1190416990">
    <w:abstractNumId w:val="18"/>
  </w:num>
  <w:num w:numId="40" w16cid:durableId="25983139">
    <w:abstractNumId w:val="29"/>
  </w:num>
  <w:num w:numId="41" w16cid:durableId="518392005">
    <w:abstractNumId w:val="32"/>
  </w:num>
  <w:num w:numId="42" w16cid:durableId="1492869533">
    <w:abstractNumId w:val="34"/>
  </w:num>
  <w:num w:numId="43" w16cid:durableId="1587491268">
    <w:abstractNumId w:val="37"/>
  </w:num>
  <w:num w:numId="44" w16cid:durableId="1066226338">
    <w:abstractNumId w:val="38"/>
  </w:num>
  <w:num w:numId="45" w16cid:durableId="354579188">
    <w:abstractNumId w:val="5"/>
  </w:num>
  <w:num w:numId="46" w16cid:durableId="1782605197">
    <w:abstractNumId w:val="19"/>
  </w:num>
  <w:num w:numId="47" w16cid:durableId="1573389835">
    <w:abstractNumId w:val="6"/>
  </w:num>
  <w:num w:numId="48" w16cid:durableId="215364032">
    <w:abstractNumId w:val="31"/>
  </w:num>
  <w:num w:numId="49" w16cid:durableId="477303873">
    <w:abstractNumId w:val="7"/>
  </w:num>
  <w:num w:numId="50" w16cid:durableId="1320159353">
    <w:abstractNumId w:val="29"/>
    <w:lvlOverride w:ilvl="0">
      <w:startOverride w:val="1"/>
    </w:lvlOverride>
  </w:num>
  <w:num w:numId="51" w16cid:durableId="1231505389">
    <w:abstractNumId w:val="9"/>
  </w:num>
  <w:num w:numId="52" w16cid:durableId="1822193418">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5"/>
    <w:rsid w:val="000000AD"/>
    <w:rsid w:val="0000781D"/>
    <w:rsid w:val="00010BE6"/>
    <w:rsid w:val="00012A95"/>
    <w:rsid w:val="00013C91"/>
    <w:rsid w:val="00014DF0"/>
    <w:rsid w:val="00015F6B"/>
    <w:rsid w:val="00017BCF"/>
    <w:rsid w:val="00020BE6"/>
    <w:rsid w:val="00024D4B"/>
    <w:rsid w:val="00027DF5"/>
    <w:rsid w:val="00031108"/>
    <w:rsid w:val="00031D51"/>
    <w:rsid w:val="0003299E"/>
    <w:rsid w:val="00034DB9"/>
    <w:rsid w:val="00036838"/>
    <w:rsid w:val="00037F31"/>
    <w:rsid w:val="00041762"/>
    <w:rsid w:val="00043E1A"/>
    <w:rsid w:val="000467AD"/>
    <w:rsid w:val="00046E42"/>
    <w:rsid w:val="00047346"/>
    <w:rsid w:val="000476FE"/>
    <w:rsid w:val="00055187"/>
    <w:rsid w:val="000566F6"/>
    <w:rsid w:val="00060E5D"/>
    <w:rsid w:val="00062D02"/>
    <w:rsid w:val="00064564"/>
    <w:rsid w:val="000648F4"/>
    <w:rsid w:val="000660C1"/>
    <w:rsid w:val="0006618B"/>
    <w:rsid w:val="00066563"/>
    <w:rsid w:val="000758E9"/>
    <w:rsid w:val="00075B8E"/>
    <w:rsid w:val="00077813"/>
    <w:rsid w:val="00084A6B"/>
    <w:rsid w:val="00093404"/>
    <w:rsid w:val="0009537C"/>
    <w:rsid w:val="00096B5C"/>
    <w:rsid w:val="000977CC"/>
    <w:rsid w:val="000A3DC2"/>
    <w:rsid w:val="000B0956"/>
    <w:rsid w:val="000B09E7"/>
    <w:rsid w:val="000B11B8"/>
    <w:rsid w:val="000B1ED8"/>
    <w:rsid w:val="000B31B0"/>
    <w:rsid w:val="000B3D6A"/>
    <w:rsid w:val="000B5DE7"/>
    <w:rsid w:val="000B7508"/>
    <w:rsid w:val="000C141F"/>
    <w:rsid w:val="000C18A6"/>
    <w:rsid w:val="000C2DA7"/>
    <w:rsid w:val="000C3716"/>
    <w:rsid w:val="000C6FA4"/>
    <w:rsid w:val="000D2049"/>
    <w:rsid w:val="000D34F3"/>
    <w:rsid w:val="000D3B3C"/>
    <w:rsid w:val="000D3E69"/>
    <w:rsid w:val="000D6485"/>
    <w:rsid w:val="000D6A5E"/>
    <w:rsid w:val="000E14B4"/>
    <w:rsid w:val="000E57B5"/>
    <w:rsid w:val="000E7A55"/>
    <w:rsid w:val="000F5585"/>
    <w:rsid w:val="000F5C65"/>
    <w:rsid w:val="000F6102"/>
    <w:rsid w:val="00104BFA"/>
    <w:rsid w:val="0010722F"/>
    <w:rsid w:val="00107916"/>
    <w:rsid w:val="00107E98"/>
    <w:rsid w:val="00112A61"/>
    <w:rsid w:val="00113508"/>
    <w:rsid w:val="00116FE7"/>
    <w:rsid w:val="001178D5"/>
    <w:rsid w:val="001246DE"/>
    <w:rsid w:val="00125F6D"/>
    <w:rsid w:val="001311AC"/>
    <w:rsid w:val="0013189D"/>
    <w:rsid w:val="0013335D"/>
    <w:rsid w:val="001343E5"/>
    <w:rsid w:val="00134D2B"/>
    <w:rsid w:val="00135104"/>
    <w:rsid w:val="00136C8A"/>
    <w:rsid w:val="00141E00"/>
    <w:rsid w:val="001437D5"/>
    <w:rsid w:val="001438BC"/>
    <w:rsid w:val="00144635"/>
    <w:rsid w:val="00146974"/>
    <w:rsid w:val="00147862"/>
    <w:rsid w:val="00151DA2"/>
    <w:rsid w:val="0015303C"/>
    <w:rsid w:val="001547D5"/>
    <w:rsid w:val="00155171"/>
    <w:rsid w:val="0015670E"/>
    <w:rsid w:val="001609D3"/>
    <w:rsid w:val="00162BFC"/>
    <w:rsid w:val="00170A05"/>
    <w:rsid w:val="001729F4"/>
    <w:rsid w:val="00181CAD"/>
    <w:rsid w:val="00182765"/>
    <w:rsid w:val="00182C57"/>
    <w:rsid w:val="00182E42"/>
    <w:rsid w:val="0018307A"/>
    <w:rsid w:val="00183AE6"/>
    <w:rsid w:val="00184D27"/>
    <w:rsid w:val="00185D10"/>
    <w:rsid w:val="0018768A"/>
    <w:rsid w:val="00187CDF"/>
    <w:rsid w:val="00190209"/>
    <w:rsid w:val="001908D4"/>
    <w:rsid w:val="00193671"/>
    <w:rsid w:val="001957BB"/>
    <w:rsid w:val="001A0FFA"/>
    <w:rsid w:val="001A2C4B"/>
    <w:rsid w:val="001A4084"/>
    <w:rsid w:val="001A48E6"/>
    <w:rsid w:val="001B069E"/>
    <w:rsid w:val="001B564A"/>
    <w:rsid w:val="001C1609"/>
    <w:rsid w:val="001C1B8F"/>
    <w:rsid w:val="001C2910"/>
    <w:rsid w:val="001C40CD"/>
    <w:rsid w:val="001C7C24"/>
    <w:rsid w:val="001D1D4A"/>
    <w:rsid w:val="001D360F"/>
    <w:rsid w:val="001D412E"/>
    <w:rsid w:val="001D5C81"/>
    <w:rsid w:val="001D67B2"/>
    <w:rsid w:val="001E01DD"/>
    <w:rsid w:val="001E2DBF"/>
    <w:rsid w:val="001E4D9C"/>
    <w:rsid w:val="001E6A3E"/>
    <w:rsid w:val="001E7078"/>
    <w:rsid w:val="001E7653"/>
    <w:rsid w:val="001F229A"/>
    <w:rsid w:val="001F27E8"/>
    <w:rsid w:val="001F2FED"/>
    <w:rsid w:val="001F42B7"/>
    <w:rsid w:val="001F4BA4"/>
    <w:rsid w:val="001F685B"/>
    <w:rsid w:val="001F77CF"/>
    <w:rsid w:val="0020150E"/>
    <w:rsid w:val="002028EF"/>
    <w:rsid w:val="00204664"/>
    <w:rsid w:val="002070FC"/>
    <w:rsid w:val="00211B58"/>
    <w:rsid w:val="00211D0A"/>
    <w:rsid w:val="00212157"/>
    <w:rsid w:val="0021652C"/>
    <w:rsid w:val="0021782A"/>
    <w:rsid w:val="00217EE9"/>
    <w:rsid w:val="00220466"/>
    <w:rsid w:val="00220CFB"/>
    <w:rsid w:val="00221199"/>
    <w:rsid w:val="00221347"/>
    <w:rsid w:val="002259BA"/>
    <w:rsid w:val="00230CA5"/>
    <w:rsid w:val="00233AAF"/>
    <w:rsid w:val="00235A17"/>
    <w:rsid w:val="002370A6"/>
    <w:rsid w:val="002377BC"/>
    <w:rsid w:val="002403C0"/>
    <w:rsid w:val="002447AF"/>
    <w:rsid w:val="00252344"/>
    <w:rsid w:val="002537E6"/>
    <w:rsid w:val="00253F2E"/>
    <w:rsid w:val="00256C6B"/>
    <w:rsid w:val="00256CB1"/>
    <w:rsid w:val="00263E87"/>
    <w:rsid w:val="00271401"/>
    <w:rsid w:val="00274754"/>
    <w:rsid w:val="00274814"/>
    <w:rsid w:val="00277E7F"/>
    <w:rsid w:val="00285ED8"/>
    <w:rsid w:val="002860FC"/>
    <w:rsid w:val="002865C1"/>
    <w:rsid w:val="00287BDB"/>
    <w:rsid w:val="00291EE2"/>
    <w:rsid w:val="002953D8"/>
    <w:rsid w:val="00295FDD"/>
    <w:rsid w:val="00296234"/>
    <w:rsid w:val="00296E20"/>
    <w:rsid w:val="002970EF"/>
    <w:rsid w:val="002A34ED"/>
    <w:rsid w:val="002A53FC"/>
    <w:rsid w:val="002A6CB7"/>
    <w:rsid w:val="002B2930"/>
    <w:rsid w:val="002B4B0C"/>
    <w:rsid w:val="002C0193"/>
    <w:rsid w:val="002C0396"/>
    <w:rsid w:val="002C21C7"/>
    <w:rsid w:val="002C3230"/>
    <w:rsid w:val="002C4A82"/>
    <w:rsid w:val="002C4CE5"/>
    <w:rsid w:val="002C5ACF"/>
    <w:rsid w:val="002C64FC"/>
    <w:rsid w:val="002C6F76"/>
    <w:rsid w:val="002D305E"/>
    <w:rsid w:val="002D3957"/>
    <w:rsid w:val="002D48AC"/>
    <w:rsid w:val="002E1C56"/>
    <w:rsid w:val="002E52F4"/>
    <w:rsid w:val="002E6C15"/>
    <w:rsid w:val="002F2512"/>
    <w:rsid w:val="002F56A7"/>
    <w:rsid w:val="00300106"/>
    <w:rsid w:val="00307953"/>
    <w:rsid w:val="00311145"/>
    <w:rsid w:val="003120FF"/>
    <w:rsid w:val="00313772"/>
    <w:rsid w:val="0031496F"/>
    <w:rsid w:val="00315C93"/>
    <w:rsid w:val="00316756"/>
    <w:rsid w:val="00317C74"/>
    <w:rsid w:val="00317EA0"/>
    <w:rsid w:val="00323352"/>
    <w:rsid w:val="0032528A"/>
    <w:rsid w:val="00330D77"/>
    <w:rsid w:val="00331655"/>
    <w:rsid w:val="003327CB"/>
    <w:rsid w:val="00334AB1"/>
    <w:rsid w:val="003363CD"/>
    <w:rsid w:val="00337E36"/>
    <w:rsid w:val="00337F1B"/>
    <w:rsid w:val="00341361"/>
    <w:rsid w:val="0034417E"/>
    <w:rsid w:val="003448D5"/>
    <w:rsid w:val="00347213"/>
    <w:rsid w:val="003478C9"/>
    <w:rsid w:val="00347F3B"/>
    <w:rsid w:val="003500D9"/>
    <w:rsid w:val="00350872"/>
    <w:rsid w:val="0035312F"/>
    <w:rsid w:val="00353FC9"/>
    <w:rsid w:val="003558D8"/>
    <w:rsid w:val="00356416"/>
    <w:rsid w:val="003574B5"/>
    <w:rsid w:val="00360F71"/>
    <w:rsid w:val="003668B7"/>
    <w:rsid w:val="00366AEB"/>
    <w:rsid w:val="00367C32"/>
    <w:rsid w:val="00376567"/>
    <w:rsid w:val="00377131"/>
    <w:rsid w:val="00377257"/>
    <w:rsid w:val="00377C99"/>
    <w:rsid w:val="003801BB"/>
    <w:rsid w:val="00380B0F"/>
    <w:rsid w:val="00381AF1"/>
    <w:rsid w:val="00381B72"/>
    <w:rsid w:val="00381F42"/>
    <w:rsid w:val="003820E2"/>
    <w:rsid w:val="00383E75"/>
    <w:rsid w:val="00387912"/>
    <w:rsid w:val="00391ACB"/>
    <w:rsid w:val="00392E7E"/>
    <w:rsid w:val="00393784"/>
    <w:rsid w:val="003949E1"/>
    <w:rsid w:val="00395798"/>
    <w:rsid w:val="003967E7"/>
    <w:rsid w:val="003971BE"/>
    <w:rsid w:val="003A07E4"/>
    <w:rsid w:val="003A4ADE"/>
    <w:rsid w:val="003A586F"/>
    <w:rsid w:val="003A6935"/>
    <w:rsid w:val="003B5AC0"/>
    <w:rsid w:val="003B6ACD"/>
    <w:rsid w:val="003C1A7B"/>
    <w:rsid w:val="003C3FE1"/>
    <w:rsid w:val="003C45AB"/>
    <w:rsid w:val="003C6019"/>
    <w:rsid w:val="003C7579"/>
    <w:rsid w:val="003D0608"/>
    <w:rsid w:val="003D0EAA"/>
    <w:rsid w:val="003D136A"/>
    <w:rsid w:val="003D6924"/>
    <w:rsid w:val="003E1466"/>
    <w:rsid w:val="003E1C18"/>
    <w:rsid w:val="003E24F9"/>
    <w:rsid w:val="003E3536"/>
    <w:rsid w:val="003E3566"/>
    <w:rsid w:val="003E75D3"/>
    <w:rsid w:val="003F0250"/>
    <w:rsid w:val="003F0897"/>
    <w:rsid w:val="003F1A24"/>
    <w:rsid w:val="003F62E3"/>
    <w:rsid w:val="004019BD"/>
    <w:rsid w:val="0040443F"/>
    <w:rsid w:val="00407759"/>
    <w:rsid w:val="004111E0"/>
    <w:rsid w:val="00412D2E"/>
    <w:rsid w:val="004214AE"/>
    <w:rsid w:val="00424707"/>
    <w:rsid w:val="00424F8F"/>
    <w:rsid w:val="00432A72"/>
    <w:rsid w:val="00432DE1"/>
    <w:rsid w:val="004364DE"/>
    <w:rsid w:val="0043678D"/>
    <w:rsid w:val="00440C7F"/>
    <w:rsid w:val="00441E02"/>
    <w:rsid w:val="00444C04"/>
    <w:rsid w:val="00444C41"/>
    <w:rsid w:val="0044508E"/>
    <w:rsid w:val="00450A86"/>
    <w:rsid w:val="00450D43"/>
    <w:rsid w:val="004513C6"/>
    <w:rsid w:val="004515BE"/>
    <w:rsid w:val="00452B08"/>
    <w:rsid w:val="00454A93"/>
    <w:rsid w:val="004575C3"/>
    <w:rsid w:val="004577BC"/>
    <w:rsid w:val="00462408"/>
    <w:rsid w:val="004656C0"/>
    <w:rsid w:val="00470D18"/>
    <w:rsid w:val="00472BBF"/>
    <w:rsid w:val="00474950"/>
    <w:rsid w:val="00476BEF"/>
    <w:rsid w:val="00476CA9"/>
    <w:rsid w:val="00477D24"/>
    <w:rsid w:val="00482380"/>
    <w:rsid w:val="00482937"/>
    <w:rsid w:val="0048438C"/>
    <w:rsid w:val="004858E3"/>
    <w:rsid w:val="004872C3"/>
    <w:rsid w:val="00490D30"/>
    <w:rsid w:val="00491E6A"/>
    <w:rsid w:val="00494EE4"/>
    <w:rsid w:val="004953DD"/>
    <w:rsid w:val="004A120B"/>
    <w:rsid w:val="004A2990"/>
    <w:rsid w:val="004A2CA8"/>
    <w:rsid w:val="004A4869"/>
    <w:rsid w:val="004A4B55"/>
    <w:rsid w:val="004B1E0F"/>
    <w:rsid w:val="004B21F5"/>
    <w:rsid w:val="004B32DA"/>
    <w:rsid w:val="004B4CAC"/>
    <w:rsid w:val="004C19D9"/>
    <w:rsid w:val="004C49DE"/>
    <w:rsid w:val="004C504F"/>
    <w:rsid w:val="004C66F3"/>
    <w:rsid w:val="004C6DE2"/>
    <w:rsid w:val="004C73F9"/>
    <w:rsid w:val="004C7BB5"/>
    <w:rsid w:val="004D033B"/>
    <w:rsid w:val="004D15A2"/>
    <w:rsid w:val="004D4731"/>
    <w:rsid w:val="004D5B77"/>
    <w:rsid w:val="004D7CA3"/>
    <w:rsid w:val="004E1F22"/>
    <w:rsid w:val="004E5017"/>
    <w:rsid w:val="004E50DC"/>
    <w:rsid w:val="004F2E78"/>
    <w:rsid w:val="004F7283"/>
    <w:rsid w:val="00500845"/>
    <w:rsid w:val="00506430"/>
    <w:rsid w:val="005066FA"/>
    <w:rsid w:val="00506E1E"/>
    <w:rsid w:val="00510E8A"/>
    <w:rsid w:val="00511661"/>
    <w:rsid w:val="0051183F"/>
    <w:rsid w:val="005124E4"/>
    <w:rsid w:val="005156EB"/>
    <w:rsid w:val="00516C3D"/>
    <w:rsid w:val="00523D54"/>
    <w:rsid w:val="005311AB"/>
    <w:rsid w:val="005322ED"/>
    <w:rsid w:val="00533859"/>
    <w:rsid w:val="005346B2"/>
    <w:rsid w:val="005347D1"/>
    <w:rsid w:val="00542CA2"/>
    <w:rsid w:val="00542DA6"/>
    <w:rsid w:val="00545A21"/>
    <w:rsid w:val="00546B94"/>
    <w:rsid w:val="0055034C"/>
    <w:rsid w:val="00553CAD"/>
    <w:rsid w:val="00553F4C"/>
    <w:rsid w:val="00561642"/>
    <w:rsid w:val="0056320A"/>
    <w:rsid w:val="0057157A"/>
    <w:rsid w:val="00574DE6"/>
    <w:rsid w:val="00576115"/>
    <w:rsid w:val="00576E5E"/>
    <w:rsid w:val="005778FD"/>
    <w:rsid w:val="00581C0F"/>
    <w:rsid w:val="00581D5B"/>
    <w:rsid w:val="00582E6E"/>
    <w:rsid w:val="00583529"/>
    <w:rsid w:val="005867DA"/>
    <w:rsid w:val="0059018E"/>
    <w:rsid w:val="00590585"/>
    <w:rsid w:val="005933F1"/>
    <w:rsid w:val="00595244"/>
    <w:rsid w:val="005955CB"/>
    <w:rsid w:val="00596595"/>
    <w:rsid w:val="005A24E2"/>
    <w:rsid w:val="005A2A7F"/>
    <w:rsid w:val="005A31D0"/>
    <w:rsid w:val="005A4214"/>
    <w:rsid w:val="005A5071"/>
    <w:rsid w:val="005A50DD"/>
    <w:rsid w:val="005A547C"/>
    <w:rsid w:val="005A5B0F"/>
    <w:rsid w:val="005B1507"/>
    <w:rsid w:val="005B1742"/>
    <w:rsid w:val="005B1C13"/>
    <w:rsid w:val="005C06EB"/>
    <w:rsid w:val="005C1F9F"/>
    <w:rsid w:val="005C321B"/>
    <w:rsid w:val="005C3D3B"/>
    <w:rsid w:val="005C4812"/>
    <w:rsid w:val="005C5057"/>
    <w:rsid w:val="005C74A1"/>
    <w:rsid w:val="005D2C11"/>
    <w:rsid w:val="005D3ABC"/>
    <w:rsid w:val="005D5F6B"/>
    <w:rsid w:val="005D7615"/>
    <w:rsid w:val="005D78D5"/>
    <w:rsid w:val="005E0396"/>
    <w:rsid w:val="005E17FE"/>
    <w:rsid w:val="005E1B93"/>
    <w:rsid w:val="005E2FCC"/>
    <w:rsid w:val="005E4B86"/>
    <w:rsid w:val="005E5CB4"/>
    <w:rsid w:val="005E67F0"/>
    <w:rsid w:val="005F3205"/>
    <w:rsid w:val="005F40AD"/>
    <w:rsid w:val="005F4CBD"/>
    <w:rsid w:val="005F5063"/>
    <w:rsid w:val="005F56D3"/>
    <w:rsid w:val="005F6D21"/>
    <w:rsid w:val="005F757E"/>
    <w:rsid w:val="00600132"/>
    <w:rsid w:val="006006BE"/>
    <w:rsid w:val="00606CC6"/>
    <w:rsid w:val="006150E1"/>
    <w:rsid w:val="00616077"/>
    <w:rsid w:val="006220BA"/>
    <w:rsid w:val="0062429F"/>
    <w:rsid w:val="00625D33"/>
    <w:rsid w:val="00627846"/>
    <w:rsid w:val="00627B60"/>
    <w:rsid w:val="00627BFA"/>
    <w:rsid w:val="00627D12"/>
    <w:rsid w:val="006300E5"/>
    <w:rsid w:val="00631543"/>
    <w:rsid w:val="0063170C"/>
    <w:rsid w:val="00632F66"/>
    <w:rsid w:val="0063583A"/>
    <w:rsid w:val="00635FB0"/>
    <w:rsid w:val="00642E88"/>
    <w:rsid w:val="006448A6"/>
    <w:rsid w:val="006472EB"/>
    <w:rsid w:val="00647F09"/>
    <w:rsid w:val="006505DD"/>
    <w:rsid w:val="006534BE"/>
    <w:rsid w:val="006537EF"/>
    <w:rsid w:val="00660417"/>
    <w:rsid w:val="00664A64"/>
    <w:rsid w:val="00667420"/>
    <w:rsid w:val="00670132"/>
    <w:rsid w:val="006712D7"/>
    <w:rsid w:val="006716B5"/>
    <w:rsid w:val="00675882"/>
    <w:rsid w:val="00677411"/>
    <w:rsid w:val="0068197E"/>
    <w:rsid w:val="00682F43"/>
    <w:rsid w:val="00684E8C"/>
    <w:rsid w:val="00691C14"/>
    <w:rsid w:val="00693C70"/>
    <w:rsid w:val="006947ED"/>
    <w:rsid w:val="006A0A26"/>
    <w:rsid w:val="006A3F06"/>
    <w:rsid w:val="006A4B25"/>
    <w:rsid w:val="006A5857"/>
    <w:rsid w:val="006A5DA3"/>
    <w:rsid w:val="006A6E10"/>
    <w:rsid w:val="006A7917"/>
    <w:rsid w:val="006B26D0"/>
    <w:rsid w:val="006B2AF5"/>
    <w:rsid w:val="006B2DD8"/>
    <w:rsid w:val="006B5F31"/>
    <w:rsid w:val="006B7212"/>
    <w:rsid w:val="006C0089"/>
    <w:rsid w:val="006C216E"/>
    <w:rsid w:val="006C22D8"/>
    <w:rsid w:val="006C2B3C"/>
    <w:rsid w:val="006C3059"/>
    <w:rsid w:val="006C551F"/>
    <w:rsid w:val="006C553F"/>
    <w:rsid w:val="006D193A"/>
    <w:rsid w:val="006D2159"/>
    <w:rsid w:val="006D40FE"/>
    <w:rsid w:val="006D6BBB"/>
    <w:rsid w:val="006E1661"/>
    <w:rsid w:val="006E6EE6"/>
    <w:rsid w:val="006E7883"/>
    <w:rsid w:val="006F1A5E"/>
    <w:rsid w:val="006F3C0E"/>
    <w:rsid w:val="006F471A"/>
    <w:rsid w:val="006F4911"/>
    <w:rsid w:val="007020B9"/>
    <w:rsid w:val="007063CD"/>
    <w:rsid w:val="0070646B"/>
    <w:rsid w:val="00706C65"/>
    <w:rsid w:val="007102C7"/>
    <w:rsid w:val="00712994"/>
    <w:rsid w:val="00713364"/>
    <w:rsid w:val="007143FF"/>
    <w:rsid w:val="00721138"/>
    <w:rsid w:val="00724D2A"/>
    <w:rsid w:val="00725424"/>
    <w:rsid w:val="00730924"/>
    <w:rsid w:val="00733DFB"/>
    <w:rsid w:val="00735777"/>
    <w:rsid w:val="00742680"/>
    <w:rsid w:val="00743573"/>
    <w:rsid w:val="00743856"/>
    <w:rsid w:val="00744AA9"/>
    <w:rsid w:val="00745474"/>
    <w:rsid w:val="00746EBF"/>
    <w:rsid w:val="00752881"/>
    <w:rsid w:val="00753476"/>
    <w:rsid w:val="007579D6"/>
    <w:rsid w:val="007625E8"/>
    <w:rsid w:val="00763580"/>
    <w:rsid w:val="00764275"/>
    <w:rsid w:val="00771B50"/>
    <w:rsid w:val="00773AF5"/>
    <w:rsid w:val="007749D6"/>
    <w:rsid w:val="00780CC3"/>
    <w:rsid w:val="007816F1"/>
    <w:rsid w:val="007831F5"/>
    <w:rsid w:val="00783C32"/>
    <w:rsid w:val="007860E3"/>
    <w:rsid w:val="00787199"/>
    <w:rsid w:val="007871D3"/>
    <w:rsid w:val="00787CFC"/>
    <w:rsid w:val="0079001C"/>
    <w:rsid w:val="00790F40"/>
    <w:rsid w:val="00791DCE"/>
    <w:rsid w:val="007A0689"/>
    <w:rsid w:val="007A18FC"/>
    <w:rsid w:val="007A3DC4"/>
    <w:rsid w:val="007A4147"/>
    <w:rsid w:val="007A5187"/>
    <w:rsid w:val="007A5ECD"/>
    <w:rsid w:val="007A6F84"/>
    <w:rsid w:val="007A7661"/>
    <w:rsid w:val="007B07E3"/>
    <w:rsid w:val="007B08E3"/>
    <w:rsid w:val="007B1A34"/>
    <w:rsid w:val="007B305D"/>
    <w:rsid w:val="007B4B69"/>
    <w:rsid w:val="007B576F"/>
    <w:rsid w:val="007B58B7"/>
    <w:rsid w:val="007B5F25"/>
    <w:rsid w:val="007B66BD"/>
    <w:rsid w:val="007C06D8"/>
    <w:rsid w:val="007C1AC6"/>
    <w:rsid w:val="007C4296"/>
    <w:rsid w:val="007C4F55"/>
    <w:rsid w:val="007C61A5"/>
    <w:rsid w:val="007C7AA0"/>
    <w:rsid w:val="007D02B9"/>
    <w:rsid w:val="007D1FB2"/>
    <w:rsid w:val="007D324D"/>
    <w:rsid w:val="007D5B82"/>
    <w:rsid w:val="007D6B81"/>
    <w:rsid w:val="007D7B27"/>
    <w:rsid w:val="007E0D17"/>
    <w:rsid w:val="007E3774"/>
    <w:rsid w:val="007E6F41"/>
    <w:rsid w:val="007F08CE"/>
    <w:rsid w:val="007F3756"/>
    <w:rsid w:val="007F44CF"/>
    <w:rsid w:val="008031E5"/>
    <w:rsid w:val="0080337B"/>
    <w:rsid w:val="00805723"/>
    <w:rsid w:val="00806929"/>
    <w:rsid w:val="00811C5D"/>
    <w:rsid w:val="00812E21"/>
    <w:rsid w:val="00812EA7"/>
    <w:rsid w:val="00813125"/>
    <w:rsid w:val="00813255"/>
    <w:rsid w:val="008133B6"/>
    <w:rsid w:val="008147EE"/>
    <w:rsid w:val="00815B5B"/>
    <w:rsid w:val="00817C31"/>
    <w:rsid w:val="00820FF8"/>
    <w:rsid w:val="0082220C"/>
    <w:rsid w:val="00822892"/>
    <w:rsid w:val="00824C74"/>
    <w:rsid w:val="008334C9"/>
    <w:rsid w:val="00833B33"/>
    <w:rsid w:val="00834AC6"/>
    <w:rsid w:val="00835072"/>
    <w:rsid w:val="00842CAB"/>
    <w:rsid w:val="00842D89"/>
    <w:rsid w:val="00847C33"/>
    <w:rsid w:val="00850471"/>
    <w:rsid w:val="008506D6"/>
    <w:rsid w:val="00850D04"/>
    <w:rsid w:val="008541ED"/>
    <w:rsid w:val="00854437"/>
    <w:rsid w:val="008634D8"/>
    <w:rsid w:val="00864B29"/>
    <w:rsid w:val="00865853"/>
    <w:rsid w:val="008661E0"/>
    <w:rsid w:val="00867341"/>
    <w:rsid w:val="00867BB6"/>
    <w:rsid w:val="0087220E"/>
    <w:rsid w:val="00873259"/>
    <w:rsid w:val="00873BFD"/>
    <w:rsid w:val="00874DAD"/>
    <w:rsid w:val="008753FB"/>
    <w:rsid w:val="00875755"/>
    <w:rsid w:val="0087645C"/>
    <w:rsid w:val="008769B7"/>
    <w:rsid w:val="00882803"/>
    <w:rsid w:val="00882AC6"/>
    <w:rsid w:val="00882F9A"/>
    <w:rsid w:val="008832A1"/>
    <w:rsid w:val="00883CF3"/>
    <w:rsid w:val="00884D82"/>
    <w:rsid w:val="008910F1"/>
    <w:rsid w:val="00891485"/>
    <w:rsid w:val="00892052"/>
    <w:rsid w:val="00892E18"/>
    <w:rsid w:val="00895EBA"/>
    <w:rsid w:val="0089701F"/>
    <w:rsid w:val="008A4DEA"/>
    <w:rsid w:val="008B54BB"/>
    <w:rsid w:val="008B5943"/>
    <w:rsid w:val="008B7BE5"/>
    <w:rsid w:val="008B7C2C"/>
    <w:rsid w:val="008B7D2F"/>
    <w:rsid w:val="008C00B9"/>
    <w:rsid w:val="008C03F9"/>
    <w:rsid w:val="008C0C3D"/>
    <w:rsid w:val="008C2410"/>
    <w:rsid w:val="008C40C4"/>
    <w:rsid w:val="008D0C82"/>
    <w:rsid w:val="008D2CE8"/>
    <w:rsid w:val="008D344C"/>
    <w:rsid w:val="008D4498"/>
    <w:rsid w:val="008D5014"/>
    <w:rsid w:val="008D5A5A"/>
    <w:rsid w:val="008E10F3"/>
    <w:rsid w:val="008E3311"/>
    <w:rsid w:val="008E3BB3"/>
    <w:rsid w:val="008E3D72"/>
    <w:rsid w:val="008F0226"/>
    <w:rsid w:val="008F04E9"/>
    <w:rsid w:val="008F2A9B"/>
    <w:rsid w:val="008F360E"/>
    <w:rsid w:val="008F6102"/>
    <w:rsid w:val="008F7234"/>
    <w:rsid w:val="00901E53"/>
    <w:rsid w:val="0090277D"/>
    <w:rsid w:val="00902B4D"/>
    <w:rsid w:val="00903609"/>
    <w:rsid w:val="009073A7"/>
    <w:rsid w:val="0091148E"/>
    <w:rsid w:val="009127A3"/>
    <w:rsid w:val="0091439E"/>
    <w:rsid w:val="00914AB8"/>
    <w:rsid w:val="0092073F"/>
    <w:rsid w:val="00922803"/>
    <w:rsid w:val="009237FA"/>
    <w:rsid w:val="00927E74"/>
    <w:rsid w:val="00931B68"/>
    <w:rsid w:val="00931EFE"/>
    <w:rsid w:val="00935E72"/>
    <w:rsid w:val="00942703"/>
    <w:rsid w:val="00944DB0"/>
    <w:rsid w:val="00945587"/>
    <w:rsid w:val="009459D7"/>
    <w:rsid w:val="00952158"/>
    <w:rsid w:val="00953542"/>
    <w:rsid w:val="00957FC4"/>
    <w:rsid w:val="00960105"/>
    <w:rsid w:val="00960AC7"/>
    <w:rsid w:val="00963EFB"/>
    <w:rsid w:val="0096584C"/>
    <w:rsid w:val="009673A5"/>
    <w:rsid w:val="00970A1F"/>
    <w:rsid w:val="00970F92"/>
    <w:rsid w:val="00971B00"/>
    <w:rsid w:val="00971E65"/>
    <w:rsid w:val="009739C7"/>
    <w:rsid w:val="009773CB"/>
    <w:rsid w:val="00977B90"/>
    <w:rsid w:val="00982275"/>
    <w:rsid w:val="009835FF"/>
    <w:rsid w:val="009911C4"/>
    <w:rsid w:val="009937D6"/>
    <w:rsid w:val="009965F3"/>
    <w:rsid w:val="00997148"/>
    <w:rsid w:val="00997E91"/>
    <w:rsid w:val="009A0A84"/>
    <w:rsid w:val="009A0E7A"/>
    <w:rsid w:val="009A270D"/>
    <w:rsid w:val="009A39D0"/>
    <w:rsid w:val="009A4654"/>
    <w:rsid w:val="009A53D5"/>
    <w:rsid w:val="009A7C83"/>
    <w:rsid w:val="009B2744"/>
    <w:rsid w:val="009B31E2"/>
    <w:rsid w:val="009B4D48"/>
    <w:rsid w:val="009B4E02"/>
    <w:rsid w:val="009B5A9C"/>
    <w:rsid w:val="009B5BD5"/>
    <w:rsid w:val="009C170B"/>
    <w:rsid w:val="009C1D27"/>
    <w:rsid w:val="009C54CF"/>
    <w:rsid w:val="009C57C8"/>
    <w:rsid w:val="009D007E"/>
    <w:rsid w:val="009D1312"/>
    <w:rsid w:val="009D30D8"/>
    <w:rsid w:val="009D368D"/>
    <w:rsid w:val="009D614C"/>
    <w:rsid w:val="009D7A00"/>
    <w:rsid w:val="009E3406"/>
    <w:rsid w:val="009E6640"/>
    <w:rsid w:val="009E6D65"/>
    <w:rsid w:val="009F3EB2"/>
    <w:rsid w:val="009F4543"/>
    <w:rsid w:val="009F4849"/>
    <w:rsid w:val="00A016DA"/>
    <w:rsid w:val="00A04295"/>
    <w:rsid w:val="00A06736"/>
    <w:rsid w:val="00A153F6"/>
    <w:rsid w:val="00A16AAC"/>
    <w:rsid w:val="00A2066A"/>
    <w:rsid w:val="00A21AA5"/>
    <w:rsid w:val="00A2458E"/>
    <w:rsid w:val="00A24754"/>
    <w:rsid w:val="00A25CFA"/>
    <w:rsid w:val="00A27EA2"/>
    <w:rsid w:val="00A305E6"/>
    <w:rsid w:val="00A31A66"/>
    <w:rsid w:val="00A34645"/>
    <w:rsid w:val="00A36DB9"/>
    <w:rsid w:val="00A4432A"/>
    <w:rsid w:val="00A4478F"/>
    <w:rsid w:val="00A454C1"/>
    <w:rsid w:val="00A51050"/>
    <w:rsid w:val="00A52798"/>
    <w:rsid w:val="00A530D9"/>
    <w:rsid w:val="00A567CD"/>
    <w:rsid w:val="00A62BB1"/>
    <w:rsid w:val="00A62FCA"/>
    <w:rsid w:val="00A63E08"/>
    <w:rsid w:val="00A63F55"/>
    <w:rsid w:val="00A647DF"/>
    <w:rsid w:val="00A66BC0"/>
    <w:rsid w:val="00A6718B"/>
    <w:rsid w:val="00A702A2"/>
    <w:rsid w:val="00A7121D"/>
    <w:rsid w:val="00A7310A"/>
    <w:rsid w:val="00A77666"/>
    <w:rsid w:val="00A80192"/>
    <w:rsid w:val="00A82246"/>
    <w:rsid w:val="00A831EF"/>
    <w:rsid w:val="00A84668"/>
    <w:rsid w:val="00A8727F"/>
    <w:rsid w:val="00A87B2E"/>
    <w:rsid w:val="00A92513"/>
    <w:rsid w:val="00A934A4"/>
    <w:rsid w:val="00A942AA"/>
    <w:rsid w:val="00A95569"/>
    <w:rsid w:val="00AA2C71"/>
    <w:rsid w:val="00AA3970"/>
    <w:rsid w:val="00AA429B"/>
    <w:rsid w:val="00AA43C8"/>
    <w:rsid w:val="00AA5365"/>
    <w:rsid w:val="00AA618A"/>
    <w:rsid w:val="00AB17DC"/>
    <w:rsid w:val="00AB1816"/>
    <w:rsid w:val="00AB1EA2"/>
    <w:rsid w:val="00AC1961"/>
    <w:rsid w:val="00AC1CD9"/>
    <w:rsid w:val="00AC446D"/>
    <w:rsid w:val="00AC4ADF"/>
    <w:rsid w:val="00AC5466"/>
    <w:rsid w:val="00AC7258"/>
    <w:rsid w:val="00AD104C"/>
    <w:rsid w:val="00AD1207"/>
    <w:rsid w:val="00AD2620"/>
    <w:rsid w:val="00AD2990"/>
    <w:rsid w:val="00AD41C6"/>
    <w:rsid w:val="00AE02E4"/>
    <w:rsid w:val="00AE06CA"/>
    <w:rsid w:val="00AE2FE0"/>
    <w:rsid w:val="00AE356D"/>
    <w:rsid w:val="00AE47FB"/>
    <w:rsid w:val="00AE65EF"/>
    <w:rsid w:val="00AE7AF9"/>
    <w:rsid w:val="00AF0556"/>
    <w:rsid w:val="00AF1F40"/>
    <w:rsid w:val="00AF4BBE"/>
    <w:rsid w:val="00B04898"/>
    <w:rsid w:val="00B07112"/>
    <w:rsid w:val="00B07D25"/>
    <w:rsid w:val="00B12BE2"/>
    <w:rsid w:val="00B14129"/>
    <w:rsid w:val="00B15299"/>
    <w:rsid w:val="00B15F05"/>
    <w:rsid w:val="00B1619F"/>
    <w:rsid w:val="00B169BD"/>
    <w:rsid w:val="00B179E9"/>
    <w:rsid w:val="00B202AA"/>
    <w:rsid w:val="00B205C4"/>
    <w:rsid w:val="00B2089B"/>
    <w:rsid w:val="00B22676"/>
    <w:rsid w:val="00B2411A"/>
    <w:rsid w:val="00B255D4"/>
    <w:rsid w:val="00B25B1B"/>
    <w:rsid w:val="00B30040"/>
    <w:rsid w:val="00B316D4"/>
    <w:rsid w:val="00B32571"/>
    <w:rsid w:val="00B32A40"/>
    <w:rsid w:val="00B33823"/>
    <w:rsid w:val="00B417A3"/>
    <w:rsid w:val="00B443DE"/>
    <w:rsid w:val="00B45354"/>
    <w:rsid w:val="00B468C6"/>
    <w:rsid w:val="00B502D8"/>
    <w:rsid w:val="00B52AD6"/>
    <w:rsid w:val="00B52F21"/>
    <w:rsid w:val="00B554CD"/>
    <w:rsid w:val="00B5663C"/>
    <w:rsid w:val="00B61445"/>
    <w:rsid w:val="00B61F9D"/>
    <w:rsid w:val="00B639C6"/>
    <w:rsid w:val="00B6555E"/>
    <w:rsid w:val="00B65618"/>
    <w:rsid w:val="00B7029C"/>
    <w:rsid w:val="00B70CFB"/>
    <w:rsid w:val="00B71824"/>
    <w:rsid w:val="00B72751"/>
    <w:rsid w:val="00B74543"/>
    <w:rsid w:val="00B745FD"/>
    <w:rsid w:val="00B763B2"/>
    <w:rsid w:val="00B83616"/>
    <w:rsid w:val="00B85D99"/>
    <w:rsid w:val="00BA1B78"/>
    <w:rsid w:val="00BA31C3"/>
    <w:rsid w:val="00BA36F1"/>
    <w:rsid w:val="00BA6D3A"/>
    <w:rsid w:val="00BB05E8"/>
    <w:rsid w:val="00BB09BF"/>
    <w:rsid w:val="00BB2D8B"/>
    <w:rsid w:val="00BB3329"/>
    <w:rsid w:val="00BB634F"/>
    <w:rsid w:val="00BC0866"/>
    <w:rsid w:val="00BC1814"/>
    <w:rsid w:val="00BC1EC7"/>
    <w:rsid w:val="00BC4398"/>
    <w:rsid w:val="00BC6656"/>
    <w:rsid w:val="00BC727A"/>
    <w:rsid w:val="00BD0281"/>
    <w:rsid w:val="00BD08B9"/>
    <w:rsid w:val="00BD133E"/>
    <w:rsid w:val="00BD24CB"/>
    <w:rsid w:val="00BD36F3"/>
    <w:rsid w:val="00BD5106"/>
    <w:rsid w:val="00BD5AEE"/>
    <w:rsid w:val="00BD6529"/>
    <w:rsid w:val="00BE1020"/>
    <w:rsid w:val="00BE14AF"/>
    <w:rsid w:val="00BE3151"/>
    <w:rsid w:val="00BE7ECE"/>
    <w:rsid w:val="00BF2CE0"/>
    <w:rsid w:val="00BF2F83"/>
    <w:rsid w:val="00BF70D0"/>
    <w:rsid w:val="00C00A30"/>
    <w:rsid w:val="00C0171D"/>
    <w:rsid w:val="00C03AF6"/>
    <w:rsid w:val="00C03B52"/>
    <w:rsid w:val="00C04E46"/>
    <w:rsid w:val="00C06070"/>
    <w:rsid w:val="00C067F3"/>
    <w:rsid w:val="00C10BB4"/>
    <w:rsid w:val="00C11790"/>
    <w:rsid w:val="00C120E2"/>
    <w:rsid w:val="00C1355B"/>
    <w:rsid w:val="00C14744"/>
    <w:rsid w:val="00C15B6D"/>
    <w:rsid w:val="00C1602C"/>
    <w:rsid w:val="00C168E6"/>
    <w:rsid w:val="00C16A4C"/>
    <w:rsid w:val="00C16CEB"/>
    <w:rsid w:val="00C24A7B"/>
    <w:rsid w:val="00C261E9"/>
    <w:rsid w:val="00C26D55"/>
    <w:rsid w:val="00C31169"/>
    <w:rsid w:val="00C33D9D"/>
    <w:rsid w:val="00C34CBC"/>
    <w:rsid w:val="00C35AAD"/>
    <w:rsid w:val="00C35E5F"/>
    <w:rsid w:val="00C43B41"/>
    <w:rsid w:val="00C4507E"/>
    <w:rsid w:val="00C465CB"/>
    <w:rsid w:val="00C4709D"/>
    <w:rsid w:val="00C4789E"/>
    <w:rsid w:val="00C52554"/>
    <w:rsid w:val="00C54417"/>
    <w:rsid w:val="00C558A3"/>
    <w:rsid w:val="00C615BD"/>
    <w:rsid w:val="00C63814"/>
    <w:rsid w:val="00C674CF"/>
    <w:rsid w:val="00C6750B"/>
    <w:rsid w:val="00C73242"/>
    <w:rsid w:val="00C75ED2"/>
    <w:rsid w:val="00C77222"/>
    <w:rsid w:val="00C778FE"/>
    <w:rsid w:val="00C819A1"/>
    <w:rsid w:val="00C83396"/>
    <w:rsid w:val="00C86168"/>
    <w:rsid w:val="00C9013E"/>
    <w:rsid w:val="00C911C3"/>
    <w:rsid w:val="00C91A51"/>
    <w:rsid w:val="00C9350B"/>
    <w:rsid w:val="00C94E39"/>
    <w:rsid w:val="00C95270"/>
    <w:rsid w:val="00CA2DE5"/>
    <w:rsid w:val="00CA30D8"/>
    <w:rsid w:val="00CA3DDC"/>
    <w:rsid w:val="00CA4843"/>
    <w:rsid w:val="00CA48E7"/>
    <w:rsid w:val="00CA4E4D"/>
    <w:rsid w:val="00CA589E"/>
    <w:rsid w:val="00CA67B3"/>
    <w:rsid w:val="00CA75AA"/>
    <w:rsid w:val="00CB2532"/>
    <w:rsid w:val="00CC0CCA"/>
    <w:rsid w:val="00CC2E1E"/>
    <w:rsid w:val="00CC345A"/>
    <w:rsid w:val="00CC37EF"/>
    <w:rsid w:val="00CC67B6"/>
    <w:rsid w:val="00CC7995"/>
    <w:rsid w:val="00CD26D0"/>
    <w:rsid w:val="00CD3118"/>
    <w:rsid w:val="00CD4B10"/>
    <w:rsid w:val="00CD5765"/>
    <w:rsid w:val="00CD6AD4"/>
    <w:rsid w:val="00CE0C08"/>
    <w:rsid w:val="00CE0E4E"/>
    <w:rsid w:val="00CE4621"/>
    <w:rsid w:val="00CE4D34"/>
    <w:rsid w:val="00CE5503"/>
    <w:rsid w:val="00CE5DB0"/>
    <w:rsid w:val="00CE7298"/>
    <w:rsid w:val="00CE73F8"/>
    <w:rsid w:val="00CE7AF2"/>
    <w:rsid w:val="00CF0DAD"/>
    <w:rsid w:val="00CF1063"/>
    <w:rsid w:val="00CF4E1B"/>
    <w:rsid w:val="00CF514D"/>
    <w:rsid w:val="00CF52DA"/>
    <w:rsid w:val="00D0576C"/>
    <w:rsid w:val="00D06C57"/>
    <w:rsid w:val="00D10CA2"/>
    <w:rsid w:val="00D10E4C"/>
    <w:rsid w:val="00D16CBF"/>
    <w:rsid w:val="00D20BA9"/>
    <w:rsid w:val="00D2193B"/>
    <w:rsid w:val="00D21CFF"/>
    <w:rsid w:val="00D246F9"/>
    <w:rsid w:val="00D259C2"/>
    <w:rsid w:val="00D266E9"/>
    <w:rsid w:val="00D30049"/>
    <w:rsid w:val="00D33BA1"/>
    <w:rsid w:val="00D36148"/>
    <w:rsid w:val="00D372CA"/>
    <w:rsid w:val="00D37A33"/>
    <w:rsid w:val="00D47B57"/>
    <w:rsid w:val="00D508FA"/>
    <w:rsid w:val="00D526C4"/>
    <w:rsid w:val="00D552EB"/>
    <w:rsid w:val="00D571C5"/>
    <w:rsid w:val="00D6408D"/>
    <w:rsid w:val="00D64EC8"/>
    <w:rsid w:val="00D667F3"/>
    <w:rsid w:val="00D67882"/>
    <w:rsid w:val="00D71124"/>
    <w:rsid w:val="00D72420"/>
    <w:rsid w:val="00D74369"/>
    <w:rsid w:val="00D80E64"/>
    <w:rsid w:val="00D814C0"/>
    <w:rsid w:val="00D837C8"/>
    <w:rsid w:val="00D838A1"/>
    <w:rsid w:val="00D9124C"/>
    <w:rsid w:val="00D92274"/>
    <w:rsid w:val="00D93326"/>
    <w:rsid w:val="00D97296"/>
    <w:rsid w:val="00D97F73"/>
    <w:rsid w:val="00DA0E1E"/>
    <w:rsid w:val="00DA21D0"/>
    <w:rsid w:val="00DA22C4"/>
    <w:rsid w:val="00DB2DCE"/>
    <w:rsid w:val="00DB340F"/>
    <w:rsid w:val="00DB52B8"/>
    <w:rsid w:val="00DB7473"/>
    <w:rsid w:val="00DC2D45"/>
    <w:rsid w:val="00DC6A24"/>
    <w:rsid w:val="00DC7F75"/>
    <w:rsid w:val="00DD143A"/>
    <w:rsid w:val="00DD1475"/>
    <w:rsid w:val="00DD16F2"/>
    <w:rsid w:val="00DD1A5B"/>
    <w:rsid w:val="00DD1ACE"/>
    <w:rsid w:val="00DD2D78"/>
    <w:rsid w:val="00DD32C3"/>
    <w:rsid w:val="00DD351D"/>
    <w:rsid w:val="00DD4DB0"/>
    <w:rsid w:val="00DD4EA3"/>
    <w:rsid w:val="00DD5108"/>
    <w:rsid w:val="00DD57F7"/>
    <w:rsid w:val="00DD7F78"/>
    <w:rsid w:val="00DE031E"/>
    <w:rsid w:val="00DE1D5B"/>
    <w:rsid w:val="00DE271E"/>
    <w:rsid w:val="00DE2F68"/>
    <w:rsid w:val="00DE39F8"/>
    <w:rsid w:val="00DE5BAE"/>
    <w:rsid w:val="00DF0FAF"/>
    <w:rsid w:val="00DF37EE"/>
    <w:rsid w:val="00DF38DB"/>
    <w:rsid w:val="00DF3B30"/>
    <w:rsid w:val="00DF4459"/>
    <w:rsid w:val="00DF5B55"/>
    <w:rsid w:val="00E058B2"/>
    <w:rsid w:val="00E07511"/>
    <w:rsid w:val="00E11D96"/>
    <w:rsid w:val="00E137F3"/>
    <w:rsid w:val="00E13F68"/>
    <w:rsid w:val="00E14A53"/>
    <w:rsid w:val="00E17A65"/>
    <w:rsid w:val="00E23E4A"/>
    <w:rsid w:val="00E26CBB"/>
    <w:rsid w:val="00E31088"/>
    <w:rsid w:val="00E326A4"/>
    <w:rsid w:val="00E33AD2"/>
    <w:rsid w:val="00E3452A"/>
    <w:rsid w:val="00E35ED2"/>
    <w:rsid w:val="00E402D8"/>
    <w:rsid w:val="00E4075A"/>
    <w:rsid w:val="00E4503E"/>
    <w:rsid w:val="00E467C4"/>
    <w:rsid w:val="00E470B9"/>
    <w:rsid w:val="00E51206"/>
    <w:rsid w:val="00E54875"/>
    <w:rsid w:val="00E558C3"/>
    <w:rsid w:val="00E562BD"/>
    <w:rsid w:val="00E623A8"/>
    <w:rsid w:val="00E62DDC"/>
    <w:rsid w:val="00E66235"/>
    <w:rsid w:val="00E6627B"/>
    <w:rsid w:val="00E70892"/>
    <w:rsid w:val="00E71C25"/>
    <w:rsid w:val="00E729DE"/>
    <w:rsid w:val="00E75DAA"/>
    <w:rsid w:val="00E77810"/>
    <w:rsid w:val="00E8139E"/>
    <w:rsid w:val="00E8160B"/>
    <w:rsid w:val="00E8389A"/>
    <w:rsid w:val="00E85E9C"/>
    <w:rsid w:val="00E872E0"/>
    <w:rsid w:val="00E90756"/>
    <w:rsid w:val="00E942EC"/>
    <w:rsid w:val="00E94FB7"/>
    <w:rsid w:val="00E95FF8"/>
    <w:rsid w:val="00E960D0"/>
    <w:rsid w:val="00EA268D"/>
    <w:rsid w:val="00EA2C1E"/>
    <w:rsid w:val="00EA3E95"/>
    <w:rsid w:val="00EA5E1D"/>
    <w:rsid w:val="00EA6926"/>
    <w:rsid w:val="00EB06B8"/>
    <w:rsid w:val="00EB1CCE"/>
    <w:rsid w:val="00EB33E6"/>
    <w:rsid w:val="00EB7D33"/>
    <w:rsid w:val="00EC0196"/>
    <w:rsid w:val="00EC280B"/>
    <w:rsid w:val="00EC2C8F"/>
    <w:rsid w:val="00EC3240"/>
    <w:rsid w:val="00EC3347"/>
    <w:rsid w:val="00EC409B"/>
    <w:rsid w:val="00EC62D2"/>
    <w:rsid w:val="00ED1ADA"/>
    <w:rsid w:val="00ED28DE"/>
    <w:rsid w:val="00ED3614"/>
    <w:rsid w:val="00ED52F2"/>
    <w:rsid w:val="00EE0457"/>
    <w:rsid w:val="00EE0B3A"/>
    <w:rsid w:val="00EE0DB2"/>
    <w:rsid w:val="00EE1FE9"/>
    <w:rsid w:val="00EE223E"/>
    <w:rsid w:val="00EE2260"/>
    <w:rsid w:val="00EE232E"/>
    <w:rsid w:val="00EE7506"/>
    <w:rsid w:val="00EF0C9A"/>
    <w:rsid w:val="00EF12E8"/>
    <w:rsid w:val="00EF1D41"/>
    <w:rsid w:val="00EF4FC3"/>
    <w:rsid w:val="00EF596D"/>
    <w:rsid w:val="00EF7375"/>
    <w:rsid w:val="00EF7637"/>
    <w:rsid w:val="00F00BE5"/>
    <w:rsid w:val="00F00EF9"/>
    <w:rsid w:val="00F06D2C"/>
    <w:rsid w:val="00F11DE4"/>
    <w:rsid w:val="00F149CE"/>
    <w:rsid w:val="00F15691"/>
    <w:rsid w:val="00F16EB2"/>
    <w:rsid w:val="00F1721A"/>
    <w:rsid w:val="00F17CCB"/>
    <w:rsid w:val="00F2623D"/>
    <w:rsid w:val="00F31805"/>
    <w:rsid w:val="00F33371"/>
    <w:rsid w:val="00F33E23"/>
    <w:rsid w:val="00F42235"/>
    <w:rsid w:val="00F45EE0"/>
    <w:rsid w:val="00F46476"/>
    <w:rsid w:val="00F5265B"/>
    <w:rsid w:val="00F528E2"/>
    <w:rsid w:val="00F54BD1"/>
    <w:rsid w:val="00F61A14"/>
    <w:rsid w:val="00F65462"/>
    <w:rsid w:val="00F70F8B"/>
    <w:rsid w:val="00F72F1B"/>
    <w:rsid w:val="00F733F9"/>
    <w:rsid w:val="00F73E90"/>
    <w:rsid w:val="00F80301"/>
    <w:rsid w:val="00F82D1B"/>
    <w:rsid w:val="00F8618C"/>
    <w:rsid w:val="00F86807"/>
    <w:rsid w:val="00F878AF"/>
    <w:rsid w:val="00F87E0A"/>
    <w:rsid w:val="00F93F84"/>
    <w:rsid w:val="00F963CA"/>
    <w:rsid w:val="00F97009"/>
    <w:rsid w:val="00FA3233"/>
    <w:rsid w:val="00FA493F"/>
    <w:rsid w:val="00FA62B5"/>
    <w:rsid w:val="00FA783C"/>
    <w:rsid w:val="00FB1E27"/>
    <w:rsid w:val="00FB1E7F"/>
    <w:rsid w:val="00FB333D"/>
    <w:rsid w:val="00FB5CF3"/>
    <w:rsid w:val="00FB5FEE"/>
    <w:rsid w:val="00FB6EDB"/>
    <w:rsid w:val="00FB72A3"/>
    <w:rsid w:val="00FC1ADD"/>
    <w:rsid w:val="00FC44CA"/>
    <w:rsid w:val="00FC55DC"/>
    <w:rsid w:val="00FC5898"/>
    <w:rsid w:val="00FC78BA"/>
    <w:rsid w:val="00FD0CB5"/>
    <w:rsid w:val="00FD0DDD"/>
    <w:rsid w:val="00FD207E"/>
    <w:rsid w:val="00FD3990"/>
    <w:rsid w:val="00FE12F0"/>
    <w:rsid w:val="00FE2A2A"/>
    <w:rsid w:val="00FE50CF"/>
    <w:rsid w:val="00FF0BDF"/>
    <w:rsid w:val="00FF2457"/>
    <w:rsid w:val="00FF346F"/>
    <w:rsid w:val="00FF5CF5"/>
    <w:rsid w:val="00FF7F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15:docId w15:val="{8E22C7A2-0C28-48EB-B4A4-3B4380D6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style>
  <w:style w:type="character" w:styleId="PageNumber">
    <w:name w:val="page number"/>
    <w:basedOn w:val="DefaultParagraphFont"/>
  </w:style>
  <w:style w:type="paragraph" w:styleId="ListParagraph">
    <w:name w:val="List Paragraph"/>
    <w:basedOn w:val="Normal"/>
    <w:link w:val="ListParagraphChar"/>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C56"/>
    <w:rPr>
      <w:color w:val="0000FF"/>
      <w:u w:val="single"/>
    </w:rPr>
  </w:style>
  <w:style w:type="character" w:styleId="FollowedHyperlink">
    <w:name w:val="FollowedHyperlink"/>
    <w:basedOn w:val="DefaultParagraphFont"/>
    <w:semiHidden/>
    <w:unhideWhenUsed/>
    <w:rsid w:val="001C40CD"/>
    <w:rPr>
      <w:color w:val="800080" w:themeColor="followedHyperlink"/>
      <w:u w:val="single"/>
    </w:rPr>
  </w:style>
  <w:style w:type="character" w:styleId="CommentReference">
    <w:name w:val="annotation reference"/>
    <w:basedOn w:val="DefaultParagraphFont"/>
    <w:semiHidden/>
    <w:unhideWhenUsed/>
    <w:rsid w:val="009B4E02"/>
    <w:rPr>
      <w:sz w:val="16"/>
      <w:szCs w:val="16"/>
    </w:rPr>
  </w:style>
  <w:style w:type="paragraph" w:styleId="CommentText">
    <w:name w:val="annotation text"/>
    <w:basedOn w:val="Normal"/>
    <w:link w:val="CommentTextChar"/>
    <w:unhideWhenUsed/>
    <w:rsid w:val="009B4E02"/>
    <w:rPr>
      <w:sz w:val="20"/>
      <w:szCs w:val="20"/>
    </w:rPr>
  </w:style>
  <w:style w:type="character" w:customStyle="1" w:styleId="CommentTextChar">
    <w:name w:val="Comment Text Char"/>
    <w:basedOn w:val="DefaultParagraphFont"/>
    <w:link w:val="CommentText"/>
    <w:rsid w:val="009B4E02"/>
    <w:rPr>
      <w:rFonts w:ascii="Arial" w:hAnsi="Arial" w:cs="Arial"/>
      <w:lang w:eastAsia="en-US"/>
    </w:rPr>
  </w:style>
  <w:style w:type="paragraph" w:styleId="CommentSubject">
    <w:name w:val="annotation subject"/>
    <w:basedOn w:val="CommentText"/>
    <w:next w:val="CommentText"/>
    <w:link w:val="CommentSubjectChar"/>
    <w:semiHidden/>
    <w:unhideWhenUsed/>
    <w:rsid w:val="009B4E02"/>
    <w:rPr>
      <w:b/>
      <w:bCs/>
    </w:rPr>
  </w:style>
  <w:style w:type="character" w:customStyle="1" w:styleId="CommentSubjectChar">
    <w:name w:val="Comment Subject Char"/>
    <w:basedOn w:val="CommentTextChar"/>
    <w:link w:val="CommentSubject"/>
    <w:semiHidden/>
    <w:rsid w:val="009B4E02"/>
    <w:rPr>
      <w:rFonts w:ascii="Arial" w:hAnsi="Arial" w:cs="Arial"/>
      <w:b/>
      <w:bCs/>
      <w:lang w:eastAsia="en-US"/>
    </w:rPr>
  </w:style>
  <w:style w:type="character" w:styleId="UnresolvedMention">
    <w:name w:val="Unresolved Mention"/>
    <w:basedOn w:val="DefaultParagraphFont"/>
    <w:uiPriority w:val="99"/>
    <w:semiHidden/>
    <w:unhideWhenUsed/>
    <w:rsid w:val="008769B7"/>
    <w:rPr>
      <w:color w:val="605E5C"/>
      <w:shd w:val="clear" w:color="auto" w:fill="E1DFDD"/>
    </w:rPr>
  </w:style>
  <w:style w:type="paragraph" w:styleId="Revision">
    <w:name w:val="Revision"/>
    <w:hidden/>
    <w:uiPriority w:val="99"/>
    <w:semiHidden/>
    <w:rsid w:val="00E31088"/>
    <w:rPr>
      <w:rFonts w:ascii="Arial" w:hAnsi="Arial" w:cs="Arial"/>
      <w:sz w:val="24"/>
      <w:szCs w:val="22"/>
      <w:lang w:eastAsia="en-US"/>
    </w:rPr>
  </w:style>
  <w:style w:type="character" w:customStyle="1" w:styleId="cf01">
    <w:name w:val="cf01"/>
    <w:basedOn w:val="DefaultParagraphFont"/>
    <w:rsid w:val="00971B00"/>
    <w:rPr>
      <w:rFonts w:ascii="Segoe UI" w:hAnsi="Segoe UI" w:cs="Segoe UI" w:hint="default"/>
      <w:sz w:val="18"/>
      <w:szCs w:val="18"/>
    </w:rPr>
  </w:style>
  <w:style w:type="paragraph" w:customStyle="1" w:styleId="Style1">
    <w:name w:val="Style1"/>
    <w:basedOn w:val="ListParagraph"/>
    <w:link w:val="Style1Char"/>
    <w:qFormat/>
    <w:rsid w:val="00EC2C8F"/>
    <w:pPr>
      <w:numPr>
        <w:numId w:val="40"/>
      </w:numPr>
      <w:ind w:left="720"/>
    </w:pPr>
    <w:rPr>
      <w:szCs w:val="24"/>
    </w:rPr>
  </w:style>
  <w:style w:type="character" w:customStyle="1" w:styleId="ListParagraphChar">
    <w:name w:val="List Paragraph Char"/>
    <w:basedOn w:val="DefaultParagraphFont"/>
    <w:link w:val="ListParagraph"/>
    <w:uiPriority w:val="34"/>
    <w:rsid w:val="00EC2C8F"/>
    <w:rPr>
      <w:rFonts w:ascii="Arial" w:hAnsi="Arial" w:cs="Arial"/>
      <w:sz w:val="24"/>
      <w:szCs w:val="22"/>
      <w:lang w:eastAsia="en-US"/>
    </w:rPr>
  </w:style>
  <w:style w:type="character" w:customStyle="1" w:styleId="Style1Char">
    <w:name w:val="Style1 Char"/>
    <w:basedOn w:val="ListParagraphChar"/>
    <w:link w:val="Style1"/>
    <w:rsid w:val="00EC2C8F"/>
    <w:rPr>
      <w:rFonts w:ascii="Arial" w:hAnsi="Arial" w:cs="Arial"/>
      <w:sz w:val="24"/>
      <w:szCs w:val="24"/>
      <w:lang w:eastAsia="en-US"/>
    </w:rPr>
  </w:style>
  <w:style w:type="paragraph" w:styleId="Bibliography">
    <w:name w:val="Bibliography"/>
    <w:basedOn w:val="Normal"/>
    <w:next w:val="Normal"/>
    <w:uiPriority w:val="37"/>
    <w:unhideWhenUsed/>
    <w:rsid w:val="00D16CBF"/>
  </w:style>
  <w:style w:type="character" w:styleId="Mention">
    <w:name w:val="Mention"/>
    <w:basedOn w:val="DefaultParagraphFont"/>
    <w:uiPriority w:val="99"/>
    <w:unhideWhenUsed/>
    <w:rsid w:val="00642E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82007">
      <w:bodyDiv w:val="1"/>
      <w:marLeft w:val="0"/>
      <w:marRight w:val="0"/>
      <w:marTop w:val="0"/>
      <w:marBottom w:val="0"/>
      <w:divBdr>
        <w:top w:val="none" w:sz="0" w:space="0" w:color="auto"/>
        <w:left w:val="none" w:sz="0" w:space="0" w:color="auto"/>
        <w:bottom w:val="none" w:sz="0" w:space="0" w:color="auto"/>
        <w:right w:val="none" w:sz="0" w:space="0" w:color="auto"/>
      </w:divBdr>
    </w:div>
    <w:div w:id="290134939">
      <w:bodyDiv w:val="1"/>
      <w:marLeft w:val="0"/>
      <w:marRight w:val="0"/>
      <w:marTop w:val="0"/>
      <w:marBottom w:val="0"/>
      <w:divBdr>
        <w:top w:val="none" w:sz="0" w:space="0" w:color="auto"/>
        <w:left w:val="none" w:sz="0" w:space="0" w:color="auto"/>
        <w:bottom w:val="none" w:sz="0" w:space="0" w:color="auto"/>
        <w:right w:val="none" w:sz="0" w:space="0" w:color="auto"/>
      </w:divBdr>
    </w:div>
    <w:div w:id="311716182">
      <w:bodyDiv w:val="1"/>
      <w:marLeft w:val="0"/>
      <w:marRight w:val="0"/>
      <w:marTop w:val="0"/>
      <w:marBottom w:val="0"/>
      <w:divBdr>
        <w:top w:val="none" w:sz="0" w:space="0" w:color="auto"/>
        <w:left w:val="none" w:sz="0" w:space="0" w:color="auto"/>
        <w:bottom w:val="none" w:sz="0" w:space="0" w:color="auto"/>
        <w:right w:val="none" w:sz="0" w:space="0" w:color="auto"/>
      </w:divBdr>
    </w:div>
    <w:div w:id="334310739">
      <w:bodyDiv w:val="1"/>
      <w:marLeft w:val="0"/>
      <w:marRight w:val="0"/>
      <w:marTop w:val="0"/>
      <w:marBottom w:val="0"/>
      <w:divBdr>
        <w:top w:val="none" w:sz="0" w:space="0" w:color="auto"/>
        <w:left w:val="none" w:sz="0" w:space="0" w:color="auto"/>
        <w:bottom w:val="none" w:sz="0" w:space="0" w:color="auto"/>
        <w:right w:val="none" w:sz="0" w:space="0" w:color="auto"/>
      </w:divBdr>
    </w:div>
    <w:div w:id="363022256">
      <w:bodyDiv w:val="1"/>
      <w:marLeft w:val="0"/>
      <w:marRight w:val="0"/>
      <w:marTop w:val="0"/>
      <w:marBottom w:val="0"/>
      <w:divBdr>
        <w:top w:val="none" w:sz="0" w:space="0" w:color="auto"/>
        <w:left w:val="none" w:sz="0" w:space="0" w:color="auto"/>
        <w:bottom w:val="none" w:sz="0" w:space="0" w:color="auto"/>
        <w:right w:val="none" w:sz="0" w:space="0" w:color="auto"/>
      </w:divBdr>
      <w:divsChild>
        <w:div w:id="1754424624">
          <w:marLeft w:val="0"/>
          <w:marRight w:val="0"/>
          <w:marTop w:val="0"/>
          <w:marBottom w:val="0"/>
          <w:divBdr>
            <w:top w:val="none" w:sz="0" w:space="0" w:color="auto"/>
            <w:left w:val="none" w:sz="0" w:space="0" w:color="auto"/>
            <w:bottom w:val="none" w:sz="0" w:space="0" w:color="auto"/>
            <w:right w:val="none" w:sz="0" w:space="0" w:color="auto"/>
          </w:divBdr>
        </w:div>
      </w:divsChild>
    </w:div>
    <w:div w:id="783116237">
      <w:bodyDiv w:val="1"/>
      <w:marLeft w:val="0"/>
      <w:marRight w:val="0"/>
      <w:marTop w:val="0"/>
      <w:marBottom w:val="0"/>
      <w:divBdr>
        <w:top w:val="none" w:sz="0" w:space="0" w:color="auto"/>
        <w:left w:val="none" w:sz="0" w:space="0" w:color="auto"/>
        <w:bottom w:val="none" w:sz="0" w:space="0" w:color="auto"/>
        <w:right w:val="none" w:sz="0" w:space="0" w:color="auto"/>
      </w:divBdr>
    </w:div>
    <w:div w:id="944583433">
      <w:bodyDiv w:val="1"/>
      <w:marLeft w:val="0"/>
      <w:marRight w:val="0"/>
      <w:marTop w:val="0"/>
      <w:marBottom w:val="0"/>
      <w:divBdr>
        <w:top w:val="none" w:sz="0" w:space="0" w:color="auto"/>
        <w:left w:val="none" w:sz="0" w:space="0" w:color="auto"/>
        <w:bottom w:val="none" w:sz="0" w:space="0" w:color="auto"/>
        <w:right w:val="none" w:sz="0" w:space="0" w:color="auto"/>
      </w:divBdr>
      <w:divsChild>
        <w:div w:id="2024432338">
          <w:marLeft w:val="0"/>
          <w:marRight w:val="0"/>
          <w:marTop w:val="0"/>
          <w:marBottom w:val="0"/>
          <w:divBdr>
            <w:top w:val="none" w:sz="0" w:space="0" w:color="auto"/>
            <w:left w:val="none" w:sz="0" w:space="0" w:color="auto"/>
            <w:bottom w:val="none" w:sz="0" w:space="0" w:color="auto"/>
            <w:right w:val="none" w:sz="0" w:space="0" w:color="auto"/>
          </w:divBdr>
        </w:div>
      </w:divsChild>
    </w:div>
    <w:div w:id="150805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nr.org.uk/media/documents/guidance/ns-tast-gd-036.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f614d12b388675250b216397dbdf9b5f">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a630574b134751cd85fd0cbb4b7538e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 (2).xsl" StyleName="IEEE" Version="2006">
  <b:Source>
    <b:Tag>HI_PSS_SN</b:Tag>
    <b:SourceType>Book</b:SourceType>
    <b:Guid>{7E8B711F-BE34-4D5A-8FC1-A5D4462A6B82}</b:Guid>
    <b:Title>SMR LLC, Level 1 PSA System Notenook and fault tree report for Plant Safety System, HI-2210080, Rev 0, Dec 2021</b:Title>
    <b:RefOrder>1</b:RefOrder>
  </b:Source>
  <b:Source>
    <b:Tag>Step2_PSA_Sens</b:Tag>
    <b:SourceType>Book</b:SourceType>
    <b:Guid>{575CF582-4D99-418F-B763-5A4D2C59EA78}</b:Guid>
    <b:Author>
      <b:Author>
        <b:Corporate>Holtec International</b:Corporate>
      </b:Author>
    </b:Author>
    <b:Title>HI-2241540, UK PSA Sensitivity Studies, Rev 0, May 2025</b:Title>
    <b:RefOrder>2</b:RefOrder>
  </b:Source>
  <b:Source>
    <b:Tag>ONR_TAG30</b:Tag>
    <b:SourceType>Book</b:SourceType>
    <b:Guid>{EA126FCF-CD6D-4A84-9EA2-45D157860938}</b:Guid>
    <b:Title>ONR, Probabilistic Safety Analysis, NS-TAST-GD-30, Rev 8, September 2024</b:Title>
    <b:RefOrder>3</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f6cfbbfa-3ea0-4d8e-acde-632e83cd9c55" xsi:nil="true"/>
    <lcf76f155ced4ddcb4097134ff3c332f xmlns="6ee01a08-9bb3-4510-887c-4508c532eb2e">
      <Terms xmlns="http://schemas.microsoft.com/office/infopath/2007/PartnerControls"/>
    </lcf76f155ced4ddcb4097134ff3c332f>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ONRW-2126615823-9025</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https://prodonrgov.sharepoint.com/_layouts/15/DocIdRedir.aspx?ID=ONRW-2126615823-9025</Url>
      <Description>ONRW-2126615823-9025</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Dutyholder xmlns="f6cfbbfa-3ea0-4d8e-acde-632e83cd9c55" xsi:nil="true"/>
  </documentManagement>
</p:properties>
</file>

<file path=customXml/itemProps1.xml><?xml version="1.0" encoding="utf-8"?>
<ds:datastoreItem xmlns:ds="http://schemas.openxmlformats.org/officeDocument/2006/customXml" ds:itemID="{841216E9-285A-4845-A8A5-877A6FAEF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C80CF-4684-40D0-8E8F-1216B2034863}">
  <ds:schemaRefs>
    <ds:schemaRef ds:uri="http://schemas.microsoft.com/sharepoint/v3/contenttype/forms"/>
  </ds:schemaRefs>
</ds:datastoreItem>
</file>

<file path=customXml/itemProps3.xml><?xml version="1.0" encoding="utf-8"?>
<ds:datastoreItem xmlns:ds="http://schemas.openxmlformats.org/officeDocument/2006/customXml" ds:itemID="{505CF4AB-FFA5-4E46-A931-A2989FF07DF5}">
  <ds:schemaRefs>
    <ds:schemaRef ds:uri="http://schemas.openxmlformats.org/officeDocument/2006/bibliography"/>
  </ds:schemaRefs>
</ds:datastoreItem>
</file>

<file path=customXml/itemProps4.xml><?xml version="1.0" encoding="utf-8"?>
<ds:datastoreItem xmlns:ds="http://schemas.openxmlformats.org/officeDocument/2006/customXml" ds:itemID="{2A0D691A-B63B-4789-A246-AFC4E0B92236}">
  <ds:schemaRefs>
    <ds:schemaRef ds:uri="http://schemas.microsoft.com/sharepoint/events"/>
  </ds:schemaRefs>
</ds:datastoreItem>
</file>

<file path=customXml/itemProps5.xml><?xml version="1.0" encoding="utf-8"?>
<ds:datastoreItem xmlns:ds="http://schemas.openxmlformats.org/officeDocument/2006/customXml" ds:itemID="{B6C5780F-2889-4DD7-8F85-E0FC5CD85289}">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11085</Characters>
  <DocSecurity>0</DocSecurity>
  <Lines>92</Lines>
  <Paragraphs>25</Paragraphs>
  <ScaleCrop>false</ScaleCrop>
  <HeadingPairs>
    <vt:vector size="2" baseType="variant">
      <vt:variant>
        <vt:lpstr>Title</vt:lpstr>
      </vt:variant>
      <vt:variant>
        <vt:i4>1</vt:i4>
      </vt:variant>
    </vt:vector>
  </HeadingPairs>
  <TitlesOfParts>
    <vt:vector size="1" baseType="lpstr">
      <vt:lpstr>GDA Regulatory Observation</vt:lpstr>
    </vt:vector>
  </TitlesOfParts>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2017-10-04T02:43:00Z</cp:lastPrinted>
  <dcterms:created xsi:type="dcterms:W3CDTF">2025-10-15T17:52:00Z</dcterms:created>
  <dcterms:modified xsi:type="dcterms:W3CDTF">2025-12-03T15:13:00Z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0x0101002BFD813B9BA5F84C8E4BDD131736DF68</vt:lpwstr>
  </property>
  <property fmtid="{D5CDD505-2E9C-101B-9397-08002B2CF9AE}" pid="4" name="_dlc_DocIdItemGuid">
    <vt:lpwstr>6ec593b8-1e00-45bb-8ffc-dd65fa73f895</vt:lpwstr>
  </property>
  <property fmtid="{D5CDD505-2E9C-101B-9397-08002B2CF9AE}" pid="5" name="BCS1">
    <vt:lpwstr>10;#4.4.1 Safety Reports/Cases: Assessment|7500dff8-3c6d-475f-a6b6-75de36a7fde4</vt:lpwstr>
  </property>
  <property fmtid="{D5CDD505-2E9C-101B-9397-08002B2CF9AE}" pid="6" name="MSIP_Label_9e5e003a-90eb-47c9-a506-ad47e7a0b281_Enabled">
    <vt:lpwstr>true</vt:lpwstr>
  </property>
  <property fmtid="{D5CDD505-2E9C-101B-9397-08002B2CF9AE}" pid="7" name="MSIP_Label_9e5e003a-90eb-47c9-a506-ad47e7a0b281_SetDate">
    <vt:lpwstr>2022-07-01T09:29:12Z</vt:lpwstr>
  </property>
  <property fmtid="{D5CDD505-2E9C-101B-9397-08002B2CF9AE}" pid="8" name="MSIP_Label_9e5e003a-90eb-47c9-a506-ad47e7a0b281_Method">
    <vt:lpwstr>Privileged</vt:lpwstr>
  </property>
  <property fmtid="{D5CDD505-2E9C-101B-9397-08002B2CF9AE}" pid="9" name="MSIP_Label_9e5e003a-90eb-47c9-a506-ad47e7a0b281_Name">
    <vt:lpwstr>OFFICIAL</vt:lpwstr>
  </property>
  <property fmtid="{D5CDD505-2E9C-101B-9397-08002B2CF9AE}" pid="10" name="MSIP_Label_9e5e003a-90eb-47c9-a506-ad47e7a0b281_SiteId">
    <vt:lpwstr>742775df-8077-48d6-81d0-1e82a1f52cb8</vt:lpwstr>
  </property>
  <property fmtid="{D5CDD505-2E9C-101B-9397-08002B2CF9AE}" pid="11" name="MSIP_Label_9e5e003a-90eb-47c9-a506-ad47e7a0b281_ActionId">
    <vt:lpwstr>23638b36-612a-40f8-bb73-956cbf377e51</vt:lpwstr>
  </property>
  <property fmtid="{D5CDD505-2E9C-101B-9397-08002B2CF9AE}" pid="12" name="MSIP_Label_9e5e003a-90eb-47c9-a506-ad47e7a0b281_ContentBits">
    <vt:lpwstr>0</vt:lpwstr>
  </property>
  <property fmtid="{D5CDD505-2E9C-101B-9397-08002B2CF9AE}" pid="13" name="Distribution">
    <vt:i4>5</vt:i4>
  </property>
  <property fmtid="{D5CDD505-2E9C-101B-9397-08002B2CF9AE}" pid="14" name="HOCopyrightLevel">
    <vt:i4>1</vt:i4>
  </property>
  <property fmtid="{D5CDD505-2E9C-101B-9397-08002B2CF9AE}" pid="15" name="HOGovernmentSecurityClassification">
    <vt:i4>1</vt:i4>
  </property>
  <property fmtid="{D5CDD505-2E9C-101B-9397-08002B2CF9AE}" pid="16" name="HOSiteType">
    <vt:i4>6</vt:i4>
  </property>
  <property fmtid="{D5CDD505-2E9C-101B-9397-08002B2CF9AE}" pid="17" name="OrganisationalUnit">
    <vt:i4>3</vt:i4>
  </property>
  <property fmtid="{D5CDD505-2E9C-101B-9397-08002B2CF9AE}" pid="18" name="MediaServiceImageTags">
    <vt:lpwstr/>
  </property>
  <property fmtid="{D5CDD505-2E9C-101B-9397-08002B2CF9AE}" pid="19" name="docLang">
    <vt:lpwstr>en</vt:lpwstr>
  </property>
</Properties>
</file>