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9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57" w:type="dxa"/>
          <w:left w:w="57" w:type="dxa"/>
          <w:bottom w:w="57" w:type="dxa"/>
          <w:right w:w="57" w:type="dxa"/>
        </w:tblCellMar>
        <w:tblLook w:val="01E0" w:firstRow="1" w:lastRow="1" w:firstColumn="1" w:lastColumn="1" w:noHBand="0" w:noVBand="0"/>
      </w:tblPr>
      <w:tblGrid>
        <w:gridCol w:w="4948"/>
        <w:gridCol w:w="4949"/>
      </w:tblGrid>
      <w:tr w:rsidR="00220466" w:rsidRPr="00627D12" w14:paraId="4573E01E" w14:textId="77777777" w:rsidTr="6260A0DD">
        <w:trPr>
          <w:trHeight w:val="211"/>
        </w:trPr>
        <w:tc>
          <w:tcPr>
            <w:tcW w:w="9897" w:type="dxa"/>
            <w:gridSpan w:val="2"/>
            <w:vAlign w:val="center"/>
          </w:tcPr>
          <w:p w14:paraId="4573E01D" w14:textId="2825D1DF" w:rsidR="00220466" w:rsidRPr="00627D12" w:rsidRDefault="0048438C" w:rsidP="0048438C">
            <w:pPr>
              <w:jc w:val="center"/>
              <w:rPr>
                <w:b/>
                <w:sz w:val="28"/>
                <w:szCs w:val="28"/>
              </w:rPr>
            </w:pPr>
            <w:r>
              <w:rPr>
                <w:b/>
                <w:sz w:val="28"/>
                <w:szCs w:val="28"/>
              </w:rPr>
              <w:t>GDA Regulatory Observation</w:t>
            </w:r>
          </w:p>
        </w:tc>
      </w:tr>
      <w:tr w:rsidR="00220466" w:rsidRPr="0048438C" w14:paraId="4573E020" w14:textId="77777777" w:rsidTr="6260A0DD">
        <w:trPr>
          <w:trHeight w:val="202"/>
        </w:trPr>
        <w:tc>
          <w:tcPr>
            <w:tcW w:w="9897" w:type="dxa"/>
            <w:gridSpan w:val="2"/>
            <w:shd w:val="clear" w:color="auto" w:fill="D9D9D9" w:themeFill="background1" w:themeFillShade="D9"/>
          </w:tcPr>
          <w:p w14:paraId="4573E01F" w14:textId="77777777" w:rsidR="00220466" w:rsidRPr="0048438C" w:rsidRDefault="00220466" w:rsidP="0048438C">
            <w:pPr>
              <w:spacing w:before="60" w:after="60"/>
              <w:jc w:val="center"/>
              <w:rPr>
                <w:b/>
                <w:szCs w:val="24"/>
              </w:rPr>
            </w:pPr>
            <w:r w:rsidRPr="0048438C">
              <w:rPr>
                <w:b/>
                <w:szCs w:val="24"/>
              </w:rPr>
              <w:t>REGULATOR TO COMPLETE</w:t>
            </w:r>
          </w:p>
        </w:tc>
      </w:tr>
      <w:tr w:rsidR="00220466" w:rsidRPr="0048438C" w14:paraId="4573E023" w14:textId="77777777" w:rsidTr="6260A0DD">
        <w:trPr>
          <w:trHeight w:val="202"/>
        </w:trPr>
        <w:tc>
          <w:tcPr>
            <w:tcW w:w="4948" w:type="dxa"/>
          </w:tcPr>
          <w:p w14:paraId="4573E021" w14:textId="77777777" w:rsidR="00220466" w:rsidRPr="0048438C" w:rsidRDefault="00C34CBC" w:rsidP="0048438C">
            <w:pPr>
              <w:spacing w:before="60" w:after="60"/>
              <w:rPr>
                <w:b/>
                <w:szCs w:val="24"/>
              </w:rPr>
            </w:pPr>
            <w:r w:rsidRPr="0048438C">
              <w:rPr>
                <w:b/>
                <w:szCs w:val="24"/>
              </w:rPr>
              <w:t>RO</w:t>
            </w:r>
            <w:r w:rsidR="00220466" w:rsidRPr="0048438C">
              <w:rPr>
                <w:b/>
                <w:szCs w:val="24"/>
              </w:rPr>
              <w:t xml:space="preserve"> unique no.:</w:t>
            </w:r>
          </w:p>
        </w:tc>
        <w:tc>
          <w:tcPr>
            <w:tcW w:w="4949" w:type="dxa"/>
          </w:tcPr>
          <w:p w14:paraId="4573E022" w14:textId="05126CD4" w:rsidR="00220466" w:rsidRPr="0048438C" w:rsidRDefault="00684E8C" w:rsidP="0048438C">
            <w:pPr>
              <w:spacing w:before="60" w:after="60"/>
            </w:pPr>
            <w:r>
              <w:t>RO-</w:t>
            </w:r>
            <w:r w:rsidR="00FA4C46">
              <w:t>HOLTEC</w:t>
            </w:r>
            <w:r w:rsidR="00EE0A6A">
              <w:t>SMR300</w:t>
            </w:r>
            <w:r w:rsidR="005933F1">
              <w:t>-</w:t>
            </w:r>
            <w:r w:rsidR="08D1CC34">
              <w:t>004</w:t>
            </w:r>
          </w:p>
        </w:tc>
      </w:tr>
      <w:tr w:rsidR="00220466" w:rsidRPr="0048438C" w14:paraId="4573E026" w14:textId="77777777" w:rsidTr="6260A0DD">
        <w:trPr>
          <w:trHeight w:val="202"/>
        </w:trPr>
        <w:tc>
          <w:tcPr>
            <w:tcW w:w="4948" w:type="dxa"/>
          </w:tcPr>
          <w:p w14:paraId="4573E024" w14:textId="61F5DE6D" w:rsidR="00220466" w:rsidRPr="0048438C" w:rsidRDefault="00850471" w:rsidP="0048438C">
            <w:pPr>
              <w:spacing w:before="60" w:after="60"/>
              <w:rPr>
                <w:b/>
                <w:szCs w:val="24"/>
              </w:rPr>
            </w:pPr>
            <w:r w:rsidRPr="0048438C">
              <w:rPr>
                <w:b/>
                <w:szCs w:val="24"/>
              </w:rPr>
              <w:t>Revision:</w:t>
            </w:r>
          </w:p>
        </w:tc>
        <w:tc>
          <w:tcPr>
            <w:tcW w:w="4949" w:type="dxa"/>
          </w:tcPr>
          <w:p w14:paraId="4573E025" w14:textId="229C24A2" w:rsidR="00220466" w:rsidRPr="0048438C" w:rsidRDefault="00902B4D" w:rsidP="0048438C">
            <w:pPr>
              <w:spacing w:before="60" w:after="60"/>
              <w:rPr>
                <w:szCs w:val="24"/>
              </w:rPr>
            </w:pPr>
            <w:r>
              <w:rPr>
                <w:szCs w:val="24"/>
              </w:rPr>
              <w:t>0</w:t>
            </w:r>
          </w:p>
        </w:tc>
      </w:tr>
      <w:tr w:rsidR="00850471" w:rsidRPr="0048438C" w14:paraId="3FF001D1" w14:textId="77777777" w:rsidTr="6260A0DD">
        <w:trPr>
          <w:trHeight w:val="202"/>
        </w:trPr>
        <w:tc>
          <w:tcPr>
            <w:tcW w:w="4948" w:type="dxa"/>
          </w:tcPr>
          <w:p w14:paraId="20FBBDA3" w14:textId="34CA6CCC" w:rsidR="00850471" w:rsidRPr="0048438C" w:rsidRDefault="00850471" w:rsidP="0048438C">
            <w:pPr>
              <w:spacing w:before="60" w:after="60"/>
              <w:rPr>
                <w:b/>
                <w:szCs w:val="24"/>
              </w:rPr>
            </w:pPr>
            <w:r w:rsidRPr="0048438C">
              <w:rPr>
                <w:b/>
                <w:szCs w:val="24"/>
              </w:rPr>
              <w:t>Date sent:</w:t>
            </w:r>
          </w:p>
        </w:tc>
        <w:tc>
          <w:tcPr>
            <w:tcW w:w="4949" w:type="dxa"/>
          </w:tcPr>
          <w:p w14:paraId="74A6D96C" w14:textId="53638B1A" w:rsidR="00850471" w:rsidRPr="0048438C" w:rsidRDefault="58A0C82C" w:rsidP="6260A0DD">
            <w:pPr>
              <w:spacing w:before="60" w:after="60"/>
              <w:rPr>
                <w:rFonts w:eastAsia="Arial"/>
                <w:szCs w:val="24"/>
              </w:rPr>
            </w:pPr>
            <w:r w:rsidRPr="6260A0DD">
              <w:rPr>
                <w:rFonts w:eastAsia="Arial"/>
                <w:color w:val="000000" w:themeColor="text1"/>
                <w:szCs w:val="24"/>
              </w:rPr>
              <w:t>08/07/25</w:t>
            </w:r>
          </w:p>
        </w:tc>
      </w:tr>
      <w:tr w:rsidR="00220466" w:rsidRPr="0048438C" w14:paraId="4573E029" w14:textId="77777777" w:rsidTr="6260A0DD">
        <w:trPr>
          <w:trHeight w:val="211"/>
        </w:trPr>
        <w:tc>
          <w:tcPr>
            <w:tcW w:w="4948" w:type="dxa"/>
          </w:tcPr>
          <w:p w14:paraId="4573E027" w14:textId="77777777" w:rsidR="00220466" w:rsidRPr="0048438C" w:rsidRDefault="00220466" w:rsidP="0048438C">
            <w:pPr>
              <w:spacing w:before="60" w:after="60"/>
              <w:rPr>
                <w:b/>
                <w:szCs w:val="24"/>
              </w:rPr>
            </w:pPr>
            <w:r w:rsidRPr="0048438C">
              <w:rPr>
                <w:b/>
                <w:szCs w:val="24"/>
              </w:rPr>
              <w:t>Acknowledgement required by:</w:t>
            </w:r>
          </w:p>
        </w:tc>
        <w:tc>
          <w:tcPr>
            <w:tcW w:w="4949" w:type="dxa"/>
          </w:tcPr>
          <w:p w14:paraId="4573E028" w14:textId="449B9B1C" w:rsidR="00220466" w:rsidRPr="0048438C" w:rsidRDefault="5B862AFA" w:rsidP="6260A0DD">
            <w:pPr>
              <w:spacing w:before="60" w:after="60"/>
              <w:rPr>
                <w:rFonts w:eastAsia="Arial"/>
                <w:szCs w:val="24"/>
              </w:rPr>
            </w:pPr>
            <w:r w:rsidRPr="6260A0DD">
              <w:rPr>
                <w:rFonts w:eastAsia="Arial"/>
                <w:color w:val="000000" w:themeColor="text1"/>
                <w:szCs w:val="24"/>
              </w:rPr>
              <w:t>15/07/25 [date sent + 5 working days]</w:t>
            </w:r>
          </w:p>
        </w:tc>
      </w:tr>
      <w:tr w:rsidR="00220466" w:rsidRPr="0048438C" w14:paraId="4573E02C" w14:textId="77777777" w:rsidTr="6260A0DD">
        <w:trPr>
          <w:trHeight w:val="202"/>
        </w:trPr>
        <w:tc>
          <w:tcPr>
            <w:tcW w:w="4948" w:type="dxa"/>
          </w:tcPr>
          <w:p w14:paraId="4573E02A" w14:textId="2C90C52D" w:rsidR="00220466" w:rsidRPr="0048438C" w:rsidRDefault="00C34CBC" w:rsidP="0048438C">
            <w:pPr>
              <w:spacing w:before="60" w:after="60"/>
              <w:rPr>
                <w:b/>
                <w:szCs w:val="24"/>
              </w:rPr>
            </w:pPr>
            <w:r w:rsidRPr="0048438C">
              <w:rPr>
                <w:b/>
                <w:szCs w:val="24"/>
              </w:rPr>
              <w:t xml:space="preserve">Resolution Plan </w:t>
            </w:r>
            <w:r w:rsidR="0000781D" w:rsidRPr="0048438C">
              <w:rPr>
                <w:b/>
                <w:szCs w:val="24"/>
              </w:rPr>
              <w:t xml:space="preserve">Agreement </w:t>
            </w:r>
            <w:r w:rsidRPr="0048438C">
              <w:rPr>
                <w:b/>
                <w:szCs w:val="24"/>
              </w:rPr>
              <w:t>Required by</w:t>
            </w:r>
            <w:r w:rsidR="00220466" w:rsidRPr="0048438C">
              <w:rPr>
                <w:b/>
                <w:szCs w:val="24"/>
              </w:rPr>
              <w:t>:</w:t>
            </w:r>
          </w:p>
        </w:tc>
        <w:tc>
          <w:tcPr>
            <w:tcW w:w="4949" w:type="dxa"/>
          </w:tcPr>
          <w:p w14:paraId="4573E02B" w14:textId="0EDD2E27" w:rsidR="0000781D" w:rsidRPr="0048438C" w:rsidRDefault="08BCA510" w:rsidP="6260A0DD">
            <w:pPr>
              <w:spacing w:before="60" w:after="60"/>
              <w:rPr>
                <w:rFonts w:eastAsia="Arial"/>
                <w:szCs w:val="24"/>
              </w:rPr>
            </w:pPr>
            <w:r w:rsidRPr="6260A0DD">
              <w:rPr>
                <w:rFonts w:eastAsia="Arial"/>
                <w:color w:val="000000" w:themeColor="text1"/>
                <w:szCs w:val="24"/>
              </w:rPr>
              <w:t>05/08/25 [acknowledgment + 15 working days]</w:t>
            </w:r>
          </w:p>
        </w:tc>
      </w:tr>
      <w:tr w:rsidR="00220466" w:rsidRPr="0048438C" w14:paraId="4573E032" w14:textId="77777777" w:rsidTr="6260A0DD">
        <w:trPr>
          <w:trHeight w:val="168"/>
        </w:trPr>
        <w:tc>
          <w:tcPr>
            <w:tcW w:w="4948" w:type="dxa"/>
          </w:tcPr>
          <w:p w14:paraId="4573E030" w14:textId="641F0447" w:rsidR="00220466" w:rsidRPr="0025204C" w:rsidRDefault="00867341" w:rsidP="0048438C">
            <w:pPr>
              <w:spacing w:before="60" w:after="60"/>
              <w:rPr>
                <w:b/>
                <w:szCs w:val="24"/>
              </w:rPr>
            </w:pPr>
            <w:r w:rsidRPr="0025204C">
              <w:rPr>
                <w:b/>
                <w:szCs w:val="24"/>
              </w:rPr>
              <w:t>Record Reference</w:t>
            </w:r>
            <w:r w:rsidR="00494EE4" w:rsidRPr="0025204C">
              <w:rPr>
                <w:b/>
                <w:szCs w:val="24"/>
              </w:rPr>
              <w:t>:</w:t>
            </w:r>
          </w:p>
        </w:tc>
        <w:tc>
          <w:tcPr>
            <w:tcW w:w="4949" w:type="dxa"/>
          </w:tcPr>
          <w:p w14:paraId="4573E031" w14:textId="28F26B00" w:rsidR="00220466" w:rsidRPr="0025204C" w:rsidRDefault="0025204C" w:rsidP="00885540">
            <w:pPr>
              <w:spacing w:before="60" w:after="60"/>
              <w:rPr>
                <w:szCs w:val="24"/>
              </w:rPr>
            </w:pPr>
            <w:r w:rsidRPr="0025204C">
              <w:rPr>
                <w:szCs w:val="24"/>
              </w:rPr>
              <w:t>AR-01692</w:t>
            </w:r>
          </w:p>
        </w:tc>
      </w:tr>
      <w:tr w:rsidR="0040443F" w:rsidRPr="0048438C" w14:paraId="4573E035" w14:textId="77777777" w:rsidTr="6260A0DD">
        <w:trPr>
          <w:trHeight w:val="202"/>
        </w:trPr>
        <w:tc>
          <w:tcPr>
            <w:tcW w:w="4948" w:type="dxa"/>
          </w:tcPr>
          <w:p w14:paraId="4573E033" w14:textId="26F0FB88" w:rsidR="0040443F" w:rsidRPr="0048438C" w:rsidRDefault="0040443F" w:rsidP="0040443F">
            <w:pPr>
              <w:spacing w:before="60" w:after="60"/>
              <w:rPr>
                <w:b/>
                <w:szCs w:val="24"/>
              </w:rPr>
            </w:pPr>
            <w:r w:rsidRPr="0048438C">
              <w:rPr>
                <w:b/>
                <w:szCs w:val="24"/>
              </w:rPr>
              <w:t>Related RQ / RO No. and CM9 Ref:</w:t>
            </w:r>
            <w:r w:rsidRPr="0048438C">
              <w:rPr>
                <w:szCs w:val="24"/>
              </w:rPr>
              <w:t xml:space="preserve"> (if any)</w:t>
            </w:r>
            <w:r w:rsidRPr="0048438C">
              <w:rPr>
                <w:b/>
                <w:szCs w:val="24"/>
              </w:rPr>
              <w:t>:</w:t>
            </w:r>
          </w:p>
        </w:tc>
        <w:tc>
          <w:tcPr>
            <w:tcW w:w="4949" w:type="dxa"/>
          </w:tcPr>
          <w:p w14:paraId="4573E034" w14:textId="2AFFA0F7" w:rsidR="0040443F" w:rsidRPr="0040443F" w:rsidRDefault="00347CF1" w:rsidP="0040443F">
            <w:pPr>
              <w:spacing w:before="60" w:after="60"/>
              <w:rPr>
                <w:szCs w:val="24"/>
                <w:highlight w:val="yellow"/>
              </w:rPr>
            </w:pPr>
            <w:r w:rsidRPr="00347CF1">
              <w:t>RQ-01</w:t>
            </w:r>
            <w:r w:rsidR="00C12E45">
              <w:t>583</w:t>
            </w:r>
          </w:p>
        </w:tc>
      </w:tr>
      <w:tr w:rsidR="00850471" w:rsidRPr="0048438C" w14:paraId="4573E03E" w14:textId="77777777" w:rsidTr="6260A0DD">
        <w:trPr>
          <w:trHeight w:val="202"/>
        </w:trPr>
        <w:tc>
          <w:tcPr>
            <w:tcW w:w="4948" w:type="dxa"/>
          </w:tcPr>
          <w:p w14:paraId="4573E03C" w14:textId="77777777" w:rsidR="00850471" w:rsidRPr="0048438C" w:rsidRDefault="00850471" w:rsidP="0048438C">
            <w:pPr>
              <w:spacing w:before="60" w:after="60"/>
              <w:rPr>
                <w:b/>
                <w:szCs w:val="24"/>
              </w:rPr>
            </w:pPr>
            <w:r w:rsidRPr="0048438C">
              <w:rPr>
                <w:b/>
                <w:szCs w:val="24"/>
              </w:rPr>
              <w:t>Observation title:</w:t>
            </w:r>
          </w:p>
        </w:tc>
        <w:tc>
          <w:tcPr>
            <w:tcW w:w="4949" w:type="dxa"/>
          </w:tcPr>
          <w:p w14:paraId="4573E03D" w14:textId="042CDF5F" w:rsidR="0040443F" w:rsidRPr="0048438C" w:rsidRDefault="00614A23" w:rsidP="0048438C">
            <w:pPr>
              <w:spacing w:before="60" w:after="60"/>
              <w:rPr>
                <w:szCs w:val="24"/>
              </w:rPr>
            </w:pPr>
            <w:r>
              <w:rPr>
                <w:szCs w:val="24"/>
              </w:rPr>
              <w:t xml:space="preserve">Containment </w:t>
            </w:r>
            <w:r w:rsidR="003F05CF">
              <w:rPr>
                <w:szCs w:val="24"/>
              </w:rPr>
              <w:t>P</w:t>
            </w:r>
            <w:r>
              <w:rPr>
                <w:szCs w:val="24"/>
              </w:rPr>
              <w:t xml:space="preserve">enetration </w:t>
            </w:r>
            <w:r w:rsidR="003F05CF">
              <w:rPr>
                <w:szCs w:val="24"/>
              </w:rPr>
              <w:t>I</w:t>
            </w:r>
            <w:r>
              <w:rPr>
                <w:szCs w:val="24"/>
              </w:rPr>
              <w:t>solation</w:t>
            </w:r>
            <w:r w:rsidR="003F05CF">
              <w:rPr>
                <w:szCs w:val="24"/>
              </w:rPr>
              <w:t xml:space="preserve"> on Secondary Decay Heat Removal System</w:t>
            </w:r>
          </w:p>
        </w:tc>
      </w:tr>
      <w:tr w:rsidR="00CC67B6" w:rsidRPr="0048438C" w14:paraId="4573E043" w14:textId="77777777" w:rsidTr="6260A0DD">
        <w:trPr>
          <w:trHeight w:val="202"/>
        </w:trPr>
        <w:tc>
          <w:tcPr>
            <w:tcW w:w="4948" w:type="dxa"/>
          </w:tcPr>
          <w:p w14:paraId="71E06B30" w14:textId="77777777" w:rsidR="00CC67B6" w:rsidRPr="0048438C" w:rsidRDefault="00CC67B6" w:rsidP="0048438C">
            <w:pPr>
              <w:spacing w:before="60" w:after="60"/>
              <w:rPr>
                <w:szCs w:val="24"/>
              </w:rPr>
            </w:pPr>
            <w:r w:rsidRPr="0048438C">
              <w:rPr>
                <w:b/>
                <w:szCs w:val="24"/>
              </w:rPr>
              <w:t>Lead technical topic:</w:t>
            </w:r>
          </w:p>
          <w:p w14:paraId="6DC0942F" w14:textId="77777777" w:rsidR="0087645C" w:rsidRPr="0087645C" w:rsidRDefault="0087645C" w:rsidP="0087645C">
            <w:pPr>
              <w:spacing w:before="60" w:after="60"/>
              <w:rPr>
                <w:szCs w:val="24"/>
              </w:rPr>
            </w:pPr>
            <w:r w:rsidRPr="0087645C">
              <w:rPr>
                <w:szCs w:val="24"/>
              </w:rPr>
              <w:t>Fault Studies</w:t>
            </w:r>
          </w:p>
          <w:p w14:paraId="4573E040" w14:textId="022732DE" w:rsidR="00CC67B6" w:rsidRPr="0048438C" w:rsidRDefault="00CC67B6" w:rsidP="0087645C">
            <w:pPr>
              <w:pStyle w:val="ListParagraph"/>
              <w:spacing w:before="60" w:after="60"/>
              <w:ind w:left="0"/>
              <w:rPr>
                <w:szCs w:val="24"/>
              </w:rPr>
            </w:pPr>
          </w:p>
        </w:tc>
        <w:tc>
          <w:tcPr>
            <w:tcW w:w="4949" w:type="dxa"/>
          </w:tcPr>
          <w:p w14:paraId="0BA3764E" w14:textId="77777777" w:rsidR="00CC67B6" w:rsidRPr="0048438C" w:rsidRDefault="00CC67B6" w:rsidP="0048438C">
            <w:pPr>
              <w:spacing w:before="60" w:after="60"/>
              <w:rPr>
                <w:b/>
                <w:szCs w:val="24"/>
              </w:rPr>
            </w:pPr>
            <w:r w:rsidRPr="0048438C">
              <w:rPr>
                <w:b/>
                <w:szCs w:val="24"/>
              </w:rPr>
              <w:t>Related technical topic(s):</w:t>
            </w:r>
          </w:p>
          <w:p w14:paraId="5DAF2AF4" w14:textId="77777777" w:rsidR="00FD0EB2" w:rsidRDefault="00614A23" w:rsidP="00347CF1">
            <w:pPr>
              <w:spacing w:before="60" w:after="60"/>
              <w:rPr>
                <w:szCs w:val="24"/>
              </w:rPr>
            </w:pPr>
            <w:r>
              <w:rPr>
                <w:szCs w:val="24"/>
              </w:rPr>
              <w:t>Mechanical Engineering</w:t>
            </w:r>
          </w:p>
          <w:p w14:paraId="4573E042" w14:textId="69C27A36" w:rsidR="00CC67B6" w:rsidRPr="0048438C" w:rsidRDefault="00FD0EB2" w:rsidP="00347CF1">
            <w:pPr>
              <w:spacing w:before="60" w:after="60"/>
              <w:rPr>
                <w:szCs w:val="24"/>
              </w:rPr>
            </w:pPr>
            <w:r>
              <w:rPr>
                <w:szCs w:val="24"/>
              </w:rPr>
              <w:t>Structural Integrity</w:t>
            </w:r>
            <w:r w:rsidR="00CC67B6" w:rsidRPr="0048438C">
              <w:rPr>
                <w:szCs w:val="24"/>
                <w:lang w:eastAsia="en-GB"/>
              </w:rPr>
              <w:fldChar w:fldCharType="begin"/>
            </w:r>
            <w:r w:rsidR="00CC67B6" w:rsidRPr="0048438C">
              <w:rPr>
                <w:szCs w:val="24"/>
                <w:lang w:eastAsia="en-GB"/>
              </w:rPr>
              <w:instrText xml:space="preserve"> MERGEFIELD F10 </w:instrText>
            </w:r>
            <w:r w:rsidR="00CC67B6" w:rsidRPr="0048438C">
              <w:rPr>
                <w:szCs w:val="24"/>
                <w:lang w:eastAsia="en-GB"/>
              </w:rPr>
              <w:fldChar w:fldCharType="end"/>
            </w:r>
          </w:p>
        </w:tc>
      </w:tr>
      <w:tr w:rsidR="00850471" w:rsidRPr="0048438C" w14:paraId="4573E045" w14:textId="77777777" w:rsidTr="6260A0DD">
        <w:trPr>
          <w:trHeight w:val="242"/>
        </w:trPr>
        <w:tc>
          <w:tcPr>
            <w:tcW w:w="9897" w:type="dxa"/>
            <w:gridSpan w:val="2"/>
            <w:shd w:val="clear" w:color="auto" w:fill="CCCCCC"/>
          </w:tcPr>
          <w:p w14:paraId="4573E044" w14:textId="7ECC632F" w:rsidR="00850471" w:rsidRPr="00581D5B" w:rsidRDefault="00581D5B" w:rsidP="0048438C">
            <w:pPr>
              <w:spacing w:before="60" w:after="60"/>
              <w:rPr>
                <w:b/>
                <w:iCs/>
                <w:szCs w:val="24"/>
              </w:rPr>
            </w:pPr>
            <w:r w:rsidRPr="00581D5B">
              <w:rPr>
                <w:b/>
                <w:iCs/>
                <w:szCs w:val="24"/>
              </w:rPr>
              <w:t>REGULATORY OBSERVATION:</w:t>
            </w:r>
          </w:p>
        </w:tc>
      </w:tr>
      <w:tr w:rsidR="00850471" w:rsidRPr="0048438C" w14:paraId="4573E049" w14:textId="77777777" w:rsidTr="6260A0DD">
        <w:tc>
          <w:tcPr>
            <w:tcW w:w="9897" w:type="dxa"/>
            <w:gridSpan w:val="2"/>
          </w:tcPr>
          <w:p w14:paraId="4F3F6A8D" w14:textId="162229E0" w:rsidR="00850471" w:rsidRPr="0048438C" w:rsidRDefault="00CC67B6" w:rsidP="0048438C">
            <w:pPr>
              <w:spacing w:before="60" w:after="60"/>
              <w:rPr>
                <w:b/>
                <w:szCs w:val="24"/>
                <w:u w:val="single"/>
              </w:rPr>
            </w:pPr>
            <w:r w:rsidRPr="0048438C">
              <w:rPr>
                <w:b/>
                <w:szCs w:val="24"/>
                <w:u w:val="single"/>
              </w:rPr>
              <w:t>Background</w:t>
            </w:r>
          </w:p>
          <w:p w14:paraId="735F5D2E" w14:textId="75A62598" w:rsidR="004F5BBD" w:rsidRDefault="00506C23" w:rsidP="001E1A22">
            <w:pPr>
              <w:spacing w:before="60" w:after="60"/>
            </w:pPr>
            <w:r>
              <w:t xml:space="preserve">It is common practice for penetrations </w:t>
            </w:r>
            <w:r w:rsidR="00CA192D">
              <w:t>through</w:t>
            </w:r>
            <w:r>
              <w:t xml:space="preserve"> the containment </w:t>
            </w:r>
            <w:r w:rsidR="008B535E">
              <w:t xml:space="preserve">structure housing the reactor </w:t>
            </w:r>
            <w:r>
              <w:t>to be fitted with double isolation valve</w:t>
            </w:r>
            <w:r w:rsidR="007C4A7D">
              <w:t xml:space="preserve">s to allow for the isolation of </w:t>
            </w:r>
            <w:r w:rsidR="006506A7">
              <w:t xml:space="preserve">the </w:t>
            </w:r>
            <w:r w:rsidR="007C4A7D">
              <w:t xml:space="preserve">containment </w:t>
            </w:r>
            <w:r w:rsidR="006506A7">
              <w:t xml:space="preserve">structure </w:t>
            </w:r>
            <w:r w:rsidR="00816AEE">
              <w:t xml:space="preserve">in response to </w:t>
            </w:r>
            <w:r w:rsidR="005907BF">
              <w:t>faults that have the potential to lead to a release of radioactive material</w:t>
            </w:r>
            <w:r w:rsidR="008B535E">
              <w:t xml:space="preserve">.  </w:t>
            </w:r>
            <w:r w:rsidR="004F5BBD">
              <w:t xml:space="preserve">There is </w:t>
            </w:r>
            <w:r w:rsidR="00A1798E">
              <w:t>typically one valve within containment and one outside of containment</w:t>
            </w:r>
            <w:r w:rsidR="004F5BBD">
              <w:t xml:space="preserve"> for each containment penetration</w:t>
            </w:r>
            <w:r w:rsidR="005907BF">
              <w:t xml:space="preserve">. </w:t>
            </w:r>
          </w:p>
          <w:p w14:paraId="35FCE08C" w14:textId="77777777" w:rsidR="004F5BBD" w:rsidRDefault="004F5BBD" w:rsidP="001E1A22">
            <w:pPr>
              <w:spacing w:before="60" w:after="60"/>
              <w:rPr>
                <w:szCs w:val="24"/>
              </w:rPr>
            </w:pPr>
          </w:p>
          <w:p w14:paraId="3BD7AE89" w14:textId="6C2FFECB" w:rsidR="00AE7478" w:rsidRPr="00AE7478" w:rsidRDefault="00AE7478" w:rsidP="001E1A22">
            <w:pPr>
              <w:spacing w:before="60" w:after="60"/>
              <w:rPr>
                <w:szCs w:val="24"/>
              </w:rPr>
            </w:pPr>
            <w:r w:rsidRPr="00AE7478">
              <w:rPr>
                <w:szCs w:val="24"/>
              </w:rPr>
              <w:t xml:space="preserve">The documentation </w:t>
            </w:r>
            <w:r w:rsidR="004B64E6">
              <w:rPr>
                <w:szCs w:val="24"/>
              </w:rPr>
              <w:t>submitted by the Requesting Party</w:t>
            </w:r>
            <w:r w:rsidR="004416C6">
              <w:rPr>
                <w:szCs w:val="24"/>
              </w:rPr>
              <w:t xml:space="preserve"> (RP)</w:t>
            </w:r>
            <w:r w:rsidR="004B64E6">
              <w:rPr>
                <w:szCs w:val="24"/>
              </w:rPr>
              <w:t xml:space="preserve"> </w:t>
            </w:r>
            <w:r w:rsidRPr="00AE7478">
              <w:rPr>
                <w:szCs w:val="24"/>
              </w:rPr>
              <w:t xml:space="preserve">states that there </w:t>
            </w:r>
            <w:r w:rsidR="00506A02">
              <w:rPr>
                <w:szCs w:val="24"/>
              </w:rPr>
              <w:t>are</w:t>
            </w:r>
            <w:r w:rsidRPr="00AE7478">
              <w:rPr>
                <w:szCs w:val="24"/>
              </w:rPr>
              <w:t xml:space="preserve"> no isolation valve</w:t>
            </w:r>
            <w:r w:rsidR="00506A02">
              <w:rPr>
                <w:szCs w:val="24"/>
              </w:rPr>
              <w:t>s</w:t>
            </w:r>
            <w:r w:rsidRPr="00AE7478">
              <w:rPr>
                <w:szCs w:val="24"/>
              </w:rPr>
              <w:t xml:space="preserve"> on the containment penetration</w:t>
            </w:r>
            <w:r>
              <w:rPr>
                <w:szCs w:val="24"/>
              </w:rPr>
              <w:t>s</w:t>
            </w:r>
            <w:r w:rsidRPr="00AE7478">
              <w:rPr>
                <w:szCs w:val="24"/>
              </w:rPr>
              <w:t xml:space="preserve"> </w:t>
            </w:r>
            <w:r w:rsidR="002838EA">
              <w:rPr>
                <w:szCs w:val="24"/>
              </w:rPr>
              <w:t>which form part of</w:t>
            </w:r>
            <w:r w:rsidRPr="00AE7478">
              <w:rPr>
                <w:szCs w:val="24"/>
              </w:rPr>
              <w:t xml:space="preserve"> the </w:t>
            </w:r>
            <w:r w:rsidR="00E839A0">
              <w:rPr>
                <w:szCs w:val="24"/>
              </w:rPr>
              <w:t>Secondary Decay Heat Removal (</w:t>
            </w:r>
            <w:r w:rsidRPr="00AE7478">
              <w:rPr>
                <w:szCs w:val="24"/>
              </w:rPr>
              <w:t>SDHR</w:t>
            </w:r>
            <w:r w:rsidR="00E839A0">
              <w:rPr>
                <w:szCs w:val="24"/>
              </w:rPr>
              <w:t>)</w:t>
            </w:r>
            <w:r w:rsidRPr="00AE7478">
              <w:rPr>
                <w:szCs w:val="24"/>
              </w:rPr>
              <w:t xml:space="preserve"> </w:t>
            </w:r>
            <w:r w:rsidR="002838EA">
              <w:rPr>
                <w:szCs w:val="24"/>
              </w:rPr>
              <w:t>system</w:t>
            </w:r>
            <w:r w:rsidR="000B2CF4">
              <w:rPr>
                <w:szCs w:val="24"/>
              </w:rPr>
              <w:t xml:space="preserve"> (Ref 1).</w:t>
            </w:r>
            <w:r w:rsidR="009D435C">
              <w:rPr>
                <w:szCs w:val="24"/>
              </w:rPr>
              <w:t xml:space="preserve">  The SDHR system </w:t>
            </w:r>
            <w:r w:rsidR="00E64E02">
              <w:rPr>
                <w:szCs w:val="24"/>
              </w:rPr>
              <w:t xml:space="preserve">removes decay heat via </w:t>
            </w:r>
            <w:r w:rsidR="0058371F">
              <w:rPr>
                <w:szCs w:val="24"/>
              </w:rPr>
              <w:t>the Steam Generator,</w:t>
            </w:r>
            <w:r w:rsidR="00E64E02">
              <w:rPr>
                <w:szCs w:val="24"/>
              </w:rPr>
              <w:t xml:space="preserve"> </w:t>
            </w:r>
            <w:r w:rsidR="00933666">
              <w:rPr>
                <w:szCs w:val="24"/>
              </w:rPr>
              <w:t xml:space="preserve">using </w:t>
            </w:r>
            <w:r w:rsidR="00BB17D5">
              <w:rPr>
                <w:szCs w:val="24"/>
              </w:rPr>
              <w:t xml:space="preserve">pipework </w:t>
            </w:r>
            <w:r w:rsidR="00E64E02">
              <w:rPr>
                <w:szCs w:val="24"/>
              </w:rPr>
              <w:t>which penetrates</w:t>
            </w:r>
            <w:r w:rsidR="00BB17D5">
              <w:rPr>
                <w:szCs w:val="24"/>
              </w:rPr>
              <w:t xml:space="preserve"> the containment structure </w:t>
            </w:r>
            <w:r w:rsidR="00E64E02">
              <w:rPr>
                <w:szCs w:val="24"/>
              </w:rPr>
              <w:t xml:space="preserve">to </w:t>
            </w:r>
            <w:r w:rsidR="00BB17D5">
              <w:rPr>
                <w:szCs w:val="24"/>
              </w:rPr>
              <w:t xml:space="preserve">connect to a heat exchanger within the Annular </w:t>
            </w:r>
            <w:r w:rsidR="001A6832">
              <w:rPr>
                <w:szCs w:val="24"/>
              </w:rPr>
              <w:t>Reservoir</w:t>
            </w:r>
            <w:r w:rsidR="00BB17D5">
              <w:rPr>
                <w:szCs w:val="24"/>
              </w:rPr>
              <w:t>.</w:t>
            </w:r>
            <w:r w:rsidR="0058371F">
              <w:rPr>
                <w:szCs w:val="24"/>
              </w:rPr>
              <w:t xml:space="preserve"> </w:t>
            </w:r>
          </w:p>
          <w:p w14:paraId="6BE76143" w14:textId="77777777" w:rsidR="00850471" w:rsidRDefault="00850471" w:rsidP="0048438C">
            <w:pPr>
              <w:spacing w:before="60" w:after="60"/>
              <w:rPr>
                <w:szCs w:val="24"/>
              </w:rPr>
            </w:pPr>
          </w:p>
          <w:p w14:paraId="5FD1A5E2" w14:textId="18B41C91" w:rsidR="002B5299" w:rsidRDefault="001B1F92" w:rsidP="0048438C">
            <w:pPr>
              <w:spacing w:before="60" w:after="60"/>
              <w:rPr>
                <w:szCs w:val="24"/>
              </w:rPr>
            </w:pPr>
            <w:r>
              <w:rPr>
                <w:szCs w:val="24"/>
              </w:rPr>
              <w:t xml:space="preserve">In response to </w:t>
            </w:r>
            <w:r w:rsidR="0017589D">
              <w:rPr>
                <w:szCs w:val="24"/>
              </w:rPr>
              <w:t>RQ-015</w:t>
            </w:r>
            <w:r>
              <w:rPr>
                <w:szCs w:val="24"/>
              </w:rPr>
              <w:t xml:space="preserve">83 (Ref 2) the </w:t>
            </w:r>
            <w:r w:rsidR="00B4578E">
              <w:rPr>
                <w:szCs w:val="24"/>
              </w:rPr>
              <w:t>RP ack</w:t>
            </w:r>
            <w:r w:rsidR="00436A0F">
              <w:rPr>
                <w:szCs w:val="24"/>
              </w:rPr>
              <w:t xml:space="preserve">nowledged that the design of the SDHR is a departure from </w:t>
            </w:r>
            <w:r w:rsidR="009C2321">
              <w:rPr>
                <w:szCs w:val="24"/>
              </w:rPr>
              <w:t xml:space="preserve">normal practice and further review to demonstrate that risks are reduced ALARP is required. </w:t>
            </w:r>
            <w:r w:rsidR="00B97D4F">
              <w:rPr>
                <w:szCs w:val="24"/>
              </w:rPr>
              <w:t xml:space="preserve">The RP also identified that </w:t>
            </w:r>
            <w:r w:rsidR="00246DE6">
              <w:rPr>
                <w:szCs w:val="24"/>
              </w:rPr>
              <w:t>consideration of SDHR</w:t>
            </w:r>
            <w:r w:rsidR="001666A0">
              <w:rPr>
                <w:szCs w:val="24"/>
              </w:rPr>
              <w:t xml:space="preserve"> </w:t>
            </w:r>
            <w:r w:rsidR="00EF4A32">
              <w:rPr>
                <w:szCs w:val="24"/>
              </w:rPr>
              <w:t xml:space="preserve">failures </w:t>
            </w:r>
            <w:r w:rsidR="001666A0">
              <w:rPr>
                <w:szCs w:val="24"/>
              </w:rPr>
              <w:t>coincident with a Steam Generator Tube Rupture (SGTR)</w:t>
            </w:r>
            <w:r w:rsidR="00246DE6">
              <w:rPr>
                <w:szCs w:val="24"/>
              </w:rPr>
              <w:t xml:space="preserve"> is </w:t>
            </w:r>
            <w:r w:rsidR="00551A84">
              <w:rPr>
                <w:szCs w:val="24"/>
              </w:rPr>
              <w:t xml:space="preserve">not possible with the current level of design development.  </w:t>
            </w:r>
            <w:r w:rsidR="009C2321">
              <w:rPr>
                <w:szCs w:val="24"/>
              </w:rPr>
              <w:t xml:space="preserve"> </w:t>
            </w:r>
          </w:p>
          <w:p w14:paraId="0BBE4930" w14:textId="77777777" w:rsidR="002B5299" w:rsidRPr="0048438C" w:rsidRDefault="002B5299" w:rsidP="0048438C">
            <w:pPr>
              <w:spacing w:before="60" w:after="60"/>
              <w:rPr>
                <w:szCs w:val="24"/>
              </w:rPr>
            </w:pPr>
          </w:p>
          <w:p w14:paraId="25806AA4" w14:textId="6EE0AECA" w:rsidR="000758E9" w:rsidRPr="0048438C" w:rsidRDefault="000758E9" w:rsidP="0048438C">
            <w:pPr>
              <w:spacing w:before="60" w:after="60"/>
              <w:rPr>
                <w:b/>
                <w:szCs w:val="24"/>
                <w:u w:val="single"/>
              </w:rPr>
            </w:pPr>
            <w:r w:rsidRPr="0048438C">
              <w:rPr>
                <w:b/>
                <w:szCs w:val="24"/>
                <w:u w:val="single"/>
              </w:rPr>
              <w:t>Relevant Legislation, Standards and Guidance</w:t>
            </w:r>
          </w:p>
          <w:p w14:paraId="4307484F" w14:textId="5864EA6C" w:rsidR="001D2F6F" w:rsidRDefault="001D2F6F" w:rsidP="001D2F6F">
            <w:pPr>
              <w:spacing w:before="60" w:after="60"/>
              <w:rPr>
                <w:szCs w:val="24"/>
              </w:rPr>
            </w:pPr>
            <w:r w:rsidRPr="001D2F6F">
              <w:rPr>
                <w:szCs w:val="24"/>
              </w:rPr>
              <w:t xml:space="preserve">The following guidance from the </w:t>
            </w:r>
            <w:r w:rsidR="00560331">
              <w:rPr>
                <w:szCs w:val="24"/>
              </w:rPr>
              <w:t>International Atomic Energy Agency (</w:t>
            </w:r>
            <w:r w:rsidRPr="001D2F6F">
              <w:rPr>
                <w:szCs w:val="24"/>
              </w:rPr>
              <w:t>IAEA</w:t>
            </w:r>
            <w:r w:rsidR="00560331">
              <w:rPr>
                <w:szCs w:val="24"/>
              </w:rPr>
              <w:t>)</w:t>
            </w:r>
            <w:r w:rsidRPr="001D2F6F">
              <w:rPr>
                <w:szCs w:val="24"/>
              </w:rPr>
              <w:t xml:space="preserve"> is relevant: </w:t>
            </w:r>
          </w:p>
          <w:p w14:paraId="2DABFE3F" w14:textId="2F672F94" w:rsidR="001D2F6F" w:rsidRPr="00CD606F" w:rsidRDefault="001D2F6F" w:rsidP="00CD606F">
            <w:pPr>
              <w:pStyle w:val="ListParagraph"/>
              <w:numPr>
                <w:ilvl w:val="0"/>
                <w:numId w:val="27"/>
              </w:numPr>
              <w:spacing w:before="60" w:after="60"/>
              <w:rPr>
                <w:szCs w:val="24"/>
              </w:rPr>
            </w:pPr>
            <w:r w:rsidRPr="00CD606F">
              <w:rPr>
                <w:szCs w:val="24"/>
              </w:rPr>
              <w:t xml:space="preserve">SSR-2/1 – Requirement 56 </w:t>
            </w:r>
            <w:r w:rsidR="00B705FF" w:rsidRPr="00CD606F">
              <w:rPr>
                <w:szCs w:val="24"/>
              </w:rPr>
              <w:t>Isolation of the containment</w:t>
            </w:r>
            <w:r w:rsidR="00EE6208" w:rsidRPr="00CD606F">
              <w:rPr>
                <w:szCs w:val="24"/>
              </w:rPr>
              <w:t xml:space="preserve"> (Ref 3)</w:t>
            </w:r>
          </w:p>
          <w:p w14:paraId="1907AA2B" w14:textId="77777777" w:rsidR="001D2F6F" w:rsidRDefault="001D2F6F" w:rsidP="0048438C">
            <w:pPr>
              <w:spacing w:before="60" w:after="60"/>
              <w:rPr>
                <w:szCs w:val="24"/>
              </w:rPr>
            </w:pPr>
          </w:p>
          <w:p w14:paraId="51A80A8B" w14:textId="2150B5F7" w:rsidR="00E5542D" w:rsidRDefault="00E5542D" w:rsidP="00E5542D">
            <w:pPr>
              <w:spacing w:before="60" w:after="60"/>
              <w:rPr>
                <w:szCs w:val="24"/>
              </w:rPr>
            </w:pPr>
            <w:r w:rsidRPr="00E5542D">
              <w:rPr>
                <w:szCs w:val="24"/>
              </w:rPr>
              <w:t xml:space="preserve">The following Safety Assessment Principles (SAPs) (Ref </w:t>
            </w:r>
            <w:r w:rsidR="00EE6208">
              <w:rPr>
                <w:szCs w:val="24"/>
              </w:rPr>
              <w:t>4</w:t>
            </w:r>
            <w:r w:rsidRPr="00E5542D">
              <w:rPr>
                <w:szCs w:val="24"/>
              </w:rPr>
              <w:t>) are relevant:</w:t>
            </w:r>
          </w:p>
          <w:p w14:paraId="7C9F6059" w14:textId="3913A931" w:rsidR="00F23DE0" w:rsidRDefault="000963EE">
            <w:pPr>
              <w:pStyle w:val="ListParagraph"/>
              <w:numPr>
                <w:ilvl w:val="0"/>
                <w:numId w:val="27"/>
              </w:numPr>
              <w:spacing w:before="60" w:after="60"/>
              <w:rPr>
                <w:szCs w:val="24"/>
              </w:rPr>
            </w:pPr>
            <w:r w:rsidRPr="00CD606F">
              <w:rPr>
                <w:szCs w:val="24"/>
              </w:rPr>
              <w:t xml:space="preserve">SAP SC.4 </w:t>
            </w:r>
            <w:r w:rsidR="00AA52AF" w:rsidRPr="00CD606F">
              <w:rPr>
                <w:szCs w:val="24"/>
              </w:rPr>
              <w:t>Safety Case Characteristics</w:t>
            </w:r>
          </w:p>
          <w:p w14:paraId="2AA3DE46" w14:textId="045DD5BD" w:rsidR="00C9173E" w:rsidRDefault="00C9173E">
            <w:pPr>
              <w:pStyle w:val="ListParagraph"/>
              <w:numPr>
                <w:ilvl w:val="0"/>
                <w:numId w:val="27"/>
              </w:numPr>
              <w:spacing w:before="60" w:after="60"/>
              <w:rPr>
                <w:szCs w:val="24"/>
              </w:rPr>
            </w:pPr>
            <w:r>
              <w:rPr>
                <w:szCs w:val="24"/>
              </w:rPr>
              <w:t>SAP FA.2 Identification of initiating faults</w:t>
            </w:r>
          </w:p>
          <w:p w14:paraId="667B9EDE" w14:textId="37C9E4F6" w:rsidR="00C9173E" w:rsidRDefault="00C9173E">
            <w:pPr>
              <w:pStyle w:val="ListParagraph"/>
              <w:numPr>
                <w:ilvl w:val="0"/>
                <w:numId w:val="27"/>
              </w:numPr>
              <w:spacing w:before="60" w:after="60"/>
              <w:rPr>
                <w:szCs w:val="24"/>
              </w:rPr>
            </w:pPr>
            <w:r>
              <w:rPr>
                <w:szCs w:val="24"/>
              </w:rPr>
              <w:t>SAP FA.5 Initiating faults</w:t>
            </w:r>
          </w:p>
          <w:p w14:paraId="30149C0A" w14:textId="2C483779" w:rsidR="00C9173E" w:rsidRPr="00CD606F" w:rsidRDefault="00C9173E" w:rsidP="00CD606F">
            <w:pPr>
              <w:pStyle w:val="ListParagraph"/>
              <w:numPr>
                <w:ilvl w:val="0"/>
                <w:numId w:val="27"/>
              </w:numPr>
              <w:spacing w:before="60" w:after="60"/>
              <w:rPr>
                <w:szCs w:val="24"/>
              </w:rPr>
            </w:pPr>
            <w:r>
              <w:rPr>
                <w:szCs w:val="24"/>
              </w:rPr>
              <w:t>SAP FA.6 Fault sequences</w:t>
            </w:r>
          </w:p>
          <w:p w14:paraId="4A87D771" w14:textId="77777777" w:rsidR="000758E9" w:rsidRPr="0048438C" w:rsidRDefault="000758E9" w:rsidP="0048438C">
            <w:pPr>
              <w:spacing w:before="60" w:after="60"/>
              <w:rPr>
                <w:szCs w:val="24"/>
              </w:rPr>
            </w:pPr>
          </w:p>
          <w:p w14:paraId="268B2B85" w14:textId="2A98076B" w:rsidR="00CC67B6" w:rsidRPr="0048438C" w:rsidRDefault="00F65462" w:rsidP="0048438C">
            <w:pPr>
              <w:spacing w:before="60" w:after="60"/>
              <w:rPr>
                <w:b/>
                <w:szCs w:val="24"/>
                <w:u w:val="single"/>
              </w:rPr>
            </w:pPr>
            <w:r w:rsidRPr="0048438C">
              <w:rPr>
                <w:b/>
                <w:szCs w:val="24"/>
                <w:u w:val="single"/>
              </w:rPr>
              <w:t>Regulatory Expectations</w:t>
            </w:r>
          </w:p>
          <w:p w14:paraId="55C512DC" w14:textId="77777777" w:rsidR="003968DF" w:rsidRDefault="003968DF" w:rsidP="003968DF">
            <w:pPr>
              <w:spacing w:before="60" w:after="60"/>
              <w:rPr>
                <w:szCs w:val="24"/>
              </w:rPr>
            </w:pPr>
            <w:r>
              <w:rPr>
                <w:szCs w:val="24"/>
              </w:rPr>
              <w:t>As per SAP SC.4, a</w:t>
            </w:r>
            <w:r w:rsidRPr="007F12F1">
              <w:rPr>
                <w:szCs w:val="24"/>
              </w:rPr>
              <w:t xml:space="preserve"> safety case should</w:t>
            </w:r>
            <w:r>
              <w:rPr>
                <w:szCs w:val="24"/>
              </w:rPr>
              <w:t xml:space="preserve"> </w:t>
            </w:r>
            <w:r w:rsidRPr="007F12F1">
              <w:rPr>
                <w:szCs w:val="24"/>
              </w:rPr>
              <w:t>explicitly set out the argument for why risks are ALARP</w:t>
            </w:r>
            <w:r>
              <w:rPr>
                <w:szCs w:val="24"/>
              </w:rPr>
              <w:t xml:space="preserve">, and </w:t>
            </w:r>
            <w:r w:rsidRPr="007F12F1">
              <w:rPr>
                <w:szCs w:val="24"/>
              </w:rPr>
              <w:t>link the information necessary to show that risks are ALARP</w:t>
            </w:r>
            <w:r>
              <w:rPr>
                <w:szCs w:val="24"/>
              </w:rPr>
              <w:t>.</w:t>
            </w:r>
          </w:p>
          <w:p w14:paraId="374FACD6" w14:textId="50B8A16B" w:rsidR="00E053E8" w:rsidRDefault="00E053E8" w:rsidP="003968DF">
            <w:pPr>
              <w:spacing w:before="60" w:after="60"/>
              <w:rPr>
                <w:szCs w:val="24"/>
              </w:rPr>
            </w:pPr>
          </w:p>
          <w:p w14:paraId="43BEE5B3" w14:textId="5A0F0E17" w:rsidR="00C9173E" w:rsidRDefault="00C9173E" w:rsidP="003968DF">
            <w:pPr>
              <w:spacing w:before="60" w:after="60"/>
              <w:rPr>
                <w:szCs w:val="24"/>
              </w:rPr>
            </w:pPr>
            <w:r>
              <w:rPr>
                <w:szCs w:val="24"/>
              </w:rPr>
              <w:t>SAP FA.2 sets out the expectation that all initiating faults with the potential to lead to a dose to a worker of more than 0.1 mSv or a dose to a member of the public of more than 0.01 mSv should be identified.</w:t>
            </w:r>
          </w:p>
          <w:p w14:paraId="4184F2BE" w14:textId="77777777" w:rsidR="00C9173E" w:rsidRDefault="00C9173E" w:rsidP="003968DF">
            <w:pPr>
              <w:spacing w:before="60" w:after="60"/>
              <w:rPr>
                <w:szCs w:val="24"/>
              </w:rPr>
            </w:pPr>
          </w:p>
          <w:p w14:paraId="4619D664" w14:textId="5E1302E0" w:rsidR="00C9173E" w:rsidRDefault="00C9173E" w:rsidP="003968DF">
            <w:pPr>
              <w:spacing w:before="60" w:after="60"/>
              <w:rPr>
                <w:szCs w:val="24"/>
              </w:rPr>
            </w:pPr>
            <w:r>
              <w:rPr>
                <w:szCs w:val="24"/>
              </w:rPr>
              <w:t xml:space="preserve">SAP FA.5 sets out the expectation that design basis analysis </w:t>
            </w:r>
            <w:r w:rsidR="00CD606F">
              <w:rPr>
                <w:szCs w:val="24"/>
              </w:rPr>
              <w:t xml:space="preserve">(DBA) </w:t>
            </w:r>
            <w:r>
              <w:rPr>
                <w:szCs w:val="24"/>
              </w:rPr>
              <w:t>should be applied to initiating faults with potential unmitigated consequences exceeding the Basic Safety Levels for SAPs Numerical Target 4.</w:t>
            </w:r>
          </w:p>
          <w:p w14:paraId="275EFB1A" w14:textId="77777777" w:rsidR="00C9173E" w:rsidRDefault="00C9173E" w:rsidP="003968DF">
            <w:pPr>
              <w:spacing w:before="60" w:after="60"/>
              <w:rPr>
                <w:szCs w:val="24"/>
              </w:rPr>
            </w:pPr>
          </w:p>
          <w:p w14:paraId="511DDB09" w14:textId="6DD98AF9" w:rsidR="00C9173E" w:rsidRDefault="00C9173E" w:rsidP="003968DF">
            <w:pPr>
              <w:spacing w:before="60" w:after="60"/>
              <w:rPr>
                <w:szCs w:val="24"/>
              </w:rPr>
            </w:pPr>
            <w:r>
              <w:rPr>
                <w:szCs w:val="24"/>
              </w:rPr>
              <w:t xml:space="preserve">SAP FA.6 sets out the expectation that </w:t>
            </w:r>
            <w:r w:rsidR="00CD606F">
              <w:rPr>
                <w:szCs w:val="24"/>
              </w:rPr>
              <w:t>for each initiating fault analysed using DBA relevant fault sequences should be identified which include failures consequential on the initiating fault, failures with a common cause as the initiating fault, single failures in the safety measures, the worst permitted configuration of equipment outages, and the most onerous initial operating conditions permitted by the operating rules.</w:t>
            </w:r>
          </w:p>
          <w:p w14:paraId="46ECC73C" w14:textId="77777777" w:rsidR="00FF4E6B" w:rsidRDefault="00FF4E6B" w:rsidP="00A0391E"/>
          <w:p w14:paraId="1C8796C7" w14:textId="468BC58B" w:rsidR="00FF4E6B" w:rsidRPr="00FF4E6B" w:rsidRDefault="00FF4E6B" w:rsidP="00DF55FE">
            <w:r w:rsidRPr="00FF4E6B">
              <w:t>Requirement 56 of IAEA SSR-2/1 (Rev 1) s</w:t>
            </w:r>
            <w:r w:rsidR="00120479">
              <w:t>ets out the expectation</w:t>
            </w:r>
            <w:r w:rsidRPr="00FF4E6B">
              <w:t xml:space="preserve"> that each line that penetrates the containment at a nuclear power plant as part of the reactor coolant pressure boundary or that is connected directly to the containment atmosphere shall be automatically and reliably sealable in the event of an accident. Also, that lines that penetrate the containment as part of the reactor coolant pressure boundary and lines that are connected directly to the containment atmosphere shall be fitted with at least two adequate containment isolation valves or check valves arranged in series</w:t>
            </w:r>
            <w:r w:rsidR="00155C61">
              <w:t xml:space="preserve">, and that, </w:t>
            </w:r>
            <w:r w:rsidR="00DF55FE">
              <w:t>e</w:t>
            </w:r>
            <w:r w:rsidR="00DF55FE" w:rsidRPr="00DF55FE">
              <w:t>ach line that penetrates the containment and is neither part of the reactor coolant pressure boundary nor connected directly to the containment atmosphere shall have at least one adequate containment isolation valve</w:t>
            </w:r>
          </w:p>
          <w:p w14:paraId="06FEB22A" w14:textId="77777777" w:rsidR="007C514C" w:rsidRDefault="007C514C" w:rsidP="00A0391E"/>
          <w:p w14:paraId="2993E5C2" w14:textId="77777777" w:rsidR="00EC409B" w:rsidRPr="0048438C" w:rsidRDefault="00EC409B" w:rsidP="0048438C">
            <w:pPr>
              <w:spacing w:before="60" w:after="60"/>
              <w:rPr>
                <w:b/>
                <w:szCs w:val="24"/>
                <w:u w:val="single"/>
              </w:rPr>
            </w:pPr>
            <w:r w:rsidRPr="0048438C">
              <w:rPr>
                <w:b/>
                <w:szCs w:val="24"/>
                <w:u w:val="single"/>
              </w:rPr>
              <w:t>References</w:t>
            </w:r>
          </w:p>
          <w:p w14:paraId="2859AA79" w14:textId="12EDA140" w:rsidR="00831707" w:rsidRDefault="00EC409B" w:rsidP="0048438C">
            <w:pPr>
              <w:spacing w:before="60" w:after="60"/>
              <w:rPr>
                <w:szCs w:val="24"/>
              </w:rPr>
            </w:pPr>
            <w:r w:rsidRPr="0048438C">
              <w:rPr>
                <w:szCs w:val="24"/>
              </w:rPr>
              <w:t xml:space="preserve">[1] </w:t>
            </w:r>
            <w:r w:rsidR="00831707">
              <w:rPr>
                <w:szCs w:val="24"/>
              </w:rPr>
              <w:t xml:space="preserve">HI-2240337, Holtec SMR GDA PSR PART B Chapter 1 Reactor Coolant System and Engineered Safety Features, Revision 0.1, August 2024, </w:t>
            </w:r>
            <w:r w:rsidR="00831707" w:rsidRPr="008A7D68">
              <w:rPr>
                <w:szCs w:val="24"/>
              </w:rPr>
              <w:t>2024/44519</w:t>
            </w:r>
            <w:r w:rsidR="00831707">
              <w:rPr>
                <w:szCs w:val="24"/>
              </w:rPr>
              <w:t>.</w:t>
            </w:r>
          </w:p>
          <w:p w14:paraId="6CDA2A0D" w14:textId="6DAE775B" w:rsidR="001836FA" w:rsidRDefault="0017589D" w:rsidP="001A0F10">
            <w:pPr>
              <w:spacing w:before="60" w:after="60"/>
              <w:rPr>
                <w:szCs w:val="24"/>
              </w:rPr>
            </w:pPr>
            <w:r>
              <w:rPr>
                <w:szCs w:val="24"/>
              </w:rPr>
              <w:lastRenderedPageBreak/>
              <w:t xml:space="preserve">[2] </w:t>
            </w:r>
            <w:r w:rsidR="003274C3">
              <w:rPr>
                <w:szCs w:val="24"/>
              </w:rPr>
              <w:t>RQ-01</w:t>
            </w:r>
            <w:r w:rsidR="009031EB">
              <w:rPr>
                <w:szCs w:val="24"/>
              </w:rPr>
              <w:t xml:space="preserve">583 </w:t>
            </w:r>
            <w:r w:rsidR="00FC18BE" w:rsidRPr="00FC18BE">
              <w:rPr>
                <w:szCs w:val="24"/>
              </w:rPr>
              <w:t>Lack of Isolation on SDHR containment penetrations</w:t>
            </w:r>
            <w:r w:rsidR="001F6B20">
              <w:rPr>
                <w:szCs w:val="24"/>
              </w:rPr>
              <w:t>.</w:t>
            </w:r>
          </w:p>
          <w:p w14:paraId="652CB5AE" w14:textId="30E829A2" w:rsidR="00734BDE" w:rsidRDefault="00734BDE" w:rsidP="001A0F10">
            <w:pPr>
              <w:spacing w:before="60" w:after="60"/>
              <w:rPr>
                <w:szCs w:val="24"/>
              </w:rPr>
            </w:pPr>
            <w:r>
              <w:rPr>
                <w:szCs w:val="24"/>
              </w:rPr>
              <w:t>[3] IAEA SSR-2/1 Safety of Nuclear Power Plants: Design, Rev 1, 2016.</w:t>
            </w:r>
          </w:p>
          <w:p w14:paraId="395E97DD" w14:textId="035F5725" w:rsidR="00F65462" w:rsidRDefault="001836FA" w:rsidP="0048438C">
            <w:pPr>
              <w:spacing w:before="60" w:after="60"/>
            </w:pPr>
            <w:r>
              <w:t>[</w:t>
            </w:r>
            <w:r w:rsidR="00734BDE">
              <w:t>4</w:t>
            </w:r>
            <w:r>
              <w:t xml:space="preserve">] </w:t>
            </w:r>
            <w:r w:rsidR="0091185F">
              <w:t>Safety Assessment Principles for Nuclear Facilities</w:t>
            </w:r>
            <w:r w:rsidR="22336D92">
              <w:t xml:space="preserve"> 2014 Edition</w:t>
            </w:r>
            <w:r w:rsidR="0091185F">
              <w:t xml:space="preserve">, Rev </w:t>
            </w:r>
            <w:r w:rsidR="00734BDE">
              <w:t>1</w:t>
            </w:r>
            <w:r w:rsidR="0091185F">
              <w:t xml:space="preserve">, </w:t>
            </w:r>
            <w:r w:rsidR="0A31249E">
              <w:t xml:space="preserve">January </w:t>
            </w:r>
            <w:r w:rsidR="0091185F">
              <w:t>20</w:t>
            </w:r>
            <w:r w:rsidR="00734BDE">
              <w:t>20</w:t>
            </w:r>
            <w:r w:rsidR="0091185F">
              <w:t>.</w:t>
            </w:r>
          </w:p>
          <w:p w14:paraId="4573E048" w14:textId="45B8A909" w:rsidR="00502B06" w:rsidRPr="0048438C" w:rsidRDefault="00502B06" w:rsidP="0048438C">
            <w:pPr>
              <w:spacing w:before="60" w:after="60"/>
              <w:rPr>
                <w:szCs w:val="24"/>
              </w:rPr>
            </w:pPr>
          </w:p>
        </w:tc>
      </w:tr>
      <w:tr w:rsidR="00850471" w:rsidRPr="00581D5B" w14:paraId="4573E04B" w14:textId="77777777" w:rsidTr="6260A0DD">
        <w:tc>
          <w:tcPr>
            <w:tcW w:w="9897" w:type="dxa"/>
            <w:gridSpan w:val="2"/>
            <w:shd w:val="clear" w:color="auto" w:fill="D9D9D9" w:themeFill="background1" w:themeFillShade="D9"/>
          </w:tcPr>
          <w:p w14:paraId="4573E04A" w14:textId="6BD52BAF" w:rsidR="00850471" w:rsidRPr="00581D5B" w:rsidRDefault="00581D5B" w:rsidP="0048438C">
            <w:pPr>
              <w:spacing w:before="60" w:after="60"/>
              <w:rPr>
                <w:b/>
                <w:iCs/>
                <w:szCs w:val="24"/>
              </w:rPr>
            </w:pPr>
            <w:r w:rsidRPr="00581D5B">
              <w:rPr>
                <w:b/>
                <w:iCs/>
                <w:szCs w:val="24"/>
              </w:rPr>
              <w:lastRenderedPageBreak/>
              <w:t>REGULATORY OBSERVATION ACTIONS</w:t>
            </w:r>
          </w:p>
        </w:tc>
      </w:tr>
      <w:tr w:rsidR="00850471" w:rsidRPr="0048438C" w14:paraId="4573E04E" w14:textId="77777777" w:rsidTr="6260A0DD">
        <w:trPr>
          <w:trHeight w:val="242"/>
        </w:trPr>
        <w:tc>
          <w:tcPr>
            <w:tcW w:w="9897" w:type="dxa"/>
            <w:gridSpan w:val="2"/>
          </w:tcPr>
          <w:p w14:paraId="4573E04C" w14:textId="2A584329" w:rsidR="00850471" w:rsidRPr="0048438C" w:rsidRDefault="00850471" w:rsidP="4FEDA817">
            <w:pPr>
              <w:spacing w:before="60" w:after="60"/>
              <w:rPr>
                <w:b/>
                <w:bCs/>
                <w:noProof/>
              </w:rPr>
            </w:pPr>
            <w:r w:rsidRPr="6E35444C">
              <w:rPr>
                <w:b/>
                <w:bCs/>
                <w:noProof/>
              </w:rPr>
              <w:t>RO-</w:t>
            </w:r>
            <w:r w:rsidR="00A229DF" w:rsidRPr="6E35444C">
              <w:rPr>
                <w:b/>
                <w:bCs/>
                <w:noProof/>
              </w:rPr>
              <w:t>HOLTEC</w:t>
            </w:r>
            <w:r w:rsidR="00581D5B" w:rsidRPr="6E35444C">
              <w:rPr>
                <w:b/>
                <w:bCs/>
                <w:noProof/>
              </w:rPr>
              <w:t>SMR</w:t>
            </w:r>
            <w:r w:rsidR="005933F1" w:rsidRPr="6E35444C">
              <w:rPr>
                <w:b/>
                <w:bCs/>
                <w:noProof/>
              </w:rPr>
              <w:t>300</w:t>
            </w:r>
            <w:r w:rsidR="73C0360A" w:rsidRPr="6E35444C">
              <w:rPr>
                <w:b/>
                <w:bCs/>
                <w:noProof/>
              </w:rPr>
              <w:t>-</w:t>
            </w:r>
            <w:r w:rsidR="11765633" w:rsidRPr="6E35444C">
              <w:rPr>
                <w:b/>
                <w:bCs/>
                <w:noProof/>
              </w:rPr>
              <w:t>004</w:t>
            </w:r>
            <w:r w:rsidRPr="6E35444C">
              <w:rPr>
                <w:b/>
                <w:bCs/>
                <w:noProof/>
              </w:rPr>
              <w:t>.A1</w:t>
            </w:r>
            <w:r w:rsidR="000977CC" w:rsidRPr="6E35444C">
              <w:rPr>
                <w:b/>
                <w:bCs/>
                <w:noProof/>
              </w:rPr>
              <w:t xml:space="preserve"> – </w:t>
            </w:r>
            <w:r w:rsidR="00B22D8F" w:rsidRPr="6E35444C">
              <w:rPr>
                <w:b/>
                <w:bCs/>
                <w:noProof/>
              </w:rPr>
              <w:t xml:space="preserve">Analysis of consequences of </w:t>
            </w:r>
            <w:r w:rsidR="004768EA" w:rsidRPr="6E35444C">
              <w:rPr>
                <w:b/>
                <w:bCs/>
                <w:noProof/>
              </w:rPr>
              <w:t xml:space="preserve">failure of SDHR </w:t>
            </w:r>
            <w:r w:rsidR="0036663B" w:rsidRPr="6E35444C">
              <w:rPr>
                <w:b/>
                <w:bCs/>
                <w:noProof/>
              </w:rPr>
              <w:t xml:space="preserve">SSCs </w:t>
            </w:r>
            <w:r w:rsidR="0019179A" w:rsidRPr="6E35444C">
              <w:rPr>
                <w:b/>
                <w:bCs/>
                <w:noProof/>
              </w:rPr>
              <w:t>outside of containment</w:t>
            </w:r>
          </w:p>
          <w:p w14:paraId="7BE7FFFB" w14:textId="77777777" w:rsidR="00CC67B6" w:rsidRPr="0048438C" w:rsidRDefault="00CC67B6" w:rsidP="0048438C">
            <w:pPr>
              <w:spacing w:before="60" w:after="60"/>
              <w:rPr>
                <w:noProof/>
                <w:szCs w:val="24"/>
              </w:rPr>
            </w:pPr>
          </w:p>
          <w:p w14:paraId="2DCB501B" w14:textId="093510A0" w:rsidR="00875755" w:rsidRPr="0048438C" w:rsidRDefault="00875755" w:rsidP="0048438C">
            <w:pPr>
              <w:spacing w:before="60" w:after="60"/>
              <w:rPr>
                <w:noProof/>
                <w:szCs w:val="24"/>
                <w:highlight w:val="yellow"/>
              </w:rPr>
            </w:pPr>
            <w:r w:rsidRPr="0048438C">
              <w:rPr>
                <w:noProof/>
                <w:szCs w:val="24"/>
              </w:rPr>
              <w:t xml:space="preserve">In response to this Regulatory Observation Action, </w:t>
            </w:r>
            <w:r w:rsidR="00AB1EA2">
              <w:rPr>
                <w:noProof/>
                <w:szCs w:val="24"/>
              </w:rPr>
              <w:t>Holtec</w:t>
            </w:r>
            <w:r w:rsidRPr="0048438C">
              <w:rPr>
                <w:noProof/>
                <w:szCs w:val="24"/>
              </w:rPr>
              <w:t xml:space="preserve"> should:</w:t>
            </w:r>
          </w:p>
          <w:p w14:paraId="20AA25FA" w14:textId="50D3C8FA" w:rsidR="003C7579" w:rsidRPr="00FC18BE" w:rsidRDefault="003C7579" w:rsidP="0048438C">
            <w:pPr>
              <w:spacing w:before="60" w:after="60"/>
              <w:rPr>
                <w:noProof/>
                <w:szCs w:val="24"/>
                <w:highlight w:val="yellow"/>
              </w:rPr>
            </w:pPr>
          </w:p>
          <w:p w14:paraId="3A6D25F9" w14:textId="58399509" w:rsidR="002302BA" w:rsidRDefault="00A3774F" w:rsidP="0048438C">
            <w:pPr>
              <w:spacing w:before="60" w:after="60"/>
            </w:pPr>
            <w:r>
              <w:t>A</w:t>
            </w:r>
            <w:r w:rsidR="00FC00A1">
              <w:t xml:space="preserve">nalyse using appropriately conservative deterministic methodologies </w:t>
            </w:r>
            <w:r w:rsidR="00D94A08">
              <w:t xml:space="preserve">the potential consequences of a failure of the SDHR </w:t>
            </w:r>
            <w:r w:rsidR="0036663B">
              <w:t>SSCs</w:t>
            </w:r>
            <w:r w:rsidR="00D94A08">
              <w:t xml:space="preserve"> outside of containment</w:t>
            </w:r>
            <w:r w:rsidR="000F7FD7">
              <w:t>.</w:t>
            </w:r>
            <w:r w:rsidR="00833C93">
              <w:t xml:space="preserve"> </w:t>
            </w:r>
            <w:r w:rsidR="000F7FD7">
              <w:t>T</w:t>
            </w:r>
            <w:r w:rsidR="001552E6">
              <w:t>his analysis should include:</w:t>
            </w:r>
          </w:p>
          <w:p w14:paraId="2308A563" w14:textId="756A24FB" w:rsidR="001552E6" w:rsidRDefault="001552E6" w:rsidP="001552E6">
            <w:pPr>
              <w:pStyle w:val="ListParagraph"/>
              <w:numPr>
                <w:ilvl w:val="0"/>
                <w:numId w:val="26"/>
              </w:numPr>
              <w:spacing w:before="60" w:after="60"/>
            </w:pPr>
            <w:r>
              <w:t xml:space="preserve">SDHR </w:t>
            </w:r>
            <w:r w:rsidR="0036663B">
              <w:t>SSC failure as an initiating event</w:t>
            </w:r>
          </w:p>
          <w:p w14:paraId="675E043B" w14:textId="3F2E04A2" w:rsidR="0036663B" w:rsidRDefault="0036663B" w:rsidP="001552E6">
            <w:pPr>
              <w:pStyle w:val="ListParagraph"/>
              <w:numPr>
                <w:ilvl w:val="0"/>
                <w:numId w:val="26"/>
              </w:numPr>
              <w:spacing w:before="60" w:after="60"/>
            </w:pPr>
            <w:r>
              <w:t xml:space="preserve">Any </w:t>
            </w:r>
            <w:r w:rsidR="002351D3">
              <w:t xml:space="preserve">potential </w:t>
            </w:r>
            <w:r>
              <w:t xml:space="preserve">consequential failures </w:t>
            </w:r>
            <w:r w:rsidR="00DA461E">
              <w:t>of SDHR SSCs following other initiating events, or</w:t>
            </w:r>
            <w:r w:rsidR="002351D3">
              <w:t xml:space="preserve"> any potential</w:t>
            </w:r>
            <w:r w:rsidR="00DA461E">
              <w:t xml:space="preserve"> common cause failures with other SSCs</w:t>
            </w:r>
          </w:p>
          <w:p w14:paraId="0070B80F" w14:textId="720214BC" w:rsidR="00DA461E" w:rsidRDefault="000C14AA" w:rsidP="001552E6">
            <w:pPr>
              <w:pStyle w:val="ListParagraph"/>
              <w:numPr>
                <w:ilvl w:val="0"/>
                <w:numId w:val="26"/>
              </w:numPr>
              <w:spacing w:before="60" w:after="60"/>
            </w:pPr>
            <w:r>
              <w:t xml:space="preserve">Failure of SDHR SSCs coincident with failure of any other SSCs </w:t>
            </w:r>
            <w:r w:rsidR="00D91E68">
              <w:t>where the combined event woul</w:t>
            </w:r>
            <w:r w:rsidR="00FD0815">
              <w:t xml:space="preserve">d be sufficiently frequent </w:t>
            </w:r>
            <w:r w:rsidR="00D91CCE">
              <w:t>such that a conservative analysis would be proportionate.</w:t>
            </w:r>
          </w:p>
          <w:p w14:paraId="4573E04D" w14:textId="79A415FC" w:rsidR="00850471" w:rsidRPr="00FD0CB5" w:rsidRDefault="00850471" w:rsidP="0048438C">
            <w:pPr>
              <w:spacing w:before="60" w:after="60"/>
              <w:rPr>
                <w:bCs/>
                <w:noProof/>
                <w:szCs w:val="24"/>
              </w:rPr>
            </w:pPr>
            <w:r w:rsidRPr="0048438C">
              <w:rPr>
                <w:noProof/>
                <w:szCs w:val="24"/>
              </w:rPr>
              <w:br/>
            </w:r>
            <w:r w:rsidRPr="00FD0CB5">
              <w:rPr>
                <w:bCs/>
                <w:noProof/>
                <w:szCs w:val="24"/>
              </w:rPr>
              <w:t>Resolution required by '</w:t>
            </w:r>
            <w:r w:rsidRPr="00FD0CB5">
              <w:rPr>
                <w:bCs/>
                <w:i/>
                <w:noProof/>
                <w:szCs w:val="24"/>
              </w:rPr>
              <w:t xml:space="preserve">to be determined by </w:t>
            </w:r>
            <w:r w:rsidR="00AB1EA2">
              <w:rPr>
                <w:bCs/>
                <w:i/>
                <w:noProof/>
                <w:szCs w:val="24"/>
              </w:rPr>
              <w:t>Holtec</w:t>
            </w:r>
            <w:r w:rsidRPr="00FD0CB5">
              <w:rPr>
                <w:bCs/>
                <w:i/>
                <w:noProof/>
                <w:szCs w:val="24"/>
              </w:rPr>
              <w:t xml:space="preserve"> Resolution Plan</w:t>
            </w:r>
            <w:r w:rsidRPr="00FD0CB5">
              <w:rPr>
                <w:bCs/>
                <w:noProof/>
                <w:szCs w:val="24"/>
              </w:rPr>
              <w:t>'</w:t>
            </w:r>
          </w:p>
        </w:tc>
      </w:tr>
      <w:tr w:rsidR="00AF574F" w:rsidRPr="0048438C" w14:paraId="49E6818D" w14:textId="77777777" w:rsidTr="6260A0DD">
        <w:trPr>
          <w:trHeight w:val="242"/>
        </w:trPr>
        <w:tc>
          <w:tcPr>
            <w:tcW w:w="9897" w:type="dxa"/>
            <w:gridSpan w:val="2"/>
          </w:tcPr>
          <w:p w14:paraId="16132295" w14:textId="203946A5" w:rsidR="00AF574F" w:rsidRPr="0048438C" w:rsidRDefault="00AF574F" w:rsidP="6E35444C">
            <w:pPr>
              <w:spacing w:before="60" w:after="60"/>
              <w:rPr>
                <w:b/>
                <w:bCs/>
                <w:noProof/>
              </w:rPr>
            </w:pPr>
            <w:r w:rsidRPr="6E35444C">
              <w:rPr>
                <w:b/>
                <w:bCs/>
                <w:noProof/>
              </w:rPr>
              <w:t>RO-</w:t>
            </w:r>
            <w:r w:rsidR="00A229DF" w:rsidRPr="6E35444C">
              <w:rPr>
                <w:b/>
                <w:bCs/>
                <w:noProof/>
              </w:rPr>
              <w:t>HOLTEC</w:t>
            </w:r>
            <w:r w:rsidRPr="6E35444C">
              <w:rPr>
                <w:b/>
                <w:bCs/>
                <w:noProof/>
              </w:rPr>
              <w:t>SMR300</w:t>
            </w:r>
            <w:r w:rsidR="731E5B4C" w:rsidRPr="6E35444C">
              <w:rPr>
                <w:b/>
                <w:bCs/>
                <w:noProof/>
              </w:rPr>
              <w:t>-</w:t>
            </w:r>
            <w:r w:rsidR="3C5F4700" w:rsidRPr="6E35444C">
              <w:rPr>
                <w:b/>
                <w:bCs/>
                <w:noProof/>
              </w:rPr>
              <w:t>004</w:t>
            </w:r>
            <w:r w:rsidRPr="6E35444C">
              <w:rPr>
                <w:b/>
                <w:bCs/>
                <w:noProof/>
              </w:rPr>
              <w:t>.A</w:t>
            </w:r>
            <w:r w:rsidR="00A72AFC" w:rsidRPr="6E35444C">
              <w:rPr>
                <w:b/>
                <w:bCs/>
                <w:noProof/>
              </w:rPr>
              <w:t>2</w:t>
            </w:r>
            <w:r w:rsidRPr="6E35444C">
              <w:rPr>
                <w:b/>
                <w:bCs/>
                <w:noProof/>
              </w:rPr>
              <w:t xml:space="preserve"> – Demonstration that risks have been reduced ALARP with respect to </w:t>
            </w:r>
            <w:r w:rsidR="00406163" w:rsidRPr="6E35444C">
              <w:rPr>
                <w:b/>
                <w:bCs/>
                <w:noProof/>
              </w:rPr>
              <w:t>the provsion of isolation valves on the SDHR containment penetrations</w:t>
            </w:r>
          </w:p>
          <w:p w14:paraId="77226101" w14:textId="77777777" w:rsidR="00AF574F" w:rsidRPr="0048438C" w:rsidRDefault="00AF574F" w:rsidP="00AF574F">
            <w:pPr>
              <w:spacing w:before="60" w:after="60"/>
              <w:rPr>
                <w:noProof/>
                <w:szCs w:val="24"/>
              </w:rPr>
            </w:pPr>
          </w:p>
          <w:p w14:paraId="7CF04A03" w14:textId="77777777" w:rsidR="00AF574F" w:rsidRPr="0048438C" w:rsidRDefault="00AF574F" w:rsidP="00AF574F">
            <w:pPr>
              <w:spacing w:before="60" w:after="60"/>
              <w:rPr>
                <w:noProof/>
                <w:szCs w:val="24"/>
                <w:highlight w:val="yellow"/>
              </w:rPr>
            </w:pPr>
            <w:r w:rsidRPr="0048438C">
              <w:rPr>
                <w:noProof/>
                <w:szCs w:val="24"/>
              </w:rPr>
              <w:t xml:space="preserve">In response to this Regulatory Observation Action, </w:t>
            </w:r>
            <w:r>
              <w:rPr>
                <w:noProof/>
                <w:szCs w:val="24"/>
              </w:rPr>
              <w:t>Holtec</w:t>
            </w:r>
            <w:r w:rsidRPr="0048438C">
              <w:rPr>
                <w:noProof/>
                <w:szCs w:val="24"/>
              </w:rPr>
              <w:t xml:space="preserve"> should:</w:t>
            </w:r>
          </w:p>
          <w:p w14:paraId="29544F99" w14:textId="77777777" w:rsidR="00AF574F" w:rsidRPr="00FC18BE" w:rsidRDefault="00AF574F" w:rsidP="00AF574F">
            <w:pPr>
              <w:spacing w:before="60" w:after="60"/>
              <w:rPr>
                <w:noProof/>
                <w:szCs w:val="24"/>
                <w:highlight w:val="yellow"/>
              </w:rPr>
            </w:pPr>
          </w:p>
          <w:p w14:paraId="227E79D3" w14:textId="50F186DE" w:rsidR="00AF574F" w:rsidRDefault="00AF574F" w:rsidP="00AF574F">
            <w:pPr>
              <w:spacing w:before="60" w:after="60"/>
            </w:pPr>
            <w:r>
              <w:t xml:space="preserve">Provide a justification as to how the </w:t>
            </w:r>
            <w:r w:rsidR="5A38224B">
              <w:t xml:space="preserve">risks associated with the </w:t>
            </w:r>
            <w:r>
              <w:t xml:space="preserve">design </w:t>
            </w:r>
            <w:r w:rsidR="5AF8CD16">
              <w:t xml:space="preserve">have been </w:t>
            </w:r>
            <w:r>
              <w:t>reduce</w:t>
            </w:r>
            <w:r w:rsidR="283C5708">
              <w:t>d</w:t>
            </w:r>
            <w:r>
              <w:t xml:space="preserve"> ALARP with respect to the </w:t>
            </w:r>
            <w:r w:rsidR="00406163" w:rsidRPr="0AB3F1B4">
              <w:rPr>
                <w:noProof/>
              </w:rPr>
              <w:t>prov</w:t>
            </w:r>
            <w:r w:rsidR="00CD606F" w:rsidRPr="0AB3F1B4">
              <w:rPr>
                <w:noProof/>
              </w:rPr>
              <w:t>i</w:t>
            </w:r>
            <w:r w:rsidR="00406163" w:rsidRPr="0AB3F1B4">
              <w:rPr>
                <w:noProof/>
              </w:rPr>
              <w:t>sion of isolation valves on the SDHR containment penetrations</w:t>
            </w:r>
            <w:r>
              <w:t xml:space="preserve">. This </w:t>
            </w:r>
            <w:r w:rsidR="0024761E">
              <w:t xml:space="preserve">justification </w:t>
            </w:r>
            <w:r>
              <w:t>should include consideration of the potential options to reduce risk and a demonstration that all reasonably practicable options have been taken.</w:t>
            </w:r>
          </w:p>
          <w:p w14:paraId="5382543D" w14:textId="691453F0" w:rsidR="00AF574F" w:rsidRPr="0048438C" w:rsidRDefault="00AF574F" w:rsidP="00AF574F">
            <w:pPr>
              <w:spacing w:before="60" w:after="60"/>
              <w:rPr>
                <w:b/>
                <w:noProof/>
                <w:szCs w:val="24"/>
              </w:rPr>
            </w:pPr>
            <w:r w:rsidRPr="0048438C">
              <w:rPr>
                <w:noProof/>
                <w:szCs w:val="24"/>
              </w:rPr>
              <w:br/>
            </w:r>
            <w:r w:rsidRPr="00FD0CB5">
              <w:rPr>
                <w:bCs/>
                <w:noProof/>
                <w:szCs w:val="24"/>
              </w:rPr>
              <w:t>Resolution required by '</w:t>
            </w:r>
            <w:r w:rsidRPr="00FD0CB5">
              <w:rPr>
                <w:bCs/>
                <w:i/>
                <w:noProof/>
                <w:szCs w:val="24"/>
              </w:rPr>
              <w:t xml:space="preserve">to be determined by </w:t>
            </w:r>
            <w:r>
              <w:rPr>
                <w:bCs/>
                <w:i/>
                <w:noProof/>
                <w:szCs w:val="24"/>
              </w:rPr>
              <w:t>Holtec</w:t>
            </w:r>
            <w:r w:rsidRPr="00FD0CB5">
              <w:rPr>
                <w:bCs/>
                <w:i/>
                <w:noProof/>
                <w:szCs w:val="24"/>
              </w:rPr>
              <w:t xml:space="preserve"> Resolution Plan</w:t>
            </w:r>
            <w:r w:rsidRPr="00FD0CB5">
              <w:rPr>
                <w:bCs/>
                <w:noProof/>
                <w:szCs w:val="24"/>
              </w:rPr>
              <w:t>'</w:t>
            </w:r>
          </w:p>
        </w:tc>
      </w:tr>
    </w:tbl>
    <w:p w14:paraId="6E129088" w14:textId="77777777" w:rsidR="00D837C8" w:rsidRDefault="00D837C8"/>
    <w:tbl>
      <w:tblPr>
        <w:tblW w:w="989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57" w:type="dxa"/>
          <w:left w:w="57" w:type="dxa"/>
          <w:bottom w:w="57" w:type="dxa"/>
          <w:right w:w="57" w:type="dxa"/>
        </w:tblCellMar>
        <w:tblLook w:val="01E0" w:firstRow="1" w:lastRow="1" w:firstColumn="1" w:lastColumn="1" w:noHBand="0" w:noVBand="0"/>
      </w:tblPr>
      <w:tblGrid>
        <w:gridCol w:w="6436"/>
        <w:gridCol w:w="3461"/>
      </w:tblGrid>
      <w:tr w:rsidR="00850471" w:rsidRPr="0048438C" w14:paraId="4573E050" w14:textId="77777777" w:rsidTr="00D837C8">
        <w:trPr>
          <w:trHeight w:val="316"/>
        </w:trPr>
        <w:tc>
          <w:tcPr>
            <w:tcW w:w="9897" w:type="dxa"/>
            <w:gridSpan w:val="2"/>
            <w:shd w:val="clear" w:color="auto" w:fill="D9D9D9" w:themeFill="background1" w:themeFillShade="D9"/>
          </w:tcPr>
          <w:p w14:paraId="4573E04F" w14:textId="77777777" w:rsidR="00850471" w:rsidRPr="0048438C" w:rsidRDefault="00850471" w:rsidP="0048438C">
            <w:pPr>
              <w:spacing w:before="60" w:after="60"/>
              <w:jc w:val="center"/>
              <w:rPr>
                <w:szCs w:val="24"/>
              </w:rPr>
            </w:pPr>
            <w:r w:rsidRPr="0048438C">
              <w:rPr>
                <w:b/>
                <w:szCs w:val="24"/>
              </w:rPr>
              <w:t>REQUESTING PARTY TO COMPLETE</w:t>
            </w:r>
          </w:p>
        </w:tc>
      </w:tr>
      <w:tr w:rsidR="00850471" w:rsidRPr="0048438C" w14:paraId="4573E053" w14:textId="77777777" w:rsidTr="009459D7">
        <w:trPr>
          <w:trHeight w:val="204"/>
        </w:trPr>
        <w:tc>
          <w:tcPr>
            <w:tcW w:w="6436" w:type="dxa"/>
          </w:tcPr>
          <w:p w14:paraId="4573E051" w14:textId="4EF38771" w:rsidR="00850471" w:rsidRPr="0048438C" w:rsidRDefault="00850471" w:rsidP="0048438C">
            <w:pPr>
              <w:spacing w:before="60" w:after="60"/>
              <w:rPr>
                <w:b/>
                <w:szCs w:val="24"/>
              </w:rPr>
            </w:pPr>
            <w:r w:rsidRPr="0048438C">
              <w:rPr>
                <w:b/>
                <w:szCs w:val="24"/>
              </w:rPr>
              <w:t>Actual Acknowledgement date</w:t>
            </w:r>
            <w:r w:rsidR="00367C32">
              <w:rPr>
                <w:b/>
                <w:szCs w:val="24"/>
              </w:rPr>
              <w:t xml:space="preserve"> </w:t>
            </w:r>
            <w:r w:rsidR="00367C32" w:rsidRPr="009459D7">
              <w:rPr>
                <w:bCs/>
                <w:szCs w:val="24"/>
              </w:rPr>
              <w:t>(dd/mm/</w:t>
            </w:r>
            <w:proofErr w:type="spellStart"/>
            <w:r w:rsidR="00367C32" w:rsidRPr="009459D7">
              <w:rPr>
                <w:bCs/>
                <w:szCs w:val="24"/>
              </w:rPr>
              <w:t>yy</w:t>
            </w:r>
            <w:proofErr w:type="spellEnd"/>
            <w:r w:rsidR="00367C32" w:rsidRPr="009459D7">
              <w:rPr>
                <w:bCs/>
                <w:szCs w:val="24"/>
              </w:rPr>
              <w:t>)</w:t>
            </w:r>
            <w:r w:rsidRPr="0048438C">
              <w:rPr>
                <w:b/>
                <w:szCs w:val="24"/>
              </w:rPr>
              <w:t>:</w:t>
            </w:r>
          </w:p>
        </w:tc>
        <w:tc>
          <w:tcPr>
            <w:tcW w:w="3461" w:type="dxa"/>
          </w:tcPr>
          <w:p w14:paraId="4573E052" w14:textId="77777777" w:rsidR="00850471" w:rsidRPr="0048438C" w:rsidRDefault="00850471" w:rsidP="0048438C">
            <w:pPr>
              <w:spacing w:before="60" w:after="60"/>
              <w:jc w:val="center"/>
              <w:rPr>
                <w:b/>
                <w:szCs w:val="24"/>
              </w:rPr>
            </w:pPr>
          </w:p>
        </w:tc>
      </w:tr>
      <w:tr w:rsidR="00850471" w:rsidRPr="0048438C" w14:paraId="4573E056" w14:textId="77777777" w:rsidTr="009459D7">
        <w:trPr>
          <w:trHeight w:val="204"/>
        </w:trPr>
        <w:tc>
          <w:tcPr>
            <w:tcW w:w="6436" w:type="dxa"/>
          </w:tcPr>
          <w:p w14:paraId="4573E054" w14:textId="2C1E1120" w:rsidR="00850471" w:rsidRPr="0048438C" w:rsidRDefault="00850471" w:rsidP="0048438C">
            <w:pPr>
              <w:spacing w:before="60" w:after="60"/>
              <w:rPr>
                <w:b/>
                <w:szCs w:val="24"/>
              </w:rPr>
            </w:pPr>
            <w:r w:rsidRPr="0048438C">
              <w:rPr>
                <w:b/>
                <w:szCs w:val="24"/>
              </w:rPr>
              <w:t>RP stated Resolution Plan agreement date</w:t>
            </w:r>
            <w:r w:rsidR="009459D7">
              <w:rPr>
                <w:b/>
                <w:szCs w:val="24"/>
              </w:rPr>
              <w:t xml:space="preserve"> </w:t>
            </w:r>
            <w:r w:rsidR="009459D7" w:rsidRPr="009459D7">
              <w:rPr>
                <w:bCs/>
                <w:szCs w:val="24"/>
              </w:rPr>
              <w:t>(dd/mm/</w:t>
            </w:r>
            <w:proofErr w:type="spellStart"/>
            <w:r w:rsidR="009459D7" w:rsidRPr="009459D7">
              <w:rPr>
                <w:bCs/>
                <w:szCs w:val="24"/>
              </w:rPr>
              <w:t>yy</w:t>
            </w:r>
            <w:proofErr w:type="spellEnd"/>
            <w:r w:rsidR="009459D7" w:rsidRPr="009459D7">
              <w:rPr>
                <w:bCs/>
                <w:szCs w:val="24"/>
              </w:rPr>
              <w:t>)</w:t>
            </w:r>
            <w:r w:rsidRPr="0048438C">
              <w:rPr>
                <w:b/>
                <w:szCs w:val="24"/>
              </w:rPr>
              <w:t>:</w:t>
            </w:r>
          </w:p>
        </w:tc>
        <w:tc>
          <w:tcPr>
            <w:tcW w:w="3461" w:type="dxa"/>
          </w:tcPr>
          <w:p w14:paraId="4573E055" w14:textId="77777777" w:rsidR="00850471" w:rsidRPr="0048438C" w:rsidRDefault="00850471" w:rsidP="0048438C">
            <w:pPr>
              <w:spacing w:before="60" w:after="60"/>
              <w:jc w:val="center"/>
              <w:rPr>
                <w:b/>
                <w:szCs w:val="24"/>
              </w:rPr>
            </w:pPr>
          </w:p>
        </w:tc>
      </w:tr>
    </w:tbl>
    <w:p w14:paraId="4573E057" w14:textId="0F4061B4" w:rsidR="00ED1ADA" w:rsidRPr="0048438C" w:rsidRDefault="00ED1ADA" w:rsidP="0048438C">
      <w:pPr>
        <w:spacing w:before="60" w:after="60"/>
        <w:rPr>
          <w:szCs w:val="24"/>
        </w:rPr>
      </w:pPr>
    </w:p>
    <w:sectPr w:rsidR="00ED1ADA" w:rsidRPr="0048438C">
      <w:headerReference w:type="default" r:id="rId12"/>
      <w:footerReference w:type="even" r:id="rId13"/>
      <w:footerReference w:type="default" r:id="rId14"/>
      <w:pgSz w:w="11906" w:h="16838" w:code="9"/>
      <w:pgMar w:top="1134" w:right="1134" w:bottom="102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2EFFD" w14:textId="77777777" w:rsidR="002A0CFA" w:rsidRDefault="002A0CFA">
      <w:r>
        <w:separator/>
      </w:r>
    </w:p>
  </w:endnote>
  <w:endnote w:type="continuationSeparator" w:id="0">
    <w:p w14:paraId="2BFFC588" w14:textId="77777777" w:rsidR="002A0CFA" w:rsidRDefault="002A0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E05D" w14:textId="77777777" w:rsidR="00C15B6D" w:rsidRDefault="00C15B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73E05E" w14:textId="77777777" w:rsidR="00C15B6D" w:rsidRDefault="00C15B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E05F" w14:textId="43155AC4" w:rsidR="00C15B6D" w:rsidRDefault="00C15B6D">
    <w:pPr>
      <w:pStyle w:val="Footer"/>
      <w:tabs>
        <w:tab w:val="clear" w:pos="8306"/>
        <w:tab w:val="right" w:pos="9840"/>
      </w:tabs>
      <w:spacing w:before="120"/>
      <w:rPr>
        <w:lang w:val="en-US"/>
      </w:rPr>
    </w:pPr>
    <w:r>
      <w:rPr>
        <w:lang w:val="en-US"/>
      </w:rPr>
      <w:tab/>
    </w:r>
    <w:r w:rsidR="006300E5">
      <w:rPr>
        <w:lang w:val="en-US"/>
      </w:rPr>
      <w:t xml:space="preserve">                           </w:t>
    </w:r>
    <w:r>
      <w:rPr>
        <w:lang w:val="en-US"/>
      </w:rPr>
      <w:tab/>
    </w:r>
    <w:r w:rsidR="005A547C" w:rsidRPr="009D128E">
      <w:rPr>
        <w:sz w:val="22"/>
        <w:szCs w:val="22"/>
        <w:lang w:val="en-US"/>
      </w:rPr>
      <w:t xml:space="preserve">Page </w:t>
    </w:r>
    <w:r w:rsidR="005A547C" w:rsidRPr="009D128E">
      <w:rPr>
        <w:sz w:val="22"/>
        <w:szCs w:val="22"/>
        <w:lang w:val="en-US"/>
      </w:rPr>
      <w:fldChar w:fldCharType="begin"/>
    </w:r>
    <w:r w:rsidR="005A547C" w:rsidRPr="009D128E">
      <w:rPr>
        <w:sz w:val="22"/>
        <w:szCs w:val="22"/>
        <w:lang w:val="en-US"/>
      </w:rPr>
      <w:instrText xml:space="preserve"> PAGE </w:instrText>
    </w:r>
    <w:r w:rsidR="005A547C" w:rsidRPr="009D128E">
      <w:rPr>
        <w:sz w:val="22"/>
        <w:szCs w:val="22"/>
        <w:lang w:val="en-US"/>
      </w:rPr>
      <w:fldChar w:fldCharType="separate"/>
    </w:r>
    <w:r w:rsidR="005A547C">
      <w:rPr>
        <w:sz w:val="22"/>
        <w:lang w:val="en-US"/>
      </w:rPr>
      <w:t>1</w:t>
    </w:r>
    <w:r w:rsidR="005A547C" w:rsidRPr="009D128E">
      <w:rPr>
        <w:sz w:val="22"/>
        <w:szCs w:val="22"/>
        <w:lang w:val="en-US"/>
      </w:rPr>
      <w:fldChar w:fldCharType="end"/>
    </w:r>
    <w:r w:rsidR="005A547C" w:rsidRPr="009D128E">
      <w:rPr>
        <w:sz w:val="22"/>
        <w:szCs w:val="22"/>
        <w:lang w:val="en-US"/>
      </w:rPr>
      <w:t xml:space="preserve"> of </w:t>
    </w:r>
    <w:r w:rsidR="005A547C" w:rsidRPr="009D128E">
      <w:rPr>
        <w:sz w:val="22"/>
        <w:szCs w:val="22"/>
        <w:lang w:val="en-US"/>
      </w:rPr>
      <w:fldChar w:fldCharType="begin"/>
    </w:r>
    <w:r w:rsidR="005A547C" w:rsidRPr="009D128E">
      <w:rPr>
        <w:sz w:val="22"/>
        <w:szCs w:val="22"/>
        <w:lang w:val="en-US"/>
      </w:rPr>
      <w:instrText xml:space="preserve"> NUMPAGES </w:instrText>
    </w:r>
    <w:r w:rsidR="005A547C" w:rsidRPr="009D128E">
      <w:rPr>
        <w:sz w:val="22"/>
        <w:szCs w:val="22"/>
        <w:lang w:val="en-US"/>
      </w:rPr>
      <w:fldChar w:fldCharType="separate"/>
    </w:r>
    <w:r w:rsidR="005A547C">
      <w:rPr>
        <w:sz w:val="22"/>
        <w:lang w:val="en-US"/>
      </w:rPr>
      <w:t>3</w:t>
    </w:r>
    <w:r w:rsidR="005A547C" w:rsidRPr="009D128E">
      <w:rPr>
        <w:sz w:val="22"/>
        <w:szCs w:val="22"/>
        <w:lang w:val="en-US"/>
      </w:rPr>
      <w:fldChar w:fldCharType="end"/>
    </w:r>
    <w:r>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1058D" w14:textId="77777777" w:rsidR="002A0CFA" w:rsidRDefault="002A0CFA">
      <w:r>
        <w:separator/>
      </w:r>
    </w:p>
  </w:footnote>
  <w:footnote w:type="continuationSeparator" w:id="0">
    <w:p w14:paraId="19BAAB7C" w14:textId="77777777" w:rsidR="002A0CFA" w:rsidRDefault="002A0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7FDC5" w14:textId="77777777" w:rsidR="003B6ACD" w:rsidRDefault="003B6ACD" w:rsidP="003B6ACD"/>
  <w:tbl>
    <w:tblPr>
      <w:tblStyle w:val="TableGrid"/>
      <w:tblW w:w="992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6"/>
      <w:gridCol w:w="2241"/>
      <w:gridCol w:w="3686"/>
    </w:tblGrid>
    <w:tr w:rsidR="003B6ACD" w:rsidRPr="00A851E9" w14:paraId="2513218A" w14:textId="77777777" w:rsidTr="007A729E">
      <w:tc>
        <w:tcPr>
          <w:tcW w:w="3996" w:type="dxa"/>
        </w:tcPr>
        <w:p w14:paraId="6BEF3B11" w14:textId="77777777" w:rsidR="003B6ACD" w:rsidRPr="00A851E9" w:rsidRDefault="003B6ACD" w:rsidP="003B6ACD">
          <w:pPr>
            <w:tabs>
              <w:tab w:val="center" w:pos="4513"/>
              <w:tab w:val="right" w:pos="9026"/>
            </w:tabs>
            <w:spacing w:before="240"/>
            <w:rPr>
              <w:bCs/>
              <w:iCs/>
              <w:kern w:val="36"/>
              <w:sz w:val="18"/>
              <w:szCs w:val="18"/>
            </w:rPr>
          </w:pPr>
          <w:r w:rsidRPr="00A851E9">
            <w:rPr>
              <w:bCs/>
              <w:iCs/>
              <w:noProof/>
              <w:kern w:val="36"/>
              <w:sz w:val="18"/>
              <w:szCs w:val="18"/>
            </w:rPr>
            <w:drawing>
              <wp:inline distT="0" distB="0" distL="0" distR="0" wp14:anchorId="69FA83EC" wp14:editId="4AA3D7F0">
                <wp:extent cx="2395537" cy="509240"/>
                <wp:effectExtent l="0" t="0" r="508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5029" cy="515509"/>
                        </a:xfrm>
                        <a:prstGeom prst="rect">
                          <a:avLst/>
                        </a:prstGeom>
                        <a:noFill/>
                      </pic:spPr>
                    </pic:pic>
                  </a:graphicData>
                </a:graphic>
              </wp:inline>
            </w:drawing>
          </w:r>
        </w:p>
      </w:tc>
      <w:tc>
        <w:tcPr>
          <w:tcW w:w="2241" w:type="dxa"/>
        </w:tcPr>
        <w:p w14:paraId="53B9E679" w14:textId="77777777" w:rsidR="003B6ACD" w:rsidRPr="00A851E9" w:rsidRDefault="003B6ACD" w:rsidP="003B6ACD">
          <w:pPr>
            <w:tabs>
              <w:tab w:val="center" w:pos="4513"/>
              <w:tab w:val="right" w:pos="9026"/>
            </w:tabs>
            <w:jc w:val="center"/>
            <w:rPr>
              <w:bCs/>
              <w:iCs/>
              <w:kern w:val="36"/>
              <w:sz w:val="18"/>
              <w:szCs w:val="18"/>
            </w:rPr>
          </w:pPr>
          <w:r w:rsidRPr="00A851E9">
            <w:rPr>
              <w:rFonts w:cs="Times New Roman"/>
              <w:noProof/>
              <w:szCs w:val="24"/>
            </w:rPr>
            <w:drawing>
              <wp:inline distT="0" distB="0" distL="0" distR="0" wp14:anchorId="0A9FFEE9" wp14:editId="3702F9A0">
                <wp:extent cx="1116703" cy="79057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9361" cy="834934"/>
                        </a:xfrm>
                        <a:prstGeom prst="rect">
                          <a:avLst/>
                        </a:prstGeom>
                        <a:noFill/>
                        <a:ln>
                          <a:noFill/>
                        </a:ln>
                      </pic:spPr>
                    </pic:pic>
                  </a:graphicData>
                </a:graphic>
              </wp:inline>
            </w:drawing>
          </w:r>
        </w:p>
      </w:tc>
      <w:tc>
        <w:tcPr>
          <w:tcW w:w="3686" w:type="dxa"/>
        </w:tcPr>
        <w:p w14:paraId="1DCB8DFF" w14:textId="77777777" w:rsidR="003B6ACD" w:rsidRPr="00A851E9" w:rsidRDefault="003B6ACD" w:rsidP="003B6ACD">
          <w:pPr>
            <w:tabs>
              <w:tab w:val="center" w:pos="4513"/>
              <w:tab w:val="right" w:pos="9026"/>
            </w:tabs>
            <w:jc w:val="right"/>
            <w:rPr>
              <w:bCs/>
              <w:iCs/>
              <w:kern w:val="36"/>
              <w:sz w:val="18"/>
              <w:szCs w:val="18"/>
            </w:rPr>
          </w:pPr>
          <w:r w:rsidRPr="00A851E9">
            <w:rPr>
              <w:rFonts w:cs="Times New Roman"/>
              <w:noProof/>
              <w:szCs w:val="24"/>
            </w:rPr>
            <w:drawing>
              <wp:inline distT="0" distB="0" distL="0" distR="0" wp14:anchorId="082F45D2" wp14:editId="189642D6">
                <wp:extent cx="1938003" cy="790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6021" cy="810163"/>
                        </a:xfrm>
                        <a:prstGeom prst="rect">
                          <a:avLst/>
                        </a:prstGeom>
                        <a:noFill/>
                        <a:ln>
                          <a:noFill/>
                        </a:ln>
                      </pic:spPr>
                    </pic:pic>
                  </a:graphicData>
                </a:graphic>
              </wp:inline>
            </w:drawing>
          </w:r>
        </w:p>
      </w:tc>
    </w:tr>
  </w:tbl>
  <w:p w14:paraId="0B85A8CA" w14:textId="77777777" w:rsidR="00C14744" w:rsidRPr="00C14744" w:rsidRDefault="00C14744" w:rsidP="0092073F">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A743F8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3A0DBF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252032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A48E1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0748921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C1D71"/>
    <w:multiLevelType w:val="multilevel"/>
    <w:tmpl w:val="3948D67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BE51178"/>
    <w:multiLevelType w:val="hybridMultilevel"/>
    <w:tmpl w:val="32323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850EC5"/>
    <w:multiLevelType w:val="hybridMultilevel"/>
    <w:tmpl w:val="5A5CD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296F95"/>
    <w:multiLevelType w:val="hybridMultilevel"/>
    <w:tmpl w:val="5A5CD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D0641A"/>
    <w:multiLevelType w:val="hybridMultilevel"/>
    <w:tmpl w:val="121E52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413AED"/>
    <w:multiLevelType w:val="hybridMultilevel"/>
    <w:tmpl w:val="AC40A2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B54423"/>
    <w:multiLevelType w:val="hybridMultilevel"/>
    <w:tmpl w:val="0A18B1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AE7A4C"/>
    <w:multiLevelType w:val="hybridMultilevel"/>
    <w:tmpl w:val="F88CC07C"/>
    <w:lvl w:ilvl="0" w:tplc="1D165186">
      <w:start w:val="1"/>
      <w:numFmt w:val="lowerLetter"/>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3" w15:restartNumberingAfterBreak="0">
    <w:nsid w:val="37156349"/>
    <w:multiLevelType w:val="multilevel"/>
    <w:tmpl w:val="3948D67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3B70378"/>
    <w:multiLevelType w:val="hybridMultilevel"/>
    <w:tmpl w:val="A238B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E34173"/>
    <w:multiLevelType w:val="hybridMultilevel"/>
    <w:tmpl w:val="123CCB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BB7294"/>
    <w:multiLevelType w:val="hybridMultilevel"/>
    <w:tmpl w:val="0680C2AC"/>
    <w:lvl w:ilvl="0" w:tplc="9D7AF4AC">
      <w:start w:val="4"/>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B7A074A"/>
    <w:multiLevelType w:val="hybridMultilevel"/>
    <w:tmpl w:val="8B48C1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3D570E9"/>
    <w:multiLevelType w:val="multilevel"/>
    <w:tmpl w:val="A5D8F0C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354580136">
    <w:abstractNumId w:val="18"/>
  </w:num>
  <w:num w:numId="2" w16cid:durableId="1038162188">
    <w:abstractNumId w:val="18"/>
  </w:num>
  <w:num w:numId="3" w16cid:durableId="1457485129">
    <w:abstractNumId w:val="18"/>
  </w:num>
  <w:num w:numId="4" w16cid:durableId="605386637">
    <w:abstractNumId w:val="17"/>
  </w:num>
  <w:num w:numId="5" w16cid:durableId="642780601">
    <w:abstractNumId w:val="14"/>
  </w:num>
  <w:num w:numId="6" w16cid:durableId="1993218993">
    <w:abstractNumId w:val="18"/>
  </w:num>
  <w:num w:numId="7" w16cid:durableId="1210649461">
    <w:abstractNumId w:val="18"/>
  </w:num>
  <w:num w:numId="8" w16cid:durableId="777143800">
    <w:abstractNumId w:val="18"/>
  </w:num>
  <w:num w:numId="9" w16cid:durableId="416095553">
    <w:abstractNumId w:val="18"/>
  </w:num>
  <w:num w:numId="10" w16cid:durableId="157312330">
    <w:abstractNumId w:val="18"/>
  </w:num>
  <w:num w:numId="11" w16cid:durableId="272445445">
    <w:abstractNumId w:val="18"/>
  </w:num>
  <w:num w:numId="12" w16cid:durableId="1954940256">
    <w:abstractNumId w:val="4"/>
  </w:num>
  <w:num w:numId="13" w16cid:durableId="228197380">
    <w:abstractNumId w:val="3"/>
  </w:num>
  <w:num w:numId="14" w16cid:durableId="717900545">
    <w:abstractNumId w:val="2"/>
  </w:num>
  <w:num w:numId="15" w16cid:durableId="936597274">
    <w:abstractNumId w:val="1"/>
  </w:num>
  <w:num w:numId="16" w16cid:durableId="1357922998">
    <w:abstractNumId w:val="0"/>
  </w:num>
  <w:num w:numId="17" w16cid:durableId="833574136">
    <w:abstractNumId w:val="10"/>
  </w:num>
  <w:num w:numId="18" w16cid:durableId="1027683759">
    <w:abstractNumId w:val="9"/>
  </w:num>
  <w:num w:numId="19" w16cid:durableId="1637100462">
    <w:abstractNumId w:val="16"/>
  </w:num>
  <w:num w:numId="20" w16cid:durableId="1174806318">
    <w:abstractNumId w:val="12"/>
  </w:num>
  <w:num w:numId="21" w16cid:durableId="945313271">
    <w:abstractNumId w:val="7"/>
  </w:num>
  <w:num w:numId="22" w16cid:durableId="1200700022">
    <w:abstractNumId w:val="8"/>
  </w:num>
  <w:num w:numId="23" w16cid:durableId="645672170">
    <w:abstractNumId w:val="5"/>
  </w:num>
  <w:num w:numId="24" w16cid:durableId="1840466613">
    <w:abstractNumId w:val="13"/>
  </w:num>
  <w:num w:numId="25" w16cid:durableId="1986205481">
    <w:abstractNumId w:val="15"/>
  </w:num>
  <w:num w:numId="26" w16cid:durableId="1783258945">
    <w:abstractNumId w:val="11"/>
  </w:num>
  <w:num w:numId="27" w16cid:durableId="9985786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0"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5365"/>
    <w:rsid w:val="0000781D"/>
    <w:rsid w:val="000237F8"/>
    <w:rsid w:val="00032AAA"/>
    <w:rsid w:val="00047346"/>
    <w:rsid w:val="000758E9"/>
    <w:rsid w:val="00080035"/>
    <w:rsid w:val="00086262"/>
    <w:rsid w:val="000963EE"/>
    <w:rsid w:val="000977CC"/>
    <w:rsid w:val="000B0897"/>
    <w:rsid w:val="000B2CF4"/>
    <w:rsid w:val="000C14AA"/>
    <w:rsid w:val="000F7FD7"/>
    <w:rsid w:val="00104996"/>
    <w:rsid w:val="001055AC"/>
    <w:rsid w:val="00111BEA"/>
    <w:rsid w:val="00112B8F"/>
    <w:rsid w:val="00114584"/>
    <w:rsid w:val="001178D5"/>
    <w:rsid w:val="00120479"/>
    <w:rsid w:val="00122175"/>
    <w:rsid w:val="00122659"/>
    <w:rsid w:val="00125578"/>
    <w:rsid w:val="00130B20"/>
    <w:rsid w:val="00141E00"/>
    <w:rsid w:val="001438BC"/>
    <w:rsid w:val="001552E6"/>
    <w:rsid w:val="00155C61"/>
    <w:rsid w:val="00165DF7"/>
    <w:rsid w:val="001666A0"/>
    <w:rsid w:val="00170A05"/>
    <w:rsid w:val="00172739"/>
    <w:rsid w:val="0017589D"/>
    <w:rsid w:val="001832A3"/>
    <w:rsid w:val="001836FA"/>
    <w:rsid w:val="00185D10"/>
    <w:rsid w:val="0019179A"/>
    <w:rsid w:val="00194546"/>
    <w:rsid w:val="001A0F10"/>
    <w:rsid w:val="001A6832"/>
    <w:rsid w:val="001B1F92"/>
    <w:rsid w:val="001B3A18"/>
    <w:rsid w:val="001D1520"/>
    <w:rsid w:val="001D280D"/>
    <w:rsid w:val="001D2F6F"/>
    <w:rsid w:val="001D4D82"/>
    <w:rsid w:val="001E1A22"/>
    <w:rsid w:val="001F1E5E"/>
    <w:rsid w:val="001F685B"/>
    <w:rsid w:val="001F6B20"/>
    <w:rsid w:val="0020150E"/>
    <w:rsid w:val="00201A1F"/>
    <w:rsid w:val="00212157"/>
    <w:rsid w:val="00220466"/>
    <w:rsid w:val="00221347"/>
    <w:rsid w:val="00224F9B"/>
    <w:rsid w:val="002302BA"/>
    <w:rsid w:val="002351D3"/>
    <w:rsid w:val="00235533"/>
    <w:rsid w:val="002418A6"/>
    <w:rsid w:val="00246DE6"/>
    <w:rsid w:val="0024761E"/>
    <w:rsid w:val="0025204C"/>
    <w:rsid w:val="002537E6"/>
    <w:rsid w:val="0027464D"/>
    <w:rsid w:val="00277D5C"/>
    <w:rsid w:val="002838EA"/>
    <w:rsid w:val="002860FC"/>
    <w:rsid w:val="002861C5"/>
    <w:rsid w:val="002A0CFA"/>
    <w:rsid w:val="002A492A"/>
    <w:rsid w:val="002B5299"/>
    <w:rsid w:val="002C0193"/>
    <w:rsid w:val="002C0396"/>
    <w:rsid w:val="002C440F"/>
    <w:rsid w:val="0030799B"/>
    <w:rsid w:val="00315D1A"/>
    <w:rsid w:val="003210AB"/>
    <w:rsid w:val="003274C3"/>
    <w:rsid w:val="00344D2C"/>
    <w:rsid w:val="00347213"/>
    <w:rsid w:val="00347CF1"/>
    <w:rsid w:val="00356C47"/>
    <w:rsid w:val="0036663B"/>
    <w:rsid w:val="00366AEB"/>
    <w:rsid w:val="00367C32"/>
    <w:rsid w:val="003968DF"/>
    <w:rsid w:val="003A6935"/>
    <w:rsid w:val="003B487C"/>
    <w:rsid w:val="003B6ACD"/>
    <w:rsid w:val="003B78CA"/>
    <w:rsid w:val="003C7579"/>
    <w:rsid w:val="003D3897"/>
    <w:rsid w:val="003E10E0"/>
    <w:rsid w:val="003F05CF"/>
    <w:rsid w:val="004019BD"/>
    <w:rsid w:val="0040443F"/>
    <w:rsid w:val="00406163"/>
    <w:rsid w:val="004068DC"/>
    <w:rsid w:val="004214AE"/>
    <w:rsid w:val="00424230"/>
    <w:rsid w:val="00427B54"/>
    <w:rsid w:val="00436A0F"/>
    <w:rsid w:val="004416C6"/>
    <w:rsid w:val="00441E02"/>
    <w:rsid w:val="00443CA4"/>
    <w:rsid w:val="00444C41"/>
    <w:rsid w:val="00472D14"/>
    <w:rsid w:val="0047508C"/>
    <w:rsid w:val="004768EA"/>
    <w:rsid w:val="0048438C"/>
    <w:rsid w:val="004916DE"/>
    <w:rsid w:val="00494EE4"/>
    <w:rsid w:val="004A6887"/>
    <w:rsid w:val="004B64E6"/>
    <w:rsid w:val="004B675D"/>
    <w:rsid w:val="004E5017"/>
    <w:rsid w:val="004F5BBD"/>
    <w:rsid w:val="00502B06"/>
    <w:rsid w:val="00506A02"/>
    <w:rsid w:val="00506C23"/>
    <w:rsid w:val="00530905"/>
    <w:rsid w:val="00542CA2"/>
    <w:rsid w:val="00551A84"/>
    <w:rsid w:val="00560331"/>
    <w:rsid w:val="00576C41"/>
    <w:rsid w:val="00581D5B"/>
    <w:rsid w:val="0058371F"/>
    <w:rsid w:val="005907BF"/>
    <w:rsid w:val="005933F1"/>
    <w:rsid w:val="005A3366"/>
    <w:rsid w:val="005A547C"/>
    <w:rsid w:val="005B36A3"/>
    <w:rsid w:val="005C0A7D"/>
    <w:rsid w:val="005C4812"/>
    <w:rsid w:val="005C74A1"/>
    <w:rsid w:val="005D59E6"/>
    <w:rsid w:val="005E5A18"/>
    <w:rsid w:val="005F2D88"/>
    <w:rsid w:val="005F4CBD"/>
    <w:rsid w:val="005F56D3"/>
    <w:rsid w:val="006006BE"/>
    <w:rsid w:val="00614A23"/>
    <w:rsid w:val="006213B1"/>
    <w:rsid w:val="00627D12"/>
    <w:rsid w:val="006300E5"/>
    <w:rsid w:val="0063338A"/>
    <w:rsid w:val="006506A7"/>
    <w:rsid w:val="00660949"/>
    <w:rsid w:val="00662938"/>
    <w:rsid w:val="00680474"/>
    <w:rsid w:val="00684E8C"/>
    <w:rsid w:val="006B3CF3"/>
    <w:rsid w:val="006B5F31"/>
    <w:rsid w:val="00706C65"/>
    <w:rsid w:val="007102C7"/>
    <w:rsid w:val="007201D9"/>
    <w:rsid w:val="0073303B"/>
    <w:rsid w:val="00734BDE"/>
    <w:rsid w:val="00740C20"/>
    <w:rsid w:val="00744AA9"/>
    <w:rsid w:val="0075072D"/>
    <w:rsid w:val="00751D2B"/>
    <w:rsid w:val="00771D99"/>
    <w:rsid w:val="007816F1"/>
    <w:rsid w:val="007864B4"/>
    <w:rsid w:val="00787199"/>
    <w:rsid w:val="007A5ECD"/>
    <w:rsid w:val="007B08E3"/>
    <w:rsid w:val="007B4B69"/>
    <w:rsid w:val="007B6133"/>
    <w:rsid w:val="007B66BD"/>
    <w:rsid w:val="007C4A7D"/>
    <w:rsid w:val="007C514C"/>
    <w:rsid w:val="007C7AA0"/>
    <w:rsid w:val="00800187"/>
    <w:rsid w:val="0080485E"/>
    <w:rsid w:val="00805723"/>
    <w:rsid w:val="0081099A"/>
    <w:rsid w:val="00816AEE"/>
    <w:rsid w:val="00826BE2"/>
    <w:rsid w:val="00831707"/>
    <w:rsid w:val="00833C93"/>
    <w:rsid w:val="00850471"/>
    <w:rsid w:val="00854437"/>
    <w:rsid w:val="008634D8"/>
    <w:rsid w:val="00864800"/>
    <w:rsid w:val="00867341"/>
    <w:rsid w:val="00871A9D"/>
    <w:rsid w:val="00873BFD"/>
    <w:rsid w:val="00875755"/>
    <w:rsid w:val="0087645C"/>
    <w:rsid w:val="00877F8B"/>
    <w:rsid w:val="008806CF"/>
    <w:rsid w:val="008832A1"/>
    <w:rsid w:val="00885540"/>
    <w:rsid w:val="0089701F"/>
    <w:rsid w:val="008A5017"/>
    <w:rsid w:val="008B535E"/>
    <w:rsid w:val="008B7C2C"/>
    <w:rsid w:val="008C00B9"/>
    <w:rsid w:val="008C03F9"/>
    <w:rsid w:val="008C23A4"/>
    <w:rsid w:val="008C39F4"/>
    <w:rsid w:val="008C6A56"/>
    <w:rsid w:val="008D58BE"/>
    <w:rsid w:val="008E3BB3"/>
    <w:rsid w:val="00902B4D"/>
    <w:rsid w:val="009031EB"/>
    <w:rsid w:val="009073A7"/>
    <w:rsid w:val="0091185F"/>
    <w:rsid w:val="0092073F"/>
    <w:rsid w:val="00933666"/>
    <w:rsid w:val="00937559"/>
    <w:rsid w:val="00937B54"/>
    <w:rsid w:val="009459D7"/>
    <w:rsid w:val="00982275"/>
    <w:rsid w:val="009979F4"/>
    <w:rsid w:val="009A270D"/>
    <w:rsid w:val="009A418D"/>
    <w:rsid w:val="009B4EFB"/>
    <w:rsid w:val="009B5A9C"/>
    <w:rsid w:val="009B7BCC"/>
    <w:rsid w:val="009C2321"/>
    <w:rsid w:val="009C574D"/>
    <w:rsid w:val="009D2AD6"/>
    <w:rsid w:val="009D435C"/>
    <w:rsid w:val="009E6D65"/>
    <w:rsid w:val="009F510C"/>
    <w:rsid w:val="00A0391E"/>
    <w:rsid w:val="00A04E6A"/>
    <w:rsid w:val="00A05D16"/>
    <w:rsid w:val="00A153F6"/>
    <w:rsid w:val="00A1798E"/>
    <w:rsid w:val="00A229DF"/>
    <w:rsid w:val="00A333B7"/>
    <w:rsid w:val="00A33426"/>
    <w:rsid w:val="00A3774F"/>
    <w:rsid w:val="00A72AFC"/>
    <w:rsid w:val="00A86C32"/>
    <w:rsid w:val="00A929F3"/>
    <w:rsid w:val="00AA52AF"/>
    <w:rsid w:val="00AA5365"/>
    <w:rsid w:val="00AB17DC"/>
    <w:rsid w:val="00AB1EA2"/>
    <w:rsid w:val="00AB74E8"/>
    <w:rsid w:val="00AD794F"/>
    <w:rsid w:val="00AE7478"/>
    <w:rsid w:val="00AF574F"/>
    <w:rsid w:val="00B22D8F"/>
    <w:rsid w:val="00B4578E"/>
    <w:rsid w:val="00B62D1E"/>
    <w:rsid w:val="00B639C6"/>
    <w:rsid w:val="00B65398"/>
    <w:rsid w:val="00B654F3"/>
    <w:rsid w:val="00B705FF"/>
    <w:rsid w:val="00B71824"/>
    <w:rsid w:val="00B72AFD"/>
    <w:rsid w:val="00B85D99"/>
    <w:rsid w:val="00B9346A"/>
    <w:rsid w:val="00B97D4F"/>
    <w:rsid w:val="00BA1456"/>
    <w:rsid w:val="00BA1B78"/>
    <w:rsid w:val="00BB17D5"/>
    <w:rsid w:val="00BB2D8B"/>
    <w:rsid w:val="00BD08B9"/>
    <w:rsid w:val="00BE0F2B"/>
    <w:rsid w:val="00C06D2F"/>
    <w:rsid w:val="00C124E7"/>
    <w:rsid w:val="00C12E45"/>
    <w:rsid w:val="00C14458"/>
    <w:rsid w:val="00C14744"/>
    <w:rsid w:val="00C15B6D"/>
    <w:rsid w:val="00C1668A"/>
    <w:rsid w:val="00C34ADB"/>
    <w:rsid w:val="00C34CBC"/>
    <w:rsid w:val="00C43B41"/>
    <w:rsid w:val="00C4709D"/>
    <w:rsid w:val="00C73242"/>
    <w:rsid w:val="00C82658"/>
    <w:rsid w:val="00C9173E"/>
    <w:rsid w:val="00CA0FD4"/>
    <w:rsid w:val="00CA192D"/>
    <w:rsid w:val="00CC345A"/>
    <w:rsid w:val="00CC67B6"/>
    <w:rsid w:val="00CD305F"/>
    <w:rsid w:val="00CD5D97"/>
    <w:rsid w:val="00CD606F"/>
    <w:rsid w:val="00D029CE"/>
    <w:rsid w:val="00D118ED"/>
    <w:rsid w:val="00D2193B"/>
    <w:rsid w:val="00D266E9"/>
    <w:rsid w:val="00D471BF"/>
    <w:rsid w:val="00D67882"/>
    <w:rsid w:val="00D7011D"/>
    <w:rsid w:val="00D74369"/>
    <w:rsid w:val="00D806D7"/>
    <w:rsid w:val="00D837C8"/>
    <w:rsid w:val="00D91CCE"/>
    <w:rsid w:val="00D91E68"/>
    <w:rsid w:val="00D94A08"/>
    <w:rsid w:val="00DA461E"/>
    <w:rsid w:val="00DB340F"/>
    <w:rsid w:val="00DC6A24"/>
    <w:rsid w:val="00DC7F75"/>
    <w:rsid w:val="00DD4EA3"/>
    <w:rsid w:val="00DF55FE"/>
    <w:rsid w:val="00E053E8"/>
    <w:rsid w:val="00E10B02"/>
    <w:rsid w:val="00E31F26"/>
    <w:rsid w:val="00E511FD"/>
    <w:rsid w:val="00E5542D"/>
    <w:rsid w:val="00E562BD"/>
    <w:rsid w:val="00E62DDC"/>
    <w:rsid w:val="00E64E02"/>
    <w:rsid w:val="00E67E1C"/>
    <w:rsid w:val="00E7154B"/>
    <w:rsid w:val="00E729D2"/>
    <w:rsid w:val="00E80146"/>
    <w:rsid w:val="00E839A0"/>
    <w:rsid w:val="00EB7D33"/>
    <w:rsid w:val="00EC05B8"/>
    <w:rsid w:val="00EC409B"/>
    <w:rsid w:val="00ED1ADA"/>
    <w:rsid w:val="00EE0A6A"/>
    <w:rsid w:val="00EE2260"/>
    <w:rsid w:val="00EE6208"/>
    <w:rsid w:val="00EE7506"/>
    <w:rsid w:val="00EF4A32"/>
    <w:rsid w:val="00F002E1"/>
    <w:rsid w:val="00F06815"/>
    <w:rsid w:val="00F10E60"/>
    <w:rsid w:val="00F15062"/>
    <w:rsid w:val="00F164DE"/>
    <w:rsid w:val="00F16EB2"/>
    <w:rsid w:val="00F236A4"/>
    <w:rsid w:val="00F23DE0"/>
    <w:rsid w:val="00F43928"/>
    <w:rsid w:val="00F6121C"/>
    <w:rsid w:val="00F63E7D"/>
    <w:rsid w:val="00F65462"/>
    <w:rsid w:val="00F7381D"/>
    <w:rsid w:val="00F82D1B"/>
    <w:rsid w:val="00F8618C"/>
    <w:rsid w:val="00F87E0A"/>
    <w:rsid w:val="00FA4C46"/>
    <w:rsid w:val="00FA62B5"/>
    <w:rsid w:val="00FB6334"/>
    <w:rsid w:val="00FC00A1"/>
    <w:rsid w:val="00FC032F"/>
    <w:rsid w:val="00FC18BE"/>
    <w:rsid w:val="00FD0815"/>
    <w:rsid w:val="00FD0CB5"/>
    <w:rsid w:val="00FD0EB2"/>
    <w:rsid w:val="00FF4E6B"/>
    <w:rsid w:val="08BCA510"/>
    <w:rsid w:val="08D1CC34"/>
    <w:rsid w:val="0A31249E"/>
    <w:rsid w:val="0AB3F1B4"/>
    <w:rsid w:val="0B954965"/>
    <w:rsid w:val="0FD2FDCE"/>
    <w:rsid w:val="11765633"/>
    <w:rsid w:val="1F5A0E4E"/>
    <w:rsid w:val="22336D92"/>
    <w:rsid w:val="283C5708"/>
    <w:rsid w:val="3905B42A"/>
    <w:rsid w:val="3C5F4700"/>
    <w:rsid w:val="3CDC5076"/>
    <w:rsid w:val="3F331B73"/>
    <w:rsid w:val="4FEDA817"/>
    <w:rsid w:val="588FBDDB"/>
    <w:rsid w:val="58A0C82C"/>
    <w:rsid w:val="5A38224B"/>
    <w:rsid w:val="5AF8CD16"/>
    <w:rsid w:val="5B862AFA"/>
    <w:rsid w:val="6260A0DD"/>
    <w:rsid w:val="6E35444C"/>
    <w:rsid w:val="731E5B4C"/>
    <w:rsid w:val="73C0360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3E01D"/>
  <w15:docId w15:val="{A9FAF6FA-AA71-4276-A401-BAA0F8A48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2"/>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b/>
      <w:iCs/>
      <w:szCs w:val="28"/>
    </w:rPr>
  </w:style>
  <w:style w:type="paragraph" w:styleId="Heading3">
    <w:name w:val="heading 3"/>
    <w:basedOn w:val="Normal"/>
    <w:next w:val="Normal"/>
    <w:qFormat/>
    <w:pPr>
      <w:keepNext/>
      <w:numPr>
        <w:ilvl w:val="2"/>
        <w:numId w:val="11"/>
      </w:numPr>
      <w:outlineLvl w:val="2"/>
    </w:pPr>
    <w:rPr>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link w:val="HeaderChar"/>
    <w:uiPriority w:val="99"/>
    <w:pPr>
      <w:tabs>
        <w:tab w:val="center" w:pos="4153"/>
        <w:tab w:val="right" w:pos="8306"/>
      </w:tabs>
    </w:p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text">
    <w:name w:val="Report text"/>
    <w:basedOn w:val="Normal"/>
    <w:pPr>
      <w:overflowPunct w:val="0"/>
      <w:autoSpaceDE w:val="0"/>
      <w:autoSpaceDN w:val="0"/>
      <w:adjustRightInd w:val="0"/>
      <w:textAlignment w:val="baseline"/>
    </w:pPr>
    <w:rPr>
      <w:rFonts w:cs="Times New Roman"/>
      <w:szCs w:val="20"/>
      <w:lang w:val="en-US"/>
    </w:rPr>
  </w:style>
  <w:style w:type="paragraph" w:customStyle="1" w:styleId="Normal1">
    <w:name w:val="Normal1"/>
    <w:basedOn w:val="Normal"/>
    <w:pPr>
      <w:spacing w:before="120" w:after="100" w:afterAutospacing="1"/>
    </w:pPr>
    <w:rPr>
      <w:rFonts w:cs="Times New Roman"/>
      <w:iCs/>
      <w:szCs w:val="24"/>
    </w:rPr>
  </w:style>
  <w:style w:type="table" w:customStyle="1" w:styleId="TableGrid1">
    <w:name w:val="Table Grid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paragraph" w:styleId="ListParagraph">
    <w:name w:val="List Paragraph"/>
    <w:basedOn w:val="Normal"/>
    <w:uiPriority w:val="34"/>
    <w:qFormat/>
    <w:rsid w:val="00684E8C"/>
    <w:pPr>
      <w:ind w:left="720"/>
      <w:contextualSpacing/>
    </w:pPr>
  </w:style>
  <w:style w:type="character" w:customStyle="1" w:styleId="HeaderChar">
    <w:name w:val="Header Char"/>
    <w:link w:val="Header"/>
    <w:uiPriority w:val="99"/>
    <w:rsid w:val="0092073F"/>
    <w:rPr>
      <w:rFonts w:ascii="Arial" w:hAnsi="Arial" w:cs="Arial"/>
      <w:sz w:val="24"/>
      <w:szCs w:val="22"/>
      <w:lang w:eastAsia="en-US"/>
    </w:rPr>
  </w:style>
  <w:style w:type="character" w:styleId="PlaceholderText">
    <w:name w:val="Placeholder Text"/>
    <w:uiPriority w:val="99"/>
    <w:semiHidden/>
    <w:rsid w:val="00B639C6"/>
    <w:rPr>
      <w:color w:val="808080"/>
    </w:rPr>
  </w:style>
  <w:style w:type="paragraph" w:styleId="FootnoteText">
    <w:name w:val="footnote text"/>
    <w:basedOn w:val="Normal"/>
    <w:link w:val="FootnoteTextChar"/>
    <w:semiHidden/>
    <w:unhideWhenUsed/>
    <w:rsid w:val="00B639C6"/>
    <w:rPr>
      <w:sz w:val="20"/>
      <w:szCs w:val="20"/>
    </w:rPr>
  </w:style>
  <w:style w:type="character" w:customStyle="1" w:styleId="FootnoteTextChar">
    <w:name w:val="Footnote Text Char"/>
    <w:link w:val="FootnoteText"/>
    <w:semiHidden/>
    <w:rsid w:val="00B639C6"/>
    <w:rPr>
      <w:rFonts w:ascii="Arial" w:hAnsi="Arial" w:cs="Arial"/>
      <w:lang w:eastAsia="en-US"/>
    </w:rPr>
  </w:style>
  <w:style w:type="character" w:styleId="FootnoteReference">
    <w:name w:val="footnote reference"/>
    <w:semiHidden/>
    <w:unhideWhenUsed/>
    <w:rsid w:val="00B639C6"/>
    <w:rPr>
      <w:vertAlign w:val="superscript"/>
    </w:rPr>
  </w:style>
  <w:style w:type="paragraph" w:styleId="BalloonText">
    <w:name w:val="Balloon Text"/>
    <w:basedOn w:val="Normal"/>
    <w:link w:val="BalloonTextChar"/>
    <w:rsid w:val="00A153F6"/>
    <w:rPr>
      <w:rFonts w:ascii="Tahoma" w:hAnsi="Tahoma" w:cs="Tahoma"/>
      <w:sz w:val="16"/>
      <w:szCs w:val="16"/>
    </w:rPr>
  </w:style>
  <w:style w:type="character" w:customStyle="1" w:styleId="BalloonTextChar">
    <w:name w:val="Balloon Text Char"/>
    <w:basedOn w:val="DefaultParagraphFont"/>
    <w:link w:val="BalloonText"/>
    <w:rsid w:val="00A153F6"/>
    <w:rPr>
      <w:rFonts w:ascii="Tahoma" w:hAnsi="Tahoma" w:cs="Tahoma"/>
      <w:sz w:val="16"/>
      <w:szCs w:val="16"/>
      <w:lang w:eastAsia="en-US"/>
    </w:rPr>
  </w:style>
  <w:style w:type="table" w:customStyle="1" w:styleId="TableGrid2">
    <w:name w:val="Table Grid2"/>
    <w:basedOn w:val="TableNormal"/>
    <w:next w:val="TableGrid"/>
    <w:rsid w:val="00F87E0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14458"/>
    <w:rPr>
      <w:sz w:val="16"/>
      <w:szCs w:val="16"/>
    </w:rPr>
  </w:style>
  <w:style w:type="paragraph" w:styleId="CommentText">
    <w:name w:val="annotation text"/>
    <w:basedOn w:val="Normal"/>
    <w:link w:val="CommentTextChar"/>
    <w:unhideWhenUsed/>
    <w:rsid w:val="00C14458"/>
    <w:rPr>
      <w:sz w:val="20"/>
      <w:szCs w:val="20"/>
    </w:rPr>
  </w:style>
  <w:style w:type="character" w:customStyle="1" w:styleId="CommentTextChar">
    <w:name w:val="Comment Text Char"/>
    <w:basedOn w:val="DefaultParagraphFont"/>
    <w:link w:val="CommentText"/>
    <w:rsid w:val="00C14458"/>
    <w:rPr>
      <w:rFonts w:ascii="Arial" w:hAnsi="Arial" w:cs="Arial"/>
      <w:lang w:eastAsia="en-US"/>
    </w:rPr>
  </w:style>
  <w:style w:type="paragraph" w:styleId="CommentSubject">
    <w:name w:val="annotation subject"/>
    <w:basedOn w:val="CommentText"/>
    <w:next w:val="CommentText"/>
    <w:link w:val="CommentSubjectChar"/>
    <w:semiHidden/>
    <w:unhideWhenUsed/>
    <w:rsid w:val="00C14458"/>
    <w:rPr>
      <w:b/>
      <w:bCs/>
    </w:rPr>
  </w:style>
  <w:style w:type="character" w:customStyle="1" w:styleId="CommentSubjectChar">
    <w:name w:val="Comment Subject Char"/>
    <w:basedOn w:val="CommentTextChar"/>
    <w:link w:val="CommentSubject"/>
    <w:semiHidden/>
    <w:rsid w:val="00C14458"/>
    <w:rPr>
      <w:rFonts w:ascii="Arial" w:hAnsi="Arial" w:cs="Arial"/>
      <w:b/>
      <w:bCs/>
      <w:lang w:eastAsia="en-US"/>
    </w:rPr>
  </w:style>
  <w:style w:type="paragraph" w:styleId="Revision">
    <w:name w:val="Revision"/>
    <w:hidden/>
    <w:uiPriority w:val="99"/>
    <w:semiHidden/>
    <w:rsid w:val="008B535E"/>
    <w:rPr>
      <w:rFonts w:ascii="Arial" w:hAnsi="Arial" w:cs="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97774">
      <w:bodyDiv w:val="1"/>
      <w:marLeft w:val="0"/>
      <w:marRight w:val="0"/>
      <w:marTop w:val="0"/>
      <w:marBottom w:val="0"/>
      <w:divBdr>
        <w:top w:val="none" w:sz="0" w:space="0" w:color="auto"/>
        <w:left w:val="none" w:sz="0" w:space="0" w:color="auto"/>
        <w:bottom w:val="none" w:sz="0" w:space="0" w:color="auto"/>
        <w:right w:val="none" w:sz="0" w:space="0" w:color="auto"/>
      </w:divBdr>
    </w:div>
    <w:div w:id="319578991">
      <w:bodyDiv w:val="1"/>
      <w:marLeft w:val="0"/>
      <w:marRight w:val="0"/>
      <w:marTop w:val="0"/>
      <w:marBottom w:val="0"/>
      <w:divBdr>
        <w:top w:val="none" w:sz="0" w:space="0" w:color="auto"/>
        <w:left w:val="none" w:sz="0" w:space="0" w:color="auto"/>
        <w:bottom w:val="none" w:sz="0" w:space="0" w:color="auto"/>
        <w:right w:val="none" w:sz="0" w:space="0" w:color="auto"/>
      </w:divBdr>
      <w:divsChild>
        <w:div w:id="518930320">
          <w:marLeft w:val="0"/>
          <w:marRight w:val="0"/>
          <w:marTop w:val="0"/>
          <w:marBottom w:val="0"/>
          <w:divBdr>
            <w:top w:val="none" w:sz="0" w:space="0" w:color="auto"/>
            <w:left w:val="none" w:sz="0" w:space="0" w:color="auto"/>
            <w:bottom w:val="none" w:sz="0" w:space="0" w:color="auto"/>
            <w:right w:val="none" w:sz="0" w:space="0" w:color="auto"/>
          </w:divBdr>
        </w:div>
      </w:divsChild>
    </w:div>
    <w:div w:id="532036618">
      <w:bodyDiv w:val="1"/>
      <w:marLeft w:val="0"/>
      <w:marRight w:val="0"/>
      <w:marTop w:val="0"/>
      <w:marBottom w:val="0"/>
      <w:divBdr>
        <w:top w:val="none" w:sz="0" w:space="0" w:color="auto"/>
        <w:left w:val="none" w:sz="0" w:space="0" w:color="auto"/>
        <w:bottom w:val="none" w:sz="0" w:space="0" w:color="auto"/>
        <w:right w:val="none" w:sz="0" w:space="0" w:color="auto"/>
      </w:divBdr>
    </w:div>
    <w:div w:id="1161845018">
      <w:bodyDiv w:val="1"/>
      <w:marLeft w:val="0"/>
      <w:marRight w:val="0"/>
      <w:marTop w:val="0"/>
      <w:marBottom w:val="0"/>
      <w:divBdr>
        <w:top w:val="none" w:sz="0" w:space="0" w:color="auto"/>
        <w:left w:val="none" w:sz="0" w:space="0" w:color="auto"/>
        <w:bottom w:val="none" w:sz="0" w:space="0" w:color="auto"/>
        <w:right w:val="none" w:sz="0" w:space="0" w:color="auto"/>
      </w:divBdr>
      <w:divsChild>
        <w:div w:id="1937249887">
          <w:marLeft w:val="0"/>
          <w:marRight w:val="0"/>
          <w:marTop w:val="0"/>
          <w:marBottom w:val="0"/>
          <w:divBdr>
            <w:top w:val="none" w:sz="0" w:space="0" w:color="auto"/>
            <w:left w:val="none" w:sz="0" w:space="0" w:color="auto"/>
            <w:bottom w:val="none" w:sz="0" w:space="0" w:color="auto"/>
            <w:right w:val="none" w:sz="0" w:space="0" w:color="auto"/>
          </w:divBdr>
        </w:div>
      </w:divsChild>
    </w:div>
    <w:div w:id="1724908532">
      <w:bodyDiv w:val="1"/>
      <w:marLeft w:val="0"/>
      <w:marRight w:val="0"/>
      <w:marTop w:val="0"/>
      <w:marBottom w:val="0"/>
      <w:divBdr>
        <w:top w:val="none" w:sz="0" w:space="0" w:color="auto"/>
        <w:left w:val="none" w:sz="0" w:space="0" w:color="auto"/>
        <w:bottom w:val="none" w:sz="0" w:space="0" w:color="auto"/>
        <w:right w:val="none" w:sz="0" w:space="0" w:color="auto"/>
      </w:divBdr>
      <w:divsChild>
        <w:div w:id="1808355516">
          <w:marLeft w:val="0"/>
          <w:marRight w:val="0"/>
          <w:marTop w:val="0"/>
          <w:marBottom w:val="0"/>
          <w:divBdr>
            <w:top w:val="none" w:sz="0" w:space="0" w:color="auto"/>
            <w:left w:val="none" w:sz="0" w:space="0" w:color="auto"/>
            <w:bottom w:val="none" w:sz="0" w:space="0" w:color="auto"/>
            <w:right w:val="none" w:sz="0" w:space="0" w:color="auto"/>
          </w:divBdr>
        </w:div>
      </w:divsChild>
    </w:div>
    <w:div w:id="1782993618">
      <w:bodyDiv w:val="1"/>
      <w:marLeft w:val="0"/>
      <w:marRight w:val="0"/>
      <w:marTop w:val="0"/>
      <w:marBottom w:val="0"/>
      <w:divBdr>
        <w:top w:val="none" w:sz="0" w:space="0" w:color="auto"/>
        <w:left w:val="none" w:sz="0" w:space="0" w:color="auto"/>
        <w:bottom w:val="none" w:sz="0" w:space="0" w:color="auto"/>
        <w:right w:val="none" w:sz="0" w:space="0" w:color="auto"/>
      </w:divBdr>
      <w:divsChild>
        <w:div w:id="804007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6cfbbfa-3ea0-4d8e-acde-632e83cd9c55" xsi:nil="true"/>
    <_dlc_DocId xmlns="f6cfbbfa-3ea0-4d8e-acde-632e83cd9c55">ONRW-2126615823-7251</_dlc_DocId>
    <_dlc_DocIdUrl xmlns="f6cfbbfa-3ea0-4d8e-acde-632e83cd9c55">
      <Url>https://prodonrgov.sharepoint.com/_layouts/15/DocIdRedir.aspx?ID=ONRW-2126615823-7251</Url>
      <Description>ONRW-2126615823-7251</Description>
    </_dlc_DocIdUrl>
    <Document_x0020_Type xmlns="f6cfbbfa-3ea0-4d8e-acde-632e83cd9c55" xsi:nil="true"/>
    <External_x0020_Reference xmlns="f6cfbbfa-3ea0-4d8e-acde-632e83cd9c55" xsi:nil="true"/>
    <Site xmlns="f6cfbbfa-3ea0-4d8e-acde-632e83cd9c55" xsi:nil="true"/>
    <_Flow_SignoffStatus xmlns="6ee01a08-9bb3-4510-887c-4508c532eb2e" xsi:nil="true"/>
    <Category xmlns="6ee01a08-9bb3-4510-887c-4508c532eb2e" xsi:nil="true"/>
    <External_x0020_Revision xmlns="f6cfbbfa-3ea0-4d8e-acde-632e83cd9c55" xsi:nil="true"/>
    <GDA_x0020_Tier xmlns="f6cfbbfa-3ea0-4d8e-acde-632e83cd9c55" xsi:nil="true"/>
    <Wherereferenced xmlns="6ee01a08-9bb3-4510-887c-4508c532eb2e" xsi:nil="true"/>
    <Record_x0020_Number xmlns="f6cfbbfa-3ea0-4d8e-acde-632e83cd9c55" xsi:nil="true"/>
    <_dlc_DocIdPersistId xmlns="f6cfbbfa-3ea0-4d8e-acde-632e83cd9c55" xsi:nil="true"/>
    <Uploadedby xmlns="6ee01a08-9bb3-4510-887c-4508c532eb2e" xsi:nil="true"/>
    <GDA_x0020_RP_x0020_Assigned_x0020_Export_x0020_Control xmlns="f6cfbbfa-3ea0-4d8e-acde-632e83cd9c55" xsi:nil="true"/>
    <Versioncontrol xmlns="6ee01a08-9bb3-4510-887c-4508c532eb2e" xsi:nil="true"/>
    <GDA_x0020_Topics xmlns="f6cfbbfa-3ea0-4d8e-acde-632e83cd9c55" xsi:nil="true"/>
    <Division xmlns="f6cfbbfa-3ea0-4d8e-acde-632e83cd9c55" xsi:nil="true"/>
    <Classification xmlns="6ee01a08-9bb3-4510-887c-4508c532eb2e" xsi:nil="true"/>
    <Subdivision xmlns="f6cfbbfa-3ea0-4d8e-acde-632e83cd9c55" xsi:nil="true"/>
    <GDA_x0020_Purpose xmlns="f6cfbbfa-3ea0-4d8e-acde-632e83cd9c55" xsi:nil="true"/>
    <Dutyholder xmlns="f6cfbbfa-3ea0-4d8e-acde-632e83cd9c55" xsi:nil="true"/>
    <lcf76f155ced4ddcb4097134ff3c332f xmlns="6ee01a08-9bb3-4510-887c-4508c532eb2e">
      <Terms xmlns="http://schemas.microsoft.com/office/infopath/2007/PartnerControls"/>
    </lcf76f155ced4ddcb4097134ff3c332f>
    <Document_x0020_Status xmlns="f6cfbbfa-3ea0-4d8e-acde-632e83cd9c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2BFD813B9BA5F84C8E4BDD131736DF68" ma:contentTypeVersion="37" ma:contentTypeDescription="Create a new document." ma:contentTypeScope="" ma:versionID="f614d12b388675250b216397dbdf9b5f">
  <xsd:schema xmlns:xsd="http://www.w3.org/2001/XMLSchema" xmlns:xs="http://www.w3.org/2001/XMLSchema" xmlns:p="http://schemas.microsoft.com/office/2006/metadata/properties" xmlns:ns2="f6cfbbfa-3ea0-4d8e-acde-632e83cd9c55" xmlns:ns3="6ee01a08-9bb3-4510-887c-4508c532eb2e" targetNamespace="http://schemas.microsoft.com/office/2006/metadata/properties" ma:root="true" ma:fieldsID="a630574b134751cd85fd0cbb4b7538ed" ns2:_="" ns3:_="">
    <xsd:import namespace="f6cfbbfa-3ea0-4d8e-acde-632e83cd9c55"/>
    <xsd:import namespace="6ee01a08-9bb3-4510-887c-4508c532eb2e"/>
    <xsd:element name="properties">
      <xsd:complexType>
        <xsd:sequence>
          <xsd:element name="documentManagement">
            <xsd:complexType>
              <xsd:all>
                <xsd:element ref="ns2:_dlc_DocIdUrl" minOccurs="0"/>
                <xsd:element ref="ns2:Document_x0020_Type" minOccurs="0"/>
                <xsd:element ref="ns2:Dutyholder" minOccurs="0"/>
                <xsd:element ref="ns2:External_x0020_Reference" minOccurs="0"/>
                <xsd:element ref="ns2:Record_x0020_Number" minOccurs="0"/>
                <xsd:element ref="ns2:Site" minOccurs="0"/>
                <xsd:element ref="ns3:_Flow_SignoffStatus" minOccurs="0"/>
                <xsd:element ref="ns2:Division" minOccurs="0"/>
                <xsd:element ref="ns2:External_x0020_Revision" minOccurs="0"/>
                <xsd:element ref="ns2:Subdivision" minOccurs="0"/>
                <xsd:element ref="ns2:_dlc_Doc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_dlc_DocIdPersistId" minOccurs="0"/>
                <xsd:element ref="ns2:SharedWithUsers" minOccurs="0"/>
                <xsd:element ref="ns2:SharedWithDetails" minOccurs="0"/>
                <xsd:element ref="ns2:GDA_x0020_Purpose" minOccurs="0"/>
                <xsd:element ref="ns2:GDA_x0020_RP_x0020_Assigned_x0020_Export_x0020_Control" minOccurs="0"/>
                <xsd:element ref="ns2:GDA_x0020_Tier" minOccurs="0"/>
                <xsd:element ref="ns3:MediaServiceObjectDetectorVersions" minOccurs="0"/>
                <xsd:element ref="ns3:Versioncontrol" minOccurs="0"/>
                <xsd:element ref="ns3:Category" minOccurs="0"/>
                <xsd:element ref="ns3:Wherereferenced" minOccurs="0"/>
                <xsd:element ref="ns3:MediaServiceDateTaken" minOccurs="0"/>
                <xsd:element ref="ns3:MediaServiceSearchProperties" minOccurs="0"/>
                <xsd:element ref="ns2:GDA_x0020_Topics" minOccurs="0"/>
                <xsd:element ref="ns3:Uploadedby" minOccurs="0"/>
                <xsd:element ref="ns3:Classification" minOccurs="0"/>
                <xsd:element ref="ns3:MediaServiceLocation" minOccurs="0"/>
                <xsd:element ref="ns3:MediaLengthInSeconds" minOccurs="0"/>
                <xsd:element ref="ns2:Document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fbbfa-3ea0-4d8e-acde-632e83cd9c55"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Type" ma:index="3" nillable="true" ma:displayName="Document Type" ma:format="Dropdown" ma:internalName="Document_x0020_Type">
      <xsd:simpleType>
        <xsd:restriction base="dms:Choice">
          <xsd:enumeration value="Agenda"/>
          <xsd:enumeration value="Decision Justification Report"/>
          <xsd:enumeration value="CR Contact report"/>
          <xsd:enumeration value="Request"/>
          <xsd:enumeration value="Decision Communication"/>
          <xsd:enumeration value="Independent Checksheet"/>
          <xsd:enumeration value="Dutyholder Request Document"/>
          <xsd:enumeration value="Dutyholder Supporting Document"/>
          <xsd:enumeration value="Email"/>
          <xsd:enumeration value="Enforcement Template"/>
          <xsd:enumeration value="Letters in"/>
          <xsd:enumeration value="Letters out"/>
          <xsd:enumeration value="Minutes"/>
          <xsd:enumeration value="Presentation"/>
          <xsd:enumeration value="RNIP"/>
          <xsd:enumeration value="Other"/>
        </xsd:restriction>
      </xsd:simpleType>
    </xsd:element>
    <xsd:element name="Dutyholder" ma:index="4" nillable="true" ma:displayName="Dutyholder" ma:default="" ma:internalName="Dutyholder" ma:readOnly="false">
      <xsd:simpleType>
        <xsd:restriction base="dms:Text">
          <xsd:maxLength value="255"/>
        </xsd:restriction>
      </xsd:simpleType>
    </xsd:element>
    <xsd:element name="External_x0020_Reference" ma:index="5" nillable="true" ma:displayName="External Reference" ma:default="" ma:internalName="External_x0020_Reference" ma:readOnly="false">
      <xsd:simpleType>
        <xsd:restriction base="dms:Text">
          <xsd:maxLength value="255"/>
        </xsd:restriction>
      </xsd:simpleType>
    </xsd:element>
    <xsd:element name="Record_x0020_Number" ma:index="6" nillable="true" ma:displayName="Record Number" ma:default="" ma:internalName="Record_x0020_Number" ma:readOnly="false">
      <xsd:simpleType>
        <xsd:restriction base="dms:Text">
          <xsd:maxLength value="255"/>
        </xsd:restriction>
      </xsd:simpleType>
    </xsd:element>
    <xsd:element name="Site" ma:index="7" nillable="true" ma:displayName="Site" ma:default="" ma:internalName="Site" ma:readOnly="false">
      <xsd:simpleType>
        <xsd:restriction base="dms:Text">
          <xsd:maxLength value="255"/>
        </xsd:restriction>
      </xsd:simpleType>
    </xsd:element>
    <xsd:element name="Division" ma:index="11" nillable="true" ma:displayName="Division" ma:default="" ma:internalName="Division" ma:readOnly="false">
      <xsd:simpleType>
        <xsd:restriction base="dms:Text">
          <xsd:maxLength value="255"/>
        </xsd:restriction>
      </xsd:simpleType>
    </xsd:element>
    <xsd:element name="External_x0020_Revision" ma:index="12" nillable="true" ma:displayName="External Revision" ma:default="" ma:internalName="External_x0020_Revision" ma:readOnly="false">
      <xsd:simpleType>
        <xsd:restriction base="dms:Text">
          <xsd:maxLength value="255"/>
        </xsd:restriction>
      </xsd:simpleType>
    </xsd:element>
    <xsd:element name="Subdivision" ma:index="13" nillable="true" ma:displayName="Subdivision" ma:default="" ma:internalName="Subdivision" ma:readOnly="false">
      <xsd:simpleType>
        <xsd:restriction base="dms:Text">
          <xsd:maxLength value="255"/>
        </xsd:restriction>
      </xsd:simpleType>
    </xsd:element>
    <xsd:element name="_dlc_DocId" ma:index="16" nillable="true" ma:displayName="Document ID Value" ma:description="The value of the document ID assigned to this item." ma:hidden="true" ma:indexed="true" ma:internalName="_dlc_DocId" ma:readOnly="false">
      <xsd:simpleType>
        <xsd:restriction base="dms:Text"/>
      </xsd:simpleType>
    </xsd:element>
    <xsd:element name="TaxCatchAll" ma:index="21" nillable="true" ma:displayName="Taxonomy Catch All Column" ma:hidden="true" ma:list="{5a01dc95-145a-442e-a4dc-738a02de2e92}" ma:internalName="TaxCatchAll" ma:readOnly="false" ma:showField="CatchAllData" ma:web="f6cfbbfa-3ea0-4d8e-acde-632e83cd9c55">
      <xsd:complexType>
        <xsd:complexContent>
          <xsd:extension base="dms:MultiChoiceLookup">
            <xsd:sequence>
              <xsd:element name="Value" type="dms:Lookup" maxOccurs="unbounded" minOccurs="0" nillable="true"/>
            </xsd:sequence>
          </xsd:extension>
        </xsd:complexContent>
      </xsd:complexType>
    </xsd:element>
    <xsd:element name="_dlc_DocIdPersistId" ma:index="25" nillable="true" ma:displayName="Persist ID" ma:description="Keep ID on add." ma:hidden="true" ma:internalName="_dlc_DocIdPersistId" ma:readOnly="false">
      <xsd:simpleType>
        <xsd:restriction base="dms:Boolean"/>
      </xsd:simple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hidden="true" ma:internalName="SharedWithDetails" ma:readOnly="true">
      <xsd:simpleType>
        <xsd:restriction base="dms:Note"/>
      </xsd:simpleType>
    </xsd:element>
    <xsd:element name="GDA_x0020_Purpose" ma:index="28" nillable="true" ma:displayName="GDA Purpose" ma:format="Dropdown" ma:hidden="true" ma:internalName="GDA_x0020_Purpose">
      <xsd:simpleType>
        <xsd:restriction base="dms:Choice">
          <xsd:enumeration value="Project"/>
          <xsd:enumeration value="Safety"/>
          <xsd:enumeration value="Security"/>
          <xsd:enumeration value="Safeguards"/>
          <xsd:enumeration value="Environment or General"/>
          <xsd:enumeration value="N/A"/>
        </xsd:restriction>
      </xsd:simpleType>
    </xsd:element>
    <xsd:element name="GDA_x0020_RP_x0020_Assigned_x0020_Export_x0020_Control" ma:index="29" nillable="true" ma:displayName="GDA RP Assigned Export Control" ma:default="" ma:hidden="true" ma:internalName="GDA_x0020_RP_x0020_Assigned_x0020_Export_x0020_Control" ma:readOnly="false">
      <xsd:simpleType>
        <xsd:restriction base="dms:Text">
          <xsd:maxLength value="255"/>
        </xsd:restriction>
      </xsd:simpleType>
    </xsd:element>
    <xsd:element name="GDA_x0020_Tier" ma:index="30" nillable="true" ma:displayName="GDA Tier" ma:format="Dropdown" ma:hidden="true" ma:internalName="GDA_x0020_Tier">
      <xsd:simpleType>
        <xsd:restriction base="dms:Choice">
          <xsd:enumeration value="1"/>
          <xsd:enumeration value="2"/>
          <xsd:enumeration value="3"/>
          <xsd:enumeration value="4"/>
          <xsd:enumeration value="N/A"/>
        </xsd:restriction>
      </xsd:simpleType>
    </xsd:element>
    <xsd:element name="GDA_x0020_Topics" ma:index="40" nillable="true" ma:displayName="GDA Topics" ma:internalName="GDA_x0020_Topics">
      <xsd:complexType>
        <xsd:complexContent>
          <xsd:extension base="dms:MultiChoice">
            <xsd:sequence>
              <xsd:element name="Value" maxOccurs="unbounded" minOccurs="0" nillable="true">
                <xsd:simpleType>
                  <xsd:restriction base="dms:Choice">
                    <xsd:enumeration value="Fault Studies"/>
                    <xsd:enumeration value="Severe Accident Analysis (SAA)"/>
                    <xsd:enumeration value="Probabilistic Safety Analysis (PSA)"/>
                    <xsd:enumeration value="Fuel and Core"/>
                    <xsd:enumeration value="Internal Hazards"/>
                    <xsd:enumeration value="Human Factors"/>
                    <xsd:enumeration value="Electrical Engineering"/>
                    <xsd:enumeration value="Control and Instrumentation"/>
                    <xsd:enumeration value="External Hazards"/>
                    <xsd:enumeration value="Quality Assurance (MSQA)"/>
                    <xsd:enumeration value="Chemistry"/>
                    <xsd:enumeration value="Safeguards"/>
                    <xsd:enumeration value="Physical Security"/>
                    <xsd:enumeration value="Cyber Security &amp; Information Security"/>
                    <xsd:enumeration value="Sabotage and Target Analysis Review (STAR)"/>
                    <xsd:enumeration value="Fire Safety"/>
                    <xsd:enumeration value="Conventional Safety"/>
                    <xsd:enumeration value="Nuclear Liabilities"/>
                    <xsd:enumeration value="Radiological Consequences"/>
                    <xsd:enumeration value="Radiological Protection &amp; Criticality"/>
                    <xsd:enumeration value="Mechanical Engineering"/>
                    <xsd:enumeration value="Structural Engineering"/>
                    <xsd:enumeration value="Civil Engineering"/>
                    <xsd:enumeration value="Project"/>
                    <xsd:enumeration value="Environment"/>
                    <xsd:enumeration value="N/A"/>
                  </xsd:restriction>
                </xsd:simpleType>
              </xsd:element>
            </xsd:sequence>
          </xsd:extension>
        </xsd:complexContent>
      </xsd:complexType>
    </xsd:element>
    <xsd:element name="Document_x0020_Status" ma:index="45" nillable="true" ma:displayName="Document Status" ma:format="Dropdown" ma:internalName="Document_x0020_Status">
      <xsd:simpleType>
        <xsd:restriction base="dms:Choice">
          <xsd:enumeration value="N/A"/>
          <xsd:enumeration value="Draft"/>
          <xsd:enumeration value="In Review"/>
          <xsd:enumeration value="Pending Approval"/>
          <xsd:enumeration value="Approved"/>
          <xsd:enumeration value="Final"/>
          <xsd:enumeration value="Superseded"/>
          <xsd:enumeration value="Withdrawn"/>
        </xsd:restriction>
      </xsd:simpleType>
    </xsd:element>
  </xsd:schema>
  <xsd:schema xmlns:xsd="http://www.w3.org/2001/XMLSchema" xmlns:xs="http://www.w3.org/2001/XMLSchema" xmlns:dms="http://schemas.microsoft.com/office/2006/documentManagement/types" xmlns:pc="http://schemas.microsoft.com/office/infopath/2007/PartnerControls" targetNamespace="6ee01a08-9bb3-4510-887c-4508c532eb2e" elementFormDefault="qualified">
    <xsd:import namespace="http://schemas.microsoft.com/office/2006/documentManagement/types"/>
    <xsd:import namespace="http://schemas.microsoft.com/office/infopath/2007/PartnerControls"/>
    <xsd:element name="_Flow_SignoffStatus" ma:index="10" nillable="true" ma:displayName="Sign-off status" ma:internalName="Sign_x002d_off_x0020_status" ma:readOnly="false">
      <xsd:simpleType>
        <xsd:restriction base="dms:Text"/>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6693000-3e12-4b44-a742-9a2ba35b7d2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hidden="true" ma:internalName="MediaServiceOCR" ma:readOnly="true">
      <xsd:simpleType>
        <xsd:restriction base="dms:Note"/>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Versioncontrol" ma:index="35" nillable="true" ma:displayName="Version control" ma:format="Dropdown" ma:internalName="Versioncontrol">
      <xsd:simpleType>
        <xsd:restriction base="dms:Text">
          <xsd:maxLength value="255"/>
        </xsd:restriction>
      </xsd:simpleType>
    </xsd:element>
    <xsd:element name="Category" ma:index="36" nillable="true" ma:displayName="Category" ma:format="Dropdown" ma:internalName="Category">
      <xsd:simpleType>
        <xsd:restriction base="dms:Text">
          <xsd:maxLength value="255"/>
        </xsd:restriction>
      </xsd:simpleType>
    </xsd:element>
    <xsd:element name="Wherereferenced" ma:index="37" nillable="true" ma:displayName="Where referenced" ma:format="Dropdown" ma:internalName="Wherereferenced">
      <xsd:simpleType>
        <xsd:restriction base="dms:Text">
          <xsd:maxLength value="255"/>
        </xsd:restriction>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Uploadedby" ma:index="41" nillable="true" ma:displayName="Uploaded by" ma:format="Dropdown" ma:internalName="Uploadedby">
      <xsd:simpleType>
        <xsd:restriction base="dms:Text">
          <xsd:maxLength value="255"/>
        </xsd:restriction>
      </xsd:simpleType>
    </xsd:element>
    <xsd:element name="Classification" ma:index="42" nillable="true" ma:displayName="Classification" ma:format="Dropdown" ma:internalName="Classification">
      <xsd:simpleType>
        <xsd:restriction base="dms:Choice">
          <xsd:enumeration value="Official"/>
          <xsd:enumeration value="Official-Sensitive"/>
          <xsd:enumeration value="Official-Sensitive: SNI"/>
          <xsd:enumeration value="Official-Sensitive: Commercial"/>
          <xsd:enumeration value="Externally-Marked"/>
          <xsd:enumeration value="Official-Sensitive: Export Control"/>
          <xsd:enumeration value="Official-Sensitive: Export Control - Commercial"/>
          <xsd:enumeration value="Official-Sensitive: Export Controlled - SNI"/>
        </xsd:restriction>
      </xsd:simpleType>
    </xsd:element>
    <xsd:element name="MediaServiceLocation" ma:index="43" nillable="true" ma:displayName="Location" ma:indexed="true" ma:internalName="MediaServiceLocation"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E0A575-9853-41D7-8BCA-572C9CA63D97}">
  <ds:schemaRefs>
    <ds:schemaRef ds:uri="http://schemas.openxmlformats.org/officeDocument/2006/bibliography"/>
  </ds:schemaRefs>
</ds:datastoreItem>
</file>

<file path=customXml/itemProps2.xml><?xml version="1.0" encoding="utf-8"?>
<ds:datastoreItem xmlns:ds="http://schemas.openxmlformats.org/officeDocument/2006/customXml" ds:itemID="{B6C5780F-2889-4DD7-8F85-E0FC5CD85289}">
  <ds:schemaRefs>
    <ds:schemaRef ds:uri="http://schemas.microsoft.com/office/2006/metadata/properties"/>
    <ds:schemaRef ds:uri="http://schemas.microsoft.com/office/infopath/2007/PartnerControls"/>
    <ds:schemaRef ds:uri="f6cfbbfa-3ea0-4d8e-acde-632e83cd9c55"/>
    <ds:schemaRef ds:uri="6ee01a08-9bb3-4510-887c-4508c532eb2e"/>
  </ds:schemaRefs>
</ds:datastoreItem>
</file>

<file path=customXml/itemProps3.xml><?xml version="1.0" encoding="utf-8"?>
<ds:datastoreItem xmlns:ds="http://schemas.openxmlformats.org/officeDocument/2006/customXml" ds:itemID="{8CFC80CF-4684-40D0-8E8F-1216B2034863}">
  <ds:schemaRefs>
    <ds:schemaRef ds:uri="http://schemas.microsoft.com/sharepoint/v3/contenttype/forms"/>
  </ds:schemaRefs>
</ds:datastoreItem>
</file>

<file path=customXml/itemProps4.xml><?xml version="1.0" encoding="utf-8"?>
<ds:datastoreItem xmlns:ds="http://schemas.openxmlformats.org/officeDocument/2006/customXml" ds:itemID="{C97249D3-5E4B-465F-93AF-46D391F33B5B}">
  <ds:schemaRefs>
    <ds:schemaRef ds:uri="http://schemas.microsoft.com/sharepoint/events"/>
  </ds:schemaRefs>
</ds:datastoreItem>
</file>

<file path=customXml/itemProps5.xml><?xml version="1.0" encoding="utf-8"?>
<ds:datastoreItem xmlns:ds="http://schemas.openxmlformats.org/officeDocument/2006/customXml" ds:itemID="{EA431286-4650-4710-AA1C-923BB96D3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fbbfa-3ea0-4d8e-acde-632e83cd9c55"/>
    <ds:schemaRef ds:uri="6ee01a08-9bb3-4510-887c-4508c532e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892</Words>
  <Characters>5098</Characters>
  <Application>Microsoft Office Word</Application>
  <DocSecurity>0</DocSecurity>
  <Lines>130</Lines>
  <Paragraphs>73</Paragraphs>
  <ScaleCrop>false</ScaleCrop>
  <Company>Health and Safety Executive</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GDA Regulatory Observation</dc:title>
  <dc:subject/>
  <dc:creator>mscott</dc:creator>
  <cp:keywords/>
  <dc:description/>
  <cp:lastModifiedBy>Peter Wynne</cp:lastModifiedBy>
  <cp:revision>10</cp:revision>
  <cp:lastPrinted>2017-10-03T10:43:00Z</cp:lastPrinted>
  <dcterms:created xsi:type="dcterms:W3CDTF">2025-05-01T14:35:00Z</dcterms:created>
  <dcterms:modified xsi:type="dcterms:W3CDTF">2025-11-24T16:53:00Z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0x0101002BFD813B9BA5F84C8E4BDD131736DF68</vt:lpwstr>
  </property>
  <property fmtid="{D5CDD505-2E9C-101B-9397-08002B2CF9AE}" pid="4" name="_dlc_DocIdItemGuid">
    <vt:lpwstr>2841d6fc-c075-45d8-94b0-800a1a9e6edf</vt:lpwstr>
  </property>
  <property fmtid="{D5CDD505-2E9C-101B-9397-08002B2CF9AE}" pid="5" name="BCS1">
    <vt:lpwstr>10;#4.4.1 Safety Reports/Cases: Assessment|7500dff8-3c6d-475f-a6b6-75de36a7fde4</vt:lpwstr>
  </property>
  <property fmtid="{D5CDD505-2E9C-101B-9397-08002B2CF9AE}" pid="6" name="MSIP_Label_9e5e003a-90eb-47c9-a506-ad47e7a0b281_Enabled">
    <vt:lpwstr>true</vt:lpwstr>
  </property>
  <property fmtid="{D5CDD505-2E9C-101B-9397-08002B2CF9AE}" pid="7" name="MSIP_Label_9e5e003a-90eb-47c9-a506-ad47e7a0b281_SetDate">
    <vt:lpwstr>2022-07-01T09:29:12Z</vt:lpwstr>
  </property>
  <property fmtid="{D5CDD505-2E9C-101B-9397-08002B2CF9AE}" pid="8" name="MSIP_Label_9e5e003a-90eb-47c9-a506-ad47e7a0b281_Method">
    <vt:lpwstr>Privileged</vt:lpwstr>
  </property>
  <property fmtid="{D5CDD505-2E9C-101B-9397-08002B2CF9AE}" pid="9" name="MSIP_Label_9e5e003a-90eb-47c9-a506-ad47e7a0b281_Name">
    <vt:lpwstr>OFFICIAL</vt:lpwstr>
  </property>
  <property fmtid="{D5CDD505-2E9C-101B-9397-08002B2CF9AE}" pid="10" name="MSIP_Label_9e5e003a-90eb-47c9-a506-ad47e7a0b281_SiteId">
    <vt:lpwstr>742775df-8077-48d6-81d0-1e82a1f52cb8</vt:lpwstr>
  </property>
  <property fmtid="{D5CDD505-2E9C-101B-9397-08002B2CF9AE}" pid="11" name="MSIP_Label_9e5e003a-90eb-47c9-a506-ad47e7a0b281_ActionId">
    <vt:lpwstr>23638b36-612a-40f8-bb73-956cbf377e51</vt:lpwstr>
  </property>
  <property fmtid="{D5CDD505-2E9C-101B-9397-08002B2CF9AE}" pid="12" name="MSIP_Label_9e5e003a-90eb-47c9-a506-ad47e7a0b281_ContentBits">
    <vt:lpwstr>0</vt:lpwstr>
  </property>
  <property fmtid="{D5CDD505-2E9C-101B-9397-08002B2CF9AE}" pid="13" name="MediaServiceImageTags">
    <vt:lpwstr/>
  </property>
  <property fmtid="{D5CDD505-2E9C-101B-9397-08002B2CF9AE}" pid="14" name="docLang">
    <vt:lpwstr>en</vt:lpwstr>
  </property>
</Properties>
</file>