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8F4B" w14:textId="77777777" w:rsidR="00E20DBB" w:rsidRDefault="00E20DBB"/>
    <w:tbl>
      <w:tblPr>
        <w:tblW w:w="9655" w:type="dxa"/>
        <w:tblInd w:w="-57" w:type="dxa"/>
        <w:tblCellMar>
          <w:top w:w="58" w:type="dxa"/>
          <w:left w:w="58" w:type="dxa"/>
          <w:bottom w:w="58" w:type="dxa"/>
          <w:right w:w="58" w:type="dxa"/>
        </w:tblCellMar>
        <w:tblLook w:val="01E0" w:firstRow="1" w:lastRow="1" w:firstColumn="1" w:lastColumn="1" w:noHBand="0" w:noVBand="0"/>
      </w:tblPr>
      <w:tblGrid>
        <w:gridCol w:w="6295"/>
        <w:gridCol w:w="3360"/>
      </w:tblGrid>
      <w:tr w:rsidR="0089086B" w:rsidRPr="0089086B" w14:paraId="773C47CD" w14:textId="77777777" w:rsidTr="000540B5">
        <w:trPr>
          <w:trHeight w:val="773"/>
        </w:trPr>
        <w:tc>
          <w:tcPr>
            <w:tcW w:w="6295" w:type="dxa"/>
            <w:shd w:val="clear" w:color="auto" w:fill="auto"/>
          </w:tcPr>
          <w:p w14:paraId="07C36889" w14:textId="3E032B5B" w:rsidR="00912985" w:rsidRPr="0089086B" w:rsidRDefault="000845C8" w:rsidP="00EC397F">
            <w:pPr>
              <w:rPr>
                <w:rFonts w:cs="Arial"/>
                <w:sz w:val="24"/>
              </w:rPr>
            </w:pPr>
            <w:r>
              <w:rPr>
                <w:rFonts w:cs="Arial"/>
                <w:sz w:val="24"/>
              </w:rPr>
              <w:t>1</w:t>
            </w:r>
            <w:r w:rsidR="000C383E">
              <w:rPr>
                <w:rFonts w:cs="Arial"/>
                <w:sz w:val="24"/>
              </w:rPr>
              <w:t xml:space="preserve">2 </w:t>
            </w:r>
            <w:r>
              <w:rPr>
                <w:rFonts w:cs="Arial"/>
                <w:sz w:val="24"/>
              </w:rPr>
              <w:t>April 2024</w:t>
            </w:r>
          </w:p>
          <w:p w14:paraId="6E8E00B2" w14:textId="77777777" w:rsidR="00912985" w:rsidRPr="0089086B" w:rsidRDefault="00912985" w:rsidP="00EC397F">
            <w:pPr>
              <w:rPr>
                <w:rFonts w:cs="Arial"/>
                <w:sz w:val="24"/>
              </w:rPr>
            </w:pPr>
          </w:p>
          <w:p w14:paraId="58BD9DF4" w14:textId="77777777" w:rsidR="00912985" w:rsidRPr="0089086B" w:rsidRDefault="00912985" w:rsidP="00EC397F">
            <w:pPr>
              <w:rPr>
                <w:rFonts w:cs="Arial"/>
                <w:sz w:val="24"/>
              </w:rPr>
            </w:pPr>
          </w:p>
          <w:p w14:paraId="7D618C0D" w14:textId="77777777" w:rsidR="00912985" w:rsidRPr="0089086B" w:rsidRDefault="00912985" w:rsidP="00EC397F">
            <w:pPr>
              <w:rPr>
                <w:rFonts w:cs="Arial"/>
                <w:sz w:val="24"/>
              </w:rPr>
            </w:pPr>
          </w:p>
          <w:p w14:paraId="2246DCF0" w14:textId="77777777" w:rsidR="00912985" w:rsidRPr="0089086B" w:rsidRDefault="00912985" w:rsidP="00EC397F">
            <w:pPr>
              <w:rPr>
                <w:rFonts w:cs="Arial"/>
                <w:sz w:val="24"/>
              </w:rPr>
            </w:pPr>
          </w:p>
          <w:p w14:paraId="1396B3BD" w14:textId="77777777" w:rsidR="00912985" w:rsidRPr="0089086B" w:rsidRDefault="00912985" w:rsidP="00EC397F">
            <w:pPr>
              <w:rPr>
                <w:rFonts w:cs="Arial"/>
                <w:sz w:val="24"/>
              </w:rPr>
            </w:pPr>
          </w:p>
          <w:p w14:paraId="177A1741" w14:textId="5C906E2C" w:rsidR="00912985" w:rsidRPr="00C4474E" w:rsidRDefault="00860D8C" w:rsidP="00EC397F">
            <w:pPr>
              <w:rPr>
                <w:rFonts w:cs="Arial"/>
                <w:color w:val="00686D"/>
                <w:sz w:val="24"/>
              </w:rPr>
            </w:pPr>
            <w:hyperlink r:id="rId11" w:history="1">
              <w:r w:rsidR="00C10F07">
                <w:rPr>
                  <w:rStyle w:val="Hyperlink"/>
                  <w:color w:val="00686D"/>
                  <w:sz w:val="24"/>
                  <w:shd w:val="clear" w:color="auto" w:fill="FFFFFF" w:themeFill="background1"/>
                </w:rPr>
                <w:t>nuclearconsultation@energysecurity.gov.uk</w:t>
              </w:r>
            </w:hyperlink>
          </w:p>
        </w:tc>
        <w:tc>
          <w:tcPr>
            <w:tcW w:w="3360" w:type="dxa"/>
            <w:vMerge w:val="restart"/>
            <w:shd w:val="clear" w:color="auto" w:fill="auto"/>
          </w:tcPr>
          <w:p w14:paraId="039A8B99" w14:textId="77777777" w:rsidR="00912985" w:rsidRPr="0089086B" w:rsidRDefault="00912985" w:rsidP="000B0596">
            <w:pPr>
              <w:ind w:left="84"/>
              <w:rPr>
                <w:rFonts w:cs="Arial"/>
                <w:sz w:val="24"/>
              </w:rPr>
            </w:pPr>
            <w:r w:rsidRPr="0089086B">
              <w:rPr>
                <w:rFonts w:cs="Arial"/>
                <w:sz w:val="24"/>
              </w:rPr>
              <w:t>Redgrave Court</w:t>
            </w:r>
          </w:p>
          <w:p w14:paraId="5AEA20A8" w14:textId="77777777" w:rsidR="00912985" w:rsidRPr="0089086B" w:rsidRDefault="00912985" w:rsidP="000B0596">
            <w:pPr>
              <w:ind w:left="84"/>
              <w:rPr>
                <w:rFonts w:cs="Arial"/>
                <w:sz w:val="24"/>
              </w:rPr>
            </w:pPr>
            <w:r w:rsidRPr="0089086B">
              <w:rPr>
                <w:rFonts w:cs="Arial"/>
                <w:sz w:val="24"/>
              </w:rPr>
              <w:t xml:space="preserve">Merton Road </w:t>
            </w:r>
          </w:p>
          <w:p w14:paraId="62F3B016" w14:textId="77777777" w:rsidR="00912985" w:rsidRPr="0089086B" w:rsidRDefault="00912985" w:rsidP="000B0596">
            <w:pPr>
              <w:ind w:left="84"/>
              <w:rPr>
                <w:rFonts w:cs="Arial"/>
                <w:sz w:val="24"/>
              </w:rPr>
            </w:pPr>
            <w:r w:rsidRPr="0089086B">
              <w:rPr>
                <w:rFonts w:cs="Arial"/>
                <w:sz w:val="24"/>
              </w:rPr>
              <w:t xml:space="preserve">Bootle </w:t>
            </w:r>
          </w:p>
          <w:p w14:paraId="39B71AC7" w14:textId="77777777" w:rsidR="00912985" w:rsidRPr="0089086B" w:rsidRDefault="00912985" w:rsidP="000B0596">
            <w:pPr>
              <w:ind w:left="84"/>
              <w:rPr>
                <w:rFonts w:cs="Arial"/>
                <w:sz w:val="24"/>
              </w:rPr>
            </w:pPr>
            <w:r w:rsidRPr="0089086B">
              <w:rPr>
                <w:rFonts w:cs="Arial"/>
                <w:sz w:val="24"/>
              </w:rPr>
              <w:t xml:space="preserve">Merseyside </w:t>
            </w:r>
          </w:p>
          <w:p w14:paraId="6677667D" w14:textId="77777777" w:rsidR="00C4474E" w:rsidRDefault="00912985" w:rsidP="00C4474E">
            <w:pPr>
              <w:ind w:left="84"/>
              <w:rPr>
                <w:rFonts w:cs="Arial"/>
                <w:sz w:val="24"/>
              </w:rPr>
            </w:pPr>
            <w:r w:rsidRPr="0089086B">
              <w:rPr>
                <w:rFonts w:cs="Arial"/>
                <w:sz w:val="24"/>
              </w:rPr>
              <w:t>L20 7HS</w:t>
            </w:r>
          </w:p>
          <w:p w14:paraId="5DE50FF1" w14:textId="77777777" w:rsidR="00C4474E" w:rsidRDefault="00C4474E" w:rsidP="00C4474E">
            <w:pPr>
              <w:ind w:left="84"/>
              <w:rPr>
                <w:rStyle w:val="Hyperlink"/>
                <w:color w:val="00686D"/>
                <w:sz w:val="24"/>
                <w:shd w:val="clear" w:color="auto" w:fill="FFFFFF" w:themeFill="background1"/>
              </w:rPr>
            </w:pPr>
          </w:p>
          <w:p w14:paraId="540ABE24" w14:textId="28A12175" w:rsidR="00912985" w:rsidRPr="00476002" w:rsidRDefault="00860D8C" w:rsidP="00C4474E">
            <w:pPr>
              <w:ind w:left="84"/>
              <w:rPr>
                <w:rStyle w:val="Hyperlink"/>
                <w:color w:val="00686D"/>
                <w:shd w:val="clear" w:color="auto" w:fill="FFFFFF" w:themeFill="background1"/>
              </w:rPr>
            </w:pPr>
            <w:hyperlink r:id="rId12" w:history="1">
              <w:r w:rsidR="00C4474E" w:rsidRPr="00476002">
                <w:rPr>
                  <w:rStyle w:val="Hyperlink"/>
                  <w:color w:val="00686D"/>
                  <w:sz w:val="24"/>
                  <w:shd w:val="clear" w:color="auto" w:fill="FFFFFF" w:themeFill="background1"/>
                </w:rPr>
                <w:t>Contact@onr.gov.uk</w:t>
              </w:r>
            </w:hyperlink>
          </w:p>
          <w:p w14:paraId="3B2D5AF2" w14:textId="77777777" w:rsidR="00912985" w:rsidRPr="0089086B" w:rsidRDefault="00912985" w:rsidP="000B0596">
            <w:pPr>
              <w:ind w:left="84"/>
              <w:rPr>
                <w:rFonts w:cs="Arial"/>
                <w:sz w:val="24"/>
              </w:rPr>
            </w:pPr>
          </w:p>
          <w:p w14:paraId="5606D705" w14:textId="11A2A43A" w:rsidR="00912985" w:rsidRPr="0089086B" w:rsidRDefault="001F7C5D" w:rsidP="000B0596">
            <w:pPr>
              <w:ind w:left="84"/>
              <w:rPr>
                <w:rFonts w:cs="Arial"/>
                <w:sz w:val="24"/>
              </w:rPr>
            </w:pPr>
            <w:r w:rsidRPr="0089086B">
              <w:rPr>
                <w:rFonts w:cs="Arial"/>
                <w:sz w:val="24"/>
              </w:rPr>
              <w:t>Uniqu</w:t>
            </w:r>
            <w:r w:rsidRPr="00B66DF6">
              <w:rPr>
                <w:rFonts w:cs="Arial"/>
                <w:sz w:val="24"/>
              </w:rPr>
              <w:t xml:space="preserve">e ref: </w:t>
            </w:r>
            <w:r w:rsidR="00D20E4E" w:rsidRPr="00D20E4E">
              <w:rPr>
                <w:rFonts w:cs="Arial"/>
                <w:sz w:val="24"/>
              </w:rPr>
              <w:t>2024/16542</w:t>
            </w:r>
          </w:p>
          <w:p w14:paraId="5F73C43D" w14:textId="77777777" w:rsidR="00912985" w:rsidRPr="0089086B" w:rsidRDefault="00912985" w:rsidP="000B0596">
            <w:pPr>
              <w:ind w:left="84"/>
              <w:rPr>
                <w:rFonts w:cs="Arial"/>
                <w:sz w:val="24"/>
              </w:rPr>
            </w:pPr>
          </w:p>
        </w:tc>
      </w:tr>
      <w:tr w:rsidR="0089086B" w:rsidRPr="0089086B" w14:paraId="272C407A" w14:textId="77777777" w:rsidTr="000540B5">
        <w:trPr>
          <w:trHeight w:val="772"/>
        </w:trPr>
        <w:tc>
          <w:tcPr>
            <w:tcW w:w="6295" w:type="dxa"/>
            <w:shd w:val="clear" w:color="auto" w:fill="auto"/>
          </w:tcPr>
          <w:p w14:paraId="5E9B7609" w14:textId="77777777" w:rsidR="00912985" w:rsidRPr="0089086B" w:rsidRDefault="00912985" w:rsidP="00EC397F">
            <w:pPr>
              <w:rPr>
                <w:rFonts w:cs="Arial"/>
                <w:sz w:val="24"/>
              </w:rPr>
            </w:pPr>
          </w:p>
        </w:tc>
        <w:tc>
          <w:tcPr>
            <w:tcW w:w="3360" w:type="dxa"/>
            <w:vMerge/>
            <w:shd w:val="clear" w:color="auto" w:fill="auto"/>
          </w:tcPr>
          <w:p w14:paraId="0D0C2D23" w14:textId="77777777" w:rsidR="00912985" w:rsidRPr="0089086B" w:rsidRDefault="00912985" w:rsidP="00EC397F">
            <w:pPr>
              <w:rPr>
                <w:rFonts w:cs="Arial"/>
                <w:sz w:val="24"/>
              </w:rPr>
            </w:pPr>
          </w:p>
        </w:tc>
      </w:tr>
    </w:tbl>
    <w:p w14:paraId="581BD9F1" w14:textId="36CDF9CD" w:rsidR="00912985" w:rsidRPr="0089086B" w:rsidRDefault="00C858B1" w:rsidP="00675898">
      <w:pPr>
        <w:adjustRightInd w:val="0"/>
        <w:rPr>
          <w:rFonts w:cs="Arial"/>
          <w:sz w:val="24"/>
          <w:lang w:val="en-US" w:eastAsia="en-GB"/>
        </w:rPr>
      </w:pPr>
      <w:r>
        <w:rPr>
          <w:rFonts w:cs="Arial"/>
          <w:sz w:val="24"/>
          <w:lang w:val="en-US" w:eastAsia="en-GB"/>
        </w:rPr>
        <w:t>To whom it may concern</w:t>
      </w:r>
    </w:p>
    <w:p w14:paraId="3F84DF6C" w14:textId="77777777" w:rsidR="00912985" w:rsidRPr="00BF7CE1" w:rsidRDefault="00912985" w:rsidP="00675898">
      <w:pPr>
        <w:adjustRightInd w:val="0"/>
        <w:ind w:left="3"/>
        <w:rPr>
          <w:rFonts w:cs="Arial"/>
          <w:sz w:val="24"/>
          <w:lang w:val="en-US" w:eastAsia="en-GB"/>
        </w:rPr>
      </w:pPr>
    </w:p>
    <w:p w14:paraId="320ABB5D" w14:textId="278836F0" w:rsidR="00E816E1" w:rsidRPr="007F3617" w:rsidRDefault="00C858B1" w:rsidP="00E816E1">
      <w:pPr>
        <w:spacing w:after="21"/>
        <w:jc w:val="both"/>
        <w:rPr>
          <w:rFonts w:asciiTheme="minorBidi" w:hAnsiTheme="minorBidi"/>
          <w:b/>
          <w:bCs/>
          <w:sz w:val="24"/>
        </w:rPr>
      </w:pPr>
      <w:r w:rsidRPr="00C858B1">
        <w:rPr>
          <w:rFonts w:cs="Arial"/>
          <w:b/>
          <w:bCs/>
          <w:sz w:val="24"/>
        </w:rPr>
        <w:t>ONR Consultation</w:t>
      </w:r>
      <w:r w:rsidR="00432381" w:rsidRPr="00C858B1">
        <w:rPr>
          <w:rFonts w:cs="Arial"/>
          <w:b/>
          <w:bCs/>
          <w:sz w:val="24"/>
        </w:rPr>
        <w:t xml:space="preserve"> </w:t>
      </w:r>
      <w:r w:rsidRPr="00C858B1">
        <w:rPr>
          <w:rFonts w:cs="Arial"/>
          <w:b/>
          <w:bCs/>
          <w:sz w:val="24"/>
        </w:rPr>
        <w:t>Response</w:t>
      </w:r>
      <w:r w:rsidR="00621439" w:rsidRPr="00C858B1">
        <w:rPr>
          <w:rFonts w:cs="Arial"/>
          <w:b/>
          <w:bCs/>
          <w:sz w:val="24"/>
        </w:rPr>
        <w:t>:</w:t>
      </w:r>
      <w:r w:rsidR="00E816E1" w:rsidRPr="00E816E1">
        <w:rPr>
          <w:rFonts w:asciiTheme="minorBidi" w:hAnsiTheme="minorBidi"/>
          <w:b/>
          <w:bCs/>
          <w:sz w:val="24"/>
        </w:rPr>
        <w:t xml:space="preserve"> </w:t>
      </w:r>
      <w:r w:rsidR="00E816E1" w:rsidRPr="00A53829">
        <w:rPr>
          <w:rFonts w:asciiTheme="minorBidi" w:hAnsiTheme="minorBidi"/>
          <w:b/>
          <w:bCs/>
          <w:sz w:val="24"/>
        </w:rPr>
        <w:t>Alternative rout</w:t>
      </w:r>
      <w:r w:rsidR="00E816E1" w:rsidRPr="002D66F1">
        <w:rPr>
          <w:rFonts w:asciiTheme="minorBidi" w:hAnsiTheme="minorBidi"/>
          <w:b/>
          <w:bCs/>
          <w:sz w:val="24"/>
        </w:rPr>
        <w:t>es to market for new</w:t>
      </w:r>
      <w:r w:rsidR="00E816E1">
        <w:rPr>
          <w:rFonts w:asciiTheme="minorBidi" w:hAnsiTheme="minorBidi"/>
          <w:b/>
          <w:bCs/>
          <w:sz w:val="24"/>
        </w:rPr>
        <w:t xml:space="preserve"> nuclear</w:t>
      </w:r>
    </w:p>
    <w:p w14:paraId="6BBDF72C" w14:textId="60C2AD88" w:rsidR="00FD6D2A" w:rsidRPr="00C858B1" w:rsidRDefault="00FD6D2A" w:rsidP="00FD6D2A">
      <w:pPr>
        <w:rPr>
          <w:rFonts w:cs="Arial"/>
          <w:b/>
          <w:bCs/>
          <w:sz w:val="24"/>
        </w:rPr>
      </w:pPr>
    </w:p>
    <w:p w14:paraId="28D6404F" w14:textId="1A31A8FF" w:rsidR="00E816E1" w:rsidRDefault="00E816E1" w:rsidP="00E816E1">
      <w:pPr>
        <w:spacing w:after="21"/>
        <w:rPr>
          <w:rFonts w:asciiTheme="minorBidi" w:hAnsiTheme="minorBidi"/>
          <w:sz w:val="24"/>
        </w:rPr>
      </w:pPr>
      <w:r w:rsidRPr="00EC79D4">
        <w:rPr>
          <w:rFonts w:asciiTheme="minorBidi" w:hAnsiTheme="minorBidi"/>
          <w:sz w:val="24"/>
        </w:rPr>
        <w:t xml:space="preserve">Thank you for the opportunity to comment on the consultation </w:t>
      </w:r>
      <w:r w:rsidRPr="003E4CFA">
        <w:rPr>
          <w:rFonts w:asciiTheme="minorBidi" w:hAnsiTheme="minorBidi"/>
          <w:sz w:val="24"/>
        </w:rPr>
        <w:t>‘Alternative routes to market for new nuclear’</w:t>
      </w:r>
      <w:r>
        <w:rPr>
          <w:rFonts w:asciiTheme="minorBidi" w:hAnsiTheme="minorBidi"/>
          <w:sz w:val="24"/>
        </w:rPr>
        <w:t xml:space="preserve"> (ARM consultation). </w:t>
      </w:r>
      <w:r w:rsidRPr="003E4CFA">
        <w:rPr>
          <w:rFonts w:asciiTheme="minorBidi" w:hAnsiTheme="minorBidi"/>
          <w:sz w:val="24"/>
        </w:rPr>
        <w:t xml:space="preserve">This letter </w:t>
      </w:r>
      <w:r>
        <w:rPr>
          <w:rFonts w:asciiTheme="minorBidi" w:hAnsiTheme="minorBidi"/>
          <w:sz w:val="24"/>
        </w:rPr>
        <w:t>and the attached appendix provide</w:t>
      </w:r>
      <w:r w:rsidRPr="003E4CFA">
        <w:rPr>
          <w:rFonts w:asciiTheme="minorBidi" w:hAnsiTheme="minorBidi"/>
          <w:sz w:val="24"/>
        </w:rPr>
        <w:t xml:space="preserve"> </w:t>
      </w:r>
      <w:r>
        <w:rPr>
          <w:rFonts w:asciiTheme="minorBidi" w:hAnsiTheme="minorBidi"/>
          <w:sz w:val="24"/>
        </w:rPr>
        <w:t>t</w:t>
      </w:r>
      <w:r w:rsidRPr="003E4CFA">
        <w:rPr>
          <w:rFonts w:asciiTheme="minorBidi" w:hAnsiTheme="minorBidi"/>
          <w:sz w:val="24"/>
        </w:rPr>
        <w:t>he Office for Nuclear Regulation's (ONR) response</w:t>
      </w:r>
      <w:r>
        <w:rPr>
          <w:rFonts w:asciiTheme="minorBidi" w:hAnsiTheme="minorBidi"/>
          <w:sz w:val="24"/>
        </w:rPr>
        <w:t>.</w:t>
      </w:r>
      <w:r w:rsidRPr="003E4CFA">
        <w:rPr>
          <w:rFonts w:asciiTheme="minorBidi" w:hAnsiTheme="minorBidi"/>
          <w:sz w:val="24"/>
        </w:rPr>
        <w:t xml:space="preserve">  </w:t>
      </w:r>
    </w:p>
    <w:p w14:paraId="3E6DE2D4" w14:textId="77777777" w:rsidR="00E816E1" w:rsidRDefault="00E816E1" w:rsidP="00E816E1">
      <w:pPr>
        <w:spacing w:after="21"/>
        <w:rPr>
          <w:rFonts w:asciiTheme="minorBidi" w:hAnsiTheme="minorBidi"/>
          <w:sz w:val="24"/>
        </w:rPr>
      </w:pPr>
    </w:p>
    <w:p w14:paraId="18A3A779" w14:textId="77777777" w:rsidR="00E816E1" w:rsidRDefault="00E816E1" w:rsidP="00E816E1">
      <w:pPr>
        <w:spacing w:after="21"/>
        <w:rPr>
          <w:rFonts w:asciiTheme="minorBidi" w:hAnsiTheme="minorBidi"/>
          <w:sz w:val="24"/>
        </w:rPr>
      </w:pPr>
      <w:r>
        <w:rPr>
          <w:rFonts w:asciiTheme="minorBidi" w:hAnsiTheme="minorBidi"/>
          <w:sz w:val="24"/>
        </w:rPr>
        <w:t xml:space="preserve">We have provided both general responses to the chapters within the consultation and responses to specific questions. We hope this is helpful.  </w:t>
      </w:r>
    </w:p>
    <w:p w14:paraId="595C993C" w14:textId="77777777" w:rsidR="00E816E1" w:rsidRDefault="00E816E1" w:rsidP="00E816E1">
      <w:pPr>
        <w:spacing w:after="21"/>
        <w:rPr>
          <w:rFonts w:asciiTheme="minorBidi" w:hAnsiTheme="minorBidi"/>
          <w:sz w:val="24"/>
        </w:rPr>
      </w:pPr>
    </w:p>
    <w:p w14:paraId="506F6930" w14:textId="77777777" w:rsidR="00E816E1" w:rsidRDefault="00E816E1" w:rsidP="00E816E1">
      <w:pPr>
        <w:spacing w:after="21"/>
        <w:rPr>
          <w:rFonts w:asciiTheme="minorBidi" w:hAnsiTheme="minorBidi"/>
          <w:sz w:val="24"/>
        </w:rPr>
      </w:pPr>
      <w:r>
        <w:rPr>
          <w:rFonts w:asciiTheme="minorBidi" w:hAnsiTheme="minorBidi"/>
          <w:sz w:val="24"/>
        </w:rPr>
        <w:t>ONR</w:t>
      </w:r>
      <w:r w:rsidRPr="003E4CFA">
        <w:rPr>
          <w:rFonts w:asciiTheme="minorBidi" w:hAnsiTheme="minorBidi"/>
          <w:sz w:val="24"/>
        </w:rPr>
        <w:t xml:space="preserve"> are the UK’s independent nuclear regulator, with the legal authority to regulate nuclear safety, civil nuclear security and safeguards, and conventional health and safety at the 35 licensed nuclear sites in Great Britain (GB). Our mission is to provide efficient and effective regulation of the nuclear industry, holding it to account on behalf of the public.  </w:t>
      </w:r>
    </w:p>
    <w:p w14:paraId="5D2340D6" w14:textId="77777777" w:rsidR="00E816E1" w:rsidRDefault="00E816E1" w:rsidP="00E816E1">
      <w:pPr>
        <w:spacing w:after="21"/>
        <w:rPr>
          <w:rFonts w:asciiTheme="minorBidi" w:hAnsiTheme="minorBidi"/>
          <w:sz w:val="24"/>
        </w:rPr>
      </w:pPr>
    </w:p>
    <w:p w14:paraId="2C7B28E3" w14:textId="77777777" w:rsidR="00E816E1" w:rsidRDefault="00E816E1" w:rsidP="00E816E1">
      <w:pPr>
        <w:spacing w:after="21"/>
        <w:rPr>
          <w:rFonts w:asciiTheme="minorBidi" w:hAnsiTheme="minorBidi"/>
          <w:sz w:val="24"/>
        </w:rPr>
      </w:pPr>
      <w:r>
        <w:rPr>
          <w:rFonts w:asciiTheme="minorBidi" w:hAnsiTheme="minorBidi"/>
          <w:sz w:val="24"/>
        </w:rPr>
        <w:t xml:space="preserve">In this response, we set out the work we have been doing to ensure ONR is positioned well to independently regulate </w:t>
      </w:r>
      <w:r w:rsidRPr="003E4CFA">
        <w:rPr>
          <w:rFonts w:asciiTheme="minorBidi" w:hAnsiTheme="minorBidi"/>
          <w:sz w:val="24"/>
        </w:rPr>
        <w:t xml:space="preserve">the country’s anticipated growing nuclear </w:t>
      </w:r>
      <w:r>
        <w:rPr>
          <w:rFonts w:asciiTheme="minorBidi" w:hAnsiTheme="minorBidi"/>
          <w:sz w:val="24"/>
        </w:rPr>
        <w:t>new build industry,</w:t>
      </w:r>
      <w:r w:rsidRPr="003E4CFA">
        <w:rPr>
          <w:rFonts w:asciiTheme="minorBidi" w:hAnsiTheme="minorBidi"/>
          <w:sz w:val="24"/>
        </w:rPr>
        <w:t xml:space="preserve"> including advanced nuclear technologies</w:t>
      </w:r>
      <w:r>
        <w:rPr>
          <w:rFonts w:asciiTheme="minorBidi" w:hAnsiTheme="minorBidi"/>
          <w:sz w:val="24"/>
        </w:rPr>
        <w:t xml:space="preserve"> (ANTs), ensuring that safety and security requirements remain paramount</w:t>
      </w:r>
      <w:r w:rsidRPr="003E4CFA">
        <w:rPr>
          <w:rFonts w:asciiTheme="minorBidi" w:hAnsiTheme="minorBidi"/>
          <w:sz w:val="24"/>
        </w:rPr>
        <w:t xml:space="preserve">. </w:t>
      </w:r>
      <w:r>
        <w:rPr>
          <w:rFonts w:asciiTheme="minorBidi" w:hAnsiTheme="minorBidi"/>
          <w:sz w:val="24"/>
        </w:rPr>
        <w:t>We have also identified export control constraints relating to our international cooperation and suggested solutions.</w:t>
      </w:r>
    </w:p>
    <w:p w14:paraId="0BDC4976" w14:textId="77777777" w:rsidR="00E816E1" w:rsidRDefault="00E816E1" w:rsidP="00E816E1">
      <w:pPr>
        <w:spacing w:after="21"/>
        <w:rPr>
          <w:rFonts w:asciiTheme="minorBidi" w:hAnsiTheme="minorBidi"/>
          <w:sz w:val="24"/>
        </w:rPr>
      </w:pPr>
    </w:p>
    <w:p w14:paraId="1CFAE1CD" w14:textId="77777777" w:rsidR="00E816E1" w:rsidRDefault="00E816E1" w:rsidP="00E816E1">
      <w:pPr>
        <w:spacing w:after="21"/>
        <w:rPr>
          <w:rFonts w:asciiTheme="minorBidi" w:hAnsiTheme="minorBidi"/>
          <w:sz w:val="24"/>
        </w:rPr>
      </w:pPr>
      <w:r>
        <w:rPr>
          <w:rFonts w:asciiTheme="minorBidi" w:hAnsiTheme="minorBidi"/>
          <w:sz w:val="24"/>
        </w:rPr>
        <w:t xml:space="preserve">ONR has a longstanding and established role in advising government and worked closely with the Department of Energy Security and Net Zero (the Department) on the drafting of relevant sections of the Civil Nuclear Roadmap.  This roadmap includes plans to streamline the development of new power stations and introduce smarter regulation.  </w:t>
      </w:r>
    </w:p>
    <w:p w14:paraId="5FB53636" w14:textId="77777777" w:rsidR="00E816E1" w:rsidRDefault="00E816E1" w:rsidP="00E816E1">
      <w:pPr>
        <w:spacing w:after="21"/>
        <w:rPr>
          <w:rFonts w:asciiTheme="minorBidi" w:hAnsiTheme="minorBidi"/>
          <w:sz w:val="24"/>
        </w:rPr>
      </w:pPr>
    </w:p>
    <w:p w14:paraId="45ED8D0F" w14:textId="1AEB0C2A" w:rsidR="00E816E1" w:rsidRDefault="00E816E1" w:rsidP="00E816E1">
      <w:pPr>
        <w:spacing w:after="21"/>
        <w:rPr>
          <w:rFonts w:asciiTheme="minorBidi" w:hAnsiTheme="minorBidi"/>
          <w:sz w:val="24"/>
        </w:rPr>
      </w:pPr>
      <w:r>
        <w:rPr>
          <w:rFonts w:asciiTheme="minorBidi" w:hAnsiTheme="minorBidi"/>
          <w:sz w:val="24"/>
        </w:rPr>
        <w:t>As well as publishing the Civil Nuclear Roadmap</w:t>
      </w:r>
      <w:r w:rsidR="0088042B">
        <w:rPr>
          <w:rFonts w:asciiTheme="minorBidi" w:hAnsiTheme="minorBidi"/>
          <w:sz w:val="24"/>
        </w:rPr>
        <w:t>,</w:t>
      </w:r>
      <w:r>
        <w:rPr>
          <w:rFonts w:asciiTheme="minorBidi" w:hAnsiTheme="minorBidi"/>
          <w:sz w:val="24"/>
        </w:rPr>
        <w:t xml:space="preserve"> government also issued two consultations, this ARM consultation and the 'National Policy Statement for new nuclear power generation: new approach to siting beyond 2025’ for which we have already responded</w:t>
      </w:r>
      <w:r w:rsidR="00237AB6">
        <w:rPr>
          <w:rFonts w:asciiTheme="minorBidi" w:hAnsiTheme="minorBidi"/>
          <w:sz w:val="24"/>
        </w:rPr>
        <w:t>, and</w:t>
      </w:r>
      <w:r w:rsidR="0041564A">
        <w:rPr>
          <w:rFonts w:asciiTheme="minorBidi" w:hAnsiTheme="minorBidi"/>
          <w:sz w:val="24"/>
        </w:rPr>
        <w:t xml:space="preserve"> our response</w:t>
      </w:r>
      <w:r w:rsidR="00237AB6">
        <w:rPr>
          <w:rFonts w:asciiTheme="minorBidi" w:hAnsiTheme="minorBidi"/>
          <w:sz w:val="24"/>
        </w:rPr>
        <w:t xml:space="preserve"> can be viewed</w:t>
      </w:r>
      <w:r>
        <w:rPr>
          <w:rFonts w:asciiTheme="minorBidi" w:hAnsiTheme="minorBidi"/>
          <w:sz w:val="24"/>
        </w:rPr>
        <w:t xml:space="preserve"> </w:t>
      </w:r>
      <w:hyperlink r:id="rId13" w:history="1">
        <w:r w:rsidR="00237AB6" w:rsidRPr="00237AB6">
          <w:rPr>
            <w:rStyle w:val="Hyperlink"/>
            <w:rFonts w:cs="Arial"/>
            <w:color w:val="auto"/>
            <w:sz w:val="24"/>
          </w:rPr>
          <w:t>here</w:t>
        </w:r>
      </w:hyperlink>
      <w:r w:rsidR="005708BB">
        <w:rPr>
          <w:rStyle w:val="FootnoteReference"/>
          <w:rFonts w:cs="Arial"/>
          <w:sz w:val="24"/>
          <w:u w:val="single"/>
        </w:rPr>
        <w:footnoteReference w:id="1"/>
      </w:r>
      <w:r w:rsidR="00237AB6">
        <w:rPr>
          <w:rFonts w:cs="Arial"/>
          <w:sz w:val="24"/>
        </w:rPr>
        <w:t>.</w:t>
      </w:r>
    </w:p>
    <w:p w14:paraId="45495150" w14:textId="77777777" w:rsidR="00E816E1" w:rsidRDefault="00E816E1" w:rsidP="00E816E1">
      <w:pPr>
        <w:spacing w:after="21"/>
        <w:rPr>
          <w:rFonts w:asciiTheme="minorBidi" w:hAnsiTheme="minorBidi"/>
          <w:sz w:val="24"/>
        </w:rPr>
      </w:pPr>
    </w:p>
    <w:p w14:paraId="28C1543D" w14:textId="77777777" w:rsidR="00E816E1" w:rsidRDefault="00E816E1" w:rsidP="00E816E1">
      <w:pPr>
        <w:spacing w:after="21"/>
        <w:textAlignment w:val="baseline"/>
        <w:rPr>
          <w:rFonts w:asciiTheme="minorBidi" w:hAnsiTheme="minorBidi"/>
          <w:sz w:val="24"/>
        </w:rPr>
      </w:pPr>
      <w:r>
        <w:rPr>
          <w:rFonts w:asciiTheme="minorBidi" w:hAnsiTheme="minorBidi"/>
          <w:sz w:val="24"/>
        </w:rPr>
        <w:t>ONR have supported government engagement on the ARM consultation by advising on the planning of the ‘deep dive’ event on the regulatory chapter, as well as by providing an expert speaker for a panel session entitled ‘</w:t>
      </w:r>
      <w:r w:rsidRPr="002D66F1">
        <w:rPr>
          <w:rFonts w:asciiTheme="minorBidi" w:hAnsiTheme="minorBidi"/>
          <w:sz w:val="24"/>
        </w:rPr>
        <w:t>Regulatory and planning frameworks for Advanced Nuclear Technologies</w:t>
      </w:r>
      <w:r>
        <w:rPr>
          <w:rFonts w:asciiTheme="minorBidi" w:hAnsiTheme="minorBidi"/>
          <w:sz w:val="24"/>
        </w:rPr>
        <w:t xml:space="preserve">’.  </w:t>
      </w:r>
    </w:p>
    <w:p w14:paraId="1BC96A66" w14:textId="77777777" w:rsidR="00E816E1" w:rsidRDefault="00E816E1" w:rsidP="00E816E1">
      <w:pPr>
        <w:spacing w:after="21"/>
        <w:textAlignment w:val="baseline"/>
        <w:rPr>
          <w:rFonts w:asciiTheme="minorBidi" w:hAnsiTheme="minorBidi"/>
          <w:sz w:val="24"/>
        </w:rPr>
      </w:pPr>
    </w:p>
    <w:p w14:paraId="1903946A" w14:textId="77777777" w:rsidR="00E816E1" w:rsidRPr="00E668EC" w:rsidRDefault="00E816E1" w:rsidP="00E816E1">
      <w:pPr>
        <w:pStyle w:val="Default"/>
        <w:spacing w:after="21"/>
        <w:rPr>
          <w:rFonts w:asciiTheme="minorBidi" w:hAnsiTheme="minorBidi" w:cstheme="minorBidi"/>
        </w:rPr>
      </w:pPr>
      <w:r w:rsidRPr="070140A1">
        <w:rPr>
          <w:rFonts w:asciiTheme="minorBidi" w:hAnsiTheme="minorBidi" w:cstheme="minorBidi"/>
          <w:color w:val="auto"/>
        </w:rPr>
        <w:t>Thank you again for consulting us and we would be very pleased to discuss any of our responses with you in more detail as necessary.</w:t>
      </w:r>
    </w:p>
    <w:p w14:paraId="39615351" w14:textId="77777777" w:rsidR="00E816E1" w:rsidRDefault="00E816E1" w:rsidP="00E816E1">
      <w:pPr>
        <w:spacing w:after="21"/>
        <w:jc w:val="both"/>
        <w:textAlignment w:val="baseline"/>
        <w:rPr>
          <w:sz w:val="24"/>
          <w:lang w:eastAsia="en-GB"/>
        </w:rPr>
      </w:pPr>
    </w:p>
    <w:p w14:paraId="65C615BA" w14:textId="77777777" w:rsidR="00E816E1" w:rsidRPr="002B6BC3" w:rsidRDefault="00E816E1" w:rsidP="00E816E1">
      <w:pPr>
        <w:spacing w:after="21"/>
        <w:jc w:val="both"/>
        <w:textAlignment w:val="baseline"/>
        <w:rPr>
          <w:rFonts w:asciiTheme="minorBidi" w:hAnsiTheme="minorBidi"/>
          <w:iCs/>
          <w:sz w:val="24"/>
          <w:lang w:eastAsia="en-GB"/>
        </w:rPr>
      </w:pPr>
      <w:r w:rsidRPr="002B6BC3">
        <w:rPr>
          <w:rFonts w:asciiTheme="minorBidi" w:hAnsiTheme="minorBidi"/>
          <w:iCs/>
          <w:sz w:val="24"/>
          <w:lang w:eastAsia="en-GB"/>
        </w:rPr>
        <w:t>Yours sincerely</w:t>
      </w:r>
    </w:p>
    <w:p w14:paraId="71136B6D" w14:textId="4D0F0FEE" w:rsidR="00D067C8" w:rsidRPr="00BF7CE1" w:rsidRDefault="00D067C8" w:rsidP="00D067C8">
      <w:pPr>
        <w:pStyle w:val="PlainText"/>
        <w:rPr>
          <w:rFonts w:ascii="Arial" w:hAnsi="Arial" w:cs="Arial"/>
          <w:sz w:val="24"/>
          <w:szCs w:val="24"/>
        </w:rPr>
      </w:pPr>
    </w:p>
    <w:p w14:paraId="55E2ED69" w14:textId="0E72E839" w:rsidR="00487817" w:rsidRPr="00BF7CE1" w:rsidRDefault="0087535A" w:rsidP="00D067C8">
      <w:pPr>
        <w:pStyle w:val="PlainText"/>
        <w:rPr>
          <w:rFonts w:ascii="Arial" w:hAnsi="Arial" w:cs="Arial"/>
          <w:sz w:val="24"/>
          <w:szCs w:val="24"/>
        </w:rPr>
      </w:pPr>
      <w:r>
        <w:rPr>
          <w:rFonts w:ascii="Arial" w:hAnsi="Arial" w:cs="Arial"/>
          <w:sz w:val="24"/>
          <w:szCs w:val="24"/>
        </w:rPr>
        <w:t>Sarah Brown</w:t>
      </w:r>
    </w:p>
    <w:p w14:paraId="1D7171C5" w14:textId="62802BE6" w:rsidR="00E816E1" w:rsidRDefault="0087535A" w:rsidP="0089086B">
      <w:pPr>
        <w:pStyle w:val="PlainText"/>
        <w:rPr>
          <w:rFonts w:ascii="Arial" w:hAnsi="Arial" w:cs="Arial"/>
          <w:sz w:val="24"/>
          <w:szCs w:val="24"/>
        </w:rPr>
      </w:pPr>
      <w:r>
        <w:rPr>
          <w:rFonts w:ascii="Arial" w:hAnsi="Arial" w:cs="Arial"/>
          <w:sz w:val="24"/>
          <w:szCs w:val="24"/>
        </w:rPr>
        <w:t>Head of Policy</w:t>
      </w:r>
    </w:p>
    <w:p w14:paraId="5B015002" w14:textId="77777777" w:rsidR="00E816E1" w:rsidRDefault="00E816E1">
      <w:pPr>
        <w:spacing w:after="200" w:line="276" w:lineRule="auto"/>
        <w:rPr>
          <w:rFonts w:cs="Arial"/>
          <w:sz w:val="24"/>
        </w:rPr>
        <w:sectPr w:rsidR="00E816E1" w:rsidSect="00237AB6">
          <w:headerReference w:type="default" r:id="rId14"/>
          <w:footerReference w:type="even" r:id="rId15"/>
          <w:footerReference w:type="default" r:id="rId16"/>
          <w:headerReference w:type="first" r:id="rId17"/>
          <w:footerReference w:type="first" r:id="rId18"/>
          <w:pgSz w:w="11906" w:h="16838" w:code="9"/>
          <w:pgMar w:top="1353" w:right="1138" w:bottom="677" w:left="1584" w:header="432" w:footer="432" w:gutter="0"/>
          <w:cols w:space="708"/>
          <w:titlePg/>
          <w:docGrid w:linePitch="360"/>
        </w:sectPr>
      </w:pPr>
      <w:r>
        <w:rPr>
          <w:rFonts w:cs="Arial"/>
          <w:sz w:val="24"/>
        </w:rPr>
        <w:br w:type="page"/>
      </w:r>
    </w:p>
    <w:tbl>
      <w:tblPr>
        <w:tblStyle w:val="TableGrid"/>
        <w:tblpPr w:leftFromText="180" w:rightFromText="180" w:vertAnchor="text" w:horzAnchor="margin" w:tblpY="-531"/>
        <w:tblOverlap w:val="never"/>
        <w:tblW w:w="15735" w:type="dxa"/>
        <w:tblLook w:val="04A0" w:firstRow="1" w:lastRow="0" w:firstColumn="1" w:lastColumn="0" w:noHBand="0" w:noVBand="1"/>
      </w:tblPr>
      <w:tblGrid>
        <w:gridCol w:w="6380"/>
        <w:gridCol w:w="9355"/>
      </w:tblGrid>
      <w:tr w:rsidR="00E816E1" w:rsidRPr="00E668EC" w14:paraId="3154370E" w14:textId="77777777" w:rsidTr="00AF67D7">
        <w:trPr>
          <w:tblHeader/>
        </w:trPr>
        <w:tc>
          <w:tcPr>
            <w:tcW w:w="6380" w:type="dxa"/>
            <w:shd w:val="clear" w:color="auto" w:fill="D6E3BC" w:themeFill="accent3" w:themeFillTint="66"/>
          </w:tcPr>
          <w:p w14:paraId="43F3CE38" w14:textId="77777777" w:rsidR="00E816E1" w:rsidRPr="00E668EC" w:rsidRDefault="00E816E1" w:rsidP="00E816E1">
            <w:pPr>
              <w:spacing w:after="21"/>
              <w:jc w:val="center"/>
              <w:rPr>
                <w:rFonts w:asciiTheme="minorBidi" w:hAnsiTheme="minorBidi"/>
                <w:b/>
                <w:bCs/>
                <w:sz w:val="24"/>
              </w:rPr>
            </w:pPr>
            <w:r w:rsidRPr="00E668EC">
              <w:rPr>
                <w:rFonts w:asciiTheme="minorBidi" w:hAnsiTheme="minorBidi"/>
                <w:b/>
                <w:bCs/>
                <w:sz w:val="24"/>
              </w:rPr>
              <w:lastRenderedPageBreak/>
              <w:br w:type="page"/>
              <w:t>Specific consultation questions</w:t>
            </w:r>
          </w:p>
          <w:p w14:paraId="7B3B0D23" w14:textId="77777777" w:rsidR="00E816E1" w:rsidRPr="00E668EC" w:rsidRDefault="00E816E1" w:rsidP="00E816E1">
            <w:pPr>
              <w:spacing w:after="21"/>
              <w:jc w:val="center"/>
              <w:rPr>
                <w:rFonts w:asciiTheme="minorBidi" w:hAnsiTheme="minorBidi"/>
                <w:b/>
                <w:bCs/>
                <w:sz w:val="24"/>
              </w:rPr>
            </w:pPr>
          </w:p>
        </w:tc>
        <w:tc>
          <w:tcPr>
            <w:tcW w:w="9355" w:type="dxa"/>
            <w:shd w:val="clear" w:color="auto" w:fill="D6E3BC" w:themeFill="accent3" w:themeFillTint="66"/>
          </w:tcPr>
          <w:p w14:paraId="2373ECE8" w14:textId="77777777" w:rsidR="00E816E1" w:rsidRPr="00E668EC" w:rsidRDefault="00E816E1" w:rsidP="00E816E1">
            <w:pPr>
              <w:spacing w:after="21"/>
              <w:jc w:val="center"/>
              <w:rPr>
                <w:rFonts w:asciiTheme="minorBidi" w:hAnsiTheme="minorBidi"/>
                <w:b/>
                <w:bCs/>
                <w:sz w:val="24"/>
              </w:rPr>
            </w:pPr>
            <w:r w:rsidRPr="00E668EC">
              <w:rPr>
                <w:rFonts w:asciiTheme="minorBidi" w:hAnsiTheme="minorBidi"/>
                <w:b/>
                <w:bCs/>
                <w:sz w:val="24"/>
              </w:rPr>
              <w:t>ONR’s views</w:t>
            </w:r>
          </w:p>
        </w:tc>
      </w:tr>
      <w:tr w:rsidR="00E816E1" w14:paraId="3B88C2AE" w14:textId="77777777" w:rsidTr="00E816E1">
        <w:trPr>
          <w:trHeight w:val="300"/>
        </w:trPr>
        <w:tc>
          <w:tcPr>
            <w:tcW w:w="6380" w:type="dxa"/>
          </w:tcPr>
          <w:p w14:paraId="06D0E576" w14:textId="77777777" w:rsidR="00E816E1" w:rsidRDefault="00E816E1" w:rsidP="00E816E1">
            <w:pPr>
              <w:jc w:val="both"/>
              <w:rPr>
                <w:rFonts w:asciiTheme="minorBidi" w:hAnsiTheme="minorBidi"/>
                <w:sz w:val="24"/>
              </w:rPr>
            </w:pPr>
            <w:r w:rsidRPr="786662DF">
              <w:rPr>
                <w:rFonts w:asciiTheme="minorBidi" w:hAnsiTheme="minorBidi"/>
                <w:sz w:val="24"/>
              </w:rPr>
              <w:t>Question 7: What do you think are the opportunities and challenges associated with other potential uses for nuclear power? Please explain your answer.</w:t>
            </w:r>
          </w:p>
          <w:p w14:paraId="16FF9D63" w14:textId="77777777" w:rsidR="00E816E1" w:rsidRDefault="00E816E1" w:rsidP="00E816E1">
            <w:pPr>
              <w:rPr>
                <w:rFonts w:asciiTheme="minorBidi" w:hAnsiTheme="minorBidi"/>
                <w:sz w:val="24"/>
              </w:rPr>
            </w:pPr>
          </w:p>
        </w:tc>
        <w:tc>
          <w:tcPr>
            <w:tcW w:w="9355" w:type="dxa"/>
          </w:tcPr>
          <w:p w14:paraId="6745974F" w14:textId="77777777" w:rsidR="00E816E1" w:rsidRDefault="00E816E1" w:rsidP="00E816E1">
            <w:pPr>
              <w:rPr>
                <w:rFonts w:asciiTheme="minorBidi" w:hAnsiTheme="minorBidi"/>
                <w:color w:val="111111"/>
                <w:sz w:val="24"/>
              </w:rPr>
            </w:pPr>
            <w:r w:rsidRPr="77B29FA8">
              <w:rPr>
                <w:rFonts w:asciiTheme="minorBidi" w:hAnsiTheme="minorBidi"/>
                <w:color w:val="111111"/>
                <w:sz w:val="24"/>
              </w:rPr>
              <w:t xml:space="preserve">Under </w:t>
            </w:r>
            <w:r w:rsidRPr="046788CB">
              <w:rPr>
                <w:rFonts w:asciiTheme="minorBidi" w:hAnsiTheme="minorBidi"/>
                <w:color w:val="111111"/>
                <w:sz w:val="24"/>
              </w:rPr>
              <w:t xml:space="preserve">Section </w:t>
            </w:r>
            <w:r w:rsidRPr="3C3EEE50">
              <w:rPr>
                <w:rFonts w:asciiTheme="minorBidi" w:hAnsiTheme="minorBidi"/>
                <w:color w:val="111111"/>
                <w:sz w:val="24"/>
              </w:rPr>
              <w:t>1</w:t>
            </w:r>
            <w:r w:rsidRPr="610138F7">
              <w:rPr>
                <w:rFonts w:asciiTheme="minorBidi" w:hAnsiTheme="minorBidi"/>
                <w:color w:val="111111"/>
                <w:sz w:val="24"/>
              </w:rPr>
              <w:t xml:space="preserve"> </w:t>
            </w:r>
            <w:r w:rsidRPr="3C3EEE50">
              <w:rPr>
                <w:rFonts w:asciiTheme="minorBidi" w:hAnsiTheme="minorBidi"/>
                <w:color w:val="111111"/>
                <w:sz w:val="24"/>
              </w:rPr>
              <w:t>(</w:t>
            </w:r>
            <w:r w:rsidRPr="2E586E89">
              <w:rPr>
                <w:rFonts w:asciiTheme="minorBidi" w:hAnsiTheme="minorBidi"/>
                <w:color w:val="111111"/>
                <w:sz w:val="24"/>
              </w:rPr>
              <w:t xml:space="preserve">subsection </w:t>
            </w:r>
            <w:r w:rsidRPr="04534EFF">
              <w:rPr>
                <w:rFonts w:asciiTheme="minorBidi" w:hAnsiTheme="minorBidi"/>
                <w:color w:val="111111"/>
                <w:sz w:val="24"/>
              </w:rPr>
              <w:t>(</w:t>
            </w:r>
            <w:r w:rsidRPr="3C3EEE50">
              <w:rPr>
                <w:rFonts w:asciiTheme="minorBidi" w:hAnsiTheme="minorBidi"/>
                <w:color w:val="111111"/>
                <w:sz w:val="24"/>
              </w:rPr>
              <w:t>1)</w:t>
            </w:r>
            <w:r w:rsidRPr="4F84C651">
              <w:rPr>
                <w:rFonts w:asciiTheme="minorBidi" w:hAnsiTheme="minorBidi"/>
                <w:color w:val="111111"/>
                <w:sz w:val="24"/>
              </w:rPr>
              <w:t xml:space="preserve"> (a</w:t>
            </w:r>
            <w:r w:rsidRPr="2E586E89">
              <w:rPr>
                <w:rFonts w:asciiTheme="minorBidi" w:hAnsiTheme="minorBidi"/>
                <w:color w:val="111111"/>
                <w:sz w:val="24"/>
              </w:rPr>
              <w:t>))</w:t>
            </w:r>
            <w:r w:rsidRPr="4F84C651">
              <w:rPr>
                <w:rFonts w:asciiTheme="minorBidi" w:hAnsiTheme="minorBidi"/>
                <w:color w:val="111111"/>
                <w:sz w:val="24"/>
              </w:rPr>
              <w:t xml:space="preserve"> of </w:t>
            </w:r>
            <w:r w:rsidRPr="32A0C2DE">
              <w:rPr>
                <w:rFonts w:asciiTheme="minorBidi" w:hAnsiTheme="minorBidi"/>
                <w:color w:val="111111"/>
                <w:sz w:val="24"/>
              </w:rPr>
              <w:t xml:space="preserve">the </w:t>
            </w:r>
            <w:r w:rsidRPr="6DDD5E1F">
              <w:rPr>
                <w:rFonts w:asciiTheme="minorBidi" w:hAnsiTheme="minorBidi"/>
                <w:color w:val="111111"/>
                <w:sz w:val="24"/>
              </w:rPr>
              <w:t xml:space="preserve">Nuclear Installations </w:t>
            </w:r>
            <w:r w:rsidRPr="2F0DF828">
              <w:rPr>
                <w:rFonts w:asciiTheme="minorBidi" w:hAnsiTheme="minorBidi"/>
                <w:color w:val="111111"/>
                <w:sz w:val="24"/>
              </w:rPr>
              <w:t xml:space="preserve">Act </w:t>
            </w:r>
            <w:r w:rsidRPr="593A53B8">
              <w:rPr>
                <w:rFonts w:asciiTheme="minorBidi" w:hAnsiTheme="minorBidi"/>
                <w:color w:val="111111"/>
                <w:sz w:val="24"/>
              </w:rPr>
              <w:t>1965,</w:t>
            </w:r>
            <w:r w:rsidRPr="6DDD5E1F">
              <w:rPr>
                <w:rFonts w:asciiTheme="minorBidi" w:hAnsiTheme="minorBidi"/>
                <w:color w:val="111111"/>
                <w:sz w:val="24"/>
              </w:rPr>
              <w:t xml:space="preserve"> </w:t>
            </w:r>
            <w:r w:rsidRPr="468918A7">
              <w:rPr>
                <w:rFonts w:asciiTheme="minorBidi" w:hAnsiTheme="minorBidi"/>
                <w:color w:val="111111"/>
                <w:sz w:val="24"/>
              </w:rPr>
              <w:t>“</w:t>
            </w:r>
            <w:r w:rsidRPr="2DD57117">
              <w:rPr>
                <w:rFonts w:asciiTheme="minorBidi" w:hAnsiTheme="minorBidi"/>
                <w:color w:val="111111"/>
                <w:sz w:val="24"/>
              </w:rPr>
              <w:t xml:space="preserve">a nuclear reactor </w:t>
            </w:r>
            <w:r w:rsidRPr="66A9E7DB">
              <w:rPr>
                <w:rFonts w:asciiTheme="minorBidi" w:hAnsiTheme="minorBidi"/>
                <w:color w:val="111111"/>
                <w:sz w:val="24"/>
              </w:rPr>
              <w:t xml:space="preserve">comprised in a </w:t>
            </w:r>
            <w:r w:rsidRPr="2BE76067">
              <w:rPr>
                <w:rFonts w:asciiTheme="minorBidi" w:hAnsiTheme="minorBidi"/>
                <w:color w:val="111111"/>
                <w:sz w:val="24"/>
              </w:rPr>
              <w:t>means of transport</w:t>
            </w:r>
            <w:r w:rsidRPr="17C88167">
              <w:rPr>
                <w:rFonts w:asciiTheme="minorBidi" w:hAnsiTheme="minorBidi"/>
                <w:color w:val="111111"/>
                <w:sz w:val="24"/>
              </w:rPr>
              <w:t>”</w:t>
            </w:r>
            <w:r w:rsidRPr="2BE76067">
              <w:rPr>
                <w:rFonts w:asciiTheme="minorBidi" w:hAnsiTheme="minorBidi"/>
                <w:color w:val="111111"/>
                <w:sz w:val="24"/>
              </w:rPr>
              <w:t xml:space="preserve"> </w:t>
            </w:r>
            <w:r w:rsidRPr="2F1E69B1">
              <w:rPr>
                <w:rFonts w:asciiTheme="minorBidi" w:hAnsiTheme="minorBidi"/>
                <w:color w:val="111111"/>
                <w:sz w:val="24"/>
              </w:rPr>
              <w:t xml:space="preserve">does not </w:t>
            </w:r>
            <w:r w:rsidRPr="36CBF3C2">
              <w:rPr>
                <w:rFonts w:asciiTheme="minorBidi" w:hAnsiTheme="minorBidi"/>
                <w:color w:val="111111"/>
                <w:sz w:val="24"/>
              </w:rPr>
              <w:t xml:space="preserve">require a nuclear site </w:t>
            </w:r>
            <w:r w:rsidRPr="53015E02">
              <w:rPr>
                <w:rFonts w:asciiTheme="minorBidi" w:hAnsiTheme="minorBidi"/>
                <w:color w:val="111111"/>
                <w:sz w:val="24"/>
              </w:rPr>
              <w:t xml:space="preserve">licence. </w:t>
            </w:r>
            <w:r w:rsidRPr="1995B000">
              <w:rPr>
                <w:rFonts w:asciiTheme="minorBidi" w:hAnsiTheme="minorBidi"/>
                <w:color w:val="111111"/>
                <w:sz w:val="24"/>
              </w:rPr>
              <w:t xml:space="preserve">Under current </w:t>
            </w:r>
            <w:r w:rsidRPr="5AC64A08">
              <w:rPr>
                <w:rFonts w:asciiTheme="minorBidi" w:hAnsiTheme="minorBidi"/>
                <w:color w:val="111111"/>
                <w:sz w:val="24"/>
              </w:rPr>
              <w:t>legislation ONR</w:t>
            </w:r>
            <w:r w:rsidRPr="53015E02">
              <w:rPr>
                <w:rFonts w:asciiTheme="minorBidi" w:hAnsiTheme="minorBidi"/>
                <w:color w:val="111111"/>
                <w:sz w:val="24"/>
              </w:rPr>
              <w:t xml:space="preserve"> would </w:t>
            </w:r>
            <w:r w:rsidRPr="0AD8C388">
              <w:rPr>
                <w:rFonts w:asciiTheme="minorBidi" w:hAnsiTheme="minorBidi"/>
                <w:color w:val="111111"/>
                <w:sz w:val="24"/>
              </w:rPr>
              <w:t xml:space="preserve">therefore have no </w:t>
            </w:r>
            <w:r w:rsidRPr="4C5544EB">
              <w:rPr>
                <w:rFonts w:asciiTheme="minorBidi" w:hAnsiTheme="minorBidi"/>
                <w:color w:val="111111"/>
                <w:sz w:val="24"/>
              </w:rPr>
              <w:t xml:space="preserve">vires for the </w:t>
            </w:r>
            <w:r w:rsidRPr="0669332D">
              <w:rPr>
                <w:rFonts w:asciiTheme="minorBidi" w:hAnsiTheme="minorBidi"/>
                <w:color w:val="111111"/>
                <w:sz w:val="24"/>
              </w:rPr>
              <w:t>regulation of</w:t>
            </w:r>
            <w:r>
              <w:rPr>
                <w:rFonts w:asciiTheme="minorBidi" w:hAnsiTheme="minorBidi"/>
                <w:color w:val="111111"/>
                <w:sz w:val="24"/>
              </w:rPr>
              <w:t xml:space="preserve"> safety of</w:t>
            </w:r>
            <w:r w:rsidRPr="0669332D">
              <w:rPr>
                <w:rFonts w:asciiTheme="minorBidi" w:hAnsiTheme="minorBidi"/>
                <w:color w:val="111111"/>
                <w:sz w:val="24"/>
              </w:rPr>
              <w:t xml:space="preserve"> </w:t>
            </w:r>
            <w:r w:rsidRPr="56D03602">
              <w:rPr>
                <w:rFonts w:asciiTheme="minorBidi" w:hAnsiTheme="minorBidi"/>
                <w:color w:val="111111"/>
                <w:sz w:val="24"/>
              </w:rPr>
              <w:t xml:space="preserve">‘at </w:t>
            </w:r>
            <w:r w:rsidRPr="1AA98BBC">
              <w:rPr>
                <w:rFonts w:asciiTheme="minorBidi" w:hAnsiTheme="minorBidi"/>
                <w:color w:val="111111"/>
                <w:sz w:val="24"/>
              </w:rPr>
              <w:t>sea’</w:t>
            </w:r>
            <w:r w:rsidRPr="3BBF1907">
              <w:rPr>
                <w:rFonts w:asciiTheme="minorBidi" w:hAnsiTheme="minorBidi"/>
                <w:color w:val="111111"/>
                <w:sz w:val="24"/>
              </w:rPr>
              <w:t xml:space="preserve"> </w:t>
            </w:r>
            <w:r w:rsidRPr="0CDE362D">
              <w:rPr>
                <w:rFonts w:asciiTheme="minorBidi" w:hAnsiTheme="minorBidi"/>
                <w:color w:val="111111"/>
                <w:sz w:val="24"/>
              </w:rPr>
              <w:t xml:space="preserve">reactors </w:t>
            </w:r>
            <w:r w:rsidRPr="39FCA418">
              <w:rPr>
                <w:rFonts w:asciiTheme="minorBidi" w:hAnsiTheme="minorBidi"/>
                <w:color w:val="111111"/>
                <w:sz w:val="24"/>
              </w:rPr>
              <w:t>used</w:t>
            </w:r>
            <w:r w:rsidRPr="7F3A1CA3">
              <w:rPr>
                <w:rFonts w:asciiTheme="minorBidi" w:hAnsiTheme="minorBidi"/>
                <w:color w:val="111111"/>
                <w:sz w:val="24"/>
              </w:rPr>
              <w:t xml:space="preserve"> for maritime </w:t>
            </w:r>
            <w:r w:rsidRPr="228C32AB">
              <w:rPr>
                <w:rFonts w:asciiTheme="minorBidi" w:hAnsiTheme="minorBidi"/>
                <w:color w:val="111111"/>
                <w:sz w:val="24"/>
              </w:rPr>
              <w:t>propulsion.</w:t>
            </w:r>
          </w:p>
          <w:p w14:paraId="73CAA250" w14:textId="77777777" w:rsidR="00E816E1" w:rsidRDefault="00E816E1" w:rsidP="00E816E1">
            <w:pPr>
              <w:rPr>
                <w:rFonts w:asciiTheme="minorBidi" w:hAnsiTheme="minorBidi"/>
                <w:color w:val="111111"/>
                <w:sz w:val="24"/>
              </w:rPr>
            </w:pPr>
          </w:p>
          <w:p w14:paraId="3FC1D77D" w14:textId="77777777" w:rsidR="00E816E1" w:rsidRDefault="00E816E1" w:rsidP="00E816E1">
            <w:pPr>
              <w:rPr>
                <w:rFonts w:asciiTheme="minorBidi" w:hAnsiTheme="minorBidi"/>
                <w:color w:val="111111"/>
                <w:sz w:val="24"/>
              </w:rPr>
            </w:pPr>
            <w:r w:rsidRPr="575B52D0">
              <w:rPr>
                <w:rFonts w:asciiTheme="minorBidi" w:hAnsiTheme="minorBidi"/>
                <w:color w:val="111111"/>
                <w:sz w:val="24"/>
              </w:rPr>
              <w:t>Similarly</w:t>
            </w:r>
            <w:r w:rsidRPr="14D1E61D">
              <w:rPr>
                <w:rFonts w:asciiTheme="minorBidi" w:hAnsiTheme="minorBidi"/>
                <w:color w:val="111111"/>
                <w:sz w:val="24"/>
              </w:rPr>
              <w:t xml:space="preserve"> it is unclear </w:t>
            </w:r>
            <w:r w:rsidRPr="46598B6F">
              <w:rPr>
                <w:rFonts w:asciiTheme="minorBidi" w:hAnsiTheme="minorBidi"/>
                <w:color w:val="111111"/>
                <w:sz w:val="24"/>
              </w:rPr>
              <w:t xml:space="preserve">how the current </w:t>
            </w:r>
            <w:r w:rsidRPr="559284ED">
              <w:rPr>
                <w:rFonts w:asciiTheme="minorBidi" w:hAnsiTheme="minorBidi"/>
                <w:color w:val="111111"/>
                <w:sz w:val="24"/>
              </w:rPr>
              <w:t xml:space="preserve">legislation would be applied </w:t>
            </w:r>
            <w:r w:rsidRPr="36E51C1F">
              <w:rPr>
                <w:rFonts w:asciiTheme="minorBidi" w:hAnsiTheme="minorBidi"/>
                <w:color w:val="111111"/>
                <w:sz w:val="24"/>
              </w:rPr>
              <w:t xml:space="preserve">to the regulation of </w:t>
            </w:r>
            <w:r w:rsidRPr="55547E6A">
              <w:rPr>
                <w:rFonts w:asciiTheme="minorBidi" w:hAnsiTheme="minorBidi"/>
                <w:color w:val="111111"/>
                <w:sz w:val="24"/>
              </w:rPr>
              <w:t xml:space="preserve">transportable nuclear </w:t>
            </w:r>
            <w:r w:rsidRPr="31BD7174">
              <w:rPr>
                <w:rFonts w:asciiTheme="minorBidi" w:hAnsiTheme="minorBidi"/>
                <w:color w:val="111111"/>
                <w:sz w:val="24"/>
              </w:rPr>
              <w:t xml:space="preserve">reactors. </w:t>
            </w:r>
            <w:r w:rsidRPr="5FCF6F81">
              <w:rPr>
                <w:rFonts w:asciiTheme="minorBidi" w:hAnsiTheme="minorBidi"/>
                <w:color w:val="111111"/>
                <w:sz w:val="24"/>
              </w:rPr>
              <w:t xml:space="preserve">We note that planned </w:t>
            </w:r>
            <w:r w:rsidRPr="778BC849">
              <w:rPr>
                <w:rFonts w:asciiTheme="minorBidi" w:hAnsiTheme="minorBidi"/>
                <w:color w:val="111111"/>
                <w:sz w:val="24"/>
              </w:rPr>
              <w:t xml:space="preserve">amendments to </w:t>
            </w:r>
            <w:r w:rsidRPr="64038A0A">
              <w:rPr>
                <w:rFonts w:asciiTheme="minorBidi" w:hAnsiTheme="minorBidi"/>
                <w:color w:val="111111"/>
                <w:sz w:val="24"/>
              </w:rPr>
              <w:t xml:space="preserve">the Nuclear </w:t>
            </w:r>
            <w:r w:rsidRPr="5828D5DC">
              <w:rPr>
                <w:rFonts w:asciiTheme="minorBidi" w:hAnsiTheme="minorBidi"/>
                <w:color w:val="111111"/>
                <w:sz w:val="24"/>
              </w:rPr>
              <w:t xml:space="preserve">Installations </w:t>
            </w:r>
            <w:r w:rsidRPr="6B6C1D2C">
              <w:rPr>
                <w:rFonts w:asciiTheme="minorBidi" w:hAnsiTheme="minorBidi"/>
                <w:color w:val="111111"/>
                <w:sz w:val="24"/>
              </w:rPr>
              <w:t>Act 1965</w:t>
            </w:r>
            <w:r w:rsidRPr="5638CBF3">
              <w:rPr>
                <w:rFonts w:asciiTheme="minorBidi" w:hAnsiTheme="minorBidi"/>
                <w:color w:val="111111"/>
                <w:sz w:val="24"/>
              </w:rPr>
              <w:t xml:space="preserve"> </w:t>
            </w:r>
            <w:r w:rsidRPr="3067C6F2">
              <w:rPr>
                <w:rFonts w:asciiTheme="minorBidi" w:hAnsiTheme="minorBidi"/>
                <w:color w:val="111111"/>
                <w:sz w:val="24"/>
              </w:rPr>
              <w:t xml:space="preserve">will </w:t>
            </w:r>
            <w:r w:rsidRPr="6873E3B3">
              <w:rPr>
                <w:rFonts w:asciiTheme="minorBidi" w:hAnsiTheme="minorBidi"/>
                <w:color w:val="111111"/>
                <w:sz w:val="24"/>
              </w:rPr>
              <w:t xml:space="preserve">give </w:t>
            </w:r>
            <w:r>
              <w:rPr>
                <w:rFonts w:asciiTheme="minorBidi" w:hAnsiTheme="minorBidi"/>
                <w:color w:val="111111"/>
                <w:sz w:val="24"/>
              </w:rPr>
              <w:t>ONR</w:t>
            </w:r>
            <w:r w:rsidRPr="6873E3B3">
              <w:rPr>
                <w:rFonts w:asciiTheme="minorBidi" w:hAnsiTheme="minorBidi"/>
                <w:color w:val="111111"/>
                <w:sz w:val="24"/>
              </w:rPr>
              <w:t xml:space="preserve"> the </w:t>
            </w:r>
            <w:r w:rsidRPr="57282E30">
              <w:rPr>
                <w:rFonts w:asciiTheme="minorBidi" w:hAnsiTheme="minorBidi"/>
                <w:color w:val="111111"/>
                <w:sz w:val="24"/>
              </w:rPr>
              <w:t xml:space="preserve">power to regulate </w:t>
            </w:r>
            <w:r w:rsidRPr="557C83BE">
              <w:rPr>
                <w:rFonts w:asciiTheme="minorBidi" w:hAnsiTheme="minorBidi"/>
                <w:color w:val="111111"/>
                <w:sz w:val="24"/>
              </w:rPr>
              <w:t xml:space="preserve">sites </w:t>
            </w:r>
            <w:r w:rsidRPr="04547CF4">
              <w:rPr>
                <w:rFonts w:asciiTheme="minorBidi" w:hAnsiTheme="minorBidi"/>
                <w:color w:val="111111"/>
                <w:sz w:val="24"/>
              </w:rPr>
              <w:t>“</w:t>
            </w:r>
            <w:r w:rsidRPr="5707E296">
              <w:rPr>
                <w:rFonts w:asciiTheme="minorBidi" w:hAnsiTheme="minorBidi"/>
                <w:color w:val="111111"/>
                <w:sz w:val="24"/>
              </w:rPr>
              <w:t xml:space="preserve">situated </w:t>
            </w:r>
            <w:r w:rsidRPr="3C6067DF">
              <w:rPr>
                <w:rFonts w:asciiTheme="minorBidi" w:hAnsiTheme="minorBidi"/>
                <w:color w:val="111111"/>
                <w:sz w:val="24"/>
              </w:rPr>
              <w:t xml:space="preserve">wholly </w:t>
            </w:r>
            <w:r w:rsidRPr="74A40059">
              <w:rPr>
                <w:rFonts w:asciiTheme="minorBidi" w:hAnsiTheme="minorBidi"/>
                <w:color w:val="111111"/>
                <w:sz w:val="24"/>
              </w:rPr>
              <w:t xml:space="preserve">or partly </w:t>
            </w:r>
            <w:r w:rsidRPr="01A0711C">
              <w:rPr>
                <w:rFonts w:asciiTheme="minorBidi" w:hAnsiTheme="minorBidi"/>
                <w:color w:val="111111"/>
                <w:sz w:val="24"/>
              </w:rPr>
              <w:t xml:space="preserve">in </w:t>
            </w:r>
            <w:r w:rsidRPr="75F3E95F">
              <w:rPr>
                <w:rFonts w:asciiTheme="minorBidi" w:hAnsiTheme="minorBidi"/>
                <w:color w:val="111111"/>
                <w:sz w:val="24"/>
              </w:rPr>
              <w:t xml:space="preserve">or under </w:t>
            </w:r>
            <w:r w:rsidRPr="7B394EF3">
              <w:rPr>
                <w:rFonts w:asciiTheme="minorBidi" w:hAnsiTheme="minorBidi"/>
                <w:color w:val="111111"/>
                <w:sz w:val="24"/>
              </w:rPr>
              <w:t xml:space="preserve">the territorial </w:t>
            </w:r>
            <w:r w:rsidRPr="75F3E95F">
              <w:rPr>
                <w:rFonts w:asciiTheme="minorBidi" w:hAnsiTheme="minorBidi"/>
                <w:color w:val="111111"/>
                <w:sz w:val="24"/>
              </w:rPr>
              <w:t>sea</w:t>
            </w:r>
            <w:r w:rsidRPr="7B394EF3">
              <w:rPr>
                <w:rFonts w:asciiTheme="minorBidi" w:hAnsiTheme="minorBidi"/>
                <w:color w:val="111111"/>
                <w:sz w:val="24"/>
              </w:rPr>
              <w:t xml:space="preserve"> </w:t>
            </w:r>
            <w:r w:rsidRPr="52BF8E41">
              <w:rPr>
                <w:rFonts w:asciiTheme="minorBidi" w:hAnsiTheme="minorBidi"/>
                <w:color w:val="111111"/>
                <w:sz w:val="24"/>
              </w:rPr>
              <w:t xml:space="preserve">adjacent to the </w:t>
            </w:r>
            <w:r w:rsidRPr="12447DD8">
              <w:rPr>
                <w:rFonts w:asciiTheme="minorBidi" w:hAnsiTheme="minorBidi"/>
                <w:color w:val="111111"/>
                <w:sz w:val="24"/>
              </w:rPr>
              <w:t>United Kingdom</w:t>
            </w:r>
            <w:r w:rsidRPr="112A4928">
              <w:rPr>
                <w:rFonts w:asciiTheme="minorBidi" w:hAnsiTheme="minorBidi"/>
                <w:color w:val="111111"/>
                <w:sz w:val="24"/>
              </w:rPr>
              <w:t>”,</w:t>
            </w:r>
            <w:r w:rsidRPr="6269B1E7">
              <w:rPr>
                <w:rFonts w:asciiTheme="minorBidi" w:hAnsiTheme="minorBidi"/>
                <w:color w:val="111111"/>
                <w:sz w:val="24"/>
              </w:rPr>
              <w:t xml:space="preserve"> but it </w:t>
            </w:r>
            <w:r w:rsidRPr="0DB0D9A0">
              <w:rPr>
                <w:rFonts w:asciiTheme="minorBidi" w:hAnsiTheme="minorBidi"/>
                <w:color w:val="111111"/>
                <w:sz w:val="24"/>
              </w:rPr>
              <w:t xml:space="preserve">is </w:t>
            </w:r>
            <w:r w:rsidRPr="0C052F2E">
              <w:rPr>
                <w:rFonts w:asciiTheme="minorBidi" w:hAnsiTheme="minorBidi"/>
                <w:color w:val="111111"/>
                <w:sz w:val="24"/>
              </w:rPr>
              <w:t xml:space="preserve">not clear </w:t>
            </w:r>
            <w:r w:rsidRPr="5ECFF6C5">
              <w:rPr>
                <w:rFonts w:asciiTheme="minorBidi" w:hAnsiTheme="minorBidi"/>
                <w:color w:val="111111"/>
                <w:sz w:val="24"/>
              </w:rPr>
              <w:t xml:space="preserve">which </w:t>
            </w:r>
            <w:r w:rsidRPr="3E6FF319">
              <w:rPr>
                <w:rFonts w:asciiTheme="minorBidi" w:hAnsiTheme="minorBidi"/>
                <w:color w:val="111111"/>
                <w:sz w:val="24"/>
              </w:rPr>
              <w:t>body would be responsible for regulation</w:t>
            </w:r>
            <w:r w:rsidRPr="5480A16F">
              <w:rPr>
                <w:rFonts w:asciiTheme="minorBidi" w:hAnsiTheme="minorBidi"/>
                <w:color w:val="111111"/>
                <w:sz w:val="24"/>
              </w:rPr>
              <w:t xml:space="preserve"> of </w:t>
            </w:r>
            <w:r w:rsidRPr="7049D8BA">
              <w:rPr>
                <w:rFonts w:asciiTheme="minorBidi" w:hAnsiTheme="minorBidi"/>
                <w:color w:val="111111"/>
                <w:sz w:val="24"/>
              </w:rPr>
              <w:t>transportable</w:t>
            </w:r>
            <w:r w:rsidRPr="5480A16F">
              <w:rPr>
                <w:rFonts w:asciiTheme="minorBidi" w:hAnsiTheme="minorBidi"/>
                <w:color w:val="111111"/>
                <w:sz w:val="24"/>
              </w:rPr>
              <w:t xml:space="preserve"> </w:t>
            </w:r>
            <w:r w:rsidRPr="4A5197B3">
              <w:rPr>
                <w:rFonts w:asciiTheme="minorBidi" w:hAnsiTheme="minorBidi"/>
                <w:color w:val="111111"/>
                <w:sz w:val="24"/>
              </w:rPr>
              <w:t xml:space="preserve">reactors while </w:t>
            </w:r>
            <w:r w:rsidRPr="2130C5B2">
              <w:rPr>
                <w:rFonts w:asciiTheme="minorBidi" w:hAnsiTheme="minorBidi"/>
                <w:color w:val="111111"/>
                <w:sz w:val="24"/>
              </w:rPr>
              <w:t xml:space="preserve">in </w:t>
            </w:r>
            <w:r w:rsidRPr="72D9D0B5">
              <w:rPr>
                <w:rFonts w:asciiTheme="minorBidi" w:hAnsiTheme="minorBidi"/>
                <w:color w:val="111111"/>
                <w:sz w:val="24"/>
              </w:rPr>
              <w:t>transit.</w:t>
            </w:r>
          </w:p>
          <w:p w14:paraId="0A74BD24" w14:textId="77777777" w:rsidR="00E816E1" w:rsidRDefault="00E816E1" w:rsidP="00E816E1">
            <w:pPr>
              <w:rPr>
                <w:rFonts w:asciiTheme="minorBidi" w:hAnsiTheme="minorBidi"/>
                <w:color w:val="111111"/>
                <w:sz w:val="24"/>
              </w:rPr>
            </w:pPr>
          </w:p>
        </w:tc>
      </w:tr>
      <w:tr w:rsidR="00E816E1" w:rsidRPr="00E668EC" w14:paraId="08F5E063" w14:textId="77777777" w:rsidTr="00E816E1">
        <w:tc>
          <w:tcPr>
            <w:tcW w:w="6380" w:type="dxa"/>
          </w:tcPr>
          <w:p w14:paraId="08A15452" w14:textId="77777777" w:rsidR="00E816E1" w:rsidRPr="00E668EC" w:rsidRDefault="00E816E1" w:rsidP="00E816E1">
            <w:pPr>
              <w:spacing w:after="21"/>
              <w:rPr>
                <w:rFonts w:asciiTheme="minorBidi" w:hAnsiTheme="minorBidi"/>
                <w:sz w:val="24"/>
              </w:rPr>
            </w:pPr>
            <w:r w:rsidRPr="00E54142">
              <w:rPr>
                <w:rFonts w:asciiTheme="minorBidi" w:hAnsiTheme="minorBidi"/>
                <w:sz w:val="24"/>
              </w:rPr>
              <w:t>Question 8: To what extent do you agree that the current regulatory pathways cover new uses? Are there any areas that are not covered? Please explain your answer.</w:t>
            </w:r>
          </w:p>
        </w:tc>
        <w:tc>
          <w:tcPr>
            <w:tcW w:w="9355" w:type="dxa"/>
          </w:tcPr>
          <w:p w14:paraId="302C8FBA" w14:textId="77777777" w:rsidR="00E816E1" w:rsidRPr="00E85169" w:rsidRDefault="00E816E1" w:rsidP="00E816E1">
            <w:pPr>
              <w:spacing w:after="21"/>
              <w:rPr>
                <w:rFonts w:asciiTheme="minorBidi" w:hAnsiTheme="minorBidi"/>
                <w:color w:val="111111"/>
                <w:sz w:val="24"/>
              </w:rPr>
            </w:pPr>
            <w:r w:rsidRPr="00E85169">
              <w:rPr>
                <w:rFonts w:asciiTheme="minorBidi" w:hAnsiTheme="minorBidi"/>
                <w:color w:val="111111"/>
                <w:sz w:val="24"/>
              </w:rPr>
              <w:t xml:space="preserve">As an enabling regulator, we recognise that we have an important role to play in minimising regulatory uncertainty and burden around innovation. </w:t>
            </w:r>
          </w:p>
          <w:p w14:paraId="3892A66A" w14:textId="77777777" w:rsidR="00E816E1" w:rsidRPr="00E85169" w:rsidRDefault="00E816E1" w:rsidP="00E816E1">
            <w:pPr>
              <w:spacing w:after="21"/>
              <w:rPr>
                <w:rFonts w:asciiTheme="minorBidi" w:hAnsiTheme="minorBidi"/>
                <w:color w:val="111111"/>
                <w:sz w:val="24"/>
              </w:rPr>
            </w:pPr>
          </w:p>
          <w:p w14:paraId="6D071429" w14:textId="77777777" w:rsidR="00E816E1" w:rsidRPr="00E85169" w:rsidRDefault="00E816E1" w:rsidP="00E816E1">
            <w:pPr>
              <w:spacing w:after="21"/>
              <w:rPr>
                <w:rFonts w:asciiTheme="minorBidi" w:hAnsiTheme="minorBidi"/>
                <w:sz w:val="24"/>
              </w:rPr>
            </w:pPr>
            <w:r w:rsidRPr="11B00921">
              <w:rPr>
                <w:rFonts w:asciiTheme="minorBidi" w:hAnsiTheme="minorBidi"/>
                <w:sz w:val="24"/>
              </w:rPr>
              <w:t xml:space="preserve">The UK’s </w:t>
            </w:r>
            <w:r w:rsidRPr="0951552C">
              <w:rPr>
                <w:rFonts w:asciiTheme="minorBidi" w:hAnsiTheme="minorBidi"/>
                <w:sz w:val="24"/>
              </w:rPr>
              <w:t xml:space="preserve">goal </w:t>
            </w:r>
            <w:r w:rsidRPr="51A12BAC">
              <w:rPr>
                <w:rFonts w:asciiTheme="minorBidi" w:hAnsiTheme="minorBidi"/>
                <w:sz w:val="24"/>
              </w:rPr>
              <w:t xml:space="preserve">setting, </w:t>
            </w:r>
            <w:r w:rsidRPr="219E8C3E">
              <w:rPr>
                <w:rFonts w:asciiTheme="minorBidi" w:hAnsiTheme="minorBidi"/>
                <w:sz w:val="24"/>
              </w:rPr>
              <w:t>non-</w:t>
            </w:r>
            <w:r w:rsidRPr="24D59588">
              <w:rPr>
                <w:rFonts w:asciiTheme="minorBidi" w:hAnsiTheme="minorBidi"/>
                <w:sz w:val="24"/>
              </w:rPr>
              <w:t xml:space="preserve">prescriptive </w:t>
            </w:r>
            <w:r w:rsidRPr="50AB0AD9">
              <w:rPr>
                <w:rFonts w:asciiTheme="minorBidi" w:hAnsiTheme="minorBidi"/>
                <w:sz w:val="24"/>
              </w:rPr>
              <w:t xml:space="preserve">nuclear </w:t>
            </w:r>
            <w:r w:rsidRPr="7AB02A63">
              <w:rPr>
                <w:rFonts w:asciiTheme="minorBidi" w:hAnsiTheme="minorBidi"/>
                <w:sz w:val="24"/>
              </w:rPr>
              <w:t xml:space="preserve">regulatory </w:t>
            </w:r>
            <w:r w:rsidRPr="22E4F427">
              <w:rPr>
                <w:rFonts w:asciiTheme="minorBidi" w:hAnsiTheme="minorBidi"/>
                <w:sz w:val="24"/>
              </w:rPr>
              <w:t xml:space="preserve">framework </w:t>
            </w:r>
            <w:r w:rsidRPr="00E85169">
              <w:rPr>
                <w:rFonts w:asciiTheme="minorBidi" w:hAnsiTheme="minorBidi"/>
                <w:sz w:val="24"/>
              </w:rPr>
              <w:t xml:space="preserve">places </w:t>
            </w:r>
            <w:r w:rsidRPr="74F8D05E">
              <w:rPr>
                <w:rFonts w:asciiTheme="minorBidi" w:hAnsiTheme="minorBidi"/>
                <w:sz w:val="24"/>
              </w:rPr>
              <w:t>responsibility</w:t>
            </w:r>
            <w:r w:rsidRPr="00E85169">
              <w:rPr>
                <w:rFonts w:asciiTheme="minorBidi" w:hAnsiTheme="minorBidi"/>
                <w:sz w:val="24"/>
              </w:rPr>
              <w:t xml:space="preserve"> on </w:t>
            </w:r>
            <w:r w:rsidRPr="626DA35E">
              <w:rPr>
                <w:rFonts w:asciiTheme="minorBidi" w:hAnsiTheme="minorBidi"/>
                <w:sz w:val="24"/>
              </w:rPr>
              <w:t>those we regulate</w:t>
            </w:r>
            <w:r w:rsidRPr="00E85169">
              <w:rPr>
                <w:rFonts w:asciiTheme="minorBidi" w:hAnsiTheme="minorBidi"/>
                <w:sz w:val="24"/>
              </w:rPr>
              <w:t xml:space="preserve"> to achieve the high standards of safety and security required. </w:t>
            </w:r>
            <w:r w:rsidRPr="2AC1D99A">
              <w:rPr>
                <w:rFonts w:asciiTheme="minorBidi" w:hAnsiTheme="minorBidi"/>
                <w:sz w:val="24"/>
              </w:rPr>
              <w:t xml:space="preserve">Our regulatory guidance </w:t>
            </w:r>
            <w:r w:rsidRPr="4E13EFA1">
              <w:rPr>
                <w:rFonts w:asciiTheme="minorBidi" w:hAnsiTheme="minorBidi"/>
                <w:sz w:val="24"/>
              </w:rPr>
              <w:t xml:space="preserve">is </w:t>
            </w:r>
            <w:r w:rsidRPr="63339E86">
              <w:rPr>
                <w:rFonts w:asciiTheme="minorBidi" w:hAnsiTheme="minorBidi"/>
                <w:sz w:val="24"/>
              </w:rPr>
              <w:t xml:space="preserve">‘technology </w:t>
            </w:r>
            <w:r w:rsidRPr="74AD807B">
              <w:rPr>
                <w:rFonts w:asciiTheme="minorBidi" w:hAnsiTheme="minorBidi"/>
                <w:sz w:val="24"/>
              </w:rPr>
              <w:t>neutral’</w:t>
            </w:r>
            <w:r w:rsidRPr="15BCB4D3">
              <w:rPr>
                <w:rFonts w:asciiTheme="minorBidi" w:hAnsiTheme="minorBidi"/>
                <w:sz w:val="24"/>
              </w:rPr>
              <w:t xml:space="preserve"> in that it applies to all types of nuclear </w:t>
            </w:r>
            <w:r w:rsidRPr="03C6C5D8">
              <w:rPr>
                <w:rFonts w:asciiTheme="minorBidi" w:hAnsiTheme="minorBidi"/>
                <w:sz w:val="24"/>
              </w:rPr>
              <w:t>facility</w:t>
            </w:r>
            <w:r w:rsidRPr="2896F157">
              <w:rPr>
                <w:rFonts w:asciiTheme="minorBidi" w:hAnsiTheme="minorBidi"/>
                <w:sz w:val="24"/>
              </w:rPr>
              <w:t xml:space="preserve">, including fuel manufacturing, reprocessing </w:t>
            </w:r>
            <w:r w:rsidRPr="4424B2D0">
              <w:rPr>
                <w:rFonts w:asciiTheme="minorBidi" w:hAnsiTheme="minorBidi"/>
                <w:sz w:val="24"/>
              </w:rPr>
              <w:t>and waste management facilities, in addition</w:t>
            </w:r>
            <w:r w:rsidRPr="2E88ED48">
              <w:rPr>
                <w:rFonts w:asciiTheme="minorBidi" w:hAnsiTheme="minorBidi"/>
                <w:sz w:val="24"/>
              </w:rPr>
              <w:t xml:space="preserve"> </w:t>
            </w:r>
            <w:r w:rsidRPr="3FCF629C">
              <w:rPr>
                <w:rFonts w:asciiTheme="minorBidi" w:hAnsiTheme="minorBidi"/>
                <w:sz w:val="24"/>
              </w:rPr>
              <w:t xml:space="preserve">to nuclear power stations. </w:t>
            </w:r>
          </w:p>
          <w:p w14:paraId="439D5910" w14:textId="77777777" w:rsidR="00E816E1" w:rsidRPr="00E85169" w:rsidRDefault="00E816E1" w:rsidP="00E816E1">
            <w:pPr>
              <w:spacing w:after="21"/>
              <w:rPr>
                <w:rFonts w:asciiTheme="minorBidi" w:hAnsiTheme="minorBidi"/>
                <w:sz w:val="24"/>
              </w:rPr>
            </w:pPr>
          </w:p>
          <w:p w14:paraId="066E9182" w14:textId="77777777" w:rsidR="00E816E1" w:rsidRPr="00E85169" w:rsidRDefault="00E816E1" w:rsidP="00E816E1">
            <w:pPr>
              <w:spacing w:after="21"/>
              <w:rPr>
                <w:rFonts w:asciiTheme="minorBidi" w:hAnsiTheme="minorBidi"/>
                <w:sz w:val="24"/>
              </w:rPr>
            </w:pPr>
            <w:r w:rsidRPr="3FCF629C">
              <w:rPr>
                <w:rFonts w:asciiTheme="minorBidi" w:hAnsiTheme="minorBidi"/>
                <w:sz w:val="24"/>
              </w:rPr>
              <w:t>Under the D</w:t>
            </w:r>
            <w:r>
              <w:rPr>
                <w:rFonts w:asciiTheme="minorBidi" w:hAnsiTheme="minorBidi"/>
                <w:sz w:val="24"/>
              </w:rPr>
              <w:t>epartment’s</w:t>
            </w:r>
            <w:r w:rsidRPr="3FCF629C">
              <w:rPr>
                <w:rFonts w:asciiTheme="minorBidi" w:hAnsiTheme="minorBidi"/>
                <w:sz w:val="24"/>
              </w:rPr>
              <w:t xml:space="preserve"> funded Advanced Nuclear Technologies programme we have undertaken reviews of our regulatory framework to ensure fitness for purpose for the regulation of ANTs. These reviews concluded that the goal setting, technology neutral nature of our framework puts us in a good position to be ready to regulate ANTs.</w:t>
            </w:r>
          </w:p>
          <w:p w14:paraId="5AD0E1C5" w14:textId="77777777" w:rsidR="00E816E1" w:rsidRPr="00E85169" w:rsidRDefault="00E816E1" w:rsidP="00E816E1">
            <w:pPr>
              <w:spacing w:after="21"/>
              <w:rPr>
                <w:rFonts w:asciiTheme="minorBidi" w:hAnsiTheme="minorBidi"/>
                <w:sz w:val="24"/>
              </w:rPr>
            </w:pPr>
          </w:p>
          <w:p w14:paraId="1A722F97" w14:textId="77777777" w:rsidR="00E816E1" w:rsidRPr="00E85169" w:rsidRDefault="00E816E1" w:rsidP="00E816E1">
            <w:pPr>
              <w:pStyle w:val="ListParagraph"/>
              <w:spacing w:after="21"/>
              <w:ind w:left="0"/>
              <w:rPr>
                <w:rFonts w:asciiTheme="minorBidi" w:hAnsiTheme="minorBidi"/>
                <w:color w:val="111111"/>
                <w:sz w:val="24"/>
              </w:rPr>
            </w:pPr>
            <w:r w:rsidRPr="3FCF629C">
              <w:rPr>
                <w:rFonts w:asciiTheme="minorBidi" w:hAnsiTheme="minorBidi"/>
                <w:sz w:val="24"/>
              </w:rPr>
              <w:t xml:space="preserve">We have also prioritised the development of regulatory capability and capacity to regulate ANTs. We have </w:t>
            </w:r>
            <w:r w:rsidRPr="3FCF629C">
              <w:rPr>
                <w:rFonts w:asciiTheme="minorBidi" w:hAnsiTheme="minorBidi"/>
                <w:color w:val="111111"/>
                <w:sz w:val="24"/>
              </w:rPr>
              <w:t xml:space="preserve">developed and implemented training strategies, </w:t>
            </w:r>
            <w:r w:rsidRPr="3FCF629C">
              <w:rPr>
                <w:rFonts w:asciiTheme="minorBidi" w:hAnsiTheme="minorBidi"/>
                <w:sz w:val="24"/>
              </w:rPr>
              <w:t xml:space="preserve">invested in technical training on novel reactor design concepts </w:t>
            </w:r>
            <w:r w:rsidRPr="3FCF629C">
              <w:rPr>
                <w:rFonts w:asciiTheme="minorBidi" w:hAnsiTheme="minorBidi"/>
                <w:color w:val="111111"/>
                <w:sz w:val="24"/>
              </w:rPr>
              <w:t>to develop our knowledge and understanding of ANTs. This has enabled us to identify key safety, security and safeguards considerations, knowledge gaps and work priorities and to ensure that knowledge remains current and can be shared across ONR.</w:t>
            </w:r>
          </w:p>
          <w:p w14:paraId="29987259" w14:textId="77777777" w:rsidR="00E816E1" w:rsidRPr="00E85169" w:rsidRDefault="00E816E1" w:rsidP="00E816E1">
            <w:pPr>
              <w:spacing w:after="21"/>
              <w:rPr>
                <w:rFonts w:asciiTheme="minorBidi" w:hAnsiTheme="minorBidi"/>
                <w:sz w:val="24"/>
              </w:rPr>
            </w:pPr>
          </w:p>
          <w:p w14:paraId="5867868A" w14:textId="77777777" w:rsidR="00E816E1" w:rsidRPr="00E85169" w:rsidRDefault="00E816E1" w:rsidP="00E816E1">
            <w:pPr>
              <w:pStyle w:val="ListParagraph"/>
              <w:spacing w:after="21"/>
              <w:ind w:left="0"/>
              <w:rPr>
                <w:rFonts w:asciiTheme="minorBidi" w:hAnsiTheme="minorBidi"/>
                <w:sz w:val="24"/>
              </w:rPr>
            </w:pPr>
            <w:r w:rsidRPr="3FCF629C">
              <w:rPr>
                <w:rFonts w:asciiTheme="minorBidi" w:hAnsiTheme="minorBidi"/>
                <w:sz w:val="24"/>
              </w:rPr>
              <w:t xml:space="preserve">We are supporting </w:t>
            </w:r>
            <w:r w:rsidRPr="00E85169">
              <w:rPr>
                <w:rFonts w:asciiTheme="minorBidi" w:hAnsiTheme="minorBidi"/>
                <w:sz w:val="24"/>
              </w:rPr>
              <w:t xml:space="preserve">the government’s Advanced Modular Reactor Research, Development and Demonstration (AMR RD&amp;D) programme, which aims to deploy a demonstration High Temperature Gas Reactor </w:t>
            </w:r>
            <w:r w:rsidRPr="3FCF629C">
              <w:rPr>
                <w:rFonts w:asciiTheme="minorBidi" w:hAnsiTheme="minorBidi"/>
                <w:sz w:val="24"/>
              </w:rPr>
              <w:t xml:space="preserve">and TRISO fuel manufacturing facility </w:t>
            </w:r>
            <w:r w:rsidRPr="00E85169">
              <w:rPr>
                <w:rFonts w:asciiTheme="minorBidi" w:hAnsiTheme="minorBidi"/>
                <w:sz w:val="24"/>
              </w:rPr>
              <w:t>in the UK by the early 2030s. We are working closely with the Environment Agency on the delivery of targeted technical advice to technology vendors</w:t>
            </w:r>
            <w:r>
              <w:rPr>
                <w:rFonts w:asciiTheme="minorBidi" w:hAnsiTheme="minorBidi"/>
                <w:sz w:val="24"/>
              </w:rPr>
              <w:t xml:space="preserve"> </w:t>
            </w:r>
            <w:r w:rsidRPr="00E85169">
              <w:rPr>
                <w:rFonts w:asciiTheme="minorBidi" w:hAnsiTheme="minorBidi"/>
                <w:sz w:val="24"/>
              </w:rPr>
              <w:t xml:space="preserve">and advising the Department on regulatory aspects of the vendor proposals. </w:t>
            </w:r>
          </w:p>
          <w:p w14:paraId="16A13D8B" w14:textId="77777777" w:rsidR="00E816E1" w:rsidRPr="00E85169" w:rsidRDefault="00E816E1" w:rsidP="00E816E1">
            <w:pPr>
              <w:pStyle w:val="ListParagraph"/>
              <w:spacing w:after="21"/>
              <w:rPr>
                <w:rFonts w:asciiTheme="minorBidi" w:hAnsiTheme="minorBidi"/>
                <w:sz w:val="24"/>
              </w:rPr>
            </w:pPr>
          </w:p>
          <w:p w14:paraId="42C2B611" w14:textId="77777777" w:rsidR="00E816E1" w:rsidRPr="00840ADF" w:rsidRDefault="00E816E1" w:rsidP="00E816E1">
            <w:pPr>
              <w:pStyle w:val="ListParagraph"/>
              <w:spacing w:after="21"/>
              <w:ind w:left="0"/>
              <w:rPr>
                <w:rFonts w:asciiTheme="minorBidi" w:hAnsiTheme="minorBidi"/>
                <w:sz w:val="24"/>
              </w:rPr>
            </w:pPr>
            <w:r w:rsidRPr="3FCF629C">
              <w:rPr>
                <w:rFonts w:asciiTheme="minorBidi" w:hAnsiTheme="minorBidi"/>
                <w:sz w:val="24"/>
              </w:rPr>
              <w:t xml:space="preserve">In 2021 the government undertook its ‘post implementation review’ of ONR, considering our purpose and functions, governance and accountability, efficacy and efficiency. The review endorsed our effectiveness as a regulator and our readiness </w:t>
            </w:r>
            <w:r>
              <w:rPr>
                <w:rFonts w:asciiTheme="minorBidi" w:hAnsiTheme="minorBidi"/>
                <w:sz w:val="24"/>
              </w:rPr>
              <w:t>t</w:t>
            </w:r>
            <w:r w:rsidRPr="3FCF629C">
              <w:rPr>
                <w:rFonts w:asciiTheme="minorBidi" w:hAnsiTheme="minorBidi"/>
                <w:sz w:val="24"/>
              </w:rPr>
              <w:t>o regulate new nuclear, and made recommendations to support ongoing development of our approach to innovation, enabling regulation and targeted intervention.</w:t>
            </w:r>
          </w:p>
          <w:p w14:paraId="42CF8956" w14:textId="77777777" w:rsidR="00E816E1" w:rsidRPr="00E85169" w:rsidRDefault="00E816E1" w:rsidP="00E816E1">
            <w:pPr>
              <w:pStyle w:val="ListParagraph"/>
              <w:spacing w:after="21"/>
              <w:ind w:left="0"/>
              <w:textAlignment w:val="baseline"/>
              <w:rPr>
                <w:rFonts w:asciiTheme="minorBidi" w:hAnsiTheme="minorBidi"/>
                <w:color w:val="111111"/>
                <w:sz w:val="24"/>
              </w:rPr>
            </w:pPr>
          </w:p>
          <w:p w14:paraId="2ED475F2" w14:textId="77777777" w:rsidR="00E816E1" w:rsidRPr="00E85169" w:rsidRDefault="00E816E1" w:rsidP="00E816E1">
            <w:pPr>
              <w:pStyle w:val="ListParagraph"/>
              <w:spacing w:after="21"/>
              <w:ind w:left="0"/>
              <w:textAlignment w:val="baseline"/>
              <w:rPr>
                <w:rFonts w:asciiTheme="minorBidi" w:hAnsiTheme="minorBidi"/>
                <w:color w:val="111111"/>
                <w:sz w:val="24"/>
              </w:rPr>
            </w:pPr>
            <w:r w:rsidRPr="00E85169">
              <w:rPr>
                <w:rFonts w:asciiTheme="minorBidi" w:hAnsiTheme="minorBidi"/>
                <w:color w:val="111111"/>
                <w:sz w:val="24"/>
                <w:u w:val="single"/>
              </w:rPr>
              <w:t>International Recognition</w:t>
            </w:r>
            <w:r w:rsidRPr="00E85169">
              <w:rPr>
                <w:rFonts w:asciiTheme="minorBidi" w:hAnsiTheme="minorBidi"/>
                <w:color w:val="111111"/>
                <w:sz w:val="24"/>
              </w:rPr>
              <w:t xml:space="preserve">  </w:t>
            </w:r>
          </w:p>
          <w:p w14:paraId="27BD8641" w14:textId="77777777" w:rsidR="00E816E1" w:rsidRPr="00E85169" w:rsidRDefault="00E816E1" w:rsidP="00E816E1">
            <w:pPr>
              <w:spacing w:after="21"/>
              <w:rPr>
                <w:rFonts w:asciiTheme="minorBidi" w:hAnsiTheme="minorBidi"/>
                <w:sz w:val="24"/>
              </w:rPr>
            </w:pPr>
          </w:p>
          <w:p w14:paraId="2CD42E14" w14:textId="77777777" w:rsidR="00E816E1" w:rsidRPr="00E85169" w:rsidRDefault="00E816E1" w:rsidP="00E816E1">
            <w:pPr>
              <w:pStyle w:val="NormalWeb"/>
              <w:spacing w:before="0" w:beforeAutospacing="0" w:after="21" w:afterAutospacing="0"/>
              <w:rPr>
                <w:rFonts w:asciiTheme="minorBidi" w:eastAsiaTheme="minorEastAsia" w:hAnsiTheme="minorBidi" w:cstheme="minorBidi"/>
                <w:color w:val="111111"/>
                <w:lang w:eastAsia="en-US"/>
              </w:rPr>
            </w:pPr>
            <w:r>
              <w:rPr>
                <w:rFonts w:asciiTheme="minorBidi" w:eastAsiaTheme="minorEastAsia" w:hAnsiTheme="minorBidi" w:cstheme="minorBidi"/>
                <w:color w:val="111111"/>
                <w:lang w:eastAsia="en-US"/>
              </w:rPr>
              <w:t>Furthermore, t</w:t>
            </w:r>
            <w:r w:rsidRPr="3FCF629C">
              <w:rPr>
                <w:rFonts w:asciiTheme="minorBidi" w:eastAsiaTheme="minorEastAsia" w:hAnsiTheme="minorBidi" w:cstheme="minorBidi"/>
                <w:color w:val="111111"/>
                <w:lang w:eastAsia="en-US"/>
              </w:rPr>
              <w:t>he UK’s regulatory regime is also recognised internationally.  In January 2024 an international team of senior safety experts conducted an Integrated Regulatory Review Service (IRRS) follow-up mission, the purpose of which was to review the Advanced Reference Material (ARM) submitted by the UK which addressed the recommendations and suggestions made during the IRRS initial mission in October 2019. </w:t>
            </w:r>
          </w:p>
          <w:p w14:paraId="62F86D29" w14:textId="77777777" w:rsidR="00E816E1" w:rsidRPr="00E85169" w:rsidRDefault="00E816E1" w:rsidP="00E816E1">
            <w:pPr>
              <w:pStyle w:val="NormalWeb"/>
              <w:spacing w:before="0" w:beforeAutospacing="0" w:after="21" w:afterAutospacing="0"/>
              <w:rPr>
                <w:rFonts w:asciiTheme="minorBidi" w:eastAsiaTheme="minorHAnsi" w:hAnsiTheme="minorBidi" w:cstheme="minorBidi"/>
                <w:color w:val="111111"/>
                <w:lang w:eastAsia="en-US"/>
              </w:rPr>
            </w:pPr>
          </w:p>
          <w:p w14:paraId="6F80AB10" w14:textId="77777777" w:rsidR="00E816E1" w:rsidRPr="00E85169" w:rsidRDefault="00E816E1" w:rsidP="00E816E1">
            <w:pPr>
              <w:pStyle w:val="NormalWeb"/>
              <w:spacing w:before="0" w:beforeAutospacing="0" w:after="21" w:afterAutospacing="0"/>
              <w:rPr>
                <w:rFonts w:asciiTheme="minorBidi" w:eastAsiaTheme="minorEastAsia" w:hAnsiTheme="minorBidi" w:cstheme="minorBidi"/>
                <w:color w:val="111111"/>
                <w:lang w:eastAsia="en-US"/>
              </w:rPr>
            </w:pPr>
            <w:r w:rsidRPr="3FCF629C">
              <w:rPr>
                <w:rFonts w:asciiTheme="minorBidi" w:eastAsiaTheme="minorEastAsia" w:hAnsiTheme="minorBidi" w:cstheme="minorBidi"/>
                <w:color w:val="111111"/>
                <w:lang w:eastAsia="en-US"/>
              </w:rPr>
              <w:t>The IRRS team noted the significant achievements made and concluded that the UK showed a strong commitment and professionalism in carrying out their mandate to ensure that nuclear and radiation safety is implemented safely in the UK. In addition, the team identified four good performances in relation to: the Openness and Transparency Policy of ONR; the independent and transparent assessment of ONR’s culture; the nuclear site resource prioriti</w:t>
            </w:r>
            <w:r>
              <w:rPr>
                <w:rFonts w:asciiTheme="minorBidi" w:eastAsiaTheme="minorEastAsia" w:hAnsiTheme="minorBidi" w:cstheme="minorBidi"/>
                <w:color w:val="111111"/>
                <w:lang w:eastAsia="en-US"/>
              </w:rPr>
              <w:t>s</w:t>
            </w:r>
            <w:r w:rsidRPr="3FCF629C">
              <w:rPr>
                <w:rFonts w:asciiTheme="minorBidi" w:eastAsiaTheme="minorEastAsia" w:hAnsiTheme="minorBidi" w:cstheme="minorBidi"/>
                <w:color w:val="111111"/>
                <w:lang w:eastAsia="en-US"/>
              </w:rPr>
              <w:t>ation tool of the Environment Agency; and the UK framework’s Draft Standards and Guidance Status Spreadsheet. </w:t>
            </w:r>
          </w:p>
          <w:p w14:paraId="362F779B" w14:textId="77777777" w:rsidR="00E816E1" w:rsidRDefault="00E816E1" w:rsidP="00E816E1">
            <w:pPr>
              <w:pStyle w:val="NormalWeb"/>
              <w:spacing w:before="0" w:beforeAutospacing="0" w:after="21" w:afterAutospacing="0"/>
              <w:rPr>
                <w:rFonts w:asciiTheme="minorBidi" w:eastAsiaTheme="minorEastAsia" w:hAnsiTheme="minorBidi" w:cstheme="minorBidi"/>
                <w:color w:val="111111"/>
                <w:lang w:eastAsia="en-US"/>
              </w:rPr>
            </w:pPr>
          </w:p>
          <w:p w14:paraId="560C3346" w14:textId="326B6CEF" w:rsidR="00E816E1" w:rsidRPr="00E816E1" w:rsidRDefault="00E816E1" w:rsidP="00E816E1">
            <w:pPr>
              <w:pStyle w:val="NormalWeb"/>
              <w:spacing w:before="0" w:beforeAutospacing="0" w:after="21" w:afterAutospacing="0"/>
              <w:rPr>
                <w:rFonts w:asciiTheme="minorBidi" w:eastAsiaTheme="minorEastAsia" w:hAnsiTheme="minorBidi" w:cstheme="minorBidi"/>
                <w:lang w:eastAsia="en-US"/>
              </w:rPr>
            </w:pPr>
            <w:r w:rsidRPr="3FCF629C">
              <w:rPr>
                <w:rFonts w:asciiTheme="minorBidi" w:eastAsiaTheme="minorEastAsia" w:hAnsiTheme="minorBidi" w:cstheme="minorBidi"/>
                <w:color w:val="111111"/>
                <w:lang w:eastAsia="en-US"/>
              </w:rPr>
              <w:t xml:space="preserve">The IRRS team made six new findings consisting of four recommendations and two suggestions in relation to the topics covered during the IRRS initial mission.  For more information please see:  </w:t>
            </w:r>
            <w:hyperlink r:id="rId19" w:history="1">
              <w:r w:rsidRPr="00E816E1">
                <w:rPr>
                  <w:rStyle w:val="Hyperlink"/>
                  <w:rFonts w:asciiTheme="minorBidi" w:hAnsiTheme="minorBidi" w:cstheme="minorBidi"/>
                  <w:color w:val="auto"/>
                </w:rPr>
                <w:t>IAEA Mission Sees Progress in Nuclear and Radiation Safety in the United Kingdom, Notes Areas for Improvement | IAEA</w:t>
              </w:r>
            </w:hyperlink>
            <w:r w:rsidR="003824D8">
              <w:rPr>
                <w:rStyle w:val="FootnoteReference"/>
                <w:rFonts w:asciiTheme="minorBidi" w:hAnsiTheme="minorBidi" w:cstheme="minorBidi"/>
                <w:u w:val="single"/>
              </w:rPr>
              <w:footnoteReference w:id="2"/>
            </w:r>
          </w:p>
          <w:p w14:paraId="2D17E696" w14:textId="77777777" w:rsidR="00E816E1" w:rsidRPr="00E85169" w:rsidRDefault="00E816E1" w:rsidP="00E816E1">
            <w:pPr>
              <w:spacing w:after="21"/>
              <w:rPr>
                <w:rFonts w:asciiTheme="minorBidi" w:hAnsiTheme="minorBidi"/>
                <w:sz w:val="24"/>
              </w:rPr>
            </w:pPr>
          </w:p>
        </w:tc>
      </w:tr>
      <w:tr w:rsidR="00E816E1" w:rsidRPr="00E668EC" w14:paraId="13FE970D" w14:textId="77777777" w:rsidTr="00E816E1">
        <w:trPr>
          <w:trHeight w:val="2224"/>
        </w:trPr>
        <w:tc>
          <w:tcPr>
            <w:tcW w:w="6380" w:type="dxa"/>
          </w:tcPr>
          <w:p w14:paraId="5BADEBE9" w14:textId="77777777" w:rsidR="00E816E1" w:rsidRPr="00E54142" w:rsidRDefault="00E816E1" w:rsidP="00E816E1">
            <w:pPr>
              <w:spacing w:after="21"/>
              <w:rPr>
                <w:rFonts w:asciiTheme="minorBidi" w:hAnsiTheme="minorBidi"/>
                <w:sz w:val="24"/>
              </w:rPr>
            </w:pPr>
            <w:r w:rsidRPr="00E54142">
              <w:rPr>
                <w:rFonts w:asciiTheme="minorBidi" w:hAnsiTheme="minorBidi"/>
                <w:sz w:val="24"/>
              </w:rPr>
              <w:lastRenderedPageBreak/>
              <w:t>Question 10: Following government’s streamlining work to date, do you agree the next phase should focus on improving the efficiency of existing processes? Please explain your answer.</w:t>
            </w:r>
          </w:p>
        </w:tc>
        <w:tc>
          <w:tcPr>
            <w:tcW w:w="9355" w:type="dxa"/>
          </w:tcPr>
          <w:p w14:paraId="3A404175" w14:textId="77777777" w:rsidR="00E816E1" w:rsidRDefault="00E816E1" w:rsidP="00E816E1">
            <w:pPr>
              <w:spacing w:after="21"/>
              <w:rPr>
                <w:rFonts w:asciiTheme="minorBidi" w:hAnsiTheme="minorBidi"/>
                <w:color w:val="111111"/>
                <w:sz w:val="24"/>
              </w:rPr>
            </w:pPr>
            <w:r w:rsidRPr="3FCF629C">
              <w:rPr>
                <w:rFonts w:asciiTheme="minorBidi" w:hAnsiTheme="minorBidi"/>
                <w:color w:val="111111"/>
                <w:sz w:val="24"/>
              </w:rPr>
              <w:t>We have undertaken targeted reviews of the Generic Design Assessment</w:t>
            </w:r>
            <w:r>
              <w:rPr>
                <w:rFonts w:asciiTheme="minorBidi" w:hAnsiTheme="minorBidi"/>
                <w:color w:val="111111"/>
                <w:sz w:val="24"/>
              </w:rPr>
              <w:t xml:space="preserve"> (GDA)</w:t>
            </w:r>
            <w:r w:rsidRPr="3FCF629C">
              <w:rPr>
                <w:rFonts w:asciiTheme="minorBidi" w:hAnsiTheme="minorBidi"/>
                <w:color w:val="111111"/>
                <w:sz w:val="24"/>
              </w:rPr>
              <w:t xml:space="preserve"> and Nuclear Site Licensing processes to identify opportunities for simplification and streamlining.  This has led to the outcomes outlined below:</w:t>
            </w:r>
          </w:p>
          <w:p w14:paraId="4E1BE9FD" w14:textId="77777777" w:rsidR="00E816E1" w:rsidRDefault="00E816E1" w:rsidP="00E816E1">
            <w:pPr>
              <w:spacing w:after="21"/>
              <w:rPr>
                <w:rFonts w:asciiTheme="minorBidi" w:hAnsiTheme="minorBidi"/>
                <w:color w:val="111111"/>
                <w:sz w:val="24"/>
              </w:rPr>
            </w:pPr>
          </w:p>
          <w:p w14:paraId="1FEC6980" w14:textId="77777777" w:rsidR="00E816E1" w:rsidRDefault="00E816E1" w:rsidP="00E816E1">
            <w:pPr>
              <w:pStyle w:val="ListParagraph"/>
              <w:numPr>
                <w:ilvl w:val="0"/>
                <w:numId w:val="22"/>
              </w:numPr>
              <w:spacing w:after="21"/>
              <w:rPr>
                <w:rFonts w:asciiTheme="minorBidi" w:hAnsiTheme="minorBidi"/>
                <w:color w:val="111111"/>
                <w:sz w:val="24"/>
              </w:rPr>
            </w:pPr>
            <w:r w:rsidRPr="3FCF629C">
              <w:rPr>
                <w:rFonts w:asciiTheme="minorBidi" w:hAnsiTheme="minorBidi"/>
                <w:color w:val="111111"/>
                <w:sz w:val="24"/>
              </w:rPr>
              <w:t>We have launched a transparent framework for aspirant market entrants seeking early regulatory engagement prior to entering formal regulatory processes.</w:t>
            </w:r>
          </w:p>
          <w:p w14:paraId="4B981E21" w14:textId="77777777" w:rsidR="00E816E1" w:rsidRDefault="00E816E1" w:rsidP="00E816E1">
            <w:pPr>
              <w:pStyle w:val="ListParagraph"/>
              <w:numPr>
                <w:ilvl w:val="0"/>
                <w:numId w:val="22"/>
              </w:numPr>
              <w:spacing w:after="21"/>
              <w:rPr>
                <w:rFonts w:asciiTheme="minorBidi" w:hAnsiTheme="minorBidi"/>
                <w:color w:val="111111"/>
                <w:sz w:val="24"/>
              </w:rPr>
            </w:pPr>
            <w:r w:rsidRPr="3FCF629C">
              <w:rPr>
                <w:rFonts w:asciiTheme="minorBidi" w:hAnsiTheme="minorBidi"/>
                <w:color w:val="111111"/>
                <w:sz w:val="24"/>
              </w:rPr>
              <w:t>Building on the flexibility of the modernised GDA process launched in 2019 we will shortly be publishing further guidance on how we can leverage regulatory assessments undertaken in other countries to realise efficiencies in GDA, and on moving from a two-step GDA to nuclear site licensing and construction.</w:t>
            </w:r>
          </w:p>
          <w:p w14:paraId="25C8AE88" w14:textId="77777777" w:rsidR="00E816E1" w:rsidRDefault="00E816E1" w:rsidP="00E816E1">
            <w:pPr>
              <w:pStyle w:val="ListParagraph"/>
              <w:numPr>
                <w:ilvl w:val="0"/>
                <w:numId w:val="22"/>
              </w:numPr>
              <w:spacing w:after="21"/>
              <w:rPr>
                <w:rFonts w:asciiTheme="minorBidi" w:hAnsiTheme="minorBidi"/>
                <w:color w:val="111111"/>
                <w:sz w:val="24"/>
              </w:rPr>
            </w:pPr>
            <w:r w:rsidRPr="3FCF629C">
              <w:rPr>
                <w:rFonts w:asciiTheme="minorBidi" w:hAnsiTheme="minorBidi"/>
                <w:color w:val="111111"/>
                <w:sz w:val="24"/>
              </w:rPr>
              <w:t>We are proposing to develop a new portal that will steer applicants through the Nuclear Site Licensing process, with enhanced guidance and case studies, and will shortly publish an update to our guidance on Licensing Nuclear Installations.</w:t>
            </w:r>
          </w:p>
          <w:p w14:paraId="1EDC6961" w14:textId="77777777" w:rsidR="00E816E1" w:rsidRDefault="00E816E1" w:rsidP="00E816E1">
            <w:pPr>
              <w:spacing w:after="21"/>
              <w:rPr>
                <w:rFonts w:asciiTheme="minorBidi" w:hAnsiTheme="minorBidi"/>
                <w:color w:val="111111"/>
                <w:sz w:val="24"/>
              </w:rPr>
            </w:pPr>
          </w:p>
          <w:p w14:paraId="08C37D24" w14:textId="77777777" w:rsidR="00E816E1" w:rsidRDefault="00E816E1" w:rsidP="00E816E1">
            <w:pPr>
              <w:spacing w:after="21"/>
              <w:rPr>
                <w:rFonts w:asciiTheme="minorBidi" w:hAnsiTheme="minorBidi"/>
                <w:color w:val="111111"/>
                <w:sz w:val="24"/>
              </w:rPr>
            </w:pPr>
            <w:r w:rsidRPr="3FCF629C">
              <w:rPr>
                <w:rFonts w:asciiTheme="minorBidi" w:hAnsiTheme="minorBidi"/>
                <w:color w:val="111111"/>
                <w:sz w:val="24"/>
              </w:rPr>
              <w:t>As a result of these measures we expect that there is significant potential for streamlining and acceleration of regulatory processes.</w:t>
            </w:r>
          </w:p>
          <w:p w14:paraId="4EA48BD2" w14:textId="77777777" w:rsidR="00E816E1" w:rsidRDefault="00E816E1" w:rsidP="00E816E1">
            <w:pPr>
              <w:spacing w:after="21"/>
              <w:rPr>
                <w:rFonts w:asciiTheme="minorBidi" w:hAnsiTheme="minorBidi"/>
                <w:color w:val="111111"/>
                <w:sz w:val="24"/>
              </w:rPr>
            </w:pPr>
          </w:p>
          <w:p w14:paraId="1994C48B" w14:textId="77777777" w:rsidR="00E816E1" w:rsidRDefault="00E816E1" w:rsidP="00E816E1">
            <w:pPr>
              <w:spacing w:after="21"/>
              <w:rPr>
                <w:rFonts w:asciiTheme="minorBidi" w:hAnsiTheme="minorBidi"/>
                <w:color w:val="111111"/>
                <w:sz w:val="24"/>
              </w:rPr>
            </w:pPr>
            <w:r w:rsidRPr="005F73BC">
              <w:rPr>
                <w:rFonts w:asciiTheme="minorBidi" w:hAnsiTheme="minorBidi"/>
                <w:color w:val="111111"/>
                <w:sz w:val="24"/>
              </w:rPr>
              <w:t xml:space="preserve">We consider that closer working relationships, communication and sharing of information between </w:t>
            </w:r>
            <w:r w:rsidRPr="3FCF629C">
              <w:rPr>
                <w:rFonts w:asciiTheme="minorBidi" w:hAnsiTheme="minorBidi"/>
                <w:color w:val="111111"/>
                <w:sz w:val="24"/>
              </w:rPr>
              <w:t>the various public bodies who play a role in the regulatory and legislative framework for new nuclear</w:t>
            </w:r>
            <w:r>
              <w:rPr>
                <w:rFonts w:asciiTheme="minorBidi" w:hAnsiTheme="minorBidi"/>
                <w:color w:val="111111"/>
                <w:sz w:val="24"/>
              </w:rPr>
              <w:t xml:space="preserve"> would help to realise efficiencies</w:t>
            </w:r>
            <w:r w:rsidRPr="3FCF629C">
              <w:rPr>
                <w:rFonts w:asciiTheme="minorBidi" w:hAnsiTheme="minorBidi"/>
                <w:color w:val="111111"/>
                <w:sz w:val="24"/>
              </w:rPr>
              <w:t xml:space="preserve">. We would </w:t>
            </w:r>
            <w:r w:rsidRPr="3FCF629C">
              <w:rPr>
                <w:rFonts w:asciiTheme="minorBidi" w:hAnsiTheme="minorBidi"/>
                <w:color w:val="111111"/>
                <w:sz w:val="24"/>
              </w:rPr>
              <w:lastRenderedPageBreak/>
              <w:t xml:space="preserve">welcome the establishment of a transparent, co-ordinated multi-agency framework to enable new entrants to be fully aware of the processes and requirements that they will be required to navigate. </w:t>
            </w:r>
          </w:p>
          <w:p w14:paraId="7B44C662" w14:textId="77777777" w:rsidR="00E816E1" w:rsidRDefault="00E816E1" w:rsidP="00E816E1">
            <w:pPr>
              <w:spacing w:after="21"/>
              <w:rPr>
                <w:rFonts w:asciiTheme="minorBidi" w:hAnsiTheme="minorBidi"/>
                <w:color w:val="111111"/>
                <w:sz w:val="24"/>
              </w:rPr>
            </w:pPr>
          </w:p>
          <w:p w14:paraId="187B9F28" w14:textId="77777777" w:rsidR="00E816E1" w:rsidRPr="00C248BC" w:rsidRDefault="00E816E1" w:rsidP="00E816E1">
            <w:pPr>
              <w:spacing w:after="21"/>
              <w:rPr>
                <w:rFonts w:asciiTheme="minorBidi" w:hAnsiTheme="minorBidi"/>
                <w:color w:val="111111"/>
                <w:sz w:val="24"/>
              </w:rPr>
            </w:pPr>
            <w:r>
              <w:rPr>
                <w:rFonts w:asciiTheme="minorBidi" w:hAnsiTheme="minorBidi"/>
                <w:color w:val="111111"/>
                <w:sz w:val="24"/>
              </w:rPr>
              <w:t>We also consider that closer working relationships internationally can realise efficiencies for the regulation of new reactor designs within the UK</w:t>
            </w:r>
            <w:r w:rsidRPr="070140A1">
              <w:rPr>
                <w:rFonts w:asciiTheme="minorBidi" w:hAnsiTheme="minorBidi"/>
                <w:color w:val="111111"/>
                <w:sz w:val="24"/>
              </w:rPr>
              <w:t>, as well as allowing regulators in developing nuclear countries to benefit from the work of established regulators.</w:t>
            </w:r>
            <w:r>
              <w:rPr>
                <w:rFonts w:asciiTheme="minorBidi" w:hAnsiTheme="minorBidi"/>
                <w:color w:val="111111"/>
                <w:sz w:val="24"/>
              </w:rPr>
              <w:t xml:space="preserve">  As such, we have taken steps to increase our international collaboration.  R</w:t>
            </w:r>
            <w:r w:rsidRPr="00FA39F1">
              <w:rPr>
                <w:rFonts w:asciiTheme="minorBidi" w:hAnsiTheme="minorBidi"/>
                <w:sz w:val="24"/>
              </w:rPr>
              <w:t xml:space="preserve">egulators from five European countries are routinely observing GDA </w:t>
            </w:r>
            <w:r w:rsidRPr="070140A1">
              <w:rPr>
                <w:rFonts w:asciiTheme="minorBidi" w:hAnsiTheme="minorBidi"/>
                <w:sz w:val="24"/>
              </w:rPr>
              <w:t>interactions</w:t>
            </w:r>
            <w:r w:rsidRPr="00FA39F1">
              <w:rPr>
                <w:rFonts w:asciiTheme="minorBidi" w:hAnsiTheme="minorBidi"/>
                <w:sz w:val="24"/>
              </w:rPr>
              <w:t>, to gain confidence and familiarity in the design and the rigour of the UK regulatory process</w:t>
            </w:r>
            <w:r w:rsidRPr="070140A1">
              <w:rPr>
                <w:rFonts w:asciiTheme="minorBidi" w:hAnsiTheme="minorBidi"/>
                <w:sz w:val="24"/>
              </w:rPr>
              <w:t xml:space="preserve"> </w:t>
            </w:r>
            <w:r>
              <w:rPr>
                <w:rFonts w:asciiTheme="minorBidi" w:hAnsiTheme="minorBidi"/>
                <w:sz w:val="24"/>
              </w:rPr>
              <w:t>(</w:t>
            </w:r>
            <w:r w:rsidRPr="070140A1">
              <w:rPr>
                <w:rFonts w:asciiTheme="minorBidi" w:hAnsiTheme="minorBidi"/>
                <w:sz w:val="24"/>
              </w:rPr>
              <w:t xml:space="preserve">within the confines of export control </w:t>
            </w:r>
            <w:r>
              <w:rPr>
                <w:rFonts w:asciiTheme="minorBidi" w:hAnsiTheme="minorBidi"/>
                <w:sz w:val="24"/>
              </w:rPr>
              <w:t xml:space="preserve">- </w:t>
            </w:r>
            <w:r w:rsidRPr="070140A1">
              <w:rPr>
                <w:rFonts w:asciiTheme="minorBidi" w:hAnsiTheme="minorBidi"/>
                <w:sz w:val="24"/>
              </w:rPr>
              <w:t>see below).</w:t>
            </w:r>
            <w:r w:rsidRPr="00FA39F1">
              <w:rPr>
                <w:rFonts w:asciiTheme="minorBidi" w:hAnsiTheme="minorBidi"/>
                <w:sz w:val="24"/>
              </w:rPr>
              <w:t xml:space="preserve"> </w:t>
            </w:r>
          </w:p>
          <w:p w14:paraId="59957741" w14:textId="77777777" w:rsidR="00E816E1" w:rsidRDefault="00E816E1" w:rsidP="00E816E1">
            <w:pPr>
              <w:rPr>
                <w:rFonts w:asciiTheme="minorBidi" w:hAnsiTheme="minorBidi"/>
                <w:sz w:val="24"/>
              </w:rPr>
            </w:pPr>
          </w:p>
          <w:p w14:paraId="560CDB85" w14:textId="77777777" w:rsidR="00E816E1" w:rsidRPr="00C80C5D" w:rsidRDefault="00E816E1" w:rsidP="00E816E1">
            <w:pPr>
              <w:rPr>
                <w:rFonts w:asciiTheme="minorBidi" w:hAnsiTheme="minorBidi"/>
                <w:sz w:val="24"/>
              </w:rPr>
            </w:pPr>
            <w:r w:rsidRPr="00FA39F1">
              <w:rPr>
                <w:rFonts w:asciiTheme="minorBidi" w:hAnsiTheme="minorBidi"/>
                <w:sz w:val="24"/>
              </w:rPr>
              <w:t xml:space="preserve">We have </w:t>
            </w:r>
            <w:r w:rsidRPr="070140A1">
              <w:rPr>
                <w:rFonts w:asciiTheme="minorBidi" w:hAnsiTheme="minorBidi"/>
                <w:sz w:val="24"/>
              </w:rPr>
              <w:t>recently</w:t>
            </w:r>
            <w:r w:rsidRPr="00FA39F1">
              <w:rPr>
                <w:rFonts w:asciiTheme="minorBidi" w:hAnsiTheme="minorBidi"/>
                <w:sz w:val="24"/>
              </w:rPr>
              <w:t xml:space="preserve"> signed a tri</w:t>
            </w:r>
            <w:r>
              <w:rPr>
                <w:rFonts w:asciiTheme="minorBidi" w:hAnsiTheme="minorBidi"/>
                <w:sz w:val="24"/>
              </w:rPr>
              <w:t>lateral</w:t>
            </w:r>
            <w:r w:rsidRPr="00FA39F1">
              <w:rPr>
                <w:rFonts w:asciiTheme="minorBidi" w:hAnsiTheme="minorBidi"/>
                <w:sz w:val="24"/>
              </w:rPr>
              <w:t xml:space="preserve"> </w:t>
            </w:r>
            <w:r>
              <w:rPr>
                <w:rFonts w:asciiTheme="minorBidi" w:hAnsiTheme="minorBidi"/>
                <w:sz w:val="24"/>
              </w:rPr>
              <w:t>M</w:t>
            </w:r>
            <w:r w:rsidRPr="00FA39F1">
              <w:rPr>
                <w:rFonts w:asciiTheme="minorBidi" w:hAnsiTheme="minorBidi"/>
                <w:sz w:val="24"/>
              </w:rPr>
              <w:t xml:space="preserve">emorandum of </w:t>
            </w:r>
            <w:r>
              <w:rPr>
                <w:rFonts w:asciiTheme="minorBidi" w:hAnsiTheme="minorBidi"/>
                <w:sz w:val="24"/>
              </w:rPr>
              <w:t>C</w:t>
            </w:r>
            <w:r w:rsidRPr="00FA39F1">
              <w:rPr>
                <w:rFonts w:asciiTheme="minorBidi" w:hAnsiTheme="minorBidi"/>
                <w:sz w:val="24"/>
              </w:rPr>
              <w:t>ooperation with regulators from Canada and the U</w:t>
            </w:r>
            <w:r>
              <w:rPr>
                <w:rFonts w:asciiTheme="minorBidi" w:hAnsiTheme="minorBidi"/>
                <w:sz w:val="24"/>
              </w:rPr>
              <w:t xml:space="preserve">nited States to collaborate on the assessment of SMR </w:t>
            </w:r>
            <w:r w:rsidRPr="070140A1">
              <w:rPr>
                <w:rFonts w:asciiTheme="minorBidi" w:hAnsiTheme="minorBidi"/>
                <w:sz w:val="24"/>
              </w:rPr>
              <w:t>and</w:t>
            </w:r>
            <w:r>
              <w:rPr>
                <w:rFonts w:asciiTheme="minorBidi" w:hAnsiTheme="minorBidi"/>
                <w:sz w:val="24"/>
              </w:rPr>
              <w:t xml:space="preserve"> AMR designs</w:t>
            </w:r>
            <w:r w:rsidRPr="00FA39F1">
              <w:rPr>
                <w:rFonts w:asciiTheme="minorBidi" w:hAnsiTheme="minorBidi"/>
                <w:sz w:val="24"/>
              </w:rPr>
              <w:t>.</w:t>
            </w:r>
            <w:r>
              <w:rPr>
                <w:rFonts w:asciiTheme="minorBidi" w:hAnsiTheme="minorBidi"/>
                <w:sz w:val="24"/>
              </w:rPr>
              <w:t xml:space="preserve">  This will enable good practice and experience of reviewing SMR and AMR designs to be shared between regulators.  </w:t>
            </w:r>
            <w:r w:rsidRPr="070140A1">
              <w:rPr>
                <w:rFonts w:asciiTheme="minorBidi" w:hAnsiTheme="minorBidi"/>
                <w:sz w:val="24"/>
              </w:rPr>
              <w:t>We have also signed a Memorandum of Understanding with the Hungarian nuclear regulator, to enable cooperation on matters of nuclear safety, including in relation to SMRs and AMRs.</w:t>
            </w:r>
          </w:p>
          <w:p w14:paraId="464E4E2A" w14:textId="77777777" w:rsidR="00E816E1" w:rsidRDefault="00E816E1" w:rsidP="00E816E1">
            <w:pPr>
              <w:spacing w:after="21"/>
              <w:rPr>
                <w:rFonts w:asciiTheme="minorBidi" w:hAnsiTheme="minorBidi"/>
                <w:color w:val="111111"/>
                <w:sz w:val="24"/>
              </w:rPr>
            </w:pPr>
          </w:p>
          <w:p w14:paraId="45197AB9" w14:textId="77777777" w:rsidR="00E816E1" w:rsidRDefault="00E816E1" w:rsidP="00E816E1">
            <w:pPr>
              <w:spacing w:after="21"/>
              <w:rPr>
                <w:rFonts w:asciiTheme="minorBidi" w:hAnsiTheme="minorBidi"/>
                <w:color w:val="111111"/>
                <w:sz w:val="24"/>
              </w:rPr>
            </w:pPr>
            <w:r w:rsidRPr="3FCF629C">
              <w:rPr>
                <w:rFonts w:asciiTheme="minorBidi" w:hAnsiTheme="minorBidi"/>
                <w:color w:val="111111"/>
                <w:sz w:val="24"/>
              </w:rPr>
              <w:t xml:space="preserve">We believe that Government could play a role in facilitating </w:t>
            </w:r>
            <w:r>
              <w:rPr>
                <w:rFonts w:asciiTheme="minorBidi" w:hAnsiTheme="minorBidi"/>
                <w:color w:val="111111"/>
                <w:sz w:val="24"/>
              </w:rPr>
              <w:t xml:space="preserve">and developing these relationships </w:t>
            </w:r>
            <w:r w:rsidRPr="070140A1">
              <w:rPr>
                <w:rFonts w:asciiTheme="minorBidi" w:hAnsiTheme="minorBidi"/>
                <w:color w:val="111111"/>
                <w:sz w:val="24"/>
              </w:rPr>
              <w:t>further</w:t>
            </w:r>
            <w:r w:rsidRPr="3FCF629C">
              <w:rPr>
                <w:rFonts w:asciiTheme="minorBidi" w:hAnsiTheme="minorBidi"/>
                <w:color w:val="111111"/>
                <w:sz w:val="24"/>
              </w:rPr>
              <w:t xml:space="preserve">.  </w:t>
            </w:r>
          </w:p>
          <w:p w14:paraId="7D85E066" w14:textId="77777777" w:rsidR="00E816E1" w:rsidRPr="00A53AD6" w:rsidRDefault="00E816E1" w:rsidP="00E816E1">
            <w:pPr>
              <w:spacing w:after="21"/>
              <w:rPr>
                <w:rFonts w:asciiTheme="minorBidi" w:hAnsiTheme="minorBidi"/>
                <w:color w:val="111111"/>
                <w:sz w:val="24"/>
              </w:rPr>
            </w:pPr>
          </w:p>
        </w:tc>
      </w:tr>
      <w:tr w:rsidR="00E816E1" w:rsidRPr="00E668EC" w14:paraId="792378EC" w14:textId="77777777" w:rsidTr="00E816E1">
        <w:tc>
          <w:tcPr>
            <w:tcW w:w="6380" w:type="dxa"/>
          </w:tcPr>
          <w:p w14:paraId="28F59A14" w14:textId="77777777" w:rsidR="00E816E1" w:rsidRPr="00E54142" w:rsidRDefault="00E816E1" w:rsidP="00E816E1">
            <w:pPr>
              <w:spacing w:after="21"/>
              <w:rPr>
                <w:rFonts w:asciiTheme="minorBidi" w:hAnsiTheme="minorBidi"/>
                <w:sz w:val="24"/>
              </w:rPr>
            </w:pPr>
            <w:r>
              <w:rPr>
                <w:rFonts w:asciiTheme="minorBidi" w:hAnsiTheme="minorBidi"/>
                <w:sz w:val="24"/>
              </w:rPr>
              <w:lastRenderedPageBreak/>
              <w:t xml:space="preserve">Question 11: </w:t>
            </w:r>
            <w:r w:rsidRPr="00E54142">
              <w:rPr>
                <w:rFonts w:asciiTheme="minorBidi" w:hAnsiTheme="minorBidi"/>
                <w:sz w:val="24"/>
              </w:rPr>
              <w:t>To what extent do you agree that advanced nuclear technologies and new uses of nuclear are accommodated within the existing legal landscape? Please explain your answer.</w:t>
            </w:r>
          </w:p>
        </w:tc>
        <w:tc>
          <w:tcPr>
            <w:tcW w:w="9355" w:type="dxa"/>
          </w:tcPr>
          <w:p w14:paraId="7124A843" w14:textId="77777777" w:rsidR="00E816E1" w:rsidRPr="009B253A" w:rsidRDefault="00E816E1" w:rsidP="00E816E1">
            <w:pPr>
              <w:spacing w:after="21"/>
              <w:rPr>
                <w:rFonts w:cs="Arial"/>
                <w:sz w:val="24"/>
              </w:rPr>
            </w:pPr>
            <w:r w:rsidRPr="009B253A">
              <w:rPr>
                <w:rFonts w:cs="Arial"/>
                <w:sz w:val="24"/>
              </w:rPr>
              <w:t xml:space="preserve">We have a strong appreciation of the need for Export Control (EC) for non-proliferation, however, </w:t>
            </w:r>
            <w:r>
              <w:rPr>
                <w:rFonts w:cs="Arial"/>
                <w:sz w:val="24"/>
              </w:rPr>
              <w:t>t</w:t>
            </w:r>
            <w:r w:rsidRPr="009B253A">
              <w:rPr>
                <w:rFonts w:cs="Arial"/>
                <w:sz w:val="24"/>
              </w:rPr>
              <w:t xml:space="preserve">here are two key areas where EC constrains ONR's ability to effectively share safety pertinent information; when engaging with other national regulators, and </w:t>
            </w:r>
            <w:r>
              <w:rPr>
                <w:rFonts w:cs="Arial"/>
                <w:sz w:val="24"/>
              </w:rPr>
              <w:t xml:space="preserve">when </w:t>
            </w:r>
            <w:r w:rsidRPr="009B253A">
              <w:rPr>
                <w:rFonts w:cs="Arial"/>
                <w:sz w:val="24"/>
              </w:rPr>
              <w:t>interacting with an international supply chain.</w:t>
            </w:r>
          </w:p>
          <w:p w14:paraId="2657F89E" w14:textId="77777777" w:rsidR="00E816E1" w:rsidRPr="009B253A" w:rsidRDefault="00E816E1" w:rsidP="00E816E1">
            <w:pPr>
              <w:spacing w:after="21"/>
              <w:rPr>
                <w:rFonts w:cs="Arial"/>
                <w:sz w:val="24"/>
                <w:u w:val="single"/>
              </w:rPr>
            </w:pPr>
          </w:p>
          <w:p w14:paraId="17E99CFE" w14:textId="77777777" w:rsidR="00E816E1" w:rsidRPr="005D49DC" w:rsidRDefault="00E816E1" w:rsidP="00E816E1">
            <w:pPr>
              <w:spacing w:after="21"/>
              <w:rPr>
                <w:rFonts w:cs="Arial"/>
                <w:sz w:val="24"/>
              </w:rPr>
            </w:pPr>
            <w:r w:rsidRPr="070140A1">
              <w:rPr>
                <w:rFonts w:cs="Arial"/>
                <w:sz w:val="24"/>
              </w:rPr>
              <w:t xml:space="preserve">For ONR to regulate/assess new or existing technologies, Export-Controlled Information (ECI) from numerous origins can often need to be sent to international supply chain members and/or other national nuclear industry regulators/government </w:t>
            </w:r>
            <w:r w:rsidRPr="070140A1">
              <w:rPr>
                <w:rFonts w:cs="Arial"/>
                <w:sz w:val="24"/>
              </w:rPr>
              <w:lastRenderedPageBreak/>
              <w:t>bodies. The export licence application process can be lengthy and can hinder our ability to share safety-pertinent information. Other national nuclear regulators can freely share information with international government agencies and often cannot understand why the UK is not able to share information pertinent to international nuclear safety. This can be of detriment to the UK’s international reputation regarding its prioritisation of sharing safety-pertinent information with the international regulatory community.</w:t>
            </w:r>
          </w:p>
          <w:p w14:paraId="78387CB5" w14:textId="77777777" w:rsidR="00E816E1" w:rsidRPr="009B253A" w:rsidRDefault="00E816E1" w:rsidP="00E816E1">
            <w:pPr>
              <w:spacing w:after="21"/>
              <w:rPr>
                <w:rFonts w:cs="Arial"/>
                <w:sz w:val="24"/>
              </w:rPr>
            </w:pPr>
          </w:p>
          <w:p w14:paraId="2A15340D" w14:textId="77777777" w:rsidR="00E816E1" w:rsidRDefault="00E816E1" w:rsidP="00E816E1">
            <w:pPr>
              <w:spacing w:after="21"/>
              <w:rPr>
                <w:rFonts w:cs="Arial"/>
                <w:sz w:val="24"/>
              </w:rPr>
            </w:pPr>
            <w:r w:rsidRPr="00F64F8E">
              <w:rPr>
                <w:rFonts w:cs="Arial"/>
                <w:sz w:val="24"/>
              </w:rPr>
              <w:t xml:space="preserve">UK businesses that are involved in both new build and legacy facilities </w:t>
            </w:r>
            <w:r w:rsidRPr="3FCF629C">
              <w:rPr>
                <w:rFonts w:cs="Arial"/>
                <w:sz w:val="24"/>
              </w:rPr>
              <w:t xml:space="preserve">in the civil nuclear industry </w:t>
            </w:r>
            <w:r w:rsidRPr="00F64F8E">
              <w:rPr>
                <w:rFonts w:cs="Arial"/>
                <w:sz w:val="24"/>
              </w:rPr>
              <w:t>often work with international supply chains. The licence application process can cause project delays, places a significant admin</w:t>
            </w:r>
            <w:r>
              <w:rPr>
                <w:rFonts w:cs="Arial"/>
                <w:sz w:val="24"/>
              </w:rPr>
              <w:t>istrative</w:t>
            </w:r>
            <w:r w:rsidRPr="00F64F8E">
              <w:rPr>
                <w:rFonts w:cs="Arial"/>
                <w:sz w:val="24"/>
              </w:rPr>
              <w:t xml:space="preserve"> burden on applicants, and can deter international collaboration. </w:t>
            </w:r>
            <w:r w:rsidRPr="3FCF629C">
              <w:rPr>
                <w:rFonts w:cs="Arial"/>
                <w:sz w:val="24"/>
              </w:rPr>
              <w:t>Small</w:t>
            </w:r>
            <w:r w:rsidRPr="00F64F8E">
              <w:rPr>
                <w:rFonts w:cs="Arial"/>
                <w:sz w:val="24"/>
              </w:rPr>
              <w:t xml:space="preserve">-to-medium sized businesses </w:t>
            </w:r>
            <w:r w:rsidRPr="3FCF629C">
              <w:rPr>
                <w:rFonts w:cs="Arial"/>
                <w:sz w:val="24"/>
              </w:rPr>
              <w:t xml:space="preserve">do not have </w:t>
            </w:r>
            <w:r w:rsidRPr="00F64F8E">
              <w:rPr>
                <w:rFonts w:cs="Arial"/>
                <w:sz w:val="24"/>
              </w:rPr>
              <w:t xml:space="preserve">dedicated </w:t>
            </w:r>
            <w:r>
              <w:rPr>
                <w:rFonts w:cs="Arial"/>
                <w:sz w:val="24"/>
              </w:rPr>
              <w:t>EC</w:t>
            </w:r>
            <w:r w:rsidRPr="00F64F8E">
              <w:rPr>
                <w:rFonts w:cs="Arial"/>
                <w:sz w:val="24"/>
              </w:rPr>
              <w:t xml:space="preserve"> functions </w:t>
            </w:r>
            <w:r w:rsidRPr="3FCF629C">
              <w:rPr>
                <w:rFonts w:cs="Arial"/>
                <w:sz w:val="24"/>
              </w:rPr>
              <w:t>or the administrative</w:t>
            </w:r>
            <w:r w:rsidRPr="00F64F8E">
              <w:rPr>
                <w:rFonts w:cs="Arial"/>
                <w:sz w:val="24"/>
              </w:rPr>
              <w:t xml:space="preserve"> capacity to handle the licence application/management requirements, thus EC law </w:t>
            </w:r>
            <w:r>
              <w:rPr>
                <w:rFonts w:cs="Arial"/>
                <w:sz w:val="24"/>
              </w:rPr>
              <w:t xml:space="preserve">can </w:t>
            </w:r>
            <w:r w:rsidRPr="00F64F8E">
              <w:rPr>
                <w:rFonts w:cs="Arial"/>
                <w:sz w:val="24"/>
              </w:rPr>
              <w:t xml:space="preserve">stifle their ability to participate in international civil nuclear projects. </w:t>
            </w:r>
          </w:p>
          <w:p w14:paraId="0A7A99C9" w14:textId="77777777" w:rsidR="00E816E1" w:rsidRPr="00F64F8E" w:rsidRDefault="00E816E1" w:rsidP="00E816E1">
            <w:pPr>
              <w:spacing w:after="21"/>
              <w:rPr>
                <w:rFonts w:cs="Arial"/>
                <w:sz w:val="24"/>
              </w:rPr>
            </w:pPr>
          </w:p>
          <w:p w14:paraId="1C6A7D4D" w14:textId="77777777" w:rsidR="00E816E1" w:rsidRPr="009B253A" w:rsidRDefault="00E816E1" w:rsidP="00E816E1">
            <w:pPr>
              <w:spacing w:after="21"/>
              <w:rPr>
                <w:rFonts w:cs="Arial"/>
                <w:sz w:val="24"/>
              </w:rPr>
            </w:pPr>
            <w:r w:rsidRPr="009B253A">
              <w:rPr>
                <w:rFonts w:cs="Arial"/>
                <w:sz w:val="24"/>
              </w:rPr>
              <w:t xml:space="preserve">We have considered potential solutions to these challenges.  </w:t>
            </w:r>
            <w:r w:rsidRPr="070140A1">
              <w:rPr>
                <w:rFonts w:cs="Arial"/>
                <w:sz w:val="24"/>
              </w:rPr>
              <w:t>Ideally</w:t>
            </w:r>
            <w:r>
              <w:rPr>
                <w:rFonts w:cs="Arial"/>
                <w:sz w:val="24"/>
              </w:rPr>
              <w:t xml:space="preserve">, </w:t>
            </w:r>
            <w:r w:rsidRPr="009B253A">
              <w:rPr>
                <w:rFonts w:cs="Arial"/>
                <w:sz w:val="24"/>
              </w:rPr>
              <w:t xml:space="preserve">ONR could be </w:t>
            </w:r>
            <w:r w:rsidRPr="00C65069">
              <w:rPr>
                <w:rFonts w:cs="Arial"/>
                <w:sz w:val="24"/>
              </w:rPr>
              <w:t xml:space="preserve">given </w:t>
            </w:r>
            <w:r>
              <w:rPr>
                <w:rFonts w:cs="Arial"/>
                <w:sz w:val="24"/>
              </w:rPr>
              <w:t xml:space="preserve">an </w:t>
            </w:r>
            <w:r w:rsidRPr="00C65069">
              <w:rPr>
                <w:rFonts w:cs="Arial"/>
                <w:sz w:val="24"/>
              </w:rPr>
              <w:t>exemption from Export Law by</w:t>
            </w:r>
            <w:r>
              <w:rPr>
                <w:rFonts w:cs="Arial"/>
                <w:sz w:val="24"/>
              </w:rPr>
              <w:t xml:space="preserve"> the</w:t>
            </w:r>
            <w:r w:rsidRPr="00C65069">
              <w:rPr>
                <w:rFonts w:cs="Arial"/>
                <w:sz w:val="24"/>
              </w:rPr>
              <w:t xml:space="preserve"> </w:t>
            </w:r>
            <w:r w:rsidRPr="008B4D48">
              <w:rPr>
                <w:rFonts w:cs="Arial"/>
                <w:sz w:val="24"/>
              </w:rPr>
              <w:t>E</w:t>
            </w:r>
            <w:r>
              <w:rPr>
                <w:rFonts w:cs="Arial"/>
                <w:sz w:val="24"/>
              </w:rPr>
              <w:t xml:space="preserve">xport Control Joint Unit (ECJU) </w:t>
            </w:r>
            <w:r w:rsidRPr="00C65069">
              <w:rPr>
                <w:rFonts w:cs="Arial"/>
                <w:sz w:val="24"/>
              </w:rPr>
              <w:t xml:space="preserve">when sharing export-controlled information for the purposes of international nuclear safety, security and safeguards. This would include dealing with the international nuclear industry and other national nuclear regulators. ONR would need to have an exemption letter from </w:t>
            </w:r>
            <w:r>
              <w:rPr>
                <w:rFonts w:cs="Arial"/>
                <w:sz w:val="24"/>
              </w:rPr>
              <w:t xml:space="preserve">the </w:t>
            </w:r>
            <w:r w:rsidRPr="00C65069">
              <w:rPr>
                <w:rFonts w:cs="Arial"/>
                <w:sz w:val="24"/>
              </w:rPr>
              <w:t xml:space="preserve">ECJU that is recognised by HMRC.  </w:t>
            </w:r>
            <w:r w:rsidRPr="009B253A">
              <w:rPr>
                <w:rFonts w:cs="Arial"/>
                <w:sz w:val="24"/>
              </w:rPr>
              <w:t xml:space="preserve"> </w:t>
            </w:r>
          </w:p>
          <w:p w14:paraId="3C55BF2D" w14:textId="77777777" w:rsidR="00E816E1" w:rsidRDefault="00E816E1" w:rsidP="00E816E1">
            <w:pPr>
              <w:spacing w:after="21"/>
              <w:rPr>
                <w:rFonts w:cs="Arial"/>
                <w:sz w:val="24"/>
              </w:rPr>
            </w:pPr>
          </w:p>
          <w:p w14:paraId="4093F0C6" w14:textId="77777777" w:rsidR="00E816E1" w:rsidRPr="00976CFE" w:rsidRDefault="00E816E1" w:rsidP="00E816E1">
            <w:pPr>
              <w:spacing w:after="21"/>
              <w:rPr>
                <w:rFonts w:cs="Arial"/>
                <w:sz w:val="24"/>
              </w:rPr>
            </w:pPr>
            <w:r w:rsidRPr="070140A1">
              <w:rPr>
                <w:rFonts w:cs="Arial"/>
                <w:sz w:val="24"/>
              </w:rPr>
              <w:t xml:space="preserve">Alternatively, </w:t>
            </w:r>
            <w:r>
              <w:rPr>
                <w:rFonts w:cs="Arial"/>
                <w:sz w:val="24"/>
              </w:rPr>
              <w:t xml:space="preserve"> </w:t>
            </w:r>
            <w:r w:rsidRPr="00976CFE">
              <w:rPr>
                <w:rFonts w:cs="Arial"/>
                <w:sz w:val="24"/>
              </w:rPr>
              <w:t>ECJU could grant an Open General Export Licence (OGEL) to allow ONR to share export controlled information with other international regulators for the purposes of increasing nuclear safety, security and safeguards.</w:t>
            </w:r>
          </w:p>
          <w:p w14:paraId="0688A417" w14:textId="77777777" w:rsidR="00E816E1" w:rsidRDefault="00E816E1" w:rsidP="00E816E1">
            <w:pPr>
              <w:spacing w:after="21"/>
              <w:rPr>
                <w:rFonts w:cs="Arial"/>
                <w:sz w:val="24"/>
              </w:rPr>
            </w:pPr>
          </w:p>
          <w:p w14:paraId="430BB6C2" w14:textId="77777777" w:rsidR="00E816E1" w:rsidRDefault="00E816E1" w:rsidP="00E816E1">
            <w:pPr>
              <w:spacing w:after="21"/>
              <w:rPr>
                <w:rFonts w:cs="Arial"/>
                <w:sz w:val="24"/>
              </w:rPr>
            </w:pPr>
            <w:r w:rsidRPr="070140A1">
              <w:rPr>
                <w:rFonts w:cs="Arial"/>
                <w:sz w:val="24"/>
              </w:rPr>
              <w:t>The</w:t>
            </w:r>
            <w:r>
              <w:rPr>
                <w:rFonts w:cs="Arial"/>
                <w:sz w:val="24"/>
              </w:rPr>
              <w:t xml:space="preserve"> </w:t>
            </w:r>
            <w:r w:rsidRPr="00976CFE">
              <w:rPr>
                <w:rFonts w:cs="Arial"/>
                <w:sz w:val="24"/>
              </w:rPr>
              <w:t xml:space="preserve">ECJU </w:t>
            </w:r>
            <w:r>
              <w:rPr>
                <w:rFonts w:cs="Arial"/>
                <w:sz w:val="24"/>
              </w:rPr>
              <w:t>could</w:t>
            </w:r>
            <w:r w:rsidRPr="00976CFE">
              <w:rPr>
                <w:rFonts w:cs="Arial"/>
                <w:sz w:val="24"/>
              </w:rPr>
              <w:t xml:space="preserve"> </w:t>
            </w:r>
            <w:r w:rsidRPr="070140A1">
              <w:rPr>
                <w:rFonts w:cs="Arial"/>
                <w:sz w:val="24"/>
              </w:rPr>
              <w:t xml:space="preserve">also </w:t>
            </w:r>
            <w:r w:rsidRPr="00976CFE">
              <w:rPr>
                <w:rFonts w:cs="Arial"/>
                <w:sz w:val="24"/>
              </w:rPr>
              <w:t xml:space="preserve">grant project specific </w:t>
            </w:r>
            <w:r w:rsidRPr="070140A1">
              <w:rPr>
                <w:rFonts w:cs="Arial"/>
                <w:sz w:val="24"/>
              </w:rPr>
              <w:t>Open General Export Licences</w:t>
            </w:r>
            <w:r w:rsidRPr="3FCF629C">
              <w:rPr>
                <w:rFonts w:cs="Arial"/>
                <w:sz w:val="24"/>
              </w:rPr>
              <w:t xml:space="preserve"> for</w:t>
            </w:r>
            <w:r w:rsidRPr="00976CFE">
              <w:rPr>
                <w:rFonts w:cs="Arial"/>
                <w:sz w:val="24"/>
              </w:rPr>
              <w:t xml:space="preserve"> a group of named organisations to collaborate on </w:t>
            </w:r>
            <w:r w:rsidRPr="3FCF629C">
              <w:rPr>
                <w:rFonts w:cs="Arial"/>
                <w:sz w:val="24"/>
              </w:rPr>
              <w:t xml:space="preserve">a </w:t>
            </w:r>
            <w:r w:rsidRPr="00976CFE">
              <w:rPr>
                <w:rFonts w:cs="Arial"/>
                <w:sz w:val="24"/>
              </w:rPr>
              <w:t xml:space="preserve">civil nuclear project for the purposes of </w:t>
            </w:r>
            <w:r w:rsidRPr="00976CFE">
              <w:rPr>
                <w:rFonts w:cs="Arial"/>
                <w:sz w:val="24"/>
              </w:rPr>
              <w:lastRenderedPageBreak/>
              <w:t>nuclear safety</w:t>
            </w:r>
            <w:r w:rsidRPr="3FCF629C">
              <w:rPr>
                <w:rFonts w:cs="Arial"/>
                <w:sz w:val="24"/>
              </w:rPr>
              <w:t xml:space="preserve"> and security.</w:t>
            </w:r>
            <w:r w:rsidRPr="00976CFE">
              <w:rPr>
                <w:rFonts w:cs="Arial"/>
                <w:sz w:val="24"/>
              </w:rPr>
              <w:t xml:space="preserve"> As new suppl</w:t>
            </w:r>
            <w:r w:rsidRPr="3FCF629C">
              <w:rPr>
                <w:rFonts w:cs="Arial"/>
                <w:sz w:val="24"/>
              </w:rPr>
              <w:t>iers are engaged</w:t>
            </w:r>
            <w:r w:rsidRPr="00976CFE">
              <w:rPr>
                <w:rFonts w:cs="Arial"/>
                <w:sz w:val="24"/>
              </w:rPr>
              <w:t>, they could be assessed and added to that licence.</w:t>
            </w:r>
          </w:p>
          <w:p w14:paraId="336F175B" w14:textId="77777777" w:rsidR="00E816E1" w:rsidRDefault="00E816E1" w:rsidP="00E816E1">
            <w:pPr>
              <w:spacing w:after="21"/>
              <w:rPr>
                <w:rFonts w:cs="Arial"/>
                <w:sz w:val="24"/>
              </w:rPr>
            </w:pPr>
          </w:p>
          <w:p w14:paraId="47DFC098" w14:textId="77777777" w:rsidR="00E816E1" w:rsidRPr="00872ED5" w:rsidRDefault="00E816E1" w:rsidP="00E816E1">
            <w:pPr>
              <w:spacing w:after="21"/>
              <w:rPr>
                <w:rFonts w:cs="Arial"/>
                <w:sz w:val="24"/>
                <w:u w:val="single"/>
              </w:rPr>
            </w:pPr>
            <w:r>
              <w:rPr>
                <w:rFonts w:cs="Arial"/>
                <w:sz w:val="24"/>
                <w:u w:val="single"/>
              </w:rPr>
              <w:t>Consultation on new approach to siting</w:t>
            </w:r>
          </w:p>
          <w:p w14:paraId="6DEC6C72" w14:textId="77777777" w:rsidR="00E816E1" w:rsidRDefault="00E816E1" w:rsidP="00E816E1">
            <w:pPr>
              <w:spacing w:after="21"/>
              <w:rPr>
                <w:rFonts w:cs="Arial"/>
                <w:sz w:val="24"/>
              </w:rPr>
            </w:pPr>
          </w:p>
          <w:p w14:paraId="22093A77" w14:textId="77777777" w:rsidR="00E816E1" w:rsidRDefault="00E816E1" w:rsidP="00E816E1">
            <w:pPr>
              <w:autoSpaceDE w:val="0"/>
              <w:autoSpaceDN w:val="0"/>
              <w:adjustRightInd w:val="0"/>
              <w:spacing w:after="21"/>
              <w:rPr>
                <w:rFonts w:cs="Arial"/>
                <w:sz w:val="24"/>
              </w:rPr>
            </w:pPr>
            <w:r w:rsidRPr="00B77345">
              <w:rPr>
                <w:rFonts w:cs="Arial"/>
                <w:sz w:val="24"/>
              </w:rPr>
              <w:t xml:space="preserve">Government </w:t>
            </w:r>
            <w:r>
              <w:rPr>
                <w:rFonts w:cs="Arial"/>
                <w:sz w:val="24"/>
              </w:rPr>
              <w:t>recently</w:t>
            </w:r>
            <w:r w:rsidRPr="00B77345">
              <w:rPr>
                <w:rFonts w:cs="Arial"/>
                <w:sz w:val="24"/>
              </w:rPr>
              <w:t xml:space="preserve"> issued a consultation on </w:t>
            </w:r>
            <w:r>
              <w:rPr>
                <w:rFonts w:cs="Arial"/>
                <w:sz w:val="24"/>
              </w:rPr>
              <w:t>‘</w:t>
            </w:r>
            <w:r w:rsidRPr="009B253A">
              <w:rPr>
                <w:rFonts w:cs="Arial"/>
                <w:sz w:val="24"/>
              </w:rPr>
              <w:t xml:space="preserve">National </w:t>
            </w:r>
            <w:r>
              <w:rPr>
                <w:rFonts w:cs="Arial"/>
                <w:sz w:val="24"/>
              </w:rPr>
              <w:t>p</w:t>
            </w:r>
            <w:r w:rsidRPr="009B253A">
              <w:rPr>
                <w:rFonts w:cs="Arial"/>
                <w:sz w:val="24"/>
              </w:rPr>
              <w:t xml:space="preserve">olicy </w:t>
            </w:r>
            <w:r>
              <w:rPr>
                <w:rFonts w:cs="Arial"/>
                <w:sz w:val="24"/>
              </w:rPr>
              <w:t>s</w:t>
            </w:r>
            <w:r w:rsidRPr="009B253A">
              <w:rPr>
                <w:rFonts w:cs="Arial"/>
                <w:sz w:val="24"/>
              </w:rPr>
              <w:t>tatement for new nuclear power generation: new approach to siting beyond 2025</w:t>
            </w:r>
            <w:r>
              <w:rPr>
                <w:rFonts w:cs="Arial"/>
                <w:sz w:val="24"/>
              </w:rPr>
              <w:t>’</w:t>
            </w:r>
            <w:r w:rsidRPr="009B253A">
              <w:rPr>
                <w:rFonts w:cs="Arial"/>
                <w:sz w:val="24"/>
              </w:rPr>
              <w:t xml:space="preserve"> </w:t>
            </w:r>
            <w:r w:rsidRPr="00B77345">
              <w:rPr>
                <w:rFonts w:cs="Arial"/>
                <w:sz w:val="24"/>
              </w:rPr>
              <w:t xml:space="preserve">to which ONR has provided a response.  </w:t>
            </w:r>
          </w:p>
          <w:p w14:paraId="5714B42E" w14:textId="77777777" w:rsidR="00E816E1" w:rsidRDefault="00E816E1" w:rsidP="00E816E1">
            <w:pPr>
              <w:autoSpaceDE w:val="0"/>
              <w:autoSpaceDN w:val="0"/>
              <w:adjustRightInd w:val="0"/>
              <w:spacing w:after="21"/>
              <w:rPr>
                <w:rFonts w:cs="Arial"/>
                <w:sz w:val="24"/>
              </w:rPr>
            </w:pPr>
          </w:p>
          <w:p w14:paraId="50513774" w14:textId="113A6E8E" w:rsidR="00E816E1" w:rsidRPr="00237AB6" w:rsidRDefault="00E816E1" w:rsidP="00237AB6">
            <w:pPr>
              <w:autoSpaceDE w:val="0"/>
              <w:autoSpaceDN w:val="0"/>
              <w:adjustRightInd w:val="0"/>
              <w:spacing w:after="21"/>
              <w:rPr>
                <w:rFonts w:cs="Arial"/>
                <w:sz w:val="24"/>
              </w:rPr>
            </w:pPr>
            <w:r w:rsidRPr="00B77345">
              <w:rPr>
                <w:rFonts w:cs="Arial"/>
                <w:sz w:val="24"/>
              </w:rPr>
              <w:t>In particular</w:t>
            </w:r>
            <w:r>
              <w:rPr>
                <w:rFonts w:cs="Arial"/>
                <w:sz w:val="24"/>
              </w:rPr>
              <w:t>,</w:t>
            </w:r>
            <w:r w:rsidRPr="00B77345">
              <w:rPr>
                <w:rFonts w:cs="Arial"/>
                <w:sz w:val="24"/>
              </w:rPr>
              <w:t xml:space="preserve"> question </w:t>
            </w:r>
            <w:r>
              <w:rPr>
                <w:rFonts w:cs="Arial"/>
                <w:sz w:val="24"/>
              </w:rPr>
              <w:t xml:space="preserve">one </w:t>
            </w:r>
            <w:r w:rsidRPr="00B77345">
              <w:rPr>
                <w:rFonts w:cs="Arial"/>
                <w:sz w:val="24"/>
              </w:rPr>
              <w:t>notes that EN-</w:t>
            </w:r>
            <w:r w:rsidRPr="009B253A">
              <w:rPr>
                <w:rFonts w:cs="Arial"/>
                <w:sz w:val="24"/>
              </w:rPr>
              <w:t>6 applies only to GW scale projects</w:t>
            </w:r>
            <w:r>
              <w:rPr>
                <w:rFonts w:cs="Arial"/>
                <w:sz w:val="24"/>
              </w:rPr>
              <w:t xml:space="preserve"> and</w:t>
            </w:r>
            <w:r w:rsidRPr="009B253A">
              <w:rPr>
                <w:rFonts w:cs="Arial"/>
                <w:sz w:val="24"/>
              </w:rPr>
              <w:t xml:space="preserve"> </w:t>
            </w:r>
            <w:r>
              <w:rPr>
                <w:rFonts w:cs="Arial"/>
                <w:sz w:val="24"/>
              </w:rPr>
              <w:t>sought</w:t>
            </w:r>
            <w:r w:rsidRPr="009B253A">
              <w:rPr>
                <w:rFonts w:cs="Arial"/>
                <w:sz w:val="24"/>
              </w:rPr>
              <w:t xml:space="preserve"> views on the proposal that EN-7 </w:t>
            </w:r>
            <w:r>
              <w:rPr>
                <w:rFonts w:cs="Arial"/>
                <w:sz w:val="24"/>
              </w:rPr>
              <w:t>will apply</w:t>
            </w:r>
            <w:r w:rsidRPr="009B253A">
              <w:rPr>
                <w:rFonts w:cs="Arial"/>
                <w:sz w:val="24"/>
              </w:rPr>
              <w:t xml:space="preserve"> to GW scale projects</w:t>
            </w:r>
            <w:r w:rsidRPr="3FCF629C">
              <w:rPr>
                <w:rFonts w:cs="Arial"/>
                <w:sz w:val="24"/>
              </w:rPr>
              <w:t>,</w:t>
            </w:r>
            <w:r>
              <w:rPr>
                <w:rFonts w:cs="Arial"/>
                <w:sz w:val="24"/>
              </w:rPr>
              <w:t xml:space="preserve"> </w:t>
            </w:r>
            <w:r w:rsidRPr="009B253A">
              <w:rPr>
                <w:rFonts w:cs="Arial"/>
                <w:sz w:val="24"/>
              </w:rPr>
              <w:t xml:space="preserve">SMRs and AMRs. </w:t>
            </w:r>
            <w:r w:rsidRPr="3FCF629C">
              <w:rPr>
                <w:rFonts w:cs="Arial"/>
                <w:sz w:val="24"/>
              </w:rPr>
              <w:t>Our</w:t>
            </w:r>
            <w:r>
              <w:rPr>
                <w:rFonts w:cs="Arial"/>
                <w:sz w:val="24"/>
              </w:rPr>
              <w:t xml:space="preserve"> response stated that </w:t>
            </w:r>
            <w:r w:rsidRPr="009B253A">
              <w:rPr>
                <w:rFonts w:cs="Arial"/>
                <w:sz w:val="24"/>
              </w:rPr>
              <w:t xml:space="preserve">that we felt that </w:t>
            </w:r>
            <w:r>
              <w:rPr>
                <w:rFonts w:cs="Arial"/>
                <w:sz w:val="24"/>
              </w:rPr>
              <w:t>it was</w:t>
            </w:r>
            <w:r w:rsidRPr="009B253A">
              <w:rPr>
                <w:rFonts w:cs="Arial"/>
                <w:sz w:val="24"/>
              </w:rPr>
              <w:t xml:space="preserve"> pragmatic </w:t>
            </w:r>
            <w:r>
              <w:rPr>
                <w:rFonts w:cs="Arial"/>
                <w:sz w:val="24"/>
              </w:rPr>
              <w:t xml:space="preserve">for </w:t>
            </w:r>
            <w:r w:rsidRPr="009B253A">
              <w:rPr>
                <w:rFonts w:cs="Arial"/>
                <w:sz w:val="24"/>
              </w:rPr>
              <w:t xml:space="preserve">new technologies to be subject to the same requirements as those identified in EN6. </w:t>
            </w:r>
            <w:r>
              <w:rPr>
                <w:rFonts w:cs="Arial"/>
                <w:sz w:val="24"/>
              </w:rPr>
              <w:t>Our</w:t>
            </w:r>
            <w:r w:rsidRPr="009B253A">
              <w:rPr>
                <w:rFonts w:cs="Arial"/>
                <w:sz w:val="24"/>
              </w:rPr>
              <w:t xml:space="preserve"> full response to the consultation can be </w:t>
            </w:r>
            <w:r w:rsidRPr="00237AB6">
              <w:rPr>
                <w:rFonts w:cs="Arial"/>
                <w:sz w:val="24"/>
              </w:rPr>
              <w:t xml:space="preserve">found </w:t>
            </w:r>
            <w:hyperlink r:id="rId20" w:history="1">
              <w:r w:rsidR="00237AB6" w:rsidRPr="00237AB6">
                <w:rPr>
                  <w:rStyle w:val="Hyperlink"/>
                  <w:rFonts w:cs="Arial"/>
                  <w:color w:val="auto"/>
                  <w:sz w:val="24"/>
                </w:rPr>
                <w:t>here</w:t>
              </w:r>
            </w:hyperlink>
            <w:r w:rsidR="00445A22">
              <w:rPr>
                <w:rStyle w:val="FootnoteReference"/>
                <w:rFonts w:cs="Arial"/>
                <w:sz w:val="24"/>
                <w:u w:val="single"/>
              </w:rPr>
              <w:footnoteReference w:id="3"/>
            </w:r>
            <w:r w:rsidR="00237AB6">
              <w:rPr>
                <w:rFonts w:cs="Arial"/>
                <w:sz w:val="24"/>
              </w:rPr>
              <w:t>.</w:t>
            </w:r>
          </w:p>
          <w:p w14:paraId="56C948D0" w14:textId="77777777" w:rsidR="00E816E1" w:rsidRPr="00976CFE" w:rsidRDefault="00E816E1" w:rsidP="00E816E1">
            <w:pPr>
              <w:spacing w:after="21"/>
              <w:rPr>
                <w:rFonts w:cs="Arial"/>
                <w:sz w:val="24"/>
              </w:rPr>
            </w:pPr>
          </w:p>
          <w:p w14:paraId="02FB2E14" w14:textId="77777777" w:rsidR="00E816E1" w:rsidRPr="009B253A" w:rsidRDefault="00E816E1" w:rsidP="00E816E1">
            <w:pPr>
              <w:spacing w:after="21"/>
              <w:rPr>
                <w:rFonts w:cs="Arial"/>
                <w:sz w:val="24"/>
              </w:rPr>
            </w:pPr>
          </w:p>
        </w:tc>
      </w:tr>
      <w:tr w:rsidR="00E816E1" w:rsidRPr="00E668EC" w14:paraId="5D8278E2" w14:textId="77777777" w:rsidTr="00E816E1">
        <w:tc>
          <w:tcPr>
            <w:tcW w:w="6380" w:type="dxa"/>
          </w:tcPr>
          <w:p w14:paraId="60E2F6C3" w14:textId="77777777" w:rsidR="00E816E1" w:rsidRPr="00E54142" w:rsidRDefault="00E816E1" w:rsidP="00E816E1">
            <w:pPr>
              <w:spacing w:after="21"/>
              <w:rPr>
                <w:rFonts w:asciiTheme="minorBidi" w:hAnsiTheme="minorBidi"/>
                <w:sz w:val="24"/>
              </w:rPr>
            </w:pPr>
            <w:r w:rsidRPr="00E54142">
              <w:rPr>
                <w:rFonts w:asciiTheme="minorBidi" w:hAnsiTheme="minorBidi"/>
                <w:sz w:val="24"/>
              </w:rPr>
              <w:lastRenderedPageBreak/>
              <w:t>Question 12: What are the opportunities and the challenges of the proposed engagement approach? Please explain your answer</w:t>
            </w:r>
          </w:p>
        </w:tc>
        <w:tc>
          <w:tcPr>
            <w:tcW w:w="9355" w:type="dxa"/>
          </w:tcPr>
          <w:p w14:paraId="7E217F83" w14:textId="32937F4E" w:rsidR="00E816E1" w:rsidRPr="00237AB6" w:rsidRDefault="00E816E1" w:rsidP="00E816E1">
            <w:pPr>
              <w:spacing w:after="21"/>
              <w:rPr>
                <w:rFonts w:asciiTheme="minorBidi" w:hAnsiTheme="minorBidi"/>
                <w:sz w:val="24"/>
              </w:rPr>
            </w:pPr>
            <w:r w:rsidRPr="3FCF629C">
              <w:rPr>
                <w:rFonts w:asciiTheme="minorBidi" w:hAnsiTheme="minorBidi"/>
                <w:sz w:val="24"/>
              </w:rPr>
              <w:t>On 26 March we launched a new transparent framework for early regulatory engagement  for parties interested in deploying nuclear reactor technology in Great Britain.  This is one of our key commitments in support of the Government’s civil nuclear roadmap to 2050.</w:t>
            </w:r>
            <w:r>
              <w:rPr>
                <w:rFonts w:asciiTheme="minorBidi" w:hAnsiTheme="minorBidi"/>
                <w:sz w:val="24"/>
              </w:rPr>
              <w:t xml:space="preserve"> </w:t>
            </w:r>
            <w:r w:rsidRPr="00237AB6">
              <w:rPr>
                <w:rFonts w:asciiTheme="minorBidi" w:hAnsiTheme="minorBidi"/>
                <w:sz w:val="24"/>
              </w:rPr>
              <w:t xml:space="preserve">The process and associated guidance can be found here – </w:t>
            </w:r>
            <w:hyperlink r:id="rId21">
              <w:r w:rsidRPr="00237AB6">
                <w:rPr>
                  <w:rStyle w:val="Hyperlink"/>
                  <w:rFonts w:asciiTheme="minorBidi" w:hAnsiTheme="minorBidi"/>
                  <w:color w:val="auto"/>
                  <w:sz w:val="24"/>
                </w:rPr>
                <w:t>Early regulatory engagement on new nuclear projects | Office for Nuclear Regulation (onr.org.uk)</w:t>
              </w:r>
            </w:hyperlink>
            <w:r w:rsidR="00CD5F7E">
              <w:rPr>
                <w:rStyle w:val="FootnoteReference"/>
                <w:rFonts w:asciiTheme="minorBidi" w:hAnsiTheme="minorBidi"/>
                <w:sz w:val="24"/>
                <w:u w:val="single"/>
              </w:rPr>
              <w:footnoteReference w:id="4"/>
            </w:r>
          </w:p>
          <w:p w14:paraId="6625BB46" w14:textId="77777777" w:rsidR="00E816E1" w:rsidRPr="00237AB6" w:rsidRDefault="00E816E1" w:rsidP="00E816E1">
            <w:pPr>
              <w:spacing w:after="21"/>
              <w:rPr>
                <w:rFonts w:asciiTheme="minorBidi" w:hAnsiTheme="minorBidi"/>
                <w:sz w:val="24"/>
              </w:rPr>
            </w:pPr>
          </w:p>
          <w:p w14:paraId="508E61D7" w14:textId="77777777" w:rsidR="00E816E1" w:rsidRDefault="00E816E1" w:rsidP="00E816E1">
            <w:pPr>
              <w:spacing w:after="21"/>
              <w:rPr>
                <w:rFonts w:asciiTheme="minorBidi" w:hAnsiTheme="minorBidi"/>
                <w:sz w:val="24"/>
              </w:rPr>
            </w:pPr>
            <w:r w:rsidRPr="00237AB6">
              <w:rPr>
                <w:rFonts w:asciiTheme="minorBidi" w:hAnsiTheme="minorBidi"/>
                <w:sz w:val="24"/>
              </w:rPr>
              <w:t xml:space="preserve">The framework is available to any party requesting </w:t>
            </w:r>
            <w:r w:rsidRPr="3FCF629C">
              <w:rPr>
                <w:rFonts w:asciiTheme="minorBidi" w:hAnsiTheme="minorBidi"/>
                <w:sz w:val="24"/>
              </w:rPr>
              <w:t>early engagement on a proposed reactor deployment in Great Britain, including reactor technology vendors, developers or aspirant licence/permit holders.</w:t>
            </w:r>
            <w:r>
              <w:rPr>
                <w:rFonts w:asciiTheme="minorBidi" w:hAnsiTheme="minorBidi"/>
                <w:sz w:val="24"/>
              </w:rPr>
              <w:t xml:space="preserve"> </w:t>
            </w:r>
          </w:p>
          <w:p w14:paraId="014C6727" w14:textId="77777777" w:rsidR="00E816E1" w:rsidRDefault="00E816E1" w:rsidP="00E816E1">
            <w:pPr>
              <w:spacing w:after="21"/>
            </w:pPr>
          </w:p>
          <w:p w14:paraId="6B1DE1D0" w14:textId="77777777" w:rsidR="00E816E1" w:rsidRDefault="00E816E1" w:rsidP="00E816E1">
            <w:pPr>
              <w:spacing w:after="21"/>
              <w:rPr>
                <w:rFonts w:asciiTheme="minorBidi" w:hAnsiTheme="minorBidi"/>
                <w:sz w:val="24"/>
              </w:rPr>
            </w:pPr>
            <w:r>
              <w:rPr>
                <w:rFonts w:asciiTheme="minorBidi" w:hAnsiTheme="minorBidi"/>
                <w:sz w:val="24"/>
              </w:rPr>
              <w:lastRenderedPageBreak/>
              <w:t>There are a number of benefits of the early engagement process. Applicants get an understanding of the regulatory processes, expectations and requirements</w:t>
            </w:r>
            <w:r w:rsidRPr="3FCF629C">
              <w:rPr>
                <w:rFonts w:asciiTheme="minorBidi" w:hAnsiTheme="minorBidi"/>
                <w:sz w:val="24"/>
              </w:rPr>
              <w:t>,</w:t>
            </w:r>
            <w:r>
              <w:rPr>
                <w:rFonts w:asciiTheme="minorBidi" w:hAnsiTheme="minorBidi"/>
                <w:sz w:val="24"/>
              </w:rPr>
              <w:t xml:space="preserve"> which will enable them to better manage and de-risk the stages of their project.  It also enables regulators to understand the maturity and readiness of applicants to progress to more formal regulatory processes to enable effective prioritisation and management of regulatory resource.  </w:t>
            </w:r>
          </w:p>
          <w:p w14:paraId="746CCD90" w14:textId="77777777" w:rsidR="00E816E1" w:rsidRDefault="00E816E1" w:rsidP="00E816E1">
            <w:pPr>
              <w:pStyle w:val="ListParagraph"/>
              <w:spacing w:after="21"/>
              <w:ind w:left="0"/>
              <w:textAlignment w:val="baseline"/>
              <w:rPr>
                <w:rFonts w:eastAsia="Calibri" w:cs="MrEavesXLModOT"/>
                <w:kern w:val="0"/>
                <w:sz w:val="24"/>
                <w:szCs w:val="28"/>
                <w:lang w:eastAsia="en-GB"/>
                <w14:ligatures w14:val="none"/>
              </w:rPr>
            </w:pPr>
          </w:p>
          <w:p w14:paraId="0D17135D" w14:textId="77777777" w:rsidR="00E816E1" w:rsidRDefault="00E816E1" w:rsidP="00E816E1">
            <w:pPr>
              <w:spacing w:after="21"/>
              <w:rPr>
                <w:rFonts w:asciiTheme="minorBidi" w:hAnsiTheme="minorBidi"/>
                <w:sz w:val="24"/>
              </w:rPr>
            </w:pPr>
            <w:r w:rsidRPr="002D65F7">
              <w:rPr>
                <w:rFonts w:asciiTheme="minorBidi" w:hAnsiTheme="minorBidi"/>
                <w:sz w:val="24"/>
              </w:rPr>
              <w:t xml:space="preserve">Given the anticipated demand for this service </w:t>
            </w:r>
            <w:r>
              <w:rPr>
                <w:rFonts w:asciiTheme="minorBidi" w:hAnsiTheme="minorBidi"/>
                <w:sz w:val="24"/>
              </w:rPr>
              <w:t>we</w:t>
            </w:r>
            <w:r w:rsidRPr="002D65F7">
              <w:rPr>
                <w:rFonts w:asciiTheme="minorBidi" w:hAnsiTheme="minorBidi"/>
                <w:sz w:val="24"/>
              </w:rPr>
              <w:t xml:space="preserve"> wanted to ensure that </w:t>
            </w:r>
            <w:r>
              <w:rPr>
                <w:rFonts w:asciiTheme="minorBidi" w:hAnsiTheme="minorBidi"/>
                <w:sz w:val="24"/>
              </w:rPr>
              <w:t>r</w:t>
            </w:r>
            <w:r w:rsidRPr="002D65F7">
              <w:rPr>
                <w:rFonts w:asciiTheme="minorBidi" w:hAnsiTheme="minorBidi"/>
                <w:sz w:val="24"/>
              </w:rPr>
              <w:t xml:space="preserve">equesting </w:t>
            </w:r>
            <w:r>
              <w:rPr>
                <w:rFonts w:asciiTheme="minorBidi" w:hAnsiTheme="minorBidi"/>
                <w:sz w:val="24"/>
              </w:rPr>
              <w:t>p</w:t>
            </w:r>
            <w:r w:rsidRPr="002D65F7">
              <w:rPr>
                <w:rFonts w:asciiTheme="minorBidi" w:hAnsiTheme="minorBidi"/>
                <w:sz w:val="24"/>
              </w:rPr>
              <w:t xml:space="preserve">arties had access to the process as soon as possible.  The process was introduced to the Nuclear Industry Associations ANT group prior to publication and was very well received.  </w:t>
            </w:r>
            <w:r w:rsidRPr="3FCF629C">
              <w:rPr>
                <w:rFonts w:asciiTheme="minorBidi" w:hAnsiTheme="minorBidi"/>
                <w:sz w:val="24"/>
              </w:rPr>
              <w:t xml:space="preserve">We intend to undertake a ‘post implementation review’ six months following launch of the framework. </w:t>
            </w:r>
            <w:r w:rsidRPr="002D65F7">
              <w:rPr>
                <w:rFonts w:asciiTheme="minorBidi" w:hAnsiTheme="minorBidi"/>
                <w:sz w:val="24"/>
              </w:rPr>
              <w:t>We welcome any feedback and will take into account any responses to this consultation</w:t>
            </w:r>
            <w:r w:rsidRPr="3FCF629C">
              <w:rPr>
                <w:rFonts w:asciiTheme="minorBidi" w:hAnsiTheme="minorBidi"/>
                <w:sz w:val="24"/>
              </w:rPr>
              <w:t xml:space="preserve"> as part of this review.</w:t>
            </w:r>
            <w:r>
              <w:rPr>
                <w:rFonts w:asciiTheme="minorBidi" w:hAnsiTheme="minorBidi"/>
                <w:sz w:val="24"/>
              </w:rPr>
              <w:t xml:space="preserve"> </w:t>
            </w:r>
            <w:r w:rsidRPr="3FCF629C">
              <w:rPr>
                <w:rFonts w:asciiTheme="minorBidi" w:hAnsiTheme="minorBidi"/>
                <w:sz w:val="24"/>
              </w:rPr>
              <w:t xml:space="preserve"> The framework will be subject to regular reviews to ensure it remains fit for purpose and delivers the expected value.</w:t>
            </w:r>
          </w:p>
          <w:p w14:paraId="494E889D" w14:textId="77777777" w:rsidR="00E816E1" w:rsidRDefault="00E816E1" w:rsidP="00E816E1">
            <w:pPr>
              <w:spacing w:after="21"/>
              <w:rPr>
                <w:rFonts w:asciiTheme="minorBidi" w:hAnsiTheme="minorBidi"/>
                <w:color w:val="FF0000"/>
                <w:sz w:val="24"/>
              </w:rPr>
            </w:pPr>
          </w:p>
          <w:p w14:paraId="64DBC0DB" w14:textId="77777777" w:rsidR="00E816E1" w:rsidRDefault="00E816E1" w:rsidP="00E816E1">
            <w:pPr>
              <w:spacing w:after="21"/>
              <w:rPr>
                <w:rFonts w:asciiTheme="minorBidi" w:hAnsiTheme="minorBidi"/>
                <w:color w:val="111111"/>
              </w:rPr>
            </w:pPr>
          </w:p>
        </w:tc>
      </w:tr>
      <w:tr w:rsidR="00E816E1" w:rsidRPr="00E668EC" w14:paraId="4CEB4CBD" w14:textId="77777777" w:rsidTr="00E816E1">
        <w:tc>
          <w:tcPr>
            <w:tcW w:w="6380" w:type="dxa"/>
          </w:tcPr>
          <w:p w14:paraId="71646272" w14:textId="77777777" w:rsidR="00E816E1" w:rsidRPr="00F54E28" w:rsidRDefault="00E816E1" w:rsidP="00E816E1">
            <w:pPr>
              <w:spacing w:after="21"/>
              <w:jc w:val="both"/>
              <w:rPr>
                <w:rFonts w:asciiTheme="minorBidi" w:hAnsiTheme="minorBidi"/>
                <w:sz w:val="24"/>
              </w:rPr>
            </w:pPr>
            <w:r w:rsidRPr="00F54E28">
              <w:rPr>
                <w:rFonts w:asciiTheme="minorBidi" w:hAnsiTheme="minorBidi"/>
                <w:sz w:val="24"/>
              </w:rPr>
              <w:lastRenderedPageBreak/>
              <w:t xml:space="preserve">Chapter Three – Bringing Projects to Market </w:t>
            </w:r>
          </w:p>
          <w:p w14:paraId="3321A248" w14:textId="77777777" w:rsidR="00E816E1" w:rsidRDefault="00E816E1" w:rsidP="00E816E1">
            <w:pPr>
              <w:spacing w:after="21"/>
              <w:rPr>
                <w:rFonts w:asciiTheme="minorBidi" w:hAnsiTheme="minorBidi"/>
                <w:sz w:val="24"/>
              </w:rPr>
            </w:pPr>
          </w:p>
        </w:tc>
        <w:tc>
          <w:tcPr>
            <w:tcW w:w="9355" w:type="dxa"/>
          </w:tcPr>
          <w:p w14:paraId="2C5B692B" w14:textId="77777777" w:rsidR="00E816E1" w:rsidRDefault="00E816E1" w:rsidP="00E816E1">
            <w:pPr>
              <w:pStyle w:val="ListParagraph"/>
              <w:spacing w:after="21"/>
              <w:ind w:left="0"/>
              <w:jc w:val="both"/>
              <w:textAlignment w:val="baseline"/>
              <w:rPr>
                <w:rFonts w:asciiTheme="minorBidi" w:hAnsiTheme="minorBidi"/>
                <w:sz w:val="24"/>
              </w:rPr>
            </w:pPr>
            <w:r w:rsidRPr="00170B22">
              <w:rPr>
                <w:rFonts w:asciiTheme="minorBidi" w:hAnsiTheme="minorBidi"/>
                <w:sz w:val="24"/>
              </w:rPr>
              <w:t xml:space="preserve">We have provided a general response to chapter 3.  </w:t>
            </w:r>
          </w:p>
          <w:p w14:paraId="49DE5543" w14:textId="77777777" w:rsidR="00E816E1" w:rsidRDefault="00E816E1" w:rsidP="00E816E1">
            <w:pPr>
              <w:pStyle w:val="ListParagraph"/>
              <w:spacing w:after="21"/>
              <w:ind w:left="0"/>
              <w:jc w:val="both"/>
              <w:textAlignment w:val="baseline"/>
              <w:rPr>
                <w:rFonts w:asciiTheme="minorBidi" w:hAnsiTheme="minorBidi"/>
                <w:sz w:val="24"/>
              </w:rPr>
            </w:pPr>
          </w:p>
          <w:p w14:paraId="7179BF7B" w14:textId="77777777" w:rsidR="00E816E1" w:rsidRPr="00170B22" w:rsidRDefault="00E816E1" w:rsidP="00E816E1">
            <w:pPr>
              <w:pStyle w:val="ListParagraph"/>
              <w:spacing w:after="21"/>
              <w:ind w:left="0"/>
              <w:jc w:val="both"/>
              <w:textAlignment w:val="baseline"/>
              <w:rPr>
                <w:rFonts w:asciiTheme="minorBidi" w:hAnsiTheme="minorBidi"/>
                <w:sz w:val="24"/>
              </w:rPr>
            </w:pPr>
            <w:r w:rsidRPr="00170B22">
              <w:rPr>
                <w:rFonts w:asciiTheme="minorBidi" w:hAnsiTheme="minorBidi"/>
                <w:sz w:val="24"/>
              </w:rPr>
              <w:t xml:space="preserve">ONR has an interest in any new funding models that are applied to nuclear projects to ensure that safety, security and safeguards remain paramount and are not adversely affected by the design of a funding model or economic regulatory regime.  </w:t>
            </w:r>
          </w:p>
          <w:p w14:paraId="66B3D136" w14:textId="77777777" w:rsidR="00E816E1" w:rsidRPr="00DF4086" w:rsidRDefault="00E816E1" w:rsidP="00E816E1">
            <w:pPr>
              <w:pStyle w:val="ListParagraph"/>
              <w:spacing w:after="21"/>
              <w:ind w:left="0"/>
              <w:jc w:val="both"/>
              <w:textAlignment w:val="baseline"/>
              <w:rPr>
                <w:rFonts w:asciiTheme="minorBidi" w:hAnsiTheme="minorBidi"/>
                <w:color w:val="111111"/>
              </w:rPr>
            </w:pPr>
          </w:p>
          <w:p w14:paraId="1B6DE474" w14:textId="77777777" w:rsidR="00E816E1" w:rsidRDefault="00E816E1" w:rsidP="00E816E1">
            <w:pPr>
              <w:spacing w:after="21"/>
              <w:jc w:val="both"/>
              <w:rPr>
                <w:rFonts w:asciiTheme="minorBidi" w:hAnsiTheme="minorBidi"/>
                <w:sz w:val="24"/>
              </w:rPr>
            </w:pPr>
            <w:r w:rsidRPr="003E4CFA">
              <w:rPr>
                <w:rFonts w:asciiTheme="minorBidi" w:hAnsiTheme="minorBidi"/>
                <w:sz w:val="24"/>
              </w:rPr>
              <w:t xml:space="preserve">When developing the Regulated Asset Base funding model </w:t>
            </w:r>
            <w:r>
              <w:rPr>
                <w:rFonts w:asciiTheme="minorBidi" w:hAnsiTheme="minorBidi"/>
                <w:sz w:val="24"/>
              </w:rPr>
              <w:t xml:space="preserve">which provides a framework for financing new nuclear, </w:t>
            </w:r>
            <w:r w:rsidRPr="003E4CFA">
              <w:rPr>
                <w:rFonts w:asciiTheme="minorBidi" w:hAnsiTheme="minorBidi"/>
                <w:sz w:val="24"/>
              </w:rPr>
              <w:t xml:space="preserve">ONR provided technical and regulatory policy advice to the </w:t>
            </w:r>
            <w:r>
              <w:rPr>
                <w:rFonts w:asciiTheme="minorBidi" w:hAnsiTheme="minorBidi"/>
                <w:sz w:val="24"/>
              </w:rPr>
              <w:t>g</w:t>
            </w:r>
            <w:r w:rsidRPr="003E4CFA">
              <w:rPr>
                <w:rFonts w:asciiTheme="minorBidi" w:hAnsiTheme="minorBidi"/>
                <w:sz w:val="24"/>
              </w:rPr>
              <w:t xml:space="preserve">overnment, </w:t>
            </w:r>
            <w:r>
              <w:rPr>
                <w:rFonts w:asciiTheme="minorBidi" w:hAnsiTheme="minorBidi"/>
                <w:sz w:val="24"/>
              </w:rPr>
              <w:t xml:space="preserve">to meet the above aim.  </w:t>
            </w:r>
            <w:r w:rsidRPr="003E4CFA">
              <w:rPr>
                <w:rFonts w:asciiTheme="minorBidi" w:hAnsiTheme="minorBidi"/>
                <w:sz w:val="24"/>
              </w:rPr>
              <w:t>A</w:t>
            </w:r>
            <w:r>
              <w:rPr>
                <w:rFonts w:asciiTheme="minorBidi" w:hAnsiTheme="minorBidi"/>
                <w:sz w:val="24"/>
              </w:rPr>
              <w:t>s such, a</w:t>
            </w:r>
            <w:r w:rsidRPr="003E4CFA">
              <w:rPr>
                <w:rFonts w:asciiTheme="minorBidi" w:hAnsiTheme="minorBidi"/>
                <w:sz w:val="24"/>
              </w:rPr>
              <w:t>ny other financial models that are developed should be done so in consultation with ONR.</w:t>
            </w:r>
          </w:p>
          <w:p w14:paraId="61E1F5D4" w14:textId="77777777" w:rsidR="00E816E1" w:rsidRPr="003E4CFA" w:rsidRDefault="00E816E1" w:rsidP="00E816E1">
            <w:pPr>
              <w:spacing w:after="21"/>
              <w:jc w:val="both"/>
              <w:rPr>
                <w:rFonts w:asciiTheme="minorBidi" w:hAnsiTheme="minorBidi"/>
                <w:sz w:val="24"/>
              </w:rPr>
            </w:pPr>
          </w:p>
          <w:p w14:paraId="34A0AEFE" w14:textId="77777777" w:rsidR="00E816E1" w:rsidRPr="003E4CFA" w:rsidRDefault="00E816E1" w:rsidP="00E816E1">
            <w:pPr>
              <w:spacing w:after="21"/>
              <w:jc w:val="both"/>
              <w:rPr>
                <w:rFonts w:asciiTheme="minorBidi" w:hAnsiTheme="minorBidi"/>
                <w:sz w:val="24"/>
              </w:rPr>
            </w:pPr>
            <w:r w:rsidRPr="003E4CFA">
              <w:rPr>
                <w:rFonts w:asciiTheme="minorBidi" w:hAnsiTheme="minorBidi"/>
                <w:sz w:val="24"/>
              </w:rPr>
              <w:t xml:space="preserve">We recognise that there are potential areas of overlap in the assessments undertaken by an economic regulator and ONR, particularly in relation to assessment of organisational structure and capability and security of site tenure.  We will continue to </w:t>
            </w:r>
            <w:r w:rsidRPr="003E4CFA">
              <w:rPr>
                <w:rFonts w:asciiTheme="minorBidi" w:hAnsiTheme="minorBidi"/>
                <w:sz w:val="24"/>
              </w:rPr>
              <w:lastRenderedPageBreak/>
              <w:t xml:space="preserve">work closely with </w:t>
            </w:r>
            <w:r>
              <w:rPr>
                <w:rFonts w:asciiTheme="minorBidi" w:hAnsiTheme="minorBidi"/>
                <w:sz w:val="24"/>
              </w:rPr>
              <w:t>g</w:t>
            </w:r>
            <w:r w:rsidRPr="003E4CFA">
              <w:rPr>
                <w:rFonts w:asciiTheme="minorBidi" w:hAnsiTheme="minorBidi"/>
                <w:sz w:val="24"/>
              </w:rPr>
              <w:t xml:space="preserve">overnment and </w:t>
            </w:r>
            <w:r>
              <w:rPr>
                <w:rFonts w:asciiTheme="minorBidi" w:hAnsiTheme="minorBidi"/>
                <w:sz w:val="24"/>
              </w:rPr>
              <w:t>economic</w:t>
            </w:r>
            <w:r w:rsidRPr="003E4CFA">
              <w:rPr>
                <w:rFonts w:asciiTheme="minorBidi" w:hAnsiTheme="minorBidi"/>
                <w:sz w:val="24"/>
              </w:rPr>
              <w:t xml:space="preserve"> regulator</w:t>
            </w:r>
            <w:r>
              <w:rPr>
                <w:rFonts w:asciiTheme="minorBidi" w:hAnsiTheme="minorBidi"/>
                <w:sz w:val="24"/>
              </w:rPr>
              <w:t xml:space="preserve">s </w:t>
            </w:r>
            <w:r w:rsidRPr="003E4CFA">
              <w:rPr>
                <w:rFonts w:asciiTheme="minorBidi" w:hAnsiTheme="minorBidi"/>
                <w:sz w:val="24"/>
              </w:rPr>
              <w:t xml:space="preserve">to ensure there is an effective interface and to avoid duplication of effort where appropriate.  </w:t>
            </w:r>
          </w:p>
          <w:p w14:paraId="13660C1C" w14:textId="77777777" w:rsidR="00E816E1" w:rsidRDefault="00E816E1" w:rsidP="00E816E1">
            <w:pPr>
              <w:spacing w:after="21"/>
              <w:jc w:val="both"/>
              <w:rPr>
                <w:rFonts w:asciiTheme="minorBidi" w:hAnsiTheme="minorBidi"/>
                <w:sz w:val="24"/>
              </w:rPr>
            </w:pPr>
          </w:p>
        </w:tc>
      </w:tr>
    </w:tbl>
    <w:p w14:paraId="0E3A726E" w14:textId="77777777" w:rsidR="00181F88" w:rsidRPr="00181F88" w:rsidRDefault="00181F88" w:rsidP="0089086B">
      <w:pPr>
        <w:pStyle w:val="PlainText"/>
        <w:rPr>
          <w:rFonts w:ascii="Arial" w:hAnsi="Arial" w:cs="Arial"/>
          <w:sz w:val="24"/>
          <w:szCs w:val="24"/>
        </w:rPr>
      </w:pPr>
    </w:p>
    <w:sectPr w:rsidR="00181F88" w:rsidRPr="00181F88" w:rsidSect="00AF67D7">
      <w:pgSz w:w="16838" w:h="11906" w:orient="landscape" w:code="9"/>
      <w:pgMar w:top="1582" w:right="1355" w:bottom="1140" w:left="675" w:header="431"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F27A" w14:textId="77777777" w:rsidR="00A54889" w:rsidRDefault="00A54889">
      <w:r>
        <w:separator/>
      </w:r>
    </w:p>
  </w:endnote>
  <w:endnote w:type="continuationSeparator" w:id="0">
    <w:p w14:paraId="1E023474" w14:textId="77777777" w:rsidR="00A54889" w:rsidRDefault="00A5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rEavesXLModOT">
    <w:altName w:val="Calibri"/>
    <w:panose1 w:val="00000000000000000000"/>
    <w:charset w:val="00"/>
    <w:family w:val="swiss"/>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8949"/>
      <w:docPartObj>
        <w:docPartGallery w:val="Page Numbers (Top of Page)"/>
        <w:docPartUnique/>
      </w:docPartObj>
    </w:sdtPr>
    <w:sdtEndPr/>
    <w:sdtContent>
      <w:p w14:paraId="2AAA5E99" w14:textId="77777777" w:rsidR="00237AB6" w:rsidRPr="00B56CCE" w:rsidRDefault="00237AB6" w:rsidP="00237AB6">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color w:val="006D68"/>
            <w:sz w:val="14"/>
            <w:szCs w:val="14"/>
          </w:rPr>
          <w:t>1</w:t>
        </w:r>
        <w:r w:rsidRPr="00B56CCE">
          <w:rPr>
            <w:b/>
            <w:color w:val="006D68"/>
            <w:sz w:val="14"/>
            <w:szCs w:val="14"/>
          </w:rPr>
          <w:fldChar w:fldCharType="end"/>
        </w:r>
      </w:p>
      <w:p w14:paraId="64FBD598" w14:textId="77777777" w:rsidR="00237AB6" w:rsidRDefault="00860D8C" w:rsidP="00237AB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86619"/>
      <w:docPartObj>
        <w:docPartGallery w:val="Page Numbers (Top of Page)"/>
        <w:docPartUnique/>
      </w:docPartObj>
    </w:sdtPr>
    <w:sdtEndPr/>
    <w:sdtContent>
      <w:p w14:paraId="2050EF19" w14:textId="7255528C" w:rsidR="00AF67D7" w:rsidRPr="00B56CCE" w:rsidRDefault="00AF67D7" w:rsidP="00AF67D7">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Pr>
            <w:color w:val="006D68"/>
            <w:sz w:val="14"/>
            <w:szCs w:val="14"/>
          </w:rPr>
          <w:ptab w:relativeTo="margin" w:alignment="right" w:leader="none"/>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color w:val="006D68"/>
            <w:sz w:val="14"/>
            <w:szCs w:val="14"/>
          </w:rPr>
          <w:t>1</w:t>
        </w:r>
        <w:r w:rsidRPr="00B56CCE">
          <w:rPr>
            <w:b/>
            <w:color w:val="006D68"/>
            <w:sz w:val="14"/>
            <w:szCs w:val="14"/>
          </w:rPr>
          <w:fldChar w:fldCharType="end"/>
        </w:r>
      </w:p>
      <w:p w14:paraId="7FAA9F3C" w14:textId="5807FA81" w:rsidR="00121615" w:rsidRPr="00AF67D7" w:rsidRDefault="00860D8C" w:rsidP="00AF67D7">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00855"/>
      <w:docPartObj>
        <w:docPartGallery w:val="Page Numbers (Bottom of Page)"/>
        <w:docPartUnique/>
      </w:docPartObj>
    </w:sdtPr>
    <w:sdtEndPr/>
    <w:sdtContent>
      <w:sdt>
        <w:sdtPr>
          <w:id w:val="1575542659"/>
          <w:docPartObj>
            <w:docPartGallery w:val="Page Numbers (Top of Page)"/>
            <w:docPartUnique/>
          </w:docPartObj>
        </w:sdtPr>
        <w:sdtEndPr/>
        <w:sdtContent>
          <w:sdt>
            <w:sdtPr>
              <w:id w:val="1393081911"/>
              <w:docPartObj>
                <w:docPartGallery w:val="Page Numbers (Top of Page)"/>
                <w:docPartUnique/>
              </w:docPartObj>
            </w:sdtPr>
            <w:sdtEndPr/>
            <w:sdtContent>
              <w:p w14:paraId="53A7723C" w14:textId="0BC61E11" w:rsidR="00237AB6" w:rsidRPr="00B56CCE" w:rsidRDefault="00237AB6" w:rsidP="00237AB6">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color w:val="006D68"/>
                    <w:sz w:val="14"/>
                    <w:szCs w:val="14"/>
                  </w:rPr>
                  <w:t>1</w:t>
                </w:r>
                <w:r w:rsidRPr="00B56CCE">
                  <w:rPr>
                    <w:b/>
                    <w:color w:val="006D68"/>
                    <w:sz w:val="14"/>
                    <w:szCs w:val="14"/>
                  </w:rPr>
                  <w:fldChar w:fldCharType="end"/>
                </w:r>
              </w:p>
              <w:p w14:paraId="7A9034D5" w14:textId="0BC61E11" w:rsidR="00121615" w:rsidRDefault="00860D8C" w:rsidP="00237AB6">
                <w:pPr>
                  <w:pStyle w:val="Foote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5060" w14:textId="77777777" w:rsidR="00A54889" w:rsidRDefault="00A54889">
      <w:r>
        <w:separator/>
      </w:r>
    </w:p>
  </w:footnote>
  <w:footnote w:type="continuationSeparator" w:id="0">
    <w:p w14:paraId="403ADD5F" w14:textId="77777777" w:rsidR="00A54889" w:rsidRDefault="00A54889">
      <w:r>
        <w:continuationSeparator/>
      </w:r>
    </w:p>
  </w:footnote>
  <w:footnote w:id="1">
    <w:p w14:paraId="463E6A18" w14:textId="0D31E36F" w:rsidR="005708BB" w:rsidRDefault="005708BB">
      <w:pPr>
        <w:pStyle w:val="FootnoteText"/>
      </w:pPr>
      <w:r>
        <w:rPr>
          <w:rStyle w:val="FootnoteReference"/>
        </w:rPr>
        <w:footnoteRef/>
      </w:r>
      <w:r>
        <w:t xml:space="preserve"> </w:t>
      </w:r>
      <w:hyperlink r:id="rId1" w:history="1">
        <w:r w:rsidR="00C25A6B" w:rsidRPr="00ED2951">
          <w:rPr>
            <w:rStyle w:val="Hyperlink"/>
            <w:rFonts w:asciiTheme="minorBidi" w:hAnsiTheme="minorBidi"/>
            <w:color w:val="auto"/>
            <w:sz w:val="18"/>
            <w:szCs w:val="18"/>
          </w:rPr>
          <w:t>https://www.onr.org.uk/media/ri2eepa5/onrs-response-to-the-governments-national-policy-statement-for-new-nuclear-power-generation-080324.docx</w:t>
        </w:r>
      </w:hyperlink>
      <w:r w:rsidR="00C25A6B" w:rsidRPr="00C25A6B">
        <w:rPr>
          <w:sz w:val="18"/>
          <w:szCs w:val="18"/>
        </w:rPr>
        <w:t xml:space="preserve"> </w:t>
      </w:r>
    </w:p>
  </w:footnote>
  <w:footnote w:id="2">
    <w:p w14:paraId="5E3EE071" w14:textId="76BADD21" w:rsidR="003824D8" w:rsidRDefault="003824D8">
      <w:pPr>
        <w:pStyle w:val="FootnoteText"/>
      </w:pPr>
      <w:r>
        <w:rPr>
          <w:rStyle w:val="FootnoteReference"/>
        </w:rPr>
        <w:footnoteRef/>
      </w:r>
      <w:r w:rsidRPr="003824D8">
        <w:rPr>
          <w:rFonts w:asciiTheme="minorBidi" w:hAnsiTheme="minorBidi"/>
          <w:sz w:val="18"/>
          <w:szCs w:val="18"/>
        </w:rPr>
        <w:t xml:space="preserve"> </w:t>
      </w:r>
      <w:hyperlink r:id="rId2" w:history="1">
        <w:r w:rsidRPr="003824D8">
          <w:rPr>
            <w:rStyle w:val="Hyperlink"/>
            <w:rFonts w:asciiTheme="minorBidi" w:hAnsiTheme="minorBidi"/>
            <w:color w:val="auto"/>
            <w:sz w:val="18"/>
            <w:szCs w:val="18"/>
          </w:rPr>
          <w:t>https://www.iaea.org/newscenter/pressreleases/iaea-mission-sees-progress-in-nuclear-and-radiation-safety-in-the-united-kingdom-notes-areas-for-improvement</w:t>
        </w:r>
      </w:hyperlink>
    </w:p>
  </w:footnote>
  <w:footnote w:id="3">
    <w:p w14:paraId="09AFED18" w14:textId="57570E0D" w:rsidR="00445A22" w:rsidRDefault="00445A22">
      <w:pPr>
        <w:pStyle w:val="FootnoteText"/>
      </w:pPr>
      <w:r>
        <w:rPr>
          <w:rStyle w:val="FootnoteReference"/>
        </w:rPr>
        <w:footnoteRef/>
      </w:r>
      <w:r>
        <w:t xml:space="preserve"> </w:t>
      </w:r>
      <w:hyperlink r:id="rId3" w:history="1">
        <w:r w:rsidRPr="00445A22">
          <w:rPr>
            <w:rStyle w:val="Hyperlink"/>
            <w:rFonts w:asciiTheme="minorBidi" w:hAnsiTheme="minorBidi"/>
            <w:color w:val="auto"/>
            <w:sz w:val="18"/>
            <w:szCs w:val="18"/>
          </w:rPr>
          <w:t>https://www.onr.org.uk/media/ri2eepa5/onrs-response-to-the-governments-national-policy-statement-for-new-nuclear-power-generation-080324.docx</w:t>
        </w:r>
      </w:hyperlink>
    </w:p>
  </w:footnote>
  <w:footnote w:id="4">
    <w:p w14:paraId="5F879F9D" w14:textId="1EB64761" w:rsidR="00CD5F7E" w:rsidRDefault="00CD5F7E" w:rsidP="00CD5F7E">
      <w:pPr>
        <w:pStyle w:val="FootnoteText"/>
      </w:pPr>
      <w:r>
        <w:rPr>
          <w:rStyle w:val="FootnoteReference"/>
        </w:rPr>
        <w:footnoteRef/>
      </w:r>
      <w:r>
        <w:t xml:space="preserve"> </w:t>
      </w:r>
      <w:hyperlink r:id="rId4" w:history="1">
        <w:r w:rsidRPr="00CD5F7E">
          <w:rPr>
            <w:rStyle w:val="Hyperlink"/>
            <w:rFonts w:asciiTheme="minorBidi" w:hAnsiTheme="minorBidi"/>
            <w:color w:val="auto"/>
            <w:sz w:val="18"/>
            <w:szCs w:val="18"/>
          </w:rPr>
          <w:t>https://www.onr.org.uk/generic-design-assessment/early-regulatory-engagement-on-new-nuclear-projects/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BDAF" w14:textId="77777777" w:rsidR="00121615" w:rsidRDefault="00121615">
    <w:pPr>
      <w:pStyle w:val="Header"/>
    </w:pPr>
  </w:p>
  <w:p w14:paraId="3DD89AB2" w14:textId="77777777" w:rsidR="00121615" w:rsidRDefault="00121615" w:rsidP="00A50304">
    <w:pPr>
      <w:pStyle w:val="Header"/>
      <w:jc w:val="center"/>
      <w:rPr>
        <w:b/>
        <w:color w:val="006D68"/>
        <w:sz w:val="24"/>
        <w:szCs w:val="14"/>
      </w:rPr>
    </w:pPr>
  </w:p>
  <w:p w14:paraId="39B37A61" w14:textId="77777777" w:rsidR="00121615" w:rsidRDefault="00121615" w:rsidP="00A503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60C8" w14:textId="398E978F" w:rsidR="00121615" w:rsidRDefault="00A83C4F" w:rsidP="00A83C4F">
    <w:pPr>
      <w:pStyle w:val="Header"/>
      <w:rPr>
        <w:b/>
        <w:color w:val="006D68"/>
        <w:sz w:val="24"/>
        <w:szCs w:val="14"/>
      </w:rPr>
    </w:pPr>
    <w:r>
      <w:rPr>
        <w:noProof/>
        <w:lang w:eastAsia="en-GB"/>
      </w:rPr>
      <w:drawing>
        <wp:anchor distT="0" distB="0" distL="114300" distR="114300" simplePos="0" relativeHeight="251659264" behindDoc="0" locked="0" layoutInCell="1" allowOverlap="1" wp14:anchorId="76C10722" wp14:editId="663BA62D">
          <wp:simplePos x="0" y="0"/>
          <wp:positionH relativeFrom="page">
            <wp:posOffset>434975</wp:posOffset>
          </wp:positionH>
          <wp:positionV relativeFrom="page">
            <wp:posOffset>415704</wp:posOffset>
          </wp:positionV>
          <wp:extent cx="2895600" cy="638175"/>
          <wp:effectExtent l="0" t="0" r="0" b="9525"/>
          <wp:wrapNone/>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p>
  <w:p w14:paraId="35E3A1F0" w14:textId="28575E83" w:rsidR="00121615" w:rsidRDefault="00121615" w:rsidP="006C01EB">
    <w:pPr>
      <w:pStyle w:val="Header"/>
      <w:jc w:val="center"/>
      <w:rPr>
        <w:b/>
        <w:color w:val="006D68"/>
        <w:sz w:val="24"/>
        <w:szCs w:val="14"/>
      </w:rPr>
    </w:pPr>
  </w:p>
  <w:p w14:paraId="555E6940" w14:textId="21F8A860" w:rsidR="00E816E1" w:rsidRDefault="00E8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02F"/>
    <w:multiLevelType w:val="hybridMultilevel"/>
    <w:tmpl w:val="87BA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E155A"/>
    <w:multiLevelType w:val="hybridMultilevel"/>
    <w:tmpl w:val="AB80E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21FB8"/>
    <w:multiLevelType w:val="hybridMultilevel"/>
    <w:tmpl w:val="3CA2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F72EE"/>
    <w:multiLevelType w:val="hybridMultilevel"/>
    <w:tmpl w:val="B92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3E47"/>
    <w:multiLevelType w:val="hybridMultilevel"/>
    <w:tmpl w:val="C536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5608"/>
    <w:multiLevelType w:val="hybridMultilevel"/>
    <w:tmpl w:val="6F52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772"/>
    <w:multiLevelType w:val="hybridMultilevel"/>
    <w:tmpl w:val="193ED73E"/>
    <w:lvl w:ilvl="0" w:tplc="7A6C15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73223"/>
    <w:multiLevelType w:val="hybridMultilevel"/>
    <w:tmpl w:val="3EB64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B51C3"/>
    <w:multiLevelType w:val="hybridMultilevel"/>
    <w:tmpl w:val="EA5A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7000F"/>
    <w:multiLevelType w:val="hybridMultilevel"/>
    <w:tmpl w:val="1BE2EC10"/>
    <w:lvl w:ilvl="0" w:tplc="B6BE22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E5EA3"/>
    <w:multiLevelType w:val="hybridMultilevel"/>
    <w:tmpl w:val="DE0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A0526"/>
    <w:multiLevelType w:val="hybridMultilevel"/>
    <w:tmpl w:val="BF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857"/>
    <w:multiLevelType w:val="hybridMultilevel"/>
    <w:tmpl w:val="2F1A6C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333E8"/>
    <w:multiLevelType w:val="hybridMultilevel"/>
    <w:tmpl w:val="725819E6"/>
    <w:lvl w:ilvl="0" w:tplc="7C041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2631C"/>
    <w:multiLevelType w:val="hybridMultilevel"/>
    <w:tmpl w:val="808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6689F"/>
    <w:multiLevelType w:val="hybridMultilevel"/>
    <w:tmpl w:val="398AB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45E50"/>
    <w:multiLevelType w:val="hybridMultilevel"/>
    <w:tmpl w:val="73F2AC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F70E1F"/>
    <w:multiLevelType w:val="hybridMultilevel"/>
    <w:tmpl w:val="EF26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9E7B4"/>
    <w:multiLevelType w:val="hybridMultilevel"/>
    <w:tmpl w:val="FFFFFFFF"/>
    <w:lvl w:ilvl="0" w:tplc="1902C1B4">
      <w:start w:val="1"/>
      <w:numFmt w:val="bullet"/>
      <w:lvlText w:val=""/>
      <w:lvlJc w:val="left"/>
      <w:pPr>
        <w:ind w:left="720" w:hanging="360"/>
      </w:pPr>
      <w:rPr>
        <w:rFonts w:ascii="Symbol" w:hAnsi="Symbol" w:hint="default"/>
      </w:rPr>
    </w:lvl>
    <w:lvl w:ilvl="1" w:tplc="B55AD710">
      <w:start w:val="1"/>
      <w:numFmt w:val="bullet"/>
      <w:lvlText w:val="o"/>
      <w:lvlJc w:val="left"/>
      <w:pPr>
        <w:ind w:left="1440" w:hanging="360"/>
      </w:pPr>
      <w:rPr>
        <w:rFonts w:ascii="Courier New" w:hAnsi="Courier New" w:hint="default"/>
      </w:rPr>
    </w:lvl>
    <w:lvl w:ilvl="2" w:tplc="2F68079A">
      <w:start w:val="1"/>
      <w:numFmt w:val="bullet"/>
      <w:lvlText w:val=""/>
      <w:lvlJc w:val="left"/>
      <w:pPr>
        <w:ind w:left="2160" w:hanging="360"/>
      </w:pPr>
      <w:rPr>
        <w:rFonts w:ascii="Wingdings" w:hAnsi="Wingdings" w:hint="default"/>
      </w:rPr>
    </w:lvl>
    <w:lvl w:ilvl="3" w:tplc="1BBA2896">
      <w:start w:val="1"/>
      <w:numFmt w:val="bullet"/>
      <w:lvlText w:val=""/>
      <w:lvlJc w:val="left"/>
      <w:pPr>
        <w:ind w:left="2880" w:hanging="360"/>
      </w:pPr>
      <w:rPr>
        <w:rFonts w:ascii="Symbol" w:hAnsi="Symbol" w:hint="default"/>
      </w:rPr>
    </w:lvl>
    <w:lvl w:ilvl="4" w:tplc="55C82CD4">
      <w:start w:val="1"/>
      <w:numFmt w:val="bullet"/>
      <w:lvlText w:val="o"/>
      <w:lvlJc w:val="left"/>
      <w:pPr>
        <w:ind w:left="3600" w:hanging="360"/>
      </w:pPr>
      <w:rPr>
        <w:rFonts w:ascii="Courier New" w:hAnsi="Courier New" w:hint="default"/>
      </w:rPr>
    </w:lvl>
    <w:lvl w:ilvl="5" w:tplc="31D41D8A">
      <w:start w:val="1"/>
      <w:numFmt w:val="bullet"/>
      <w:lvlText w:val=""/>
      <w:lvlJc w:val="left"/>
      <w:pPr>
        <w:ind w:left="4320" w:hanging="360"/>
      </w:pPr>
      <w:rPr>
        <w:rFonts w:ascii="Wingdings" w:hAnsi="Wingdings" w:hint="default"/>
      </w:rPr>
    </w:lvl>
    <w:lvl w:ilvl="6" w:tplc="A3CEB3B0">
      <w:start w:val="1"/>
      <w:numFmt w:val="bullet"/>
      <w:lvlText w:val=""/>
      <w:lvlJc w:val="left"/>
      <w:pPr>
        <w:ind w:left="5040" w:hanging="360"/>
      </w:pPr>
      <w:rPr>
        <w:rFonts w:ascii="Symbol" w:hAnsi="Symbol" w:hint="default"/>
      </w:rPr>
    </w:lvl>
    <w:lvl w:ilvl="7" w:tplc="DC72BB5C">
      <w:start w:val="1"/>
      <w:numFmt w:val="bullet"/>
      <w:lvlText w:val="o"/>
      <w:lvlJc w:val="left"/>
      <w:pPr>
        <w:ind w:left="5760" w:hanging="360"/>
      </w:pPr>
      <w:rPr>
        <w:rFonts w:ascii="Courier New" w:hAnsi="Courier New" w:hint="default"/>
      </w:rPr>
    </w:lvl>
    <w:lvl w:ilvl="8" w:tplc="2F44B416">
      <w:start w:val="1"/>
      <w:numFmt w:val="bullet"/>
      <w:lvlText w:val=""/>
      <w:lvlJc w:val="left"/>
      <w:pPr>
        <w:ind w:left="6480" w:hanging="360"/>
      </w:pPr>
      <w:rPr>
        <w:rFonts w:ascii="Wingdings" w:hAnsi="Wingdings" w:hint="default"/>
      </w:rPr>
    </w:lvl>
  </w:abstractNum>
  <w:abstractNum w:abstractNumId="19" w15:restartNumberingAfterBreak="0">
    <w:nsid w:val="6DF93F56"/>
    <w:multiLevelType w:val="hybridMultilevel"/>
    <w:tmpl w:val="F5A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70552"/>
    <w:multiLevelType w:val="hybridMultilevel"/>
    <w:tmpl w:val="FC1EC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C761F65"/>
    <w:multiLevelType w:val="hybridMultilevel"/>
    <w:tmpl w:val="3134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669289">
    <w:abstractNumId w:val="2"/>
  </w:num>
  <w:num w:numId="2" w16cid:durableId="1929995631">
    <w:abstractNumId w:val="16"/>
  </w:num>
  <w:num w:numId="3" w16cid:durableId="1071005002">
    <w:abstractNumId w:val="1"/>
  </w:num>
  <w:num w:numId="4" w16cid:durableId="62409158">
    <w:abstractNumId w:val="12"/>
  </w:num>
  <w:num w:numId="5" w16cid:durableId="441455658">
    <w:abstractNumId w:val="13"/>
  </w:num>
  <w:num w:numId="6" w16cid:durableId="1998683300">
    <w:abstractNumId w:val="5"/>
  </w:num>
  <w:num w:numId="7" w16cid:durableId="1877697110">
    <w:abstractNumId w:val="9"/>
  </w:num>
  <w:num w:numId="8" w16cid:durableId="205803538">
    <w:abstractNumId w:val="4"/>
  </w:num>
  <w:num w:numId="9" w16cid:durableId="778455717">
    <w:abstractNumId w:val="21"/>
  </w:num>
  <w:num w:numId="10" w16cid:durableId="797838813">
    <w:abstractNumId w:val="10"/>
  </w:num>
  <w:num w:numId="11" w16cid:durableId="157618165">
    <w:abstractNumId w:val="8"/>
  </w:num>
  <w:num w:numId="12" w16cid:durableId="573320260">
    <w:abstractNumId w:val="14"/>
  </w:num>
  <w:num w:numId="13" w16cid:durableId="1388800611">
    <w:abstractNumId w:val="11"/>
  </w:num>
  <w:num w:numId="14" w16cid:durableId="1830291344">
    <w:abstractNumId w:val="6"/>
  </w:num>
  <w:num w:numId="15" w16cid:durableId="1830946655">
    <w:abstractNumId w:val="3"/>
  </w:num>
  <w:num w:numId="16" w16cid:durableId="1875649022">
    <w:abstractNumId w:val="0"/>
  </w:num>
  <w:num w:numId="17" w16cid:durableId="2118522668">
    <w:abstractNumId w:val="17"/>
  </w:num>
  <w:num w:numId="18" w16cid:durableId="714088259">
    <w:abstractNumId w:val="15"/>
  </w:num>
  <w:num w:numId="19" w16cid:durableId="1100179927">
    <w:abstractNumId w:val="7"/>
  </w:num>
  <w:num w:numId="20" w16cid:durableId="1288438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1865871">
    <w:abstractNumId w:val="19"/>
  </w:num>
  <w:num w:numId="22" w16cid:durableId="6776572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85"/>
    <w:rsid w:val="00003323"/>
    <w:rsid w:val="00003F5E"/>
    <w:rsid w:val="000074F5"/>
    <w:rsid w:val="00014CA7"/>
    <w:rsid w:val="00022D8C"/>
    <w:rsid w:val="00030FF1"/>
    <w:rsid w:val="00034432"/>
    <w:rsid w:val="00040117"/>
    <w:rsid w:val="000406ED"/>
    <w:rsid w:val="0004720D"/>
    <w:rsid w:val="0004749C"/>
    <w:rsid w:val="000540B5"/>
    <w:rsid w:val="00054CBE"/>
    <w:rsid w:val="0005569B"/>
    <w:rsid w:val="00056FC8"/>
    <w:rsid w:val="00057CCE"/>
    <w:rsid w:val="000609DB"/>
    <w:rsid w:val="000618E8"/>
    <w:rsid w:val="00063A36"/>
    <w:rsid w:val="000708DD"/>
    <w:rsid w:val="000722A7"/>
    <w:rsid w:val="00080128"/>
    <w:rsid w:val="00081597"/>
    <w:rsid w:val="000845C8"/>
    <w:rsid w:val="00085939"/>
    <w:rsid w:val="00090F81"/>
    <w:rsid w:val="00093902"/>
    <w:rsid w:val="000963A1"/>
    <w:rsid w:val="000A03B4"/>
    <w:rsid w:val="000A0AE1"/>
    <w:rsid w:val="000A49D8"/>
    <w:rsid w:val="000A698C"/>
    <w:rsid w:val="000A77CD"/>
    <w:rsid w:val="000B0596"/>
    <w:rsid w:val="000C0D58"/>
    <w:rsid w:val="000C24B2"/>
    <w:rsid w:val="000C383E"/>
    <w:rsid w:val="000E0B97"/>
    <w:rsid w:val="000E4B7E"/>
    <w:rsid w:val="000E579A"/>
    <w:rsid w:val="000E650D"/>
    <w:rsid w:val="000E72ED"/>
    <w:rsid w:val="000F60EE"/>
    <w:rsid w:val="000F64AB"/>
    <w:rsid w:val="0010289E"/>
    <w:rsid w:val="00104382"/>
    <w:rsid w:val="00112939"/>
    <w:rsid w:val="00113B02"/>
    <w:rsid w:val="00117300"/>
    <w:rsid w:val="00121615"/>
    <w:rsid w:val="001235F5"/>
    <w:rsid w:val="001277E3"/>
    <w:rsid w:val="001322DD"/>
    <w:rsid w:val="001334BA"/>
    <w:rsid w:val="00137375"/>
    <w:rsid w:val="00145E51"/>
    <w:rsid w:val="001470E7"/>
    <w:rsid w:val="00150E3E"/>
    <w:rsid w:val="00157FDA"/>
    <w:rsid w:val="0016153C"/>
    <w:rsid w:val="001647F1"/>
    <w:rsid w:val="00165ACD"/>
    <w:rsid w:val="00165ED8"/>
    <w:rsid w:val="0016634E"/>
    <w:rsid w:val="00171DB4"/>
    <w:rsid w:val="001727E9"/>
    <w:rsid w:val="00181F88"/>
    <w:rsid w:val="00184F32"/>
    <w:rsid w:val="001922D4"/>
    <w:rsid w:val="00194525"/>
    <w:rsid w:val="00196C51"/>
    <w:rsid w:val="001974BB"/>
    <w:rsid w:val="001A1280"/>
    <w:rsid w:val="001A20EB"/>
    <w:rsid w:val="001B330E"/>
    <w:rsid w:val="001B5EE2"/>
    <w:rsid w:val="001C0BE2"/>
    <w:rsid w:val="001C1821"/>
    <w:rsid w:val="001C1D7E"/>
    <w:rsid w:val="001C4E21"/>
    <w:rsid w:val="001C74EA"/>
    <w:rsid w:val="001D0E3C"/>
    <w:rsid w:val="001D3AF8"/>
    <w:rsid w:val="001D7027"/>
    <w:rsid w:val="001D7F68"/>
    <w:rsid w:val="001E33E3"/>
    <w:rsid w:val="001F109A"/>
    <w:rsid w:val="001F1210"/>
    <w:rsid w:val="001F14CB"/>
    <w:rsid w:val="001F2C55"/>
    <w:rsid w:val="001F578D"/>
    <w:rsid w:val="001F7C5D"/>
    <w:rsid w:val="0021331D"/>
    <w:rsid w:val="0021501A"/>
    <w:rsid w:val="00222539"/>
    <w:rsid w:val="00232045"/>
    <w:rsid w:val="0023248A"/>
    <w:rsid w:val="0023281B"/>
    <w:rsid w:val="002347B4"/>
    <w:rsid w:val="002357C2"/>
    <w:rsid w:val="00237AB6"/>
    <w:rsid w:val="00244D0C"/>
    <w:rsid w:val="002530B1"/>
    <w:rsid w:val="00265A44"/>
    <w:rsid w:val="00266FEC"/>
    <w:rsid w:val="0027021D"/>
    <w:rsid w:val="0027502B"/>
    <w:rsid w:val="002772C2"/>
    <w:rsid w:val="00277FEB"/>
    <w:rsid w:val="002807A3"/>
    <w:rsid w:val="002809DD"/>
    <w:rsid w:val="00290522"/>
    <w:rsid w:val="00290A25"/>
    <w:rsid w:val="002927F8"/>
    <w:rsid w:val="002944C5"/>
    <w:rsid w:val="00296070"/>
    <w:rsid w:val="00296983"/>
    <w:rsid w:val="0029784F"/>
    <w:rsid w:val="002A192F"/>
    <w:rsid w:val="002B3BB5"/>
    <w:rsid w:val="002B45DB"/>
    <w:rsid w:val="002D3B6B"/>
    <w:rsid w:val="002D4B86"/>
    <w:rsid w:val="002D7951"/>
    <w:rsid w:val="002E3A39"/>
    <w:rsid w:val="002E54F9"/>
    <w:rsid w:val="002E7EF2"/>
    <w:rsid w:val="0030447D"/>
    <w:rsid w:val="00305A76"/>
    <w:rsid w:val="00311094"/>
    <w:rsid w:val="003129A3"/>
    <w:rsid w:val="003233B2"/>
    <w:rsid w:val="003262A8"/>
    <w:rsid w:val="0032634A"/>
    <w:rsid w:val="0033015A"/>
    <w:rsid w:val="003349B7"/>
    <w:rsid w:val="00341A68"/>
    <w:rsid w:val="00347463"/>
    <w:rsid w:val="003570D9"/>
    <w:rsid w:val="00360C17"/>
    <w:rsid w:val="00361198"/>
    <w:rsid w:val="00362188"/>
    <w:rsid w:val="003625DA"/>
    <w:rsid w:val="00370A88"/>
    <w:rsid w:val="00370CAC"/>
    <w:rsid w:val="0037226F"/>
    <w:rsid w:val="00375621"/>
    <w:rsid w:val="003824D8"/>
    <w:rsid w:val="00394739"/>
    <w:rsid w:val="00395E38"/>
    <w:rsid w:val="00395EB3"/>
    <w:rsid w:val="00397356"/>
    <w:rsid w:val="003A2684"/>
    <w:rsid w:val="003A5137"/>
    <w:rsid w:val="003B0633"/>
    <w:rsid w:val="003B14ED"/>
    <w:rsid w:val="003B5FFC"/>
    <w:rsid w:val="003C2BF8"/>
    <w:rsid w:val="003C6427"/>
    <w:rsid w:val="003C7C32"/>
    <w:rsid w:val="003D2B7B"/>
    <w:rsid w:val="003D41A9"/>
    <w:rsid w:val="003D5E89"/>
    <w:rsid w:val="003D6EA2"/>
    <w:rsid w:val="003D7159"/>
    <w:rsid w:val="003E08ED"/>
    <w:rsid w:val="003E3138"/>
    <w:rsid w:val="003F255F"/>
    <w:rsid w:val="003F3B5A"/>
    <w:rsid w:val="003F769D"/>
    <w:rsid w:val="00403758"/>
    <w:rsid w:val="00407C64"/>
    <w:rsid w:val="00412AAC"/>
    <w:rsid w:val="0041335A"/>
    <w:rsid w:val="004133FD"/>
    <w:rsid w:val="0041564A"/>
    <w:rsid w:val="004211F0"/>
    <w:rsid w:val="00421218"/>
    <w:rsid w:val="00424671"/>
    <w:rsid w:val="00430ED9"/>
    <w:rsid w:val="004319B1"/>
    <w:rsid w:val="00431C59"/>
    <w:rsid w:val="00432381"/>
    <w:rsid w:val="004360F3"/>
    <w:rsid w:val="004379FA"/>
    <w:rsid w:val="00445A22"/>
    <w:rsid w:val="00445C41"/>
    <w:rsid w:val="004465F9"/>
    <w:rsid w:val="00447BBF"/>
    <w:rsid w:val="00447F74"/>
    <w:rsid w:val="00451366"/>
    <w:rsid w:val="00451392"/>
    <w:rsid w:val="0045386E"/>
    <w:rsid w:val="00455E8F"/>
    <w:rsid w:val="00457113"/>
    <w:rsid w:val="00462053"/>
    <w:rsid w:val="004621EF"/>
    <w:rsid w:val="00470537"/>
    <w:rsid w:val="0047337C"/>
    <w:rsid w:val="00473E92"/>
    <w:rsid w:val="00476002"/>
    <w:rsid w:val="00480C0C"/>
    <w:rsid w:val="004822AD"/>
    <w:rsid w:val="00484855"/>
    <w:rsid w:val="00486EAB"/>
    <w:rsid w:val="00487817"/>
    <w:rsid w:val="00495665"/>
    <w:rsid w:val="004969E7"/>
    <w:rsid w:val="004A4BE5"/>
    <w:rsid w:val="004A603D"/>
    <w:rsid w:val="004A72CF"/>
    <w:rsid w:val="004B1431"/>
    <w:rsid w:val="004B5050"/>
    <w:rsid w:val="004B6DD6"/>
    <w:rsid w:val="004C66F0"/>
    <w:rsid w:val="004C7178"/>
    <w:rsid w:val="004D2507"/>
    <w:rsid w:val="004D347E"/>
    <w:rsid w:val="004D5397"/>
    <w:rsid w:val="004D5A7B"/>
    <w:rsid w:val="004E135A"/>
    <w:rsid w:val="004E51E2"/>
    <w:rsid w:val="004E5626"/>
    <w:rsid w:val="004F05F4"/>
    <w:rsid w:val="004F0898"/>
    <w:rsid w:val="004F2BC0"/>
    <w:rsid w:val="004F516B"/>
    <w:rsid w:val="004F7999"/>
    <w:rsid w:val="00505807"/>
    <w:rsid w:val="005117AA"/>
    <w:rsid w:val="005253F5"/>
    <w:rsid w:val="0053202B"/>
    <w:rsid w:val="005366D9"/>
    <w:rsid w:val="00545D11"/>
    <w:rsid w:val="0055477C"/>
    <w:rsid w:val="00557A02"/>
    <w:rsid w:val="005607EB"/>
    <w:rsid w:val="00561DC2"/>
    <w:rsid w:val="0056278D"/>
    <w:rsid w:val="00562B56"/>
    <w:rsid w:val="005708BB"/>
    <w:rsid w:val="00572005"/>
    <w:rsid w:val="00572DE0"/>
    <w:rsid w:val="0057301B"/>
    <w:rsid w:val="00573B86"/>
    <w:rsid w:val="005766D5"/>
    <w:rsid w:val="00577A1C"/>
    <w:rsid w:val="00580BA9"/>
    <w:rsid w:val="0058373E"/>
    <w:rsid w:val="00583911"/>
    <w:rsid w:val="00583ACD"/>
    <w:rsid w:val="00587E6B"/>
    <w:rsid w:val="0059066A"/>
    <w:rsid w:val="0059703E"/>
    <w:rsid w:val="005A5AA7"/>
    <w:rsid w:val="005B4234"/>
    <w:rsid w:val="005C068E"/>
    <w:rsid w:val="005C0B7B"/>
    <w:rsid w:val="005C3EAE"/>
    <w:rsid w:val="005C4031"/>
    <w:rsid w:val="005D167E"/>
    <w:rsid w:val="005D3454"/>
    <w:rsid w:val="005F65A7"/>
    <w:rsid w:val="005F73A1"/>
    <w:rsid w:val="00600010"/>
    <w:rsid w:val="00600140"/>
    <w:rsid w:val="006041E6"/>
    <w:rsid w:val="006079A2"/>
    <w:rsid w:val="006119B6"/>
    <w:rsid w:val="006143A2"/>
    <w:rsid w:val="00614931"/>
    <w:rsid w:val="00621439"/>
    <w:rsid w:val="00623B15"/>
    <w:rsid w:val="00624B99"/>
    <w:rsid w:val="00626B83"/>
    <w:rsid w:val="006274AD"/>
    <w:rsid w:val="00630195"/>
    <w:rsid w:val="00633D0E"/>
    <w:rsid w:val="006354B0"/>
    <w:rsid w:val="006434E6"/>
    <w:rsid w:val="00656EE3"/>
    <w:rsid w:val="0065757F"/>
    <w:rsid w:val="00662366"/>
    <w:rsid w:val="00664E47"/>
    <w:rsid w:val="00665DBD"/>
    <w:rsid w:val="00667547"/>
    <w:rsid w:val="00674C3A"/>
    <w:rsid w:val="00675898"/>
    <w:rsid w:val="0067674D"/>
    <w:rsid w:val="00677246"/>
    <w:rsid w:val="00680BA4"/>
    <w:rsid w:val="0068165D"/>
    <w:rsid w:val="00685902"/>
    <w:rsid w:val="00687D23"/>
    <w:rsid w:val="006906FB"/>
    <w:rsid w:val="00690A4B"/>
    <w:rsid w:val="00694BC5"/>
    <w:rsid w:val="0069565D"/>
    <w:rsid w:val="0069686C"/>
    <w:rsid w:val="006A2635"/>
    <w:rsid w:val="006A4406"/>
    <w:rsid w:val="006B1D9A"/>
    <w:rsid w:val="006B396C"/>
    <w:rsid w:val="006B717C"/>
    <w:rsid w:val="006C2848"/>
    <w:rsid w:val="006C3CCF"/>
    <w:rsid w:val="006C5840"/>
    <w:rsid w:val="006C5F9A"/>
    <w:rsid w:val="006D1C41"/>
    <w:rsid w:val="006D53AB"/>
    <w:rsid w:val="006E0301"/>
    <w:rsid w:val="006E3917"/>
    <w:rsid w:val="006E4C1C"/>
    <w:rsid w:val="006E7BC1"/>
    <w:rsid w:val="006F1054"/>
    <w:rsid w:val="006F2604"/>
    <w:rsid w:val="006F6B1C"/>
    <w:rsid w:val="006F711F"/>
    <w:rsid w:val="00703014"/>
    <w:rsid w:val="0070562B"/>
    <w:rsid w:val="007141BA"/>
    <w:rsid w:val="00714AC6"/>
    <w:rsid w:val="007150C3"/>
    <w:rsid w:val="0071648A"/>
    <w:rsid w:val="00736D47"/>
    <w:rsid w:val="0074027C"/>
    <w:rsid w:val="00743BDB"/>
    <w:rsid w:val="007448D1"/>
    <w:rsid w:val="00744A2E"/>
    <w:rsid w:val="00744AD1"/>
    <w:rsid w:val="00746700"/>
    <w:rsid w:val="00757544"/>
    <w:rsid w:val="00762225"/>
    <w:rsid w:val="007626C1"/>
    <w:rsid w:val="00767F5C"/>
    <w:rsid w:val="007761B8"/>
    <w:rsid w:val="00781B2F"/>
    <w:rsid w:val="0078528C"/>
    <w:rsid w:val="00786168"/>
    <w:rsid w:val="00790D5E"/>
    <w:rsid w:val="00791C0A"/>
    <w:rsid w:val="00792CD7"/>
    <w:rsid w:val="007970D2"/>
    <w:rsid w:val="007A4DEC"/>
    <w:rsid w:val="007A4E1F"/>
    <w:rsid w:val="007A5EBD"/>
    <w:rsid w:val="007A6474"/>
    <w:rsid w:val="007A6BC1"/>
    <w:rsid w:val="007B6A5A"/>
    <w:rsid w:val="007C206C"/>
    <w:rsid w:val="007C5031"/>
    <w:rsid w:val="007C6D28"/>
    <w:rsid w:val="007D02CE"/>
    <w:rsid w:val="007D2575"/>
    <w:rsid w:val="007D7476"/>
    <w:rsid w:val="007D7E00"/>
    <w:rsid w:val="007E721B"/>
    <w:rsid w:val="007F10B2"/>
    <w:rsid w:val="008017FC"/>
    <w:rsid w:val="0080192F"/>
    <w:rsid w:val="00803957"/>
    <w:rsid w:val="0081634E"/>
    <w:rsid w:val="00817BE3"/>
    <w:rsid w:val="0082229A"/>
    <w:rsid w:val="0082476A"/>
    <w:rsid w:val="00826DCC"/>
    <w:rsid w:val="00827051"/>
    <w:rsid w:val="00836D2D"/>
    <w:rsid w:val="00852976"/>
    <w:rsid w:val="00854525"/>
    <w:rsid w:val="00860787"/>
    <w:rsid w:val="00860D8C"/>
    <w:rsid w:val="00861764"/>
    <w:rsid w:val="0086199C"/>
    <w:rsid w:val="00862340"/>
    <w:rsid w:val="008634EE"/>
    <w:rsid w:val="0087006A"/>
    <w:rsid w:val="0087535A"/>
    <w:rsid w:val="00875C26"/>
    <w:rsid w:val="0088042B"/>
    <w:rsid w:val="008845D9"/>
    <w:rsid w:val="00885C85"/>
    <w:rsid w:val="0089086B"/>
    <w:rsid w:val="00895F88"/>
    <w:rsid w:val="008A05A2"/>
    <w:rsid w:val="008A23C5"/>
    <w:rsid w:val="008A47CA"/>
    <w:rsid w:val="008C6D6F"/>
    <w:rsid w:val="008D21B7"/>
    <w:rsid w:val="008D3F05"/>
    <w:rsid w:val="008D7FDA"/>
    <w:rsid w:val="008E5D69"/>
    <w:rsid w:val="008E6CB1"/>
    <w:rsid w:val="008F571F"/>
    <w:rsid w:val="0090025E"/>
    <w:rsid w:val="00900C6C"/>
    <w:rsid w:val="00902FD5"/>
    <w:rsid w:val="009042BD"/>
    <w:rsid w:val="009066BC"/>
    <w:rsid w:val="00910F4A"/>
    <w:rsid w:val="00911ACF"/>
    <w:rsid w:val="00912985"/>
    <w:rsid w:val="0091320E"/>
    <w:rsid w:val="0092067B"/>
    <w:rsid w:val="00936ADA"/>
    <w:rsid w:val="00941E78"/>
    <w:rsid w:val="00943581"/>
    <w:rsid w:val="00952390"/>
    <w:rsid w:val="0096158F"/>
    <w:rsid w:val="00964705"/>
    <w:rsid w:val="00967795"/>
    <w:rsid w:val="009708E6"/>
    <w:rsid w:val="0097117E"/>
    <w:rsid w:val="009733E8"/>
    <w:rsid w:val="0098095E"/>
    <w:rsid w:val="00983B59"/>
    <w:rsid w:val="00984367"/>
    <w:rsid w:val="00984F86"/>
    <w:rsid w:val="00986351"/>
    <w:rsid w:val="009917C6"/>
    <w:rsid w:val="009947A1"/>
    <w:rsid w:val="009A016F"/>
    <w:rsid w:val="009A0771"/>
    <w:rsid w:val="009C5AB4"/>
    <w:rsid w:val="009D255F"/>
    <w:rsid w:val="009E0EBC"/>
    <w:rsid w:val="009E2271"/>
    <w:rsid w:val="009E2F3A"/>
    <w:rsid w:val="009E780C"/>
    <w:rsid w:val="009F0C59"/>
    <w:rsid w:val="009F1D32"/>
    <w:rsid w:val="009F2FF7"/>
    <w:rsid w:val="00A13A92"/>
    <w:rsid w:val="00A13DDD"/>
    <w:rsid w:val="00A17AED"/>
    <w:rsid w:val="00A237EF"/>
    <w:rsid w:val="00A254DB"/>
    <w:rsid w:val="00A27F73"/>
    <w:rsid w:val="00A438DD"/>
    <w:rsid w:val="00A43EED"/>
    <w:rsid w:val="00A44FA7"/>
    <w:rsid w:val="00A505DE"/>
    <w:rsid w:val="00A51488"/>
    <w:rsid w:val="00A54889"/>
    <w:rsid w:val="00A557E3"/>
    <w:rsid w:val="00A569A1"/>
    <w:rsid w:val="00A57435"/>
    <w:rsid w:val="00A622AF"/>
    <w:rsid w:val="00A66F67"/>
    <w:rsid w:val="00A7251A"/>
    <w:rsid w:val="00A764B8"/>
    <w:rsid w:val="00A777E9"/>
    <w:rsid w:val="00A779B7"/>
    <w:rsid w:val="00A83C4F"/>
    <w:rsid w:val="00A91A38"/>
    <w:rsid w:val="00A91D8C"/>
    <w:rsid w:val="00A93D11"/>
    <w:rsid w:val="00AA00AE"/>
    <w:rsid w:val="00AA345C"/>
    <w:rsid w:val="00AA51B8"/>
    <w:rsid w:val="00AC01FB"/>
    <w:rsid w:val="00AC3F3F"/>
    <w:rsid w:val="00AD7092"/>
    <w:rsid w:val="00AE04CA"/>
    <w:rsid w:val="00AE1F04"/>
    <w:rsid w:val="00AE2D35"/>
    <w:rsid w:val="00AF135E"/>
    <w:rsid w:val="00AF23F3"/>
    <w:rsid w:val="00AF2C02"/>
    <w:rsid w:val="00AF67D7"/>
    <w:rsid w:val="00B000A3"/>
    <w:rsid w:val="00B01A56"/>
    <w:rsid w:val="00B03092"/>
    <w:rsid w:val="00B064BB"/>
    <w:rsid w:val="00B06CC8"/>
    <w:rsid w:val="00B11318"/>
    <w:rsid w:val="00B13514"/>
    <w:rsid w:val="00B20F55"/>
    <w:rsid w:val="00B237E3"/>
    <w:rsid w:val="00B259A6"/>
    <w:rsid w:val="00B264A2"/>
    <w:rsid w:val="00B3453C"/>
    <w:rsid w:val="00B345FD"/>
    <w:rsid w:val="00B34A4A"/>
    <w:rsid w:val="00B35DAD"/>
    <w:rsid w:val="00B36C09"/>
    <w:rsid w:val="00B42F8B"/>
    <w:rsid w:val="00B504ED"/>
    <w:rsid w:val="00B50B9C"/>
    <w:rsid w:val="00B5291D"/>
    <w:rsid w:val="00B55C89"/>
    <w:rsid w:val="00B62E61"/>
    <w:rsid w:val="00B66DF6"/>
    <w:rsid w:val="00B67ABF"/>
    <w:rsid w:val="00B77FBE"/>
    <w:rsid w:val="00B80464"/>
    <w:rsid w:val="00B81881"/>
    <w:rsid w:val="00B82613"/>
    <w:rsid w:val="00B8535E"/>
    <w:rsid w:val="00B87F3D"/>
    <w:rsid w:val="00BA601A"/>
    <w:rsid w:val="00BA67E0"/>
    <w:rsid w:val="00BB1A19"/>
    <w:rsid w:val="00BB1E09"/>
    <w:rsid w:val="00BB59E9"/>
    <w:rsid w:val="00BB6FF6"/>
    <w:rsid w:val="00BB76C0"/>
    <w:rsid w:val="00BC5BB8"/>
    <w:rsid w:val="00BC66CE"/>
    <w:rsid w:val="00BD0D64"/>
    <w:rsid w:val="00BD0FE7"/>
    <w:rsid w:val="00BD4BC0"/>
    <w:rsid w:val="00BD66B1"/>
    <w:rsid w:val="00BE0BA9"/>
    <w:rsid w:val="00BE1C10"/>
    <w:rsid w:val="00BE2FD7"/>
    <w:rsid w:val="00BE31F8"/>
    <w:rsid w:val="00BE31FF"/>
    <w:rsid w:val="00BE344A"/>
    <w:rsid w:val="00BE3881"/>
    <w:rsid w:val="00BE3C7F"/>
    <w:rsid w:val="00BE65EC"/>
    <w:rsid w:val="00BE6756"/>
    <w:rsid w:val="00BE68B8"/>
    <w:rsid w:val="00BE74E3"/>
    <w:rsid w:val="00BF3BAC"/>
    <w:rsid w:val="00BF6358"/>
    <w:rsid w:val="00BF6E08"/>
    <w:rsid w:val="00BF7CE1"/>
    <w:rsid w:val="00C00329"/>
    <w:rsid w:val="00C06065"/>
    <w:rsid w:val="00C10F07"/>
    <w:rsid w:val="00C12290"/>
    <w:rsid w:val="00C141DD"/>
    <w:rsid w:val="00C1759E"/>
    <w:rsid w:val="00C251D7"/>
    <w:rsid w:val="00C25A6B"/>
    <w:rsid w:val="00C3324E"/>
    <w:rsid w:val="00C34E6D"/>
    <w:rsid w:val="00C37530"/>
    <w:rsid w:val="00C4474E"/>
    <w:rsid w:val="00C451D1"/>
    <w:rsid w:val="00C45AAF"/>
    <w:rsid w:val="00C46B8D"/>
    <w:rsid w:val="00C5048C"/>
    <w:rsid w:val="00C55817"/>
    <w:rsid w:val="00C56AF5"/>
    <w:rsid w:val="00C57157"/>
    <w:rsid w:val="00C638CF"/>
    <w:rsid w:val="00C63E1E"/>
    <w:rsid w:val="00C7136F"/>
    <w:rsid w:val="00C858B1"/>
    <w:rsid w:val="00C87B69"/>
    <w:rsid w:val="00C92EC2"/>
    <w:rsid w:val="00C9520E"/>
    <w:rsid w:val="00C967F3"/>
    <w:rsid w:val="00CA001D"/>
    <w:rsid w:val="00CA030E"/>
    <w:rsid w:val="00CA1775"/>
    <w:rsid w:val="00CA4BCE"/>
    <w:rsid w:val="00CA73A8"/>
    <w:rsid w:val="00CB4071"/>
    <w:rsid w:val="00CC262B"/>
    <w:rsid w:val="00CC3881"/>
    <w:rsid w:val="00CC51B1"/>
    <w:rsid w:val="00CC55A2"/>
    <w:rsid w:val="00CD142D"/>
    <w:rsid w:val="00CD2055"/>
    <w:rsid w:val="00CD5F7E"/>
    <w:rsid w:val="00CD6397"/>
    <w:rsid w:val="00CE31B7"/>
    <w:rsid w:val="00CE4E49"/>
    <w:rsid w:val="00CE7C37"/>
    <w:rsid w:val="00CF4FCF"/>
    <w:rsid w:val="00CF661A"/>
    <w:rsid w:val="00CF7DD2"/>
    <w:rsid w:val="00D0012E"/>
    <w:rsid w:val="00D03115"/>
    <w:rsid w:val="00D037C7"/>
    <w:rsid w:val="00D05809"/>
    <w:rsid w:val="00D067C8"/>
    <w:rsid w:val="00D06F24"/>
    <w:rsid w:val="00D072CF"/>
    <w:rsid w:val="00D0790B"/>
    <w:rsid w:val="00D13CA3"/>
    <w:rsid w:val="00D160AA"/>
    <w:rsid w:val="00D20E4E"/>
    <w:rsid w:val="00D218F8"/>
    <w:rsid w:val="00D2536F"/>
    <w:rsid w:val="00D272BB"/>
    <w:rsid w:val="00D313B5"/>
    <w:rsid w:val="00D3364B"/>
    <w:rsid w:val="00D343EF"/>
    <w:rsid w:val="00D36692"/>
    <w:rsid w:val="00D36DC5"/>
    <w:rsid w:val="00D400D8"/>
    <w:rsid w:val="00D45D9D"/>
    <w:rsid w:val="00D62A58"/>
    <w:rsid w:val="00D63697"/>
    <w:rsid w:val="00D66717"/>
    <w:rsid w:val="00D6678C"/>
    <w:rsid w:val="00D70AAB"/>
    <w:rsid w:val="00D97D99"/>
    <w:rsid w:val="00DA4D5B"/>
    <w:rsid w:val="00DA650F"/>
    <w:rsid w:val="00DB0506"/>
    <w:rsid w:val="00DB28F3"/>
    <w:rsid w:val="00DB4570"/>
    <w:rsid w:val="00DB656B"/>
    <w:rsid w:val="00DC7402"/>
    <w:rsid w:val="00DD1A28"/>
    <w:rsid w:val="00DD3435"/>
    <w:rsid w:val="00DE2ED3"/>
    <w:rsid w:val="00DE384D"/>
    <w:rsid w:val="00DE39CC"/>
    <w:rsid w:val="00DE7B2D"/>
    <w:rsid w:val="00E02AB5"/>
    <w:rsid w:val="00E10683"/>
    <w:rsid w:val="00E1323F"/>
    <w:rsid w:val="00E15FED"/>
    <w:rsid w:val="00E20DBB"/>
    <w:rsid w:val="00E24D66"/>
    <w:rsid w:val="00E253F7"/>
    <w:rsid w:val="00E2599F"/>
    <w:rsid w:val="00E2735E"/>
    <w:rsid w:val="00E30E57"/>
    <w:rsid w:val="00E3413B"/>
    <w:rsid w:val="00E377F7"/>
    <w:rsid w:val="00E45805"/>
    <w:rsid w:val="00E45A30"/>
    <w:rsid w:val="00E46CB3"/>
    <w:rsid w:val="00E6024F"/>
    <w:rsid w:val="00E6083E"/>
    <w:rsid w:val="00E658D1"/>
    <w:rsid w:val="00E65C6E"/>
    <w:rsid w:val="00E72A96"/>
    <w:rsid w:val="00E75777"/>
    <w:rsid w:val="00E816E1"/>
    <w:rsid w:val="00E87E18"/>
    <w:rsid w:val="00E95DA5"/>
    <w:rsid w:val="00E960D7"/>
    <w:rsid w:val="00E96744"/>
    <w:rsid w:val="00E96CA0"/>
    <w:rsid w:val="00EA2D42"/>
    <w:rsid w:val="00EA74F1"/>
    <w:rsid w:val="00EB0D04"/>
    <w:rsid w:val="00EB404D"/>
    <w:rsid w:val="00EC2E27"/>
    <w:rsid w:val="00EC6D73"/>
    <w:rsid w:val="00EC7ECF"/>
    <w:rsid w:val="00ED1169"/>
    <w:rsid w:val="00ED2951"/>
    <w:rsid w:val="00ED5F21"/>
    <w:rsid w:val="00ED646E"/>
    <w:rsid w:val="00ED7D7B"/>
    <w:rsid w:val="00EE17C4"/>
    <w:rsid w:val="00EE24A9"/>
    <w:rsid w:val="00EE4FA5"/>
    <w:rsid w:val="00EF1451"/>
    <w:rsid w:val="00EF4364"/>
    <w:rsid w:val="00EF7DC2"/>
    <w:rsid w:val="00F01879"/>
    <w:rsid w:val="00F238EE"/>
    <w:rsid w:val="00F24AB3"/>
    <w:rsid w:val="00F24AD9"/>
    <w:rsid w:val="00F35142"/>
    <w:rsid w:val="00F35FA7"/>
    <w:rsid w:val="00F432B6"/>
    <w:rsid w:val="00F434B4"/>
    <w:rsid w:val="00F50A0B"/>
    <w:rsid w:val="00F50B66"/>
    <w:rsid w:val="00F514EF"/>
    <w:rsid w:val="00F53F4E"/>
    <w:rsid w:val="00F543DF"/>
    <w:rsid w:val="00F61642"/>
    <w:rsid w:val="00F63395"/>
    <w:rsid w:val="00F645C1"/>
    <w:rsid w:val="00F66655"/>
    <w:rsid w:val="00F67FD2"/>
    <w:rsid w:val="00F7078D"/>
    <w:rsid w:val="00F76B87"/>
    <w:rsid w:val="00F859C2"/>
    <w:rsid w:val="00F87050"/>
    <w:rsid w:val="00F91A95"/>
    <w:rsid w:val="00F92858"/>
    <w:rsid w:val="00F9373B"/>
    <w:rsid w:val="00FA2FE0"/>
    <w:rsid w:val="00FA7441"/>
    <w:rsid w:val="00FB1477"/>
    <w:rsid w:val="00FB5CE3"/>
    <w:rsid w:val="00FD3B07"/>
    <w:rsid w:val="00FD4AC5"/>
    <w:rsid w:val="00FD6D2A"/>
    <w:rsid w:val="00FF0CD6"/>
    <w:rsid w:val="00FF0D84"/>
    <w:rsid w:val="00FF714C"/>
    <w:rsid w:val="00FF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4303"/>
  <w15:docId w15:val="{3BA59D8A-F10C-4516-A0FC-AEF7A38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985"/>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985"/>
    <w:pPr>
      <w:tabs>
        <w:tab w:val="center" w:pos="4153"/>
        <w:tab w:val="right" w:pos="8306"/>
      </w:tabs>
    </w:pPr>
  </w:style>
  <w:style w:type="character" w:customStyle="1" w:styleId="HeaderChar">
    <w:name w:val="Header Char"/>
    <w:basedOn w:val="DefaultParagraphFont"/>
    <w:link w:val="Header"/>
    <w:rsid w:val="00912985"/>
    <w:rPr>
      <w:rFonts w:ascii="Arial" w:eastAsia="Times New Roman" w:hAnsi="Arial" w:cs="Times New Roman"/>
      <w:sz w:val="20"/>
      <w:szCs w:val="24"/>
    </w:rPr>
  </w:style>
  <w:style w:type="paragraph" w:styleId="Footer">
    <w:name w:val="footer"/>
    <w:basedOn w:val="Normal"/>
    <w:link w:val="FooterChar"/>
    <w:uiPriority w:val="99"/>
    <w:rsid w:val="00912985"/>
    <w:pPr>
      <w:tabs>
        <w:tab w:val="center" w:pos="4153"/>
        <w:tab w:val="right" w:pos="8306"/>
      </w:tabs>
    </w:pPr>
  </w:style>
  <w:style w:type="character" w:customStyle="1" w:styleId="FooterChar">
    <w:name w:val="Footer Char"/>
    <w:basedOn w:val="DefaultParagraphFont"/>
    <w:link w:val="Footer"/>
    <w:uiPriority w:val="99"/>
    <w:rsid w:val="00912985"/>
    <w:rPr>
      <w:rFonts w:ascii="Arial" w:eastAsia="Times New Roman" w:hAnsi="Arial" w:cs="Times New Roman"/>
      <w:sz w:val="20"/>
      <w:szCs w:val="24"/>
    </w:rPr>
  </w:style>
  <w:style w:type="character" w:styleId="Hyperlink">
    <w:name w:val="Hyperlink"/>
    <w:uiPriority w:val="99"/>
    <w:rsid w:val="00912985"/>
    <w:rPr>
      <w:color w:val="0000FF"/>
      <w:u w:val="single"/>
    </w:rPr>
  </w:style>
  <w:style w:type="paragraph" w:styleId="PlainText">
    <w:name w:val="Plain Text"/>
    <w:basedOn w:val="Normal"/>
    <w:link w:val="PlainTextChar"/>
    <w:uiPriority w:val="99"/>
    <w:unhideWhenUsed/>
    <w:rsid w:val="00912985"/>
    <w:rPr>
      <w:rFonts w:ascii="Calibri" w:hAnsi="Calibri"/>
      <w:sz w:val="22"/>
      <w:szCs w:val="21"/>
      <w:lang w:eastAsia="en-GB"/>
    </w:rPr>
  </w:style>
  <w:style w:type="character" w:customStyle="1" w:styleId="PlainTextChar">
    <w:name w:val="Plain Text Char"/>
    <w:basedOn w:val="DefaultParagraphFont"/>
    <w:link w:val="PlainText"/>
    <w:uiPriority w:val="99"/>
    <w:rsid w:val="00912985"/>
    <w:rPr>
      <w:rFonts w:ascii="Calibri" w:eastAsia="Times New Roman" w:hAnsi="Calibri" w:cs="Times New Roman"/>
      <w:szCs w:val="21"/>
      <w:lang w:eastAsia="en-GB"/>
    </w:rPr>
  </w:style>
  <w:style w:type="paragraph" w:styleId="BalloonText">
    <w:name w:val="Balloon Text"/>
    <w:basedOn w:val="Normal"/>
    <w:link w:val="BalloonTextChar"/>
    <w:uiPriority w:val="99"/>
    <w:semiHidden/>
    <w:unhideWhenUsed/>
    <w:rsid w:val="00912985"/>
    <w:rPr>
      <w:rFonts w:ascii="Tahoma" w:hAnsi="Tahoma" w:cs="Tahoma"/>
      <w:sz w:val="16"/>
      <w:szCs w:val="16"/>
    </w:rPr>
  </w:style>
  <w:style w:type="character" w:customStyle="1" w:styleId="BalloonTextChar">
    <w:name w:val="Balloon Text Char"/>
    <w:basedOn w:val="DefaultParagraphFont"/>
    <w:link w:val="BalloonText"/>
    <w:uiPriority w:val="99"/>
    <w:semiHidden/>
    <w:rsid w:val="00912985"/>
    <w:rPr>
      <w:rFonts w:ascii="Tahoma" w:eastAsia="Times New Roman" w:hAnsi="Tahoma" w:cs="Tahoma"/>
      <w:sz w:val="16"/>
      <w:szCs w:val="16"/>
    </w:rPr>
  </w:style>
  <w:style w:type="paragraph" w:styleId="FootnoteText">
    <w:name w:val="footnote text"/>
    <w:basedOn w:val="Normal"/>
    <w:link w:val="FootnoteTextChar"/>
    <w:uiPriority w:val="99"/>
    <w:unhideWhenUsed/>
    <w:rsid w:val="00BE1C10"/>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BE1C10"/>
    <w:rPr>
      <w:sz w:val="20"/>
      <w:szCs w:val="20"/>
    </w:rPr>
  </w:style>
  <w:style w:type="character" w:styleId="FootnoteReference">
    <w:name w:val="footnote reference"/>
    <w:basedOn w:val="DefaultParagraphFont"/>
    <w:uiPriority w:val="99"/>
    <w:unhideWhenUsed/>
    <w:rsid w:val="00BE1C10"/>
    <w:rPr>
      <w:vertAlign w:val="superscript"/>
    </w:rPr>
  </w:style>
  <w:style w:type="paragraph" w:styleId="ListParagraph">
    <w:name w:val="List Paragraph"/>
    <w:aliases w:val="F5 List Paragraph,List Paragraph1,Dot pt,No Spacing1,List Paragraph Char Char Char,Indicator Text,Numbered Para 1,Bullet Points,MAIN CONTENT,List Paragraph12,Colorful List - Accent 11,Normal numbered,List Paragraph11,OBC Bullet,L"/>
    <w:basedOn w:val="Normal"/>
    <w:link w:val="ListParagraphChar"/>
    <w:uiPriority w:val="34"/>
    <w:qFormat/>
    <w:rsid w:val="00A51488"/>
    <w:pPr>
      <w:ind w:left="720"/>
      <w:contextualSpacing/>
    </w:pPr>
  </w:style>
  <w:style w:type="character" w:styleId="FollowedHyperlink">
    <w:name w:val="FollowedHyperlink"/>
    <w:basedOn w:val="DefaultParagraphFont"/>
    <w:uiPriority w:val="99"/>
    <w:semiHidden/>
    <w:unhideWhenUsed/>
    <w:rsid w:val="00600010"/>
    <w:rPr>
      <w:color w:val="800080" w:themeColor="followedHyperlink"/>
      <w:u w:val="single"/>
    </w:rPr>
  </w:style>
  <w:style w:type="character" w:styleId="CommentReference">
    <w:name w:val="annotation reference"/>
    <w:basedOn w:val="DefaultParagraphFont"/>
    <w:uiPriority w:val="99"/>
    <w:semiHidden/>
    <w:unhideWhenUsed/>
    <w:rsid w:val="00F63395"/>
    <w:rPr>
      <w:sz w:val="16"/>
      <w:szCs w:val="16"/>
    </w:rPr>
  </w:style>
  <w:style w:type="paragraph" w:styleId="CommentText">
    <w:name w:val="annotation text"/>
    <w:basedOn w:val="Normal"/>
    <w:link w:val="CommentTextChar"/>
    <w:uiPriority w:val="99"/>
    <w:semiHidden/>
    <w:unhideWhenUsed/>
    <w:rsid w:val="00F63395"/>
    <w:rPr>
      <w:szCs w:val="20"/>
    </w:rPr>
  </w:style>
  <w:style w:type="character" w:customStyle="1" w:styleId="CommentTextChar">
    <w:name w:val="Comment Text Char"/>
    <w:basedOn w:val="DefaultParagraphFont"/>
    <w:link w:val="CommentText"/>
    <w:uiPriority w:val="99"/>
    <w:semiHidden/>
    <w:rsid w:val="00F633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63395"/>
    <w:rPr>
      <w:b/>
      <w:bCs/>
    </w:rPr>
  </w:style>
  <w:style w:type="character" w:customStyle="1" w:styleId="CommentSubjectChar">
    <w:name w:val="Comment Subject Char"/>
    <w:basedOn w:val="CommentTextChar"/>
    <w:link w:val="CommentSubject"/>
    <w:uiPriority w:val="99"/>
    <w:semiHidden/>
    <w:rsid w:val="00F63395"/>
    <w:rPr>
      <w:rFonts w:ascii="Arial" w:eastAsia="Times New Roman" w:hAnsi="Arial" w:cs="Times New Roman"/>
      <w:b/>
      <w:bCs/>
      <w:sz w:val="20"/>
      <w:szCs w:val="20"/>
    </w:rPr>
  </w:style>
  <w:style w:type="paragraph" w:customStyle="1" w:styleId="Default">
    <w:name w:val="Default"/>
    <w:rsid w:val="0048485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229A"/>
    <w:rPr>
      <w:color w:val="605E5C"/>
      <w:shd w:val="clear" w:color="auto" w:fill="E1DFDD"/>
    </w:rPr>
  </w:style>
  <w:style w:type="paragraph" w:styleId="EndnoteText">
    <w:name w:val="endnote text"/>
    <w:basedOn w:val="Normal"/>
    <w:link w:val="EndnoteTextChar"/>
    <w:uiPriority w:val="99"/>
    <w:semiHidden/>
    <w:unhideWhenUsed/>
    <w:rsid w:val="0027502B"/>
    <w:rPr>
      <w:szCs w:val="20"/>
    </w:rPr>
  </w:style>
  <w:style w:type="character" w:customStyle="1" w:styleId="EndnoteTextChar">
    <w:name w:val="Endnote Text Char"/>
    <w:basedOn w:val="DefaultParagraphFont"/>
    <w:link w:val="EndnoteText"/>
    <w:uiPriority w:val="99"/>
    <w:semiHidden/>
    <w:rsid w:val="0027502B"/>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7502B"/>
    <w:rPr>
      <w:vertAlign w:val="superscript"/>
    </w:rPr>
  </w:style>
  <w:style w:type="character" w:customStyle="1" w:styleId="ONRNormalChar">
    <w:name w:val="ONR Normal Char"/>
    <w:link w:val="ONRNormal"/>
    <w:rsid w:val="00184F32"/>
    <w:rPr>
      <w:rFonts w:ascii="Arial" w:hAnsi="Arial" w:cs="Arial"/>
    </w:rPr>
  </w:style>
  <w:style w:type="paragraph" w:customStyle="1" w:styleId="ONRNormal">
    <w:name w:val="ONR Normal"/>
    <w:link w:val="ONRNormalChar"/>
    <w:locked/>
    <w:rsid w:val="00184F32"/>
    <w:pPr>
      <w:spacing w:after="120" w:line="240" w:lineRule="auto"/>
    </w:pPr>
    <w:rPr>
      <w:rFonts w:ascii="Arial" w:hAnsi="Arial" w:cs="Arial"/>
    </w:rPr>
  </w:style>
  <w:style w:type="table" w:styleId="TableGrid">
    <w:name w:val="Table Grid"/>
    <w:basedOn w:val="TableNormal"/>
    <w:uiPriority w:val="39"/>
    <w:rsid w:val="00E816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12 Char,Normal numbered Char"/>
    <w:basedOn w:val="DefaultParagraphFont"/>
    <w:link w:val="ListParagraph"/>
    <w:uiPriority w:val="34"/>
    <w:qFormat/>
    <w:locked/>
    <w:rsid w:val="00E816E1"/>
    <w:rPr>
      <w:rFonts w:ascii="Arial" w:eastAsia="Times New Roman" w:hAnsi="Arial" w:cs="Times New Roman"/>
      <w:sz w:val="20"/>
      <w:szCs w:val="24"/>
    </w:rPr>
  </w:style>
  <w:style w:type="paragraph" w:styleId="NormalWeb">
    <w:name w:val="Normal (Web)"/>
    <w:basedOn w:val="Normal"/>
    <w:uiPriority w:val="99"/>
    <w:unhideWhenUsed/>
    <w:rsid w:val="00E816E1"/>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46">
      <w:bodyDiv w:val="1"/>
      <w:marLeft w:val="0"/>
      <w:marRight w:val="0"/>
      <w:marTop w:val="0"/>
      <w:marBottom w:val="0"/>
      <w:divBdr>
        <w:top w:val="none" w:sz="0" w:space="0" w:color="auto"/>
        <w:left w:val="none" w:sz="0" w:space="0" w:color="auto"/>
        <w:bottom w:val="none" w:sz="0" w:space="0" w:color="auto"/>
        <w:right w:val="none" w:sz="0" w:space="0" w:color="auto"/>
      </w:divBdr>
    </w:div>
    <w:div w:id="28530866">
      <w:bodyDiv w:val="1"/>
      <w:marLeft w:val="0"/>
      <w:marRight w:val="0"/>
      <w:marTop w:val="0"/>
      <w:marBottom w:val="0"/>
      <w:divBdr>
        <w:top w:val="none" w:sz="0" w:space="0" w:color="auto"/>
        <w:left w:val="none" w:sz="0" w:space="0" w:color="auto"/>
        <w:bottom w:val="none" w:sz="0" w:space="0" w:color="auto"/>
        <w:right w:val="none" w:sz="0" w:space="0" w:color="auto"/>
      </w:divBdr>
    </w:div>
    <w:div w:id="298465107">
      <w:bodyDiv w:val="1"/>
      <w:marLeft w:val="0"/>
      <w:marRight w:val="0"/>
      <w:marTop w:val="0"/>
      <w:marBottom w:val="0"/>
      <w:divBdr>
        <w:top w:val="none" w:sz="0" w:space="0" w:color="auto"/>
        <w:left w:val="none" w:sz="0" w:space="0" w:color="auto"/>
        <w:bottom w:val="none" w:sz="0" w:space="0" w:color="auto"/>
        <w:right w:val="none" w:sz="0" w:space="0" w:color="auto"/>
      </w:divBdr>
    </w:div>
    <w:div w:id="524370892">
      <w:bodyDiv w:val="1"/>
      <w:marLeft w:val="0"/>
      <w:marRight w:val="0"/>
      <w:marTop w:val="0"/>
      <w:marBottom w:val="0"/>
      <w:divBdr>
        <w:top w:val="none" w:sz="0" w:space="0" w:color="auto"/>
        <w:left w:val="none" w:sz="0" w:space="0" w:color="auto"/>
        <w:bottom w:val="none" w:sz="0" w:space="0" w:color="auto"/>
        <w:right w:val="none" w:sz="0" w:space="0" w:color="auto"/>
      </w:divBdr>
    </w:div>
    <w:div w:id="549343202">
      <w:bodyDiv w:val="1"/>
      <w:marLeft w:val="0"/>
      <w:marRight w:val="0"/>
      <w:marTop w:val="0"/>
      <w:marBottom w:val="0"/>
      <w:divBdr>
        <w:top w:val="none" w:sz="0" w:space="0" w:color="auto"/>
        <w:left w:val="none" w:sz="0" w:space="0" w:color="auto"/>
        <w:bottom w:val="none" w:sz="0" w:space="0" w:color="auto"/>
        <w:right w:val="none" w:sz="0" w:space="0" w:color="auto"/>
      </w:divBdr>
    </w:div>
    <w:div w:id="707296731">
      <w:bodyDiv w:val="1"/>
      <w:marLeft w:val="0"/>
      <w:marRight w:val="0"/>
      <w:marTop w:val="0"/>
      <w:marBottom w:val="0"/>
      <w:divBdr>
        <w:top w:val="none" w:sz="0" w:space="0" w:color="auto"/>
        <w:left w:val="none" w:sz="0" w:space="0" w:color="auto"/>
        <w:bottom w:val="none" w:sz="0" w:space="0" w:color="auto"/>
        <w:right w:val="none" w:sz="0" w:space="0" w:color="auto"/>
      </w:divBdr>
    </w:div>
    <w:div w:id="801969004">
      <w:bodyDiv w:val="1"/>
      <w:marLeft w:val="0"/>
      <w:marRight w:val="0"/>
      <w:marTop w:val="0"/>
      <w:marBottom w:val="0"/>
      <w:divBdr>
        <w:top w:val="none" w:sz="0" w:space="0" w:color="auto"/>
        <w:left w:val="none" w:sz="0" w:space="0" w:color="auto"/>
        <w:bottom w:val="none" w:sz="0" w:space="0" w:color="auto"/>
        <w:right w:val="none" w:sz="0" w:space="0" w:color="auto"/>
      </w:divBdr>
    </w:div>
    <w:div w:id="1127744107">
      <w:bodyDiv w:val="1"/>
      <w:marLeft w:val="0"/>
      <w:marRight w:val="0"/>
      <w:marTop w:val="0"/>
      <w:marBottom w:val="0"/>
      <w:divBdr>
        <w:top w:val="none" w:sz="0" w:space="0" w:color="auto"/>
        <w:left w:val="none" w:sz="0" w:space="0" w:color="auto"/>
        <w:bottom w:val="none" w:sz="0" w:space="0" w:color="auto"/>
        <w:right w:val="none" w:sz="0" w:space="0" w:color="auto"/>
      </w:divBdr>
    </w:div>
    <w:div w:id="1167598061">
      <w:bodyDiv w:val="1"/>
      <w:marLeft w:val="0"/>
      <w:marRight w:val="0"/>
      <w:marTop w:val="0"/>
      <w:marBottom w:val="0"/>
      <w:divBdr>
        <w:top w:val="none" w:sz="0" w:space="0" w:color="auto"/>
        <w:left w:val="none" w:sz="0" w:space="0" w:color="auto"/>
        <w:bottom w:val="none" w:sz="0" w:space="0" w:color="auto"/>
        <w:right w:val="none" w:sz="0" w:space="0" w:color="auto"/>
      </w:divBdr>
    </w:div>
    <w:div w:id="1338457310">
      <w:bodyDiv w:val="1"/>
      <w:marLeft w:val="0"/>
      <w:marRight w:val="0"/>
      <w:marTop w:val="0"/>
      <w:marBottom w:val="0"/>
      <w:divBdr>
        <w:top w:val="none" w:sz="0" w:space="0" w:color="auto"/>
        <w:left w:val="none" w:sz="0" w:space="0" w:color="auto"/>
        <w:bottom w:val="none" w:sz="0" w:space="0" w:color="auto"/>
        <w:right w:val="none" w:sz="0" w:space="0" w:color="auto"/>
      </w:divBdr>
    </w:div>
    <w:div w:id="1400010110">
      <w:bodyDiv w:val="1"/>
      <w:marLeft w:val="0"/>
      <w:marRight w:val="0"/>
      <w:marTop w:val="0"/>
      <w:marBottom w:val="0"/>
      <w:divBdr>
        <w:top w:val="none" w:sz="0" w:space="0" w:color="auto"/>
        <w:left w:val="none" w:sz="0" w:space="0" w:color="auto"/>
        <w:bottom w:val="none" w:sz="0" w:space="0" w:color="auto"/>
        <w:right w:val="none" w:sz="0" w:space="0" w:color="auto"/>
      </w:divBdr>
    </w:div>
    <w:div w:id="1630814389">
      <w:bodyDiv w:val="1"/>
      <w:marLeft w:val="0"/>
      <w:marRight w:val="0"/>
      <w:marTop w:val="0"/>
      <w:marBottom w:val="0"/>
      <w:divBdr>
        <w:top w:val="none" w:sz="0" w:space="0" w:color="auto"/>
        <w:left w:val="none" w:sz="0" w:space="0" w:color="auto"/>
        <w:bottom w:val="none" w:sz="0" w:space="0" w:color="auto"/>
        <w:right w:val="none" w:sz="0" w:space="0" w:color="auto"/>
      </w:divBdr>
    </w:div>
    <w:div w:id="1662275994">
      <w:bodyDiv w:val="1"/>
      <w:marLeft w:val="0"/>
      <w:marRight w:val="0"/>
      <w:marTop w:val="0"/>
      <w:marBottom w:val="0"/>
      <w:divBdr>
        <w:top w:val="none" w:sz="0" w:space="0" w:color="auto"/>
        <w:left w:val="none" w:sz="0" w:space="0" w:color="auto"/>
        <w:bottom w:val="none" w:sz="0" w:space="0" w:color="auto"/>
        <w:right w:val="none" w:sz="0" w:space="0" w:color="auto"/>
      </w:divBdr>
    </w:div>
    <w:div w:id="2094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onr.org.uk%2Fmedia%2Fri2eepa5%2Fonrs-response-to-the-governments-national-policy-statement-for-new-nuclear-power-generation-080324.docx&amp;wdOrigin=BROWSELIN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onr.org.uk/generic-design-assessment/early-regulatory-engagement-on-new-nuclear-projects/" TargetMode="External"/><Relationship Id="rId7" Type="http://schemas.openxmlformats.org/officeDocument/2006/relationships/settings" Target="settings.xml"/><Relationship Id="rId12" Type="http://schemas.openxmlformats.org/officeDocument/2006/relationships/hyperlink" Target="mailto:Contact@onr.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iew.officeapps.live.com/op/view.aspx?src=https%3A%2F%2Fwww.onr.org.uk%2Fmedia%2Fri2eepa5%2Fonrs-response-to-the-governments-national-policy-statement-for-new-nuclear-power-generation-080324.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clearconsultation@energysecurity.gov.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aea.org/newscenter/pressreleases/iaea-mission-sees-progress-in-nuclear-and-radiation-safety-in-the-united-kingdom-notes-areas-for-impro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nr.org.uk/media/ri2eepa5/onrs-response-to-the-governments-national-policy-statement-for-new-nuclear-power-generation-080324.docx" TargetMode="External"/><Relationship Id="rId2" Type="http://schemas.openxmlformats.org/officeDocument/2006/relationships/hyperlink" Target="https://www.iaea.org/newscenter/pressreleases/iaea-mission-sees-progress-in-nuclear-and-radiation-safety-in-the-united-kingdom-notes-areas-for-improvement" TargetMode="External"/><Relationship Id="rId1" Type="http://schemas.openxmlformats.org/officeDocument/2006/relationships/hyperlink" Target="https://www.onr.org.uk/media/ri2eepa5/onrs-response-to-the-governments-national-policy-statement-for-new-nuclear-power-generation-080324.docx" TargetMode="External"/><Relationship Id="rId4" Type="http://schemas.openxmlformats.org/officeDocument/2006/relationships/hyperlink" Target="https://www.onr.org.uk/generic-design-assessment/early-regulatory-engagement-on-new-nuclear-projec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7" ma:contentTypeDescription="Create a new document." ma:contentTypeScope="" ma:versionID="687ec9149b5ac7db69315af8a8e6d84c">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6bbe633b6a1025df8d1b5e0a04e7c4aa"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7590D-6775-489B-AE63-DE6DEA07713B}">
  <ds:schemaRefs>
    <ds:schemaRef ds:uri="http://schemas.openxmlformats.org/officeDocument/2006/bibliography"/>
  </ds:schemaRefs>
</ds:datastoreItem>
</file>

<file path=customXml/itemProps2.xml><?xml version="1.0" encoding="utf-8"?>
<ds:datastoreItem xmlns:ds="http://schemas.openxmlformats.org/officeDocument/2006/customXml" ds:itemID="{93337107-47BF-4860-9A6B-7714C3CD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5266A-45D0-4D88-8518-D32FC33814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8FFD28-ECED-4C29-9D92-776EF5F60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2548</Words>
  <Characters>14526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2020-12-14T11:17:00Z</cp:lastPrinted>
  <dcterms:created xsi:type="dcterms:W3CDTF">2024-04-15T14:31:00Z</dcterms:created>
  <dcterms:modified xsi:type="dcterms:W3CDTF">2024-04-15T14:31:00Z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0x010100F4626176D315544C94C699C7AD409AA1</vt:lpwstr>
  </property>
  <property fmtid="{D5CDD505-2E9C-101B-9397-08002B2CF9AE}" pid="3" name="MSIP_Label_9e5e003a-90eb-47c9-a506-ad47e7a0b281_Enabled">
    <vt:lpwstr>true</vt:lpwstr>
  </property>
  <property fmtid="{D5CDD505-2E9C-101B-9397-08002B2CF9AE}" pid="4" name="MSIP_Label_9e5e003a-90eb-47c9-a506-ad47e7a0b281_SetDate">
    <vt:lpwstr>2022-09-01T10:35:52Z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c81cb1cf-dfae-41b5-afec-e534504fd534</vt:lpwstr>
  </property>
  <property fmtid="{D5CDD505-2E9C-101B-9397-08002B2CF9AE}" pid="9" name="MSIP_Label_9e5e003a-90eb-47c9-a506-ad47e7a0b281_ContentBits">
    <vt:lpwstr>0</vt:lpwstr>
  </property>
</Properties>
</file>