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07DE6D30">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07DE6D30">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07DE6D30">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387D5708" w:rsidR="00220466" w:rsidRPr="0048438C" w:rsidRDefault="00684E8C" w:rsidP="0048438C">
            <w:pPr>
              <w:spacing w:before="60" w:after="60"/>
            </w:pPr>
            <w:r>
              <w:t>RO-</w:t>
            </w:r>
            <w:r w:rsidR="00FA4C46">
              <w:t>HOLTEC</w:t>
            </w:r>
            <w:r w:rsidR="00EE0A6A">
              <w:t>SMR300</w:t>
            </w:r>
            <w:r w:rsidR="005933F1">
              <w:t>-</w:t>
            </w:r>
            <w:r w:rsidR="239A782F">
              <w:t>002</w:t>
            </w:r>
          </w:p>
        </w:tc>
      </w:tr>
      <w:tr w:rsidR="00220466" w:rsidRPr="0048438C" w14:paraId="4573E026" w14:textId="77777777" w:rsidTr="07DE6D30">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29C24A2" w:rsidR="00220466" w:rsidRPr="0048438C" w:rsidRDefault="00902B4D" w:rsidP="0048438C">
            <w:pPr>
              <w:spacing w:before="60" w:after="60"/>
              <w:rPr>
                <w:szCs w:val="24"/>
              </w:rPr>
            </w:pPr>
            <w:r>
              <w:rPr>
                <w:szCs w:val="24"/>
              </w:rPr>
              <w:t>0</w:t>
            </w:r>
          </w:p>
        </w:tc>
      </w:tr>
      <w:tr w:rsidR="00850471" w:rsidRPr="0048438C" w14:paraId="3FF001D1" w14:textId="77777777" w:rsidTr="07DE6D30">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0EFDC8F5" w:rsidR="00850471" w:rsidRPr="0048438C" w:rsidRDefault="74837DC7" w:rsidP="07DE6D30">
            <w:pPr>
              <w:spacing w:before="60" w:after="60"/>
              <w:rPr>
                <w:rFonts w:eastAsia="Arial"/>
                <w:szCs w:val="24"/>
              </w:rPr>
            </w:pPr>
            <w:r w:rsidRPr="07DE6D30">
              <w:rPr>
                <w:rFonts w:eastAsia="Arial"/>
                <w:color w:val="000000" w:themeColor="text1"/>
                <w:szCs w:val="24"/>
              </w:rPr>
              <w:t>08/07/25</w:t>
            </w:r>
          </w:p>
        </w:tc>
      </w:tr>
      <w:tr w:rsidR="00220466" w:rsidRPr="0048438C" w14:paraId="4573E029" w14:textId="77777777" w:rsidTr="07DE6D30">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6F852A72" w:rsidR="00220466" w:rsidRPr="0048438C" w:rsidRDefault="3C5D9271" w:rsidP="07DE6D30">
            <w:pPr>
              <w:spacing w:before="60" w:after="60"/>
              <w:rPr>
                <w:rFonts w:eastAsia="Arial"/>
                <w:szCs w:val="24"/>
              </w:rPr>
            </w:pPr>
            <w:r w:rsidRPr="07DE6D30">
              <w:rPr>
                <w:rFonts w:eastAsia="Arial"/>
                <w:color w:val="000000" w:themeColor="text1"/>
                <w:szCs w:val="24"/>
              </w:rPr>
              <w:t>15/07/25 [date sent + 5 working days]</w:t>
            </w:r>
          </w:p>
        </w:tc>
      </w:tr>
      <w:tr w:rsidR="00220466" w:rsidRPr="0048438C" w14:paraId="4573E02C" w14:textId="77777777" w:rsidTr="07DE6D30">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2BD86A53" w:rsidR="0000781D" w:rsidRPr="0048438C" w:rsidRDefault="348742BA" w:rsidP="07DE6D30">
            <w:pPr>
              <w:spacing w:before="60" w:after="60"/>
              <w:rPr>
                <w:rFonts w:eastAsia="Arial"/>
                <w:szCs w:val="24"/>
              </w:rPr>
            </w:pPr>
            <w:r w:rsidRPr="07DE6D30">
              <w:rPr>
                <w:rFonts w:eastAsia="Arial"/>
                <w:color w:val="000000" w:themeColor="text1"/>
                <w:szCs w:val="24"/>
              </w:rPr>
              <w:t>05/08/25 [acknowledgment + 15 working days]</w:t>
            </w:r>
          </w:p>
        </w:tc>
      </w:tr>
      <w:tr w:rsidR="00220466" w:rsidRPr="0048438C" w14:paraId="4573E032" w14:textId="77777777" w:rsidTr="07DE6D30">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0DEDA7F4" w:rsidR="00220466" w:rsidRPr="00885540" w:rsidRDefault="00885540" w:rsidP="00885540">
            <w:pPr>
              <w:spacing w:before="60" w:after="60"/>
              <w:rPr>
                <w:szCs w:val="24"/>
                <w:highlight w:val="yellow"/>
              </w:rPr>
            </w:pPr>
            <w:r w:rsidRPr="00885540">
              <w:rPr>
                <w:szCs w:val="24"/>
              </w:rPr>
              <w:t>AR-01684</w:t>
            </w:r>
          </w:p>
        </w:tc>
      </w:tr>
      <w:tr w:rsidR="0040443F" w:rsidRPr="0048438C" w14:paraId="4573E035" w14:textId="77777777" w:rsidTr="07DE6D30">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70DA4BD3" w:rsidR="0040443F" w:rsidRPr="0040443F" w:rsidRDefault="00347CF1" w:rsidP="0040443F">
            <w:pPr>
              <w:spacing w:before="60" w:after="60"/>
              <w:rPr>
                <w:szCs w:val="24"/>
                <w:highlight w:val="yellow"/>
              </w:rPr>
            </w:pPr>
            <w:r w:rsidRPr="00347CF1">
              <w:t>RQ-01323</w:t>
            </w:r>
          </w:p>
        </w:tc>
      </w:tr>
      <w:tr w:rsidR="00850471" w:rsidRPr="0048438C" w14:paraId="4573E03E" w14:textId="77777777" w:rsidTr="07DE6D30">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7BBDC7D9" w:rsidR="0040443F" w:rsidRPr="0048438C" w:rsidRDefault="00347CF1" w:rsidP="0048438C">
            <w:pPr>
              <w:spacing w:before="60" w:after="60"/>
              <w:rPr>
                <w:szCs w:val="24"/>
              </w:rPr>
            </w:pPr>
            <w:r>
              <w:rPr>
                <w:szCs w:val="24"/>
              </w:rPr>
              <w:t>Secondary means of reactor shutdown</w:t>
            </w:r>
          </w:p>
        </w:tc>
      </w:tr>
      <w:tr w:rsidR="00CC67B6" w:rsidRPr="0048438C" w14:paraId="4573E043" w14:textId="77777777" w:rsidTr="07DE6D30">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6DC0942F" w14:textId="77777777" w:rsidR="0087645C" w:rsidRPr="0087645C" w:rsidRDefault="0087645C" w:rsidP="0087645C">
            <w:pPr>
              <w:spacing w:before="60" w:after="60"/>
              <w:rPr>
                <w:szCs w:val="24"/>
              </w:rPr>
            </w:pPr>
            <w:r w:rsidRPr="0087645C">
              <w:rPr>
                <w:szCs w:val="24"/>
              </w:rPr>
              <w:t>Fault Studies</w:t>
            </w:r>
          </w:p>
          <w:p w14:paraId="4573E040" w14:textId="022732DE" w:rsidR="00CC67B6" w:rsidRPr="0048438C" w:rsidRDefault="00CC67B6" w:rsidP="0087645C">
            <w:pPr>
              <w:pStyle w:val="ListParagraph"/>
              <w:spacing w:before="60" w:after="60"/>
              <w:ind w:left="0"/>
              <w:rPr>
                <w:szCs w:val="24"/>
              </w:rPr>
            </w:pP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13F7D1E6" w14:textId="77777777" w:rsidR="003A6935" w:rsidRPr="003A6935" w:rsidRDefault="003A6935" w:rsidP="003A6935">
            <w:pPr>
              <w:spacing w:before="60" w:after="60"/>
              <w:rPr>
                <w:szCs w:val="24"/>
              </w:rPr>
            </w:pPr>
            <w:r w:rsidRPr="003A6935">
              <w:rPr>
                <w:szCs w:val="24"/>
              </w:rPr>
              <w:t>Fuel and Core</w:t>
            </w:r>
          </w:p>
          <w:p w14:paraId="4573E042" w14:textId="0619BFEF" w:rsidR="00CC67B6" w:rsidRPr="0048438C" w:rsidRDefault="003A6935" w:rsidP="00347CF1">
            <w:pPr>
              <w:spacing w:before="60" w:after="60"/>
              <w:rPr>
                <w:szCs w:val="24"/>
              </w:rPr>
            </w:pPr>
            <w:r w:rsidRPr="003A6935">
              <w:rPr>
                <w:szCs w:val="24"/>
              </w:rPr>
              <w:t>Severe Accident Analysis</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07DE6D30">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07DE6D30">
        <w:tc>
          <w:tcPr>
            <w:tcW w:w="9897" w:type="dxa"/>
            <w:gridSpan w:val="2"/>
          </w:tcPr>
          <w:p w14:paraId="4F3F6A8D" w14:textId="162229E0" w:rsidR="00850471" w:rsidRPr="0048438C" w:rsidRDefault="00CC67B6" w:rsidP="0048438C">
            <w:pPr>
              <w:spacing w:before="60" w:after="60"/>
              <w:rPr>
                <w:b/>
                <w:szCs w:val="24"/>
                <w:u w:val="single"/>
              </w:rPr>
            </w:pPr>
            <w:r w:rsidRPr="0048438C">
              <w:rPr>
                <w:b/>
                <w:szCs w:val="24"/>
                <w:u w:val="single"/>
              </w:rPr>
              <w:t>Background</w:t>
            </w:r>
          </w:p>
          <w:p w14:paraId="4B292F44" w14:textId="125A9C19" w:rsidR="00E4166A" w:rsidRDefault="00E4166A" w:rsidP="00F15062">
            <w:r>
              <w:t xml:space="preserve">The primary means of shutdown for the SMR-300 design is lowering of the control rods into the reactor.  </w:t>
            </w:r>
            <w:r w:rsidR="00A43730">
              <w:t>International and ONR expectations are for two diverse means to be provided to shut down a civil nuclear reactor</w:t>
            </w:r>
            <w:r w:rsidR="007B1958">
              <w:t>, with a secondary means being able to shutdown the reactor if the primary means were to fail</w:t>
            </w:r>
            <w:r w:rsidR="00A43730">
              <w:t xml:space="preserve">.  </w:t>
            </w:r>
            <w:r w:rsidR="001F25B7">
              <w:t>In initial engagements</w:t>
            </w:r>
            <w:r w:rsidR="00D74E56">
              <w:t xml:space="preserve"> with the Requesting Party and review of early GDA submissions, no </w:t>
            </w:r>
            <w:r>
              <w:t>diverse</w:t>
            </w:r>
            <w:r w:rsidR="00D74E56">
              <w:t xml:space="preserve"> means for pr</w:t>
            </w:r>
            <w:r w:rsidR="00B17858">
              <w:t xml:space="preserve">oviding reactor shutdown was </w:t>
            </w:r>
            <w:r w:rsidR="5ACD45DA">
              <w:t>presented</w:t>
            </w:r>
            <w:r w:rsidR="00A05E87">
              <w:t xml:space="preserve">.  </w:t>
            </w:r>
          </w:p>
          <w:p w14:paraId="5FFE83FF" w14:textId="77777777" w:rsidR="00E4166A" w:rsidRDefault="00E4166A" w:rsidP="00F15062"/>
          <w:p w14:paraId="44B66E52" w14:textId="1B8C6224" w:rsidR="00F15062" w:rsidRDefault="1AB68A47" w:rsidP="00F15062">
            <w:r>
              <w:t xml:space="preserve">In later engagement and submissions the </w:t>
            </w:r>
            <w:r w:rsidR="05926CED">
              <w:t>Requesting Party</w:t>
            </w:r>
            <w:r w:rsidR="43D497DA">
              <w:t xml:space="preserve"> clarified</w:t>
            </w:r>
            <w:r w:rsidR="05926CED">
              <w:t xml:space="preserve"> that the </w:t>
            </w:r>
            <w:r w:rsidR="667EE902">
              <w:t xml:space="preserve">SMR-300 design </w:t>
            </w:r>
            <w:r w:rsidR="08073C89">
              <w:t xml:space="preserve">provides a </w:t>
            </w:r>
            <w:r w:rsidR="4DAEAFFB">
              <w:t>second means of shutting down the reactor</w:t>
            </w:r>
            <w:r w:rsidR="78611173">
              <w:t xml:space="preserve"> (Refs 1, 2, &amp; 3)</w:t>
            </w:r>
            <w:r w:rsidR="4DAEAFFB">
              <w:t xml:space="preserve"> </w:t>
            </w:r>
            <w:r w:rsidR="667EE902">
              <w:t xml:space="preserve">through </w:t>
            </w:r>
            <w:r w:rsidR="4DAEAFFB">
              <w:t xml:space="preserve">reliance on the inherent moderator </w:t>
            </w:r>
            <w:r w:rsidR="4E6C8D83">
              <w:t xml:space="preserve">reactivity temperature coefficient </w:t>
            </w:r>
            <w:r w:rsidR="4DAEAFFB">
              <w:t xml:space="preserve">feedback characteristics to reduce reactor power </w:t>
            </w:r>
            <w:r w:rsidR="10AE71A4">
              <w:t xml:space="preserve">following an </w:t>
            </w:r>
            <w:r w:rsidR="08185566">
              <w:t xml:space="preserve">Anticipated Transient Without </w:t>
            </w:r>
            <w:r w:rsidR="780C6827">
              <w:t>SCRAM (</w:t>
            </w:r>
            <w:r w:rsidR="10AE71A4">
              <w:t>ATWS</w:t>
            </w:r>
            <w:r w:rsidR="780C6827">
              <w:t>)</w:t>
            </w:r>
            <w:r w:rsidR="10AE71A4">
              <w:t xml:space="preserve"> fault</w:t>
            </w:r>
            <w:r w:rsidR="08185566">
              <w:t xml:space="preserve">, </w:t>
            </w:r>
            <w:r w:rsidR="4DAEAFFB">
              <w:t>which would eventually equalise the reactor power to match the heat removal capacity of the passive heat removal systems. The reactor is then stated to</w:t>
            </w:r>
            <w:r w:rsidR="008E2313">
              <w:t xml:space="preserve"> </w:t>
            </w:r>
            <w:r w:rsidR="667EE902">
              <w:t xml:space="preserve">remain </w:t>
            </w:r>
            <w:r w:rsidR="4DAEAFFB">
              <w:t>at a steady low power until</w:t>
            </w:r>
            <w:r w:rsidR="008E2313">
              <w:t xml:space="preserve"> </w:t>
            </w:r>
            <w:r w:rsidR="7A098573">
              <w:t xml:space="preserve">a </w:t>
            </w:r>
            <w:r w:rsidR="504997D9">
              <w:t xml:space="preserve">timer triggers the </w:t>
            </w:r>
            <w:r w:rsidR="780C6827">
              <w:t>Automatic Depressurisation System (</w:t>
            </w:r>
            <w:r w:rsidR="4DAEAFFB">
              <w:t>ADS</w:t>
            </w:r>
            <w:r w:rsidR="780C6827">
              <w:t>)</w:t>
            </w:r>
            <w:r w:rsidR="4DAEAFFB">
              <w:t xml:space="preserve"> </w:t>
            </w:r>
            <w:r w:rsidR="7A098573">
              <w:t xml:space="preserve">to depressurise </w:t>
            </w:r>
            <w:r w:rsidR="4DAEAFFB">
              <w:t xml:space="preserve">the primary circuit to allow the </w:t>
            </w:r>
            <w:r w:rsidR="780C6827">
              <w:t>safety</w:t>
            </w:r>
            <w:r w:rsidR="4DAEAFFB">
              <w:t xml:space="preserve"> injection of borated water which would shutdown the reactor. The period that the reactor would </w:t>
            </w:r>
            <w:r w:rsidR="08073C89">
              <w:t xml:space="preserve">remain </w:t>
            </w:r>
            <w:r w:rsidR="4DAEAFFB">
              <w:t xml:space="preserve">at a low power state before reactor shutdown </w:t>
            </w:r>
            <w:r w:rsidR="22708A33">
              <w:t xml:space="preserve">is </w:t>
            </w:r>
            <w:r w:rsidR="4DAEAFFB">
              <w:t xml:space="preserve">achieved is stated as </w:t>
            </w:r>
            <w:r w:rsidR="00B83BA8">
              <w:t xml:space="preserve">being over </w:t>
            </w:r>
            <w:r w:rsidR="4DAEAFFB">
              <w:t>24 hours</w:t>
            </w:r>
            <w:r w:rsidR="0158FACF">
              <w:t>(Ref</w:t>
            </w:r>
            <w:r w:rsidR="2C53A23E">
              <w:t>s</w:t>
            </w:r>
            <w:r w:rsidR="0158FACF">
              <w:t xml:space="preserve"> </w:t>
            </w:r>
            <w:r w:rsidR="3F45F23F">
              <w:t xml:space="preserve">2 &amp; </w:t>
            </w:r>
            <w:r w:rsidR="0158FACF">
              <w:t>4)</w:t>
            </w:r>
            <w:r w:rsidR="00B83BA8">
              <w:t xml:space="preserve">, however there is still some uncertainty on the </w:t>
            </w:r>
            <w:r w:rsidR="004D2006">
              <w:t>precise timing and system design</w:t>
            </w:r>
            <w:r w:rsidR="4DAEAFFB">
              <w:t>.</w:t>
            </w:r>
            <w:r w:rsidR="18AF106A">
              <w:t xml:space="preserve"> </w:t>
            </w:r>
          </w:p>
          <w:p w14:paraId="06DCFCBA" w14:textId="77777777" w:rsidR="00D22D04" w:rsidRDefault="00D22D04" w:rsidP="000963EE"/>
          <w:p w14:paraId="6BE76143" w14:textId="66FC21D8" w:rsidR="00850471" w:rsidRPr="0048438C" w:rsidRDefault="443A768B" w:rsidP="0048438C">
            <w:pPr>
              <w:spacing w:before="60" w:after="60"/>
            </w:pPr>
            <w:r>
              <w:t>This period of time remaining</w:t>
            </w:r>
            <w:r w:rsidR="4DAEAFFB">
              <w:t xml:space="preserve"> at a steady low power prior to shutdown </w:t>
            </w:r>
            <w:r w:rsidR="3BF9210A">
              <w:t xml:space="preserve">and reliance upon automatic depressurisation </w:t>
            </w:r>
            <w:r w:rsidR="4DAEAFFB">
              <w:t xml:space="preserve">is </w:t>
            </w:r>
            <w:r>
              <w:t xml:space="preserve">a novel proposal </w:t>
            </w:r>
            <w:r w:rsidR="4CE93F47">
              <w:t xml:space="preserve">for a civil reactor in the UK </w:t>
            </w:r>
            <w:r w:rsidR="03E1834C">
              <w:t>and</w:t>
            </w:r>
            <w:r w:rsidR="4DAEAFFB">
              <w:t xml:space="preserve"> </w:t>
            </w:r>
            <w:r>
              <w:t>the Requesting Party</w:t>
            </w:r>
            <w:r w:rsidR="4DAEAFFB">
              <w:t xml:space="preserve"> has not provided a justification as to how this reduces risks </w:t>
            </w:r>
            <w:r w:rsidR="63759133">
              <w:t>as low as is reasonably practicable (</w:t>
            </w:r>
            <w:r w:rsidR="4DAEAFFB">
              <w:t>ALARP</w:t>
            </w:r>
            <w:r w:rsidR="63759133">
              <w:t>)</w:t>
            </w:r>
            <w:r w:rsidR="4DAEAFFB">
              <w:t>.</w:t>
            </w:r>
            <w:r w:rsidR="66C7BE71">
              <w:t xml:space="preserve"> </w:t>
            </w:r>
            <w:r w:rsidR="1726C8DF">
              <w:t>The Requesting Party has also not provided evidence that the proposed secondary means of shutdown would be effective in fulfilling its safety function in all r</w:t>
            </w:r>
            <w:r w:rsidR="403C1609">
              <w:t>elevant circumstances.</w:t>
            </w:r>
          </w:p>
          <w:p w14:paraId="4F38833C" w14:textId="51A98242" w:rsidR="642C987A" w:rsidRDefault="642C987A" w:rsidP="642C987A">
            <w:pPr>
              <w:spacing w:before="60" w:after="60"/>
            </w:pPr>
          </w:p>
          <w:p w14:paraId="51591E22" w14:textId="6ABF955F" w:rsidR="561F23E6" w:rsidRDefault="561F23E6" w:rsidP="25184637">
            <w:pPr>
              <w:spacing w:before="60" w:after="60"/>
              <w:rPr>
                <w:b/>
                <w:bCs/>
                <w:u w:val="single"/>
              </w:rPr>
            </w:pPr>
            <w:r w:rsidRPr="25184637">
              <w:rPr>
                <w:b/>
                <w:bCs/>
                <w:u w:val="single"/>
              </w:rPr>
              <w:t>Relevant Legislation, Standards and Guidance</w:t>
            </w:r>
          </w:p>
          <w:p w14:paraId="0CAD0C74" w14:textId="38E3ECAB" w:rsidR="4AF067DB" w:rsidRDefault="3BD40790" w:rsidP="25184637">
            <w:pPr>
              <w:spacing w:before="60" w:after="60"/>
            </w:pPr>
            <w:r w:rsidRPr="05E80E63">
              <w:rPr>
                <w:rFonts w:eastAsia="Arial"/>
                <w:szCs w:val="24"/>
              </w:rPr>
              <w:t xml:space="preserve">Generic Design Assessment Technical Guidance </w:t>
            </w:r>
            <w:r w:rsidR="4AF067DB">
              <w:t>(Ref 8)</w:t>
            </w:r>
          </w:p>
          <w:p w14:paraId="3C8A1E4A" w14:textId="46D2DB34" w:rsidR="4AF067DB" w:rsidRDefault="4AF067DB">
            <w:r w:rsidRPr="1325DC2B">
              <w:rPr>
                <w:rFonts w:eastAsia="Arial"/>
                <w:color w:val="000000" w:themeColor="text1"/>
              </w:rPr>
              <w:t xml:space="preserve">ONR TAG 06 Design Basis Analysis </w:t>
            </w:r>
            <w:r>
              <w:t>(Ref 9)</w:t>
            </w:r>
          </w:p>
          <w:p w14:paraId="18478AB7" w14:textId="0A317097" w:rsidR="2E66E659" w:rsidRDefault="2E66E659"/>
          <w:p w14:paraId="3AD19992" w14:textId="0F9A900C" w:rsidR="00D50AC7" w:rsidRDefault="00D50AC7" w:rsidP="0048438C">
            <w:pPr>
              <w:spacing w:before="60" w:after="60"/>
              <w:rPr>
                <w:b/>
                <w:bCs/>
                <w:u w:val="single"/>
              </w:rPr>
            </w:pPr>
            <w:r>
              <w:rPr>
                <w:szCs w:val="24"/>
              </w:rPr>
              <w:t xml:space="preserve">The following </w:t>
            </w:r>
            <w:r w:rsidR="007E2CCD">
              <w:rPr>
                <w:szCs w:val="24"/>
              </w:rPr>
              <w:t>Safety</w:t>
            </w:r>
            <w:r w:rsidR="00310EB6">
              <w:rPr>
                <w:szCs w:val="24"/>
              </w:rPr>
              <w:t xml:space="preserve"> Assessment Principles (SAPs)</w:t>
            </w:r>
            <w:r w:rsidR="00741E85">
              <w:rPr>
                <w:szCs w:val="24"/>
              </w:rPr>
              <w:t xml:space="preserve"> (Ref 5)</w:t>
            </w:r>
            <w:r w:rsidR="00310EB6">
              <w:rPr>
                <w:szCs w:val="24"/>
              </w:rPr>
              <w:t xml:space="preserve"> are </w:t>
            </w:r>
            <w:r w:rsidR="007E2CCD">
              <w:rPr>
                <w:szCs w:val="24"/>
              </w:rPr>
              <w:t>relevant:</w:t>
            </w:r>
          </w:p>
          <w:p w14:paraId="46D9689A" w14:textId="32283580" w:rsidR="000758E9" w:rsidRDefault="000963EE" w:rsidP="0048438C">
            <w:pPr>
              <w:spacing w:before="60" w:after="60"/>
            </w:pPr>
            <w:r>
              <w:t xml:space="preserve">SAP SC.4 </w:t>
            </w:r>
            <w:r w:rsidR="00741E85">
              <w:t xml:space="preserve">- </w:t>
            </w:r>
            <w:r w:rsidR="00AA52AF">
              <w:t xml:space="preserve">Safety </w:t>
            </w:r>
            <w:r w:rsidR="00064E7E">
              <w:t>c</w:t>
            </w:r>
            <w:r w:rsidR="00AA52AF">
              <w:t xml:space="preserve">ase </w:t>
            </w:r>
            <w:r w:rsidR="00064E7E">
              <w:t>c</w:t>
            </w:r>
            <w:r w:rsidR="00AA52AF">
              <w:t>haracteristics</w:t>
            </w:r>
            <w:r w:rsidR="001836FA">
              <w:t xml:space="preserve"> </w:t>
            </w:r>
          </w:p>
          <w:p w14:paraId="3FDAFEFB" w14:textId="2DA6ACA8" w:rsidR="00F63E7D" w:rsidDel="00310EB6" w:rsidRDefault="00AD794F" w:rsidP="0048438C">
            <w:pPr>
              <w:spacing w:before="60" w:after="60"/>
            </w:pPr>
            <w:r>
              <w:t>SA</w:t>
            </w:r>
            <w:r w:rsidR="001836FA">
              <w:t>P</w:t>
            </w:r>
            <w:r>
              <w:t xml:space="preserve"> ERC.2 </w:t>
            </w:r>
            <w:r w:rsidR="00741E85">
              <w:t xml:space="preserve">- </w:t>
            </w:r>
            <w:r w:rsidR="001836FA">
              <w:t xml:space="preserve">Shutdown </w:t>
            </w:r>
            <w:r w:rsidR="00064E7E">
              <w:t>s</w:t>
            </w:r>
            <w:r w:rsidR="001836FA">
              <w:t>ystems</w:t>
            </w:r>
          </w:p>
          <w:p w14:paraId="34856052" w14:textId="3C05FCE6" w:rsidR="001836FA" w:rsidRDefault="7CF8E84F" w:rsidP="0048438C">
            <w:pPr>
              <w:spacing w:before="60" w:after="60"/>
            </w:pPr>
            <w:r>
              <w:t xml:space="preserve">SAP FA.6 </w:t>
            </w:r>
            <w:r w:rsidR="0BA4A439">
              <w:t xml:space="preserve">- </w:t>
            </w:r>
            <w:r>
              <w:t>Fault sequences</w:t>
            </w:r>
          </w:p>
          <w:p w14:paraId="0AB9F2B5" w14:textId="7A6C5BBD" w:rsidR="001836FA" w:rsidRDefault="00D118ED" w:rsidP="0048438C">
            <w:pPr>
              <w:spacing w:before="60" w:after="60"/>
            </w:pPr>
            <w:r>
              <w:t xml:space="preserve">SAP FA.8 </w:t>
            </w:r>
            <w:r w:rsidR="001E6592">
              <w:t xml:space="preserve">- </w:t>
            </w:r>
            <w:r w:rsidR="00C06D2F">
              <w:t>Linking of Initiating faults, fault sequences, and safety measures</w:t>
            </w:r>
          </w:p>
          <w:p w14:paraId="6CB1E4D7" w14:textId="60410FEB" w:rsidR="00C124E7" w:rsidRDefault="00C124E7" w:rsidP="0048438C">
            <w:pPr>
              <w:spacing w:before="60" w:after="60"/>
            </w:pPr>
            <w:r>
              <w:t xml:space="preserve">SAP ESS.1 </w:t>
            </w:r>
            <w:r w:rsidR="001E6592">
              <w:t xml:space="preserve">- </w:t>
            </w:r>
            <w:r w:rsidR="00277D5C">
              <w:t xml:space="preserve">Provision of </w:t>
            </w:r>
            <w:r w:rsidR="00C02399">
              <w:t>s</w:t>
            </w:r>
            <w:r w:rsidR="00277D5C">
              <w:t xml:space="preserve">afety </w:t>
            </w:r>
            <w:r w:rsidR="00C02399">
              <w:t>s</w:t>
            </w:r>
            <w:r w:rsidR="00277D5C">
              <w:t>ystems</w:t>
            </w:r>
          </w:p>
          <w:p w14:paraId="5ED60F9C" w14:textId="477551D2" w:rsidR="007E2CCD" w:rsidRDefault="24409EC9" w:rsidP="0048438C">
            <w:pPr>
              <w:spacing w:before="60" w:after="60"/>
            </w:pPr>
            <w:r>
              <w:t>SAP ESS.2 - Safety system specification</w:t>
            </w:r>
          </w:p>
          <w:p w14:paraId="08408CA3" w14:textId="77763387" w:rsidR="007E2CCD" w:rsidRDefault="6E1B749E" w:rsidP="0048438C">
            <w:pPr>
              <w:spacing w:before="60" w:after="60"/>
            </w:pPr>
            <w:r>
              <w:t xml:space="preserve">SAP ECS.2 </w:t>
            </w:r>
            <w:r w:rsidR="0C2853F4">
              <w:t xml:space="preserve">- </w:t>
            </w:r>
            <w:r>
              <w:t>S</w:t>
            </w:r>
            <w:r w:rsidRPr="05E80E63">
              <w:rPr>
                <w:rFonts w:eastAsia="Arial"/>
                <w:szCs w:val="24"/>
              </w:rPr>
              <w:t>afety classification of structures, systems and components</w:t>
            </w:r>
          </w:p>
          <w:p w14:paraId="75B64F0D" w14:textId="3255F4BE" w:rsidR="05E80E63" w:rsidRDefault="05E80E63" w:rsidP="05E80E63">
            <w:pPr>
              <w:spacing w:before="60" w:after="60"/>
              <w:rPr>
                <w:rFonts w:eastAsia="Arial"/>
                <w:szCs w:val="24"/>
              </w:rPr>
            </w:pPr>
          </w:p>
          <w:p w14:paraId="0DD0A6AB" w14:textId="0F314D75" w:rsidR="00310EB6" w:rsidRDefault="007E2CCD" w:rsidP="0048438C">
            <w:pPr>
              <w:spacing w:before="60" w:after="60"/>
              <w:rPr>
                <w:szCs w:val="24"/>
              </w:rPr>
            </w:pPr>
            <w:r>
              <w:rPr>
                <w:szCs w:val="24"/>
              </w:rPr>
              <w:t>The following international standards and guidance from the International Atomic Energy Agency (IAEA) and Western European Nuclear Regulators Association (WENRA) are also relevant:</w:t>
            </w:r>
          </w:p>
          <w:p w14:paraId="635B20B2" w14:textId="346999D5" w:rsidR="00310EB6" w:rsidRDefault="00310EB6" w:rsidP="00310EB6">
            <w:pPr>
              <w:spacing w:before="60" w:after="60"/>
              <w:rPr>
                <w:szCs w:val="24"/>
              </w:rPr>
            </w:pPr>
            <w:r>
              <w:rPr>
                <w:szCs w:val="24"/>
              </w:rPr>
              <w:t xml:space="preserve">IAEA SSR-2/1 </w:t>
            </w:r>
            <w:r w:rsidR="00064E7E">
              <w:rPr>
                <w:szCs w:val="24"/>
              </w:rPr>
              <w:t xml:space="preserve">- </w:t>
            </w:r>
            <w:r>
              <w:rPr>
                <w:szCs w:val="24"/>
              </w:rPr>
              <w:t>Requirement 46 Reactor Shutdown (Ref 6)</w:t>
            </w:r>
          </w:p>
          <w:p w14:paraId="4A87D771" w14:textId="5CFD8862" w:rsidR="000758E9" w:rsidRPr="0048438C" w:rsidRDefault="708C98DC" w:rsidP="0048438C">
            <w:pPr>
              <w:spacing w:before="60" w:after="60"/>
            </w:pPr>
            <w:r>
              <w:t>WENRA Reference Level E9.6 (Ref 7)</w:t>
            </w:r>
          </w:p>
          <w:p w14:paraId="55C2D40D" w14:textId="5191E2E7" w:rsidR="37CB52C0" w:rsidRDefault="37CB52C0" w:rsidP="37CB52C0">
            <w:pPr>
              <w:spacing w:before="60" w:after="60"/>
            </w:pPr>
          </w:p>
          <w:p w14:paraId="268B2B85" w14:textId="2A98076B" w:rsidR="00CC67B6" w:rsidRPr="0048438C" w:rsidRDefault="00F65462" w:rsidP="0048438C">
            <w:pPr>
              <w:spacing w:before="60" w:after="60"/>
              <w:rPr>
                <w:b/>
                <w:bCs/>
                <w:u w:val="single"/>
              </w:rPr>
            </w:pPr>
            <w:r w:rsidRPr="05E80E63">
              <w:rPr>
                <w:b/>
                <w:bCs/>
                <w:u w:val="single"/>
              </w:rPr>
              <w:t>Regulatory Expectations</w:t>
            </w:r>
          </w:p>
          <w:p w14:paraId="55C512DC" w14:textId="39041DD8" w:rsidR="003968DF" w:rsidRDefault="003968DF" w:rsidP="003968DF">
            <w:pPr>
              <w:spacing w:before="60" w:after="60"/>
              <w:rPr>
                <w:szCs w:val="24"/>
              </w:rPr>
            </w:pPr>
            <w:r>
              <w:rPr>
                <w:szCs w:val="24"/>
              </w:rPr>
              <w:t>SAP SC.4</w:t>
            </w:r>
            <w:r w:rsidR="008A709C">
              <w:rPr>
                <w:szCs w:val="24"/>
              </w:rPr>
              <w:t xml:space="preserve"> sets out the expectation that</w:t>
            </w:r>
            <w:r>
              <w:rPr>
                <w:szCs w:val="24"/>
              </w:rPr>
              <w:t xml:space="preserve"> a</w:t>
            </w:r>
            <w:r w:rsidRPr="007F12F1">
              <w:rPr>
                <w:szCs w:val="24"/>
              </w:rPr>
              <w:t xml:space="preserve"> safety case should</w:t>
            </w:r>
            <w:r>
              <w:rPr>
                <w:szCs w:val="24"/>
              </w:rPr>
              <w:t xml:space="preserve"> </w:t>
            </w:r>
            <w:r w:rsidRPr="007F12F1">
              <w:rPr>
                <w:szCs w:val="24"/>
              </w:rPr>
              <w:t>explicitly set out the argument for why risks are ALARP</w:t>
            </w:r>
            <w:r>
              <w:rPr>
                <w:szCs w:val="24"/>
              </w:rPr>
              <w:t xml:space="preserve">, and </w:t>
            </w:r>
            <w:r w:rsidR="00D219C2">
              <w:rPr>
                <w:szCs w:val="24"/>
              </w:rPr>
              <w:t xml:space="preserve">provide </w:t>
            </w:r>
            <w:r w:rsidRPr="007F12F1">
              <w:rPr>
                <w:szCs w:val="24"/>
              </w:rPr>
              <w:t>link</w:t>
            </w:r>
            <w:r w:rsidR="00D219C2">
              <w:rPr>
                <w:szCs w:val="24"/>
              </w:rPr>
              <w:t>s to</w:t>
            </w:r>
            <w:r w:rsidRPr="007F12F1">
              <w:rPr>
                <w:szCs w:val="24"/>
              </w:rPr>
              <w:t xml:space="preserve"> the information necessary to show that risks are ALARP</w:t>
            </w:r>
            <w:r>
              <w:rPr>
                <w:szCs w:val="24"/>
              </w:rPr>
              <w:t>.</w:t>
            </w:r>
          </w:p>
          <w:p w14:paraId="09676933" w14:textId="48B724A8" w:rsidR="00A0391E" w:rsidRDefault="00D627AA" w:rsidP="00A0391E">
            <w:r>
              <w:t>The Requesting Party is expected to present an</w:t>
            </w:r>
            <w:r w:rsidR="00A0391E">
              <w:t xml:space="preserve"> argument to clearly set out why the provision of any means of reducing </w:t>
            </w:r>
            <w:r w:rsidR="00B922B9">
              <w:t>time spent in a low power state</w:t>
            </w:r>
            <w:r w:rsidR="00A0391E">
              <w:t xml:space="preserve"> </w:t>
            </w:r>
            <w:r w:rsidR="00B922B9">
              <w:t xml:space="preserve">prior to </w:t>
            </w:r>
            <w:r w:rsidR="00A0391E">
              <w:t>shutdown would be grossly disproportionate</w:t>
            </w:r>
            <w:r w:rsidR="00B922B9">
              <w:t>.  This should include consideration of</w:t>
            </w:r>
            <w:r w:rsidR="0042142B">
              <w:t xml:space="preserve"> options</w:t>
            </w:r>
            <w:r w:rsidR="00A0391E">
              <w:t xml:space="preserve"> such as </w:t>
            </w:r>
            <w:r w:rsidR="0042142B">
              <w:t xml:space="preserve">detection of failure of the primary means of shutdown and automatic </w:t>
            </w:r>
            <w:r w:rsidR="00A0391E">
              <w:t>actuation of the secondary means of shutdown.</w:t>
            </w:r>
          </w:p>
          <w:p w14:paraId="50FBFA62" w14:textId="24D468DD" w:rsidR="12D12AD9" w:rsidRDefault="12D12AD9"/>
          <w:p w14:paraId="345123C5" w14:textId="589179A7" w:rsidR="007C514C" w:rsidRDefault="007C514C" w:rsidP="00201A1F">
            <w:r>
              <w:t xml:space="preserve">SAP ERC.2, </w:t>
            </w:r>
            <w:r w:rsidR="005D59E6">
              <w:t>SSR-2/1 Requirement 46, and WENRA reference level E</w:t>
            </w:r>
            <w:r w:rsidR="00E729D2">
              <w:t>9.6</w:t>
            </w:r>
            <w:r w:rsidR="006F35AF">
              <w:t xml:space="preserve"> set out the expectation that</w:t>
            </w:r>
            <w:r w:rsidR="00E729D2">
              <w:t xml:space="preserve"> </w:t>
            </w:r>
            <w:r w:rsidR="00FC032F">
              <w:t>a</w:t>
            </w:r>
            <w:r w:rsidR="00201A1F" w:rsidRPr="00201A1F">
              <w:t>t least two diverse systems should be provided for shutting down a civil reactor.</w:t>
            </w:r>
          </w:p>
          <w:p w14:paraId="57CD097B" w14:textId="60F5FC5D" w:rsidR="6486BDC2" w:rsidRDefault="6486BDC2"/>
          <w:p w14:paraId="6B8FDA15" w14:textId="61D5AC5B" w:rsidR="00A0391E" w:rsidRDefault="00CA0FD4" w:rsidP="00CA0FD4">
            <w:pPr>
              <w:spacing w:before="60" w:after="60"/>
            </w:pPr>
            <w:r>
              <w:lastRenderedPageBreak/>
              <w:t xml:space="preserve">SAP FA.8, </w:t>
            </w:r>
            <w:r w:rsidR="006F35AF">
              <w:t xml:space="preserve">sets out the expectation that </w:t>
            </w:r>
            <w:r w:rsidR="00CE4C4B">
              <w:t xml:space="preserve">suitable and sufficient safety measures are provided </w:t>
            </w:r>
            <w:r w:rsidR="009C4D18">
              <w:t xml:space="preserve">to respond to </w:t>
            </w:r>
            <w:r w:rsidR="002D02E0">
              <w:t xml:space="preserve">design basis </w:t>
            </w:r>
            <w:r w:rsidR="009C4D18">
              <w:t>faults and that t</w:t>
            </w:r>
            <w:r>
              <w:t>he safety measures should be shown to be capable of bringing the facility to a stable, safe state following any design basis fault</w:t>
            </w:r>
            <w:r w:rsidR="00277D5C">
              <w:t>.</w:t>
            </w:r>
          </w:p>
          <w:p w14:paraId="1D643E27" w14:textId="0618FC49" w:rsidR="6486BDC2" w:rsidRDefault="6486BDC2" w:rsidP="6486BDC2">
            <w:pPr>
              <w:spacing w:before="60" w:after="60"/>
            </w:pPr>
          </w:p>
          <w:p w14:paraId="46517E69" w14:textId="0865EDE9" w:rsidR="00277D5C" w:rsidRDefault="00277D5C" w:rsidP="00277D5C">
            <w:pPr>
              <w:spacing w:before="60" w:after="60"/>
            </w:pPr>
            <w:r>
              <w:t>SAP ESS.1</w:t>
            </w:r>
            <w:r w:rsidR="008857DC">
              <w:t xml:space="preserve"> sets out the expectation that a</w:t>
            </w:r>
            <w:r>
              <w:t xml:space="preserve">ll nuclear facilities should be provided with safety systems that reduce the frequency or limit the consequences of fault sequences, and that achieve and maintain a defined stable, safe state. </w:t>
            </w:r>
            <w:r w:rsidR="00B976EB">
              <w:t>Specifically</w:t>
            </w:r>
            <w:r w:rsidR="009B1820">
              <w:t xml:space="preserve"> including the expectation</w:t>
            </w:r>
            <w:r w:rsidR="00B976EB">
              <w:t xml:space="preserve">, that </w:t>
            </w:r>
            <w:r>
              <w:t>reactors should be provided with safety systems to shut them down safely in normal operating and fault conditions and then maintain them in a shutdown condition. There should be a margin of reactivity that allows for systematic changes and uncertainties in nuclear characteristics, variations in plant state and other processes or mechanisms that might affect the reactivity of the core, even for the most reactive conditions of the core</w:t>
            </w:r>
            <w:r w:rsidR="00BA1456">
              <w:t>.</w:t>
            </w:r>
          </w:p>
          <w:p w14:paraId="3064044E" w14:textId="7DAFD8F2" w:rsidR="590B4B93" w:rsidRDefault="590B4B93" w:rsidP="590B4B93">
            <w:pPr>
              <w:spacing w:before="60" w:after="60"/>
            </w:pPr>
          </w:p>
          <w:p w14:paraId="348D4EFA" w14:textId="1F2904C6" w:rsidR="00A0391E" w:rsidRPr="0048438C" w:rsidRDefault="036746FE" w:rsidP="0048438C">
            <w:pPr>
              <w:spacing w:before="60" w:after="60"/>
            </w:pPr>
            <w:r>
              <w:t>SAP ECS.2 sets out the expectation that, s</w:t>
            </w:r>
            <w:r w:rsidRPr="2E7763B1">
              <w:rPr>
                <w:rFonts w:eastAsia="Arial"/>
              </w:rPr>
              <w:t>tructures, systems and components that have to deliver safety functions should be identified and classified on the basis of those functions and their significance to safety.</w:t>
            </w:r>
          </w:p>
          <w:p w14:paraId="6818342A" w14:textId="063D1ACB" w:rsidR="2E7763B1" w:rsidRDefault="2E7763B1" w:rsidP="2E7763B1">
            <w:pPr>
              <w:spacing w:before="60" w:after="60"/>
              <w:rPr>
                <w:rFonts w:eastAsia="Arial"/>
              </w:rPr>
            </w:pPr>
          </w:p>
          <w:p w14:paraId="7E121FBF" w14:textId="20534383" w:rsidR="00A0391E" w:rsidRPr="0048438C" w:rsidRDefault="136AC94B" w:rsidP="05E80E63">
            <w:pPr>
              <w:spacing w:before="60" w:after="60"/>
              <w:rPr>
                <w:rFonts w:eastAsia="Arial"/>
              </w:rPr>
            </w:pPr>
            <w:r w:rsidRPr="2E7763B1">
              <w:rPr>
                <w:rFonts w:eastAsia="Arial"/>
              </w:rPr>
              <w:t xml:space="preserve">SAP ESS.2 sets out the expectation that, </w:t>
            </w:r>
            <w:r w:rsidR="54F20103" w:rsidRPr="2E7763B1">
              <w:rPr>
                <w:rFonts w:eastAsia="Arial"/>
              </w:rPr>
              <w:t>the extent of safety system provisions, their functions, levels of protection necessary to achieve defence in depth and reliability requirements should be specified, and that the safety system provisions, functions and required reliabilities should be informed by appropr</w:t>
            </w:r>
            <w:r w:rsidR="089F0790" w:rsidRPr="2E7763B1">
              <w:rPr>
                <w:rFonts w:eastAsia="Arial"/>
              </w:rPr>
              <w:t>iate</w:t>
            </w:r>
            <w:r w:rsidR="54F20103" w:rsidRPr="2E7763B1">
              <w:rPr>
                <w:rFonts w:eastAsia="Arial"/>
              </w:rPr>
              <w:t xml:space="preserve"> fault analysis</w:t>
            </w:r>
            <w:r w:rsidR="70FD9FA6" w:rsidRPr="2E7763B1">
              <w:rPr>
                <w:rFonts w:eastAsia="Arial"/>
              </w:rPr>
              <w:t>.</w:t>
            </w:r>
          </w:p>
          <w:p w14:paraId="3DF90CD6" w14:textId="027C1EB4" w:rsidR="2E7763B1" w:rsidRDefault="2E7763B1" w:rsidP="2E7763B1">
            <w:pPr>
              <w:spacing w:before="60" w:after="60"/>
              <w:rPr>
                <w:rFonts w:eastAsia="Arial"/>
              </w:rPr>
            </w:pPr>
          </w:p>
          <w:p w14:paraId="57742388" w14:textId="1D96BC22" w:rsidR="00A0391E" w:rsidRPr="0048438C" w:rsidRDefault="5EDBCBBF" w:rsidP="05E80E63">
            <w:pPr>
              <w:spacing w:before="60" w:after="60"/>
            </w:pPr>
            <w:r>
              <w:t>ONR considers it relevant good practice that initiating events with a frequency of occurrence greater than 10</w:t>
            </w:r>
            <w:r w:rsidRPr="05E80E63">
              <w:rPr>
                <w:vertAlign w:val="superscript"/>
              </w:rPr>
              <w:t xml:space="preserve">-3 </w:t>
            </w:r>
            <w:r w:rsidRPr="05E80E63">
              <w:t>per year are demonstrated – using conservative design basis methodologies - to have diverse means of fulfilling the relevant safety functions (Refs 8 &amp; 9)</w:t>
            </w:r>
            <w:r w:rsidR="70084F4B" w:rsidRPr="05E80E63">
              <w:t>.</w:t>
            </w:r>
          </w:p>
          <w:p w14:paraId="328B95E7" w14:textId="67EBC10D" w:rsidR="517CD09D" w:rsidRDefault="517CD09D" w:rsidP="517CD09D">
            <w:pPr>
              <w:spacing w:before="60" w:after="60"/>
            </w:pPr>
          </w:p>
          <w:p w14:paraId="1BBB9CA1" w14:textId="1DB488C0" w:rsidR="00A0391E" w:rsidRPr="0048438C" w:rsidRDefault="5EDBCBBF" w:rsidP="05E80E63">
            <w:pPr>
              <w:spacing w:before="60" w:after="60"/>
            </w:pPr>
            <w:r w:rsidRPr="05E80E63">
              <w:t xml:space="preserve">SAP FA.6 sets </w:t>
            </w:r>
            <w:r w:rsidR="57915150" w:rsidRPr="05E80E63">
              <w:t>out the</w:t>
            </w:r>
            <w:r w:rsidRPr="05E80E63">
              <w:t xml:space="preserve"> expectation that fault sequences with a frequency greater than 10</w:t>
            </w:r>
            <w:r w:rsidRPr="05E80E63">
              <w:rPr>
                <w:vertAlign w:val="superscript"/>
              </w:rPr>
              <w:t xml:space="preserve">-7 </w:t>
            </w:r>
            <w:r w:rsidRPr="05E80E63">
              <w:t>per year should be analysed using conservative design basis methodologies</w:t>
            </w:r>
            <w:r w:rsidR="4757D6E9" w:rsidRPr="05E80E63">
              <w:t xml:space="preserve"> and demonstrated to meet the </w:t>
            </w:r>
            <w:r w:rsidR="7CF84252" w:rsidRPr="05E80E63">
              <w:t>relevant acceptance criteria.</w:t>
            </w:r>
          </w:p>
          <w:p w14:paraId="369ADF6A" w14:textId="65DF1595" w:rsidR="6806411D" w:rsidRDefault="6806411D" w:rsidP="6806411D">
            <w:pPr>
              <w:spacing w:before="60" w:after="60"/>
            </w:pPr>
          </w:p>
          <w:p w14:paraId="4E234644" w14:textId="273E6EE7" w:rsidR="00A0391E" w:rsidRPr="0048438C" w:rsidRDefault="639C51C6" w:rsidP="05E80E63">
            <w:pPr>
              <w:spacing w:before="60" w:after="60"/>
              <w:rPr>
                <w:rFonts w:eastAsia="Arial"/>
                <w:szCs w:val="24"/>
              </w:rPr>
            </w:pPr>
            <w:r w:rsidRPr="05E80E63">
              <w:t>SSR-2/1 Requirement 20 sets out the expectation that a</w:t>
            </w:r>
            <w:r w:rsidRPr="05E80E63">
              <w:rPr>
                <w:rFonts w:eastAsia="Arial"/>
                <w:szCs w:val="24"/>
              </w:rPr>
              <w:t xml:space="preserve"> set of design extension conditions  be derived on the basis of engineering judgement, deterministic assessments and probabilistic assessments for the purpose of further improving the safety of the nuclear power plant by enhancing the plant’s capabilities to withstand, without unacceptable radiological consequences, accidents that are either more severe than design basis accidents or that involve additional failures</w:t>
            </w:r>
            <w:r w:rsidR="510AF6E5" w:rsidRPr="05E80E63">
              <w:rPr>
                <w:rFonts w:eastAsia="Arial"/>
                <w:szCs w:val="24"/>
              </w:rPr>
              <w:t>.</w:t>
            </w:r>
          </w:p>
          <w:p w14:paraId="1E8FB033" w14:textId="52F6F941" w:rsidR="00A0391E" w:rsidRPr="0048438C" w:rsidRDefault="00A0391E" w:rsidP="0048438C">
            <w:pPr>
              <w:spacing w:before="60" w:after="60"/>
            </w:pPr>
          </w:p>
          <w:p w14:paraId="2993E5C2" w14:textId="77777777" w:rsidR="00EC409B" w:rsidRPr="0048438C" w:rsidRDefault="00EC409B" w:rsidP="0048438C">
            <w:pPr>
              <w:spacing w:before="60" w:after="60"/>
              <w:rPr>
                <w:b/>
                <w:szCs w:val="24"/>
                <w:u w:val="single"/>
              </w:rPr>
            </w:pPr>
            <w:r w:rsidRPr="0048438C">
              <w:rPr>
                <w:b/>
                <w:szCs w:val="24"/>
                <w:u w:val="single"/>
              </w:rPr>
              <w:t>References</w:t>
            </w:r>
          </w:p>
          <w:p w14:paraId="5FA356CC" w14:textId="65F169B6" w:rsidR="003274C3" w:rsidRDefault="00EC409B" w:rsidP="0048438C">
            <w:pPr>
              <w:spacing w:before="60" w:after="60"/>
              <w:rPr>
                <w:szCs w:val="24"/>
              </w:rPr>
            </w:pPr>
            <w:r w:rsidRPr="0048438C">
              <w:rPr>
                <w:szCs w:val="24"/>
              </w:rPr>
              <w:t xml:space="preserve">[1] </w:t>
            </w:r>
            <w:r w:rsidR="003274C3">
              <w:rPr>
                <w:szCs w:val="24"/>
              </w:rPr>
              <w:t>RQ-01323</w:t>
            </w:r>
            <w:r w:rsidR="00751D2B">
              <w:rPr>
                <w:szCs w:val="24"/>
              </w:rPr>
              <w:t xml:space="preserve"> </w:t>
            </w:r>
            <w:r w:rsidR="00751D2B" w:rsidRPr="00751D2B">
              <w:rPr>
                <w:szCs w:val="24"/>
              </w:rPr>
              <w:t>Diverse and Independent means of reactor shutdown</w:t>
            </w:r>
            <w:r w:rsidR="001F6B20">
              <w:rPr>
                <w:szCs w:val="24"/>
              </w:rPr>
              <w:t>.</w:t>
            </w:r>
          </w:p>
          <w:p w14:paraId="056A5ECA" w14:textId="187B807F" w:rsidR="003274C3" w:rsidRDefault="003274C3" w:rsidP="0048438C">
            <w:pPr>
              <w:spacing w:before="60" w:after="60"/>
              <w:rPr>
                <w:szCs w:val="24"/>
              </w:rPr>
            </w:pPr>
            <w:r>
              <w:rPr>
                <w:szCs w:val="24"/>
              </w:rPr>
              <w:t xml:space="preserve">[2] </w:t>
            </w:r>
            <w:r w:rsidR="00443CA4">
              <w:rPr>
                <w:szCs w:val="24"/>
              </w:rPr>
              <w:t xml:space="preserve">SMR-300 </w:t>
            </w:r>
            <w:r w:rsidR="003E10E0">
              <w:rPr>
                <w:szCs w:val="24"/>
              </w:rPr>
              <w:t xml:space="preserve">GDA UK DBAA Summary Report, HI-2241577, Rev </w:t>
            </w:r>
            <w:r w:rsidR="00C34ADB">
              <w:rPr>
                <w:szCs w:val="24"/>
              </w:rPr>
              <w:t>0, February 2024.</w:t>
            </w:r>
          </w:p>
          <w:p w14:paraId="53ECB847" w14:textId="04D02BEB" w:rsidR="003274C3" w:rsidRDefault="003274C3" w:rsidP="0048438C">
            <w:pPr>
              <w:spacing w:before="60" w:after="60"/>
              <w:rPr>
                <w:szCs w:val="24"/>
              </w:rPr>
            </w:pPr>
            <w:r>
              <w:rPr>
                <w:szCs w:val="24"/>
              </w:rPr>
              <w:t>[3] P</w:t>
            </w:r>
            <w:r w:rsidR="004B675D">
              <w:rPr>
                <w:szCs w:val="24"/>
              </w:rPr>
              <w:t xml:space="preserve">reliminary </w:t>
            </w:r>
            <w:r>
              <w:rPr>
                <w:szCs w:val="24"/>
              </w:rPr>
              <w:t>F</w:t>
            </w:r>
            <w:r w:rsidR="004B675D">
              <w:rPr>
                <w:szCs w:val="24"/>
              </w:rPr>
              <w:t xml:space="preserve">ault </w:t>
            </w:r>
            <w:r>
              <w:rPr>
                <w:szCs w:val="24"/>
              </w:rPr>
              <w:t>S</w:t>
            </w:r>
            <w:r w:rsidR="004B675D">
              <w:rPr>
                <w:szCs w:val="24"/>
              </w:rPr>
              <w:t xml:space="preserve">chedule, </w:t>
            </w:r>
            <w:r w:rsidR="00F6121C">
              <w:rPr>
                <w:szCs w:val="24"/>
              </w:rPr>
              <w:t>HI-2241322, Rev 0.2, December 2024.</w:t>
            </w:r>
          </w:p>
          <w:p w14:paraId="6CDA2A0D" w14:textId="0FEEFEA4" w:rsidR="001836FA" w:rsidRDefault="003274C3" w:rsidP="0048438C">
            <w:pPr>
              <w:spacing w:before="60" w:after="60"/>
              <w:rPr>
                <w:szCs w:val="24"/>
              </w:rPr>
            </w:pPr>
            <w:r>
              <w:rPr>
                <w:szCs w:val="24"/>
              </w:rPr>
              <w:lastRenderedPageBreak/>
              <w:t xml:space="preserve">[4] </w:t>
            </w:r>
            <w:r w:rsidR="00F06815">
              <w:rPr>
                <w:szCs w:val="24"/>
              </w:rPr>
              <w:t>SMR-</w:t>
            </w:r>
            <w:r w:rsidR="00F06815" w:rsidRPr="00F002E1">
              <w:rPr>
                <w:szCs w:val="24"/>
              </w:rPr>
              <w:t>300 Transient Analysis for the Generic Design Assessment</w:t>
            </w:r>
            <w:r w:rsidR="00F06815">
              <w:rPr>
                <w:szCs w:val="24"/>
              </w:rPr>
              <w:t xml:space="preserve">, </w:t>
            </w:r>
            <w:r w:rsidR="00F06815" w:rsidRPr="00F002E1">
              <w:rPr>
                <w:szCs w:val="24"/>
              </w:rPr>
              <w:t>HI-2240980</w:t>
            </w:r>
            <w:r w:rsidR="00F06815">
              <w:rPr>
                <w:szCs w:val="24"/>
              </w:rPr>
              <w:t xml:space="preserve">, </w:t>
            </w:r>
            <w:r w:rsidR="00F06815" w:rsidRPr="00F002E1">
              <w:rPr>
                <w:szCs w:val="24"/>
              </w:rPr>
              <w:t>R</w:t>
            </w:r>
            <w:r w:rsidR="00F06815">
              <w:rPr>
                <w:szCs w:val="24"/>
              </w:rPr>
              <w:t xml:space="preserve">ev </w:t>
            </w:r>
            <w:r w:rsidR="00F06815" w:rsidRPr="00F002E1">
              <w:rPr>
                <w:szCs w:val="24"/>
              </w:rPr>
              <w:t>0.0</w:t>
            </w:r>
            <w:r w:rsidR="00F06815">
              <w:rPr>
                <w:szCs w:val="24"/>
              </w:rPr>
              <w:t xml:space="preserve">, </w:t>
            </w:r>
            <w:r w:rsidR="00F06815" w:rsidRPr="00F002E1">
              <w:rPr>
                <w:szCs w:val="24"/>
              </w:rPr>
              <w:t>September 2024</w:t>
            </w:r>
            <w:r w:rsidR="00F06815">
              <w:rPr>
                <w:szCs w:val="24"/>
              </w:rPr>
              <w:t xml:space="preserve">, </w:t>
            </w:r>
            <w:r w:rsidR="00F06815" w:rsidRPr="00F236A4">
              <w:rPr>
                <w:szCs w:val="24"/>
              </w:rPr>
              <w:t>2024/40224</w:t>
            </w:r>
            <w:r w:rsidR="00F06815">
              <w:rPr>
                <w:szCs w:val="24"/>
              </w:rPr>
              <w:t>.</w:t>
            </w:r>
          </w:p>
          <w:p w14:paraId="395E97DD" w14:textId="4217C8B2" w:rsidR="00F65462" w:rsidRDefault="001836FA" w:rsidP="3CA1A563">
            <w:pPr>
              <w:spacing w:before="60" w:after="60"/>
            </w:pPr>
            <w:r>
              <w:t xml:space="preserve">[5] </w:t>
            </w:r>
            <w:r w:rsidR="0091185F">
              <w:t>Safety Assessment Principles for Nuclear Facilities</w:t>
            </w:r>
            <w:r w:rsidR="7DF4FFF3">
              <w:t xml:space="preserve"> 2014 Edition</w:t>
            </w:r>
            <w:r w:rsidR="0091185F">
              <w:t xml:space="preserve">, Rev </w:t>
            </w:r>
            <w:r w:rsidR="3003CA47">
              <w:t>1</w:t>
            </w:r>
            <w:r w:rsidR="0091185F">
              <w:t xml:space="preserve">, </w:t>
            </w:r>
            <w:r w:rsidR="75D98957">
              <w:t>January 2020</w:t>
            </w:r>
            <w:r w:rsidR="0091185F">
              <w:t>.</w:t>
            </w:r>
          </w:p>
          <w:p w14:paraId="1C57BB8A" w14:textId="77777777" w:rsidR="00F164DE" w:rsidRDefault="00F164DE" w:rsidP="0048438C">
            <w:pPr>
              <w:spacing w:before="60" w:after="60"/>
              <w:rPr>
                <w:szCs w:val="24"/>
              </w:rPr>
            </w:pPr>
            <w:r>
              <w:rPr>
                <w:szCs w:val="24"/>
              </w:rPr>
              <w:t xml:space="preserve">[6] IAEA SSR-2/1 Safety of Nuclear Power Plants: Design, Rev 1, </w:t>
            </w:r>
            <w:r w:rsidR="00502B06">
              <w:rPr>
                <w:szCs w:val="24"/>
              </w:rPr>
              <w:t>2016.</w:t>
            </w:r>
          </w:p>
          <w:p w14:paraId="0A86E6D1" w14:textId="2A592AF2" w:rsidR="00502B06" w:rsidRPr="0048438C" w:rsidRDefault="62C353F2" w:rsidP="0048438C">
            <w:pPr>
              <w:spacing w:before="60" w:after="60"/>
              <w:rPr>
                <w:szCs w:val="24"/>
              </w:rPr>
            </w:pPr>
            <w:r>
              <w:t xml:space="preserve">[7] WENRA </w:t>
            </w:r>
            <w:r w:rsidR="6AC56901">
              <w:t xml:space="preserve">Safety </w:t>
            </w:r>
            <w:r>
              <w:t>Reference Levels</w:t>
            </w:r>
            <w:r w:rsidR="6AC56901">
              <w:t xml:space="preserve"> for Existing Reactors 2020, </w:t>
            </w:r>
            <w:r w:rsidR="67190857">
              <w:t>February 2021.</w:t>
            </w:r>
          </w:p>
          <w:p w14:paraId="3C2DA8DD" w14:textId="21E84CF4" w:rsidR="00502B06" w:rsidRPr="0048438C" w:rsidRDefault="4D56F101" w:rsidP="0048438C">
            <w:pPr>
              <w:spacing w:before="60" w:after="60"/>
              <w:rPr>
                <w:rFonts w:eastAsia="Arial"/>
                <w:szCs w:val="24"/>
              </w:rPr>
            </w:pPr>
            <w:r>
              <w:t>[8]</w:t>
            </w:r>
            <w:r w:rsidR="61C39767">
              <w:t xml:space="preserve"> </w:t>
            </w:r>
            <w:r w:rsidR="61C39767" w:rsidRPr="05E80E63">
              <w:rPr>
                <w:rFonts w:eastAsia="Arial"/>
                <w:szCs w:val="24"/>
              </w:rPr>
              <w:t>New Nuclear Power Plants: Generic Design Assessment Technical Guidance, ONR-GDA-GD-007 Revision 0 May 2019</w:t>
            </w:r>
          </w:p>
          <w:p w14:paraId="4573E048" w14:textId="129F15DB" w:rsidR="00502B06" w:rsidRPr="00CD758B" w:rsidRDefault="4D56F101" w:rsidP="3AA8CF4B">
            <w:pPr>
              <w:spacing w:before="60" w:after="60"/>
              <w:rPr>
                <w:rFonts w:eastAsia="Arial"/>
              </w:rPr>
            </w:pPr>
            <w:r>
              <w:t xml:space="preserve">[9] </w:t>
            </w:r>
            <w:r w:rsidRPr="3AA8CF4B">
              <w:rPr>
                <w:rFonts w:eastAsia="Arial"/>
                <w:color w:val="000000" w:themeColor="text1"/>
              </w:rPr>
              <w:t>NS-TAST-GD-006 Issue 5.1 Design Basis Analysis, December 2022, 2020/37019</w:t>
            </w:r>
          </w:p>
        </w:tc>
      </w:tr>
      <w:tr w:rsidR="00850471" w:rsidRPr="00581D5B" w14:paraId="4573E04B" w14:textId="77777777" w:rsidTr="07DE6D30">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07DE6D30">
        <w:trPr>
          <w:trHeight w:val="242"/>
        </w:trPr>
        <w:tc>
          <w:tcPr>
            <w:tcW w:w="9897" w:type="dxa"/>
            <w:gridSpan w:val="2"/>
          </w:tcPr>
          <w:p w14:paraId="4573E04C" w14:textId="2E64FB65" w:rsidR="00850471" w:rsidRPr="0048438C" w:rsidRDefault="00850471" w:rsidP="0048438C">
            <w:pPr>
              <w:spacing w:before="60" w:after="60"/>
              <w:rPr>
                <w:b/>
                <w:bCs/>
              </w:rPr>
            </w:pPr>
            <w:r w:rsidRPr="1FF2F27D">
              <w:rPr>
                <w:b/>
                <w:bCs/>
              </w:rPr>
              <w:t>RO-</w:t>
            </w:r>
            <w:r w:rsidR="40F41E47" w:rsidRPr="1FF2F27D">
              <w:rPr>
                <w:b/>
                <w:bCs/>
              </w:rPr>
              <w:t>HOLTEC</w:t>
            </w:r>
            <w:r w:rsidR="00581D5B" w:rsidRPr="1FF2F27D">
              <w:rPr>
                <w:b/>
                <w:bCs/>
              </w:rPr>
              <w:t>SMR</w:t>
            </w:r>
            <w:r w:rsidR="005933F1" w:rsidRPr="1FF2F27D">
              <w:rPr>
                <w:b/>
                <w:bCs/>
              </w:rPr>
              <w:t>300</w:t>
            </w:r>
            <w:r w:rsidR="6F92197D" w:rsidRPr="1FF2F27D">
              <w:rPr>
                <w:b/>
                <w:bCs/>
              </w:rPr>
              <w:t>-</w:t>
            </w:r>
            <w:r w:rsidR="691B8DB2" w:rsidRPr="1FF2F27D">
              <w:rPr>
                <w:b/>
                <w:bCs/>
              </w:rPr>
              <w:t>002</w:t>
            </w:r>
            <w:r w:rsidRPr="1FF2F27D">
              <w:rPr>
                <w:b/>
                <w:bCs/>
              </w:rPr>
              <w:t>.A1</w:t>
            </w:r>
            <w:r w:rsidR="000977CC" w:rsidRPr="1FF2F27D">
              <w:rPr>
                <w:b/>
                <w:bCs/>
              </w:rPr>
              <w:t xml:space="preserve"> – </w:t>
            </w:r>
            <w:r w:rsidR="00165DF7" w:rsidRPr="1FF2F27D">
              <w:rPr>
                <w:b/>
                <w:bCs/>
              </w:rPr>
              <w:t>Demonstration that risks have been reduced ALARP with re</w:t>
            </w:r>
            <w:r w:rsidR="00111BEA" w:rsidRPr="1FF2F27D">
              <w:rPr>
                <w:b/>
                <w:bCs/>
              </w:rPr>
              <w:t>s</w:t>
            </w:r>
            <w:r w:rsidR="00165DF7" w:rsidRPr="1FF2F27D">
              <w:rPr>
                <w:b/>
                <w:bCs/>
              </w:rPr>
              <w:t>p</w:t>
            </w:r>
            <w:r w:rsidR="00111BEA" w:rsidRPr="1FF2F27D">
              <w:rPr>
                <w:b/>
                <w:bCs/>
              </w:rPr>
              <w:t>e</w:t>
            </w:r>
            <w:r w:rsidR="00165DF7" w:rsidRPr="1FF2F27D">
              <w:rPr>
                <w:b/>
                <w:bCs/>
              </w:rPr>
              <w:t xml:space="preserve">ct to </w:t>
            </w:r>
            <w:r w:rsidR="00111BEA" w:rsidRPr="1FF2F27D">
              <w:rPr>
                <w:b/>
                <w:bCs/>
              </w:rPr>
              <w:t>a second</w:t>
            </w:r>
            <w:r w:rsidR="0039749E" w:rsidRPr="1FF2F27D">
              <w:rPr>
                <w:b/>
                <w:bCs/>
              </w:rPr>
              <w:t>ary</w:t>
            </w:r>
            <w:r w:rsidR="00111BEA" w:rsidRPr="1FF2F27D">
              <w:rPr>
                <w:b/>
                <w:bCs/>
              </w:rPr>
              <w:t xml:space="preserve"> mea</w:t>
            </w:r>
            <w:r w:rsidR="003210AB" w:rsidRPr="1FF2F27D">
              <w:rPr>
                <w:b/>
                <w:bCs/>
              </w:rPr>
              <w:t>n</w:t>
            </w:r>
            <w:r w:rsidR="00111BEA" w:rsidRPr="1FF2F27D">
              <w:rPr>
                <w:b/>
                <w:bCs/>
              </w:rPr>
              <w:t>s of shutdown</w:t>
            </w:r>
          </w:p>
          <w:p w14:paraId="7BE7FFFB" w14:textId="77777777" w:rsidR="00CC67B6" w:rsidRPr="0048438C" w:rsidRDefault="00CC67B6" w:rsidP="0048438C">
            <w:pPr>
              <w:spacing w:before="60" w:after="60"/>
              <w:rPr>
                <w:noProof/>
                <w:szCs w:val="24"/>
              </w:rPr>
            </w:pPr>
          </w:p>
          <w:p w14:paraId="2DCB501B" w14:textId="093510A0" w:rsidR="00875755" w:rsidRPr="0048438C" w:rsidRDefault="00875755" w:rsidP="0048438C">
            <w:pPr>
              <w:spacing w:before="60" w:after="60"/>
              <w:rPr>
                <w:noProof/>
                <w:szCs w:val="24"/>
                <w:highlight w:val="yellow"/>
              </w:rPr>
            </w:pPr>
            <w:r w:rsidRPr="0048438C">
              <w:rPr>
                <w:noProof/>
                <w:szCs w:val="24"/>
              </w:rPr>
              <w:t xml:space="preserve">In response to this Regulatory Observation Action, </w:t>
            </w:r>
            <w:r w:rsidR="00AB1EA2">
              <w:rPr>
                <w:noProof/>
                <w:szCs w:val="24"/>
              </w:rPr>
              <w:t>Holtec</w:t>
            </w:r>
            <w:r w:rsidRPr="0048438C">
              <w:rPr>
                <w:noProof/>
                <w:szCs w:val="24"/>
              </w:rPr>
              <w:t xml:space="preserve"> should:</w:t>
            </w:r>
          </w:p>
          <w:p w14:paraId="20AA25FA" w14:textId="50D3C8FA" w:rsidR="003C7579" w:rsidRDefault="003C7579" w:rsidP="0048438C">
            <w:pPr>
              <w:spacing w:before="60" w:after="60"/>
              <w:rPr>
                <w:noProof/>
                <w:szCs w:val="24"/>
                <w:highlight w:val="yellow"/>
              </w:rPr>
            </w:pPr>
          </w:p>
          <w:p w14:paraId="3A6D25F9" w14:textId="1E14D74C" w:rsidR="002302BA" w:rsidRDefault="406991FC" w:rsidP="0048438C">
            <w:pPr>
              <w:spacing w:before="60" w:after="60"/>
            </w:pPr>
            <w:r>
              <w:t>P</w:t>
            </w:r>
            <w:r w:rsidR="0D14E4FA">
              <w:t xml:space="preserve">rovide a justification as </w:t>
            </w:r>
            <w:r w:rsidR="6388C317" w:rsidRPr="1A7D577C">
              <w:rPr>
                <w:rFonts w:eastAsia="Arial"/>
                <w:color w:val="000000" w:themeColor="text1"/>
              </w:rPr>
              <w:t>how the risks associated</w:t>
            </w:r>
            <w:r w:rsidR="6388C317">
              <w:t xml:space="preserve"> </w:t>
            </w:r>
            <w:r w:rsidR="66128AA2" w:rsidRPr="1A7D577C">
              <w:rPr>
                <w:rFonts w:eastAsia="Arial"/>
                <w:color w:val="000000" w:themeColor="text1"/>
              </w:rPr>
              <w:t>with the design</w:t>
            </w:r>
            <w:r w:rsidR="66128AA2">
              <w:t xml:space="preserve"> </w:t>
            </w:r>
            <w:r w:rsidR="6388C317">
              <w:t>and intended operation of the SMR-300</w:t>
            </w:r>
            <w:r w:rsidR="6388C317" w:rsidRPr="1A7D577C">
              <w:rPr>
                <w:rFonts w:eastAsia="Arial"/>
                <w:color w:val="000000" w:themeColor="text1"/>
              </w:rPr>
              <w:t xml:space="preserve"> have been reduced ALARP</w:t>
            </w:r>
            <w:r w:rsidR="0D14E4FA">
              <w:t xml:space="preserve"> with respect to the provision of a secondary means of shutting down the reactor. This should include consideration of the potential options to reduce risk and a demonstration that all reasonably practicable options have been taken.</w:t>
            </w:r>
          </w:p>
          <w:p w14:paraId="4573E04D" w14:textId="79A415FC" w:rsidR="00850471" w:rsidRPr="00FD0CB5" w:rsidRDefault="00850471" w:rsidP="0048438C">
            <w:pPr>
              <w:spacing w:before="60" w:after="60"/>
              <w:rPr>
                <w:bCs/>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sidR="00AB1EA2">
              <w:rPr>
                <w:bCs/>
                <w:i/>
                <w:noProof/>
                <w:szCs w:val="24"/>
              </w:rPr>
              <w:t>Holtec</w:t>
            </w:r>
            <w:r w:rsidRPr="00FD0CB5">
              <w:rPr>
                <w:bCs/>
                <w:i/>
                <w:noProof/>
                <w:szCs w:val="24"/>
              </w:rPr>
              <w:t xml:space="preserve"> Resolution Plan</w:t>
            </w:r>
            <w:r w:rsidRPr="00FD0CB5">
              <w:rPr>
                <w:bCs/>
                <w:noProof/>
                <w:szCs w:val="24"/>
              </w:rPr>
              <w:t>'</w:t>
            </w:r>
          </w:p>
        </w:tc>
      </w:tr>
      <w:tr w:rsidR="00576C41" w:rsidRPr="0048438C" w14:paraId="2AB5EB9A" w14:textId="77777777" w:rsidTr="07DE6D30">
        <w:trPr>
          <w:trHeight w:val="242"/>
        </w:trPr>
        <w:tc>
          <w:tcPr>
            <w:tcW w:w="9897" w:type="dxa"/>
            <w:gridSpan w:val="2"/>
          </w:tcPr>
          <w:p w14:paraId="2D0C9AE2" w14:textId="161AFC7D" w:rsidR="002302BA" w:rsidRPr="0048438C" w:rsidRDefault="002302BA" w:rsidP="23F42933">
            <w:pPr>
              <w:spacing w:before="60" w:after="60"/>
              <w:rPr>
                <w:b/>
                <w:bCs/>
                <w:noProof/>
              </w:rPr>
            </w:pPr>
            <w:r w:rsidRPr="1FF2F27D">
              <w:rPr>
                <w:b/>
                <w:bCs/>
                <w:noProof/>
              </w:rPr>
              <w:t>RO-</w:t>
            </w:r>
            <w:r w:rsidR="120A5ACD" w:rsidRPr="1FF2F27D">
              <w:rPr>
                <w:b/>
                <w:bCs/>
                <w:noProof/>
              </w:rPr>
              <w:t>HOLTEC</w:t>
            </w:r>
            <w:r w:rsidRPr="1FF2F27D">
              <w:rPr>
                <w:b/>
                <w:bCs/>
                <w:noProof/>
              </w:rPr>
              <w:t>SMR300</w:t>
            </w:r>
            <w:r w:rsidR="4C6A946A" w:rsidRPr="1FF2F27D">
              <w:rPr>
                <w:b/>
                <w:bCs/>
                <w:noProof/>
              </w:rPr>
              <w:t>-</w:t>
            </w:r>
            <w:r w:rsidR="636A4055" w:rsidRPr="1FF2F27D">
              <w:rPr>
                <w:b/>
                <w:bCs/>
                <w:noProof/>
              </w:rPr>
              <w:t>002</w:t>
            </w:r>
            <w:r w:rsidRPr="1FF2F27D">
              <w:rPr>
                <w:b/>
                <w:bCs/>
                <w:noProof/>
              </w:rPr>
              <w:t xml:space="preserve">.A2 – Demonstration </w:t>
            </w:r>
            <w:r w:rsidR="001055AC" w:rsidRPr="1FF2F27D">
              <w:rPr>
                <w:b/>
                <w:bCs/>
                <w:noProof/>
              </w:rPr>
              <w:t>of the effectiveness of the second</w:t>
            </w:r>
            <w:r w:rsidR="0039749E" w:rsidRPr="1FF2F27D">
              <w:rPr>
                <w:b/>
                <w:bCs/>
                <w:noProof/>
              </w:rPr>
              <w:t>ary</w:t>
            </w:r>
            <w:r w:rsidR="001055AC" w:rsidRPr="1FF2F27D">
              <w:rPr>
                <w:b/>
                <w:bCs/>
                <w:noProof/>
              </w:rPr>
              <w:t xml:space="preserve"> means of shutdown.</w:t>
            </w:r>
          </w:p>
          <w:p w14:paraId="579E90C3" w14:textId="77777777" w:rsidR="002302BA" w:rsidRPr="0048438C" w:rsidRDefault="002302BA" w:rsidP="002302BA">
            <w:pPr>
              <w:spacing w:before="60" w:after="60"/>
              <w:rPr>
                <w:noProof/>
                <w:szCs w:val="24"/>
              </w:rPr>
            </w:pPr>
          </w:p>
          <w:p w14:paraId="79247FAC" w14:textId="77777777" w:rsidR="002302BA" w:rsidRPr="0048438C" w:rsidRDefault="002302BA" w:rsidP="002302BA">
            <w:pPr>
              <w:spacing w:before="60" w:after="60"/>
              <w:rPr>
                <w:noProof/>
                <w:szCs w:val="24"/>
                <w:highlight w:val="yellow"/>
              </w:rPr>
            </w:pPr>
            <w:r w:rsidRPr="0048438C">
              <w:rPr>
                <w:noProof/>
                <w:szCs w:val="24"/>
              </w:rPr>
              <w:t xml:space="preserve">In response to this Regulatory Observation Action, </w:t>
            </w:r>
            <w:r>
              <w:rPr>
                <w:noProof/>
                <w:szCs w:val="24"/>
              </w:rPr>
              <w:t>Holtec</w:t>
            </w:r>
            <w:r w:rsidRPr="0048438C">
              <w:rPr>
                <w:noProof/>
                <w:szCs w:val="24"/>
              </w:rPr>
              <w:t xml:space="preserve"> should:</w:t>
            </w:r>
          </w:p>
          <w:p w14:paraId="0842ECD6" w14:textId="77777777" w:rsidR="002302BA" w:rsidRDefault="002302BA" w:rsidP="002302BA">
            <w:pPr>
              <w:spacing w:before="60" w:after="60"/>
              <w:rPr>
                <w:noProof/>
                <w:szCs w:val="24"/>
                <w:highlight w:val="yellow"/>
              </w:rPr>
            </w:pPr>
          </w:p>
          <w:p w14:paraId="6D507D97" w14:textId="2FC8F5D1" w:rsidR="00576C41" w:rsidRDefault="005A3366" w:rsidP="000237F8">
            <w:pPr>
              <w:pStyle w:val="ListParagraph"/>
              <w:numPr>
                <w:ilvl w:val="0"/>
                <w:numId w:val="25"/>
              </w:numPr>
              <w:spacing w:before="60" w:after="60"/>
            </w:pPr>
            <w:r>
              <w:t xml:space="preserve">Demonstrate </w:t>
            </w:r>
            <w:r w:rsidR="0D7A348B">
              <w:t xml:space="preserve">using </w:t>
            </w:r>
            <w:r w:rsidR="00096B22">
              <w:t xml:space="preserve">appropriate conservative deterministic </w:t>
            </w:r>
            <w:r w:rsidR="01994906">
              <w:t>methodologies</w:t>
            </w:r>
            <w:r>
              <w:t xml:space="preserve"> that the secondary means of shutdown is capable of fulfilling its safety function in all design basis accident conditions with an initiating event frequency &gt;10</w:t>
            </w:r>
            <w:r w:rsidRPr="000237F8">
              <w:rPr>
                <w:vertAlign w:val="superscript"/>
              </w:rPr>
              <w:t>-3</w:t>
            </w:r>
            <w:r>
              <w:t xml:space="preserve"> per year coincident with failure of the primary means of shutdown.</w:t>
            </w:r>
          </w:p>
          <w:p w14:paraId="1D2B0220" w14:textId="4DD7C42F" w:rsidR="000237F8" w:rsidRDefault="0063338A" w:rsidP="000237F8">
            <w:pPr>
              <w:pStyle w:val="ListParagraph"/>
              <w:numPr>
                <w:ilvl w:val="0"/>
                <w:numId w:val="25"/>
              </w:numPr>
              <w:spacing w:before="60" w:after="60"/>
            </w:pPr>
            <w:r>
              <w:t xml:space="preserve">Demonstrate using appropriate methods that the secondary means of shutdown is capable of fulfilling its safety function in </w:t>
            </w:r>
            <w:r w:rsidR="008C23A4">
              <w:t>any relevant complex fault sequences</w:t>
            </w:r>
            <w:r w:rsidR="0B27C54B">
              <w:t>, either within the design basis or beyond design basis events such as DEC-A.</w:t>
            </w:r>
          </w:p>
          <w:p w14:paraId="01398856" w14:textId="77777777" w:rsidR="005A3366" w:rsidRDefault="005A3366" w:rsidP="0048438C">
            <w:pPr>
              <w:spacing w:before="60" w:after="60"/>
              <w:rPr>
                <w:b/>
                <w:noProof/>
                <w:szCs w:val="24"/>
              </w:rPr>
            </w:pPr>
          </w:p>
          <w:p w14:paraId="20D51C93" w14:textId="43EEE964" w:rsidR="002302BA" w:rsidRPr="0048438C" w:rsidRDefault="002302BA" w:rsidP="0048438C">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576C41" w:rsidRPr="0048438C" w14:paraId="6F5542C4" w14:textId="77777777" w:rsidTr="07DE6D30">
        <w:trPr>
          <w:trHeight w:val="242"/>
        </w:trPr>
        <w:tc>
          <w:tcPr>
            <w:tcW w:w="9897" w:type="dxa"/>
            <w:gridSpan w:val="2"/>
          </w:tcPr>
          <w:p w14:paraId="1EB8CC85" w14:textId="50C95D39" w:rsidR="002302BA" w:rsidRPr="0048438C" w:rsidRDefault="002302BA" w:rsidP="23F42933">
            <w:pPr>
              <w:spacing w:before="60" w:after="60"/>
              <w:rPr>
                <w:b/>
                <w:bCs/>
                <w:noProof/>
              </w:rPr>
            </w:pPr>
            <w:r w:rsidRPr="1FF2F27D">
              <w:rPr>
                <w:b/>
                <w:bCs/>
                <w:noProof/>
              </w:rPr>
              <w:t>RO-</w:t>
            </w:r>
            <w:r w:rsidR="4F80C2D8" w:rsidRPr="1FF2F27D">
              <w:rPr>
                <w:b/>
                <w:bCs/>
                <w:noProof/>
              </w:rPr>
              <w:t>HOLTEC</w:t>
            </w:r>
            <w:r w:rsidRPr="1FF2F27D">
              <w:rPr>
                <w:b/>
                <w:bCs/>
                <w:noProof/>
              </w:rPr>
              <w:t>SMR300</w:t>
            </w:r>
            <w:r w:rsidR="79F1A7BA" w:rsidRPr="1FF2F27D">
              <w:rPr>
                <w:b/>
                <w:bCs/>
                <w:noProof/>
              </w:rPr>
              <w:t>-</w:t>
            </w:r>
            <w:r w:rsidR="68DD5319" w:rsidRPr="1FF2F27D">
              <w:rPr>
                <w:b/>
                <w:bCs/>
                <w:noProof/>
              </w:rPr>
              <w:t>002</w:t>
            </w:r>
            <w:r w:rsidRPr="1FF2F27D">
              <w:rPr>
                <w:b/>
                <w:bCs/>
                <w:noProof/>
              </w:rPr>
              <w:t>.A</w:t>
            </w:r>
            <w:r w:rsidR="00D029CE" w:rsidRPr="1FF2F27D">
              <w:rPr>
                <w:b/>
                <w:bCs/>
                <w:noProof/>
              </w:rPr>
              <w:t>3</w:t>
            </w:r>
            <w:r w:rsidRPr="1FF2F27D">
              <w:rPr>
                <w:b/>
                <w:bCs/>
                <w:noProof/>
              </w:rPr>
              <w:t xml:space="preserve"> – </w:t>
            </w:r>
            <w:r w:rsidR="00BE0F2B" w:rsidRPr="1FF2F27D">
              <w:rPr>
                <w:b/>
                <w:bCs/>
                <w:noProof/>
              </w:rPr>
              <w:t>Safety c</w:t>
            </w:r>
            <w:r w:rsidR="00D029CE" w:rsidRPr="1FF2F27D">
              <w:rPr>
                <w:b/>
                <w:bCs/>
                <w:noProof/>
              </w:rPr>
              <w:t xml:space="preserve">lassification and design of </w:t>
            </w:r>
            <w:r w:rsidR="00BE0F2B" w:rsidRPr="1FF2F27D">
              <w:rPr>
                <w:b/>
                <w:bCs/>
                <w:noProof/>
              </w:rPr>
              <w:t>secondary means of shutdown</w:t>
            </w:r>
          </w:p>
          <w:p w14:paraId="328ADDDD" w14:textId="77777777" w:rsidR="002302BA" w:rsidRPr="0048438C" w:rsidRDefault="002302BA" w:rsidP="002302BA">
            <w:pPr>
              <w:spacing w:before="60" w:after="60"/>
              <w:rPr>
                <w:noProof/>
                <w:szCs w:val="24"/>
              </w:rPr>
            </w:pPr>
          </w:p>
          <w:p w14:paraId="146E2F12" w14:textId="77777777" w:rsidR="002302BA" w:rsidRPr="0048438C" w:rsidRDefault="002302BA" w:rsidP="002302BA">
            <w:pPr>
              <w:spacing w:before="60" w:after="60"/>
              <w:rPr>
                <w:noProof/>
                <w:szCs w:val="24"/>
                <w:highlight w:val="yellow"/>
              </w:rPr>
            </w:pPr>
            <w:r w:rsidRPr="0048438C">
              <w:rPr>
                <w:noProof/>
                <w:szCs w:val="24"/>
              </w:rPr>
              <w:lastRenderedPageBreak/>
              <w:t xml:space="preserve">In response to this Regulatory Observation Action, </w:t>
            </w:r>
            <w:r>
              <w:rPr>
                <w:noProof/>
                <w:szCs w:val="24"/>
              </w:rPr>
              <w:t>Holtec</w:t>
            </w:r>
            <w:r w:rsidRPr="0048438C">
              <w:rPr>
                <w:noProof/>
                <w:szCs w:val="24"/>
              </w:rPr>
              <w:t xml:space="preserve"> should:</w:t>
            </w:r>
          </w:p>
          <w:p w14:paraId="62107976" w14:textId="77777777" w:rsidR="002302BA" w:rsidRDefault="002302BA" w:rsidP="002302BA">
            <w:pPr>
              <w:spacing w:before="60" w:after="60"/>
              <w:rPr>
                <w:noProof/>
                <w:szCs w:val="24"/>
                <w:highlight w:val="yellow"/>
              </w:rPr>
            </w:pPr>
          </w:p>
          <w:p w14:paraId="71BE005B" w14:textId="46D4334A" w:rsidR="002302BA" w:rsidRDefault="008C39F4" w:rsidP="002302BA">
            <w:pPr>
              <w:spacing w:before="60" w:after="60"/>
            </w:pPr>
            <w:r>
              <w:t>D</w:t>
            </w:r>
            <w:r w:rsidR="0080485E">
              <w:t>emonstrate that all SSCs comprising the secondary means of shutdown have an appropriate safety classification, and have been designed commensurate with the safety classification.</w:t>
            </w:r>
          </w:p>
          <w:p w14:paraId="6DDF5BFD" w14:textId="77777777" w:rsidR="0080485E" w:rsidRDefault="0080485E" w:rsidP="002302BA">
            <w:pPr>
              <w:spacing w:before="60" w:after="60"/>
              <w:rPr>
                <w:b/>
                <w:noProof/>
                <w:szCs w:val="24"/>
              </w:rPr>
            </w:pPr>
          </w:p>
          <w:p w14:paraId="744DFFA5" w14:textId="212099E6" w:rsidR="00576C41" w:rsidRPr="0048438C" w:rsidRDefault="002302BA" w:rsidP="002302BA">
            <w:pPr>
              <w:spacing w:before="60" w:after="60"/>
              <w:rPr>
                <w:b/>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(dd/mm/yy)</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(dd/mm/yy)</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rsidSect="00CD758B">
      <w:headerReference w:type="default" r:id="rId12"/>
      <w:footerReference w:type="even" r:id="rId13"/>
      <w:footerReference w:type="default" r:id="rId14"/>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95B7" w14:textId="77777777" w:rsidR="00551390" w:rsidRDefault="00551390">
      <w:r>
        <w:separator/>
      </w:r>
    </w:p>
  </w:endnote>
  <w:endnote w:type="continuationSeparator" w:id="0">
    <w:p w14:paraId="3214654C" w14:textId="77777777" w:rsidR="00551390" w:rsidRDefault="00551390">
      <w:r>
        <w:continuationSeparator/>
      </w:r>
    </w:p>
  </w:endnote>
  <w:endnote w:type="continuationNotice" w:id="1">
    <w:p w14:paraId="47AE2207" w14:textId="77777777" w:rsidR="00551390" w:rsidRDefault="00551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43155AC4"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D39E" w14:textId="77777777" w:rsidR="00551390" w:rsidRDefault="00551390">
      <w:r>
        <w:separator/>
      </w:r>
    </w:p>
  </w:footnote>
  <w:footnote w:type="continuationSeparator" w:id="0">
    <w:p w14:paraId="2C47FCA5" w14:textId="77777777" w:rsidR="00551390" w:rsidRDefault="00551390">
      <w:r>
        <w:continuationSeparator/>
      </w:r>
    </w:p>
  </w:footnote>
  <w:footnote w:type="continuationNotice" w:id="1">
    <w:p w14:paraId="78EF106E" w14:textId="77777777" w:rsidR="00551390" w:rsidRDefault="00551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3974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1"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34173"/>
    <w:multiLevelType w:val="hybridMultilevel"/>
    <w:tmpl w:val="123CC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4580136">
    <w:abstractNumId w:val="16"/>
  </w:num>
  <w:num w:numId="2" w16cid:durableId="1038162188">
    <w:abstractNumId w:val="16"/>
  </w:num>
  <w:num w:numId="3" w16cid:durableId="1457485129">
    <w:abstractNumId w:val="16"/>
  </w:num>
  <w:num w:numId="4" w16cid:durableId="605386637">
    <w:abstractNumId w:val="15"/>
  </w:num>
  <w:num w:numId="5" w16cid:durableId="642780601">
    <w:abstractNumId w:val="12"/>
  </w:num>
  <w:num w:numId="6" w16cid:durableId="1993218993">
    <w:abstractNumId w:val="16"/>
  </w:num>
  <w:num w:numId="7" w16cid:durableId="1210649461">
    <w:abstractNumId w:val="16"/>
  </w:num>
  <w:num w:numId="8" w16cid:durableId="777143800">
    <w:abstractNumId w:val="16"/>
  </w:num>
  <w:num w:numId="9" w16cid:durableId="416095553">
    <w:abstractNumId w:val="16"/>
  </w:num>
  <w:num w:numId="10" w16cid:durableId="157312330">
    <w:abstractNumId w:val="16"/>
  </w:num>
  <w:num w:numId="11" w16cid:durableId="272445445">
    <w:abstractNumId w:val="16"/>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9"/>
  </w:num>
  <w:num w:numId="18" w16cid:durableId="1027683759">
    <w:abstractNumId w:val="8"/>
  </w:num>
  <w:num w:numId="19" w16cid:durableId="1637100462">
    <w:abstractNumId w:val="14"/>
  </w:num>
  <w:num w:numId="20" w16cid:durableId="1174806318">
    <w:abstractNumId w:val="10"/>
  </w:num>
  <w:num w:numId="21" w16cid:durableId="945313271">
    <w:abstractNumId w:val="6"/>
  </w:num>
  <w:num w:numId="22" w16cid:durableId="1200700022">
    <w:abstractNumId w:val="7"/>
  </w:num>
  <w:num w:numId="23" w16cid:durableId="645672170">
    <w:abstractNumId w:val="5"/>
  </w:num>
  <w:num w:numId="24" w16cid:durableId="1840466613">
    <w:abstractNumId w:val="11"/>
  </w:num>
  <w:num w:numId="25" w16cid:durableId="1986205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365"/>
    <w:rsid w:val="0000781D"/>
    <w:rsid w:val="00020180"/>
    <w:rsid w:val="000237F8"/>
    <w:rsid w:val="00032A68"/>
    <w:rsid w:val="00034772"/>
    <w:rsid w:val="00036F3B"/>
    <w:rsid w:val="000422C1"/>
    <w:rsid w:val="00043014"/>
    <w:rsid w:val="00047346"/>
    <w:rsid w:val="0005603C"/>
    <w:rsid w:val="00062A3D"/>
    <w:rsid w:val="00064E7E"/>
    <w:rsid w:val="000758E9"/>
    <w:rsid w:val="00092A58"/>
    <w:rsid w:val="000963EE"/>
    <w:rsid w:val="00096466"/>
    <w:rsid w:val="00096B22"/>
    <w:rsid w:val="000977CC"/>
    <w:rsid w:val="000A5C9F"/>
    <w:rsid w:val="000C4A68"/>
    <w:rsid w:val="000D31D8"/>
    <w:rsid w:val="000D6A1A"/>
    <w:rsid w:val="000F2568"/>
    <w:rsid w:val="000F4757"/>
    <w:rsid w:val="00101816"/>
    <w:rsid w:val="001055AC"/>
    <w:rsid w:val="00111BEA"/>
    <w:rsid w:val="00112B8F"/>
    <w:rsid w:val="00114584"/>
    <w:rsid w:val="001178D5"/>
    <w:rsid w:val="00120FD8"/>
    <w:rsid w:val="00125578"/>
    <w:rsid w:val="00126ACA"/>
    <w:rsid w:val="00130B20"/>
    <w:rsid w:val="0013145B"/>
    <w:rsid w:val="001325B4"/>
    <w:rsid w:val="0013309F"/>
    <w:rsid w:val="00135644"/>
    <w:rsid w:val="00141E00"/>
    <w:rsid w:val="001438BC"/>
    <w:rsid w:val="001512B1"/>
    <w:rsid w:val="00157F65"/>
    <w:rsid w:val="00164951"/>
    <w:rsid w:val="00165229"/>
    <w:rsid w:val="00165DF7"/>
    <w:rsid w:val="00170A05"/>
    <w:rsid w:val="00171E10"/>
    <w:rsid w:val="00172739"/>
    <w:rsid w:val="001832A3"/>
    <w:rsid w:val="001836FA"/>
    <w:rsid w:val="00185D10"/>
    <w:rsid w:val="001871FE"/>
    <w:rsid w:val="00193EF0"/>
    <w:rsid w:val="00194C95"/>
    <w:rsid w:val="001A03A4"/>
    <w:rsid w:val="001B3A18"/>
    <w:rsid w:val="001B51F1"/>
    <w:rsid w:val="001C6250"/>
    <w:rsid w:val="001D04AB"/>
    <w:rsid w:val="001D1520"/>
    <w:rsid w:val="001D280D"/>
    <w:rsid w:val="001D776F"/>
    <w:rsid w:val="001E1BAF"/>
    <w:rsid w:val="001E31C5"/>
    <w:rsid w:val="001E6592"/>
    <w:rsid w:val="001F25B7"/>
    <w:rsid w:val="001F2E52"/>
    <w:rsid w:val="001F685B"/>
    <w:rsid w:val="001F6B20"/>
    <w:rsid w:val="0020150E"/>
    <w:rsid w:val="00201A1F"/>
    <w:rsid w:val="00204DDC"/>
    <w:rsid w:val="00204F96"/>
    <w:rsid w:val="00212157"/>
    <w:rsid w:val="00217A41"/>
    <w:rsid w:val="00220466"/>
    <w:rsid w:val="00221347"/>
    <w:rsid w:val="0022150B"/>
    <w:rsid w:val="00224F9B"/>
    <w:rsid w:val="002302BA"/>
    <w:rsid w:val="00235533"/>
    <w:rsid w:val="002418A6"/>
    <w:rsid w:val="002537E6"/>
    <w:rsid w:val="00255F89"/>
    <w:rsid w:val="0027015F"/>
    <w:rsid w:val="002772BF"/>
    <w:rsid w:val="00277CF4"/>
    <w:rsid w:val="00277D5C"/>
    <w:rsid w:val="002815ED"/>
    <w:rsid w:val="002860FC"/>
    <w:rsid w:val="002861C5"/>
    <w:rsid w:val="0028632B"/>
    <w:rsid w:val="00290377"/>
    <w:rsid w:val="00291F04"/>
    <w:rsid w:val="00296F64"/>
    <w:rsid w:val="002A492A"/>
    <w:rsid w:val="002A610A"/>
    <w:rsid w:val="002B21D9"/>
    <w:rsid w:val="002B4103"/>
    <w:rsid w:val="002B593C"/>
    <w:rsid w:val="002C0193"/>
    <w:rsid w:val="002C0396"/>
    <w:rsid w:val="002C62DB"/>
    <w:rsid w:val="002D02E0"/>
    <w:rsid w:val="002D44E8"/>
    <w:rsid w:val="002D4C60"/>
    <w:rsid w:val="00304B1E"/>
    <w:rsid w:val="00310EB6"/>
    <w:rsid w:val="00313D87"/>
    <w:rsid w:val="00316D35"/>
    <w:rsid w:val="003210AB"/>
    <w:rsid w:val="003274C3"/>
    <w:rsid w:val="00330349"/>
    <w:rsid w:val="00335E73"/>
    <w:rsid w:val="00344D2C"/>
    <w:rsid w:val="00347213"/>
    <w:rsid w:val="00347CF1"/>
    <w:rsid w:val="00350741"/>
    <w:rsid w:val="00355959"/>
    <w:rsid w:val="0036648E"/>
    <w:rsid w:val="00366AEB"/>
    <w:rsid w:val="00367C32"/>
    <w:rsid w:val="003804A7"/>
    <w:rsid w:val="00384846"/>
    <w:rsid w:val="00394357"/>
    <w:rsid w:val="00394442"/>
    <w:rsid w:val="003968DF"/>
    <w:rsid w:val="0039749E"/>
    <w:rsid w:val="003A2364"/>
    <w:rsid w:val="003A6935"/>
    <w:rsid w:val="003A6B6B"/>
    <w:rsid w:val="003B6ACD"/>
    <w:rsid w:val="003C3335"/>
    <w:rsid w:val="003C38D7"/>
    <w:rsid w:val="003C7579"/>
    <w:rsid w:val="003D05E2"/>
    <w:rsid w:val="003D3558"/>
    <w:rsid w:val="003D3897"/>
    <w:rsid w:val="003E10E0"/>
    <w:rsid w:val="003F73B6"/>
    <w:rsid w:val="004019BD"/>
    <w:rsid w:val="0040443F"/>
    <w:rsid w:val="0042142B"/>
    <w:rsid w:val="004214AE"/>
    <w:rsid w:val="004231B2"/>
    <w:rsid w:val="00424230"/>
    <w:rsid w:val="00427B54"/>
    <w:rsid w:val="004323E0"/>
    <w:rsid w:val="00432B31"/>
    <w:rsid w:val="00432BC7"/>
    <w:rsid w:val="00437822"/>
    <w:rsid w:val="00441E02"/>
    <w:rsid w:val="00443CA4"/>
    <w:rsid w:val="00444C41"/>
    <w:rsid w:val="00467D94"/>
    <w:rsid w:val="00472D14"/>
    <w:rsid w:val="00477E3A"/>
    <w:rsid w:val="0048438C"/>
    <w:rsid w:val="00486115"/>
    <w:rsid w:val="00494EE4"/>
    <w:rsid w:val="004A5BAF"/>
    <w:rsid w:val="004A6887"/>
    <w:rsid w:val="004B078F"/>
    <w:rsid w:val="004B387D"/>
    <w:rsid w:val="004B3E93"/>
    <w:rsid w:val="004B675D"/>
    <w:rsid w:val="004D01FF"/>
    <w:rsid w:val="004D071F"/>
    <w:rsid w:val="004D17A1"/>
    <w:rsid w:val="004D2006"/>
    <w:rsid w:val="004D5771"/>
    <w:rsid w:val="004E5017"/>
    <w:rsid w:val="00502B06"/>
    <w:rsid w:val="00502C37"/>
    <w:rsid w:val="00505ED0"/>
    <w:rsid w:val="00507A6B"/>
    <w:rsid w:val="0051354E"/>
    <w:rsid w:val="005135CD"/>
    <w:rsid w:val="00520CAC"/>
    <w:rsid w:val="00536D3B"/>
    <w:rsid w:val="00542CA2"/>
    <w:rsid w:val="00546E92"/>
    <w:rsid w:val="00551390"/>
    <w:rsid w:val="00554A0E"/>
    <w:rsid w:val="00576C41"/>
    <w:rsid w:val="00581D5B"/>
    <w:rsid w:val="005933F1"/>
    <w:rsid w:val="005A3366"/>
    <w:rsid w:val="005A4616"/>
    <w:rsid w:val="005A547C"/>
    <w:rsid w:val="005C4812"/>
    <w:rsid w:val="005C5662"/>
    <w:rsid w:val="005C74A1"/>
    <w:rsid w:val="005D59E6"/>
    <w:rsid w:val="005D65C4"/>
    <w:rsid w:val="005D66DD"/>
    <w:rsid w:val="005E5A18"/>
    <w:rsid w:val="005F1490"/>
    <w:rsid w:val="005F2D88"/>
    <w:rsid w:val="005F4CBD"/>
    <w:rsid w:val="005F56D3"/>
    <w:rsid w:val="006006BE"/>
    <w:rsid w:val="0060399D"/>
    <w:rsid w:val="00612FDC"/>
    <w:rsid w:val="00620150"/>
    <w:rsid w:val="006227E2"/>
    <w:rsid w:val="00627A53"/>
    <w:rsid w:val="00627C84"/>
    <w:rsid w:val="00627D12"/>
    <w:rsid w:val="006300E5"/>
    <w:rsid w:val="0063338A"/>
    <w:rsid w:val="00641340"/>
    <w:rsid w:val="0065771A"/>
    <w:rsid w:val="00660949"/>
    <w:rsid w:val="00682F2A"/>
    <w:rsid w:val="00684E8C"/>
    <w:rsid w:val="0069463C"/>
    <w:rsid w:val="006B5F31"/>
    <w:rsid w:val="006C0BF3"/>
    <w:rsid w:val="006C6497"/>
    <w:rsid w:val="006D2DE6"/>
    <w:rsid w:val="006E78E9"/>
    <w:rsid w:val="006F2368"/>
    <w:rsid w:val="006F27ED"/>
    <w:rsid w:val="006F2F4D"/>
    <w:rsid w:val="006F35AF"/>
    <w:rsid w:val="006F693E"/>
    <w:rsid w:val="00706C65"/>
    <w:rsid w:val="007102C7"/>
    <w:rsid w:val="007127DD"/>
    <w:rsid w:val="00720781"/>
    <w:rsid w:val="0073303B"/>
    <w:rsid w:val="00733FE6"/>
    <w:rsid w:val="00740C20"/>
    <w:rsid w:val="00741E85"/>
    <w:rsid w:val="00744AA9"/>
    <w:rsid w:val="00751D2B"/>
    <w:rsid w:val="00752616"/>
    <w:rsid w:val="00755DB3"/>
    <w:rsid w:val="00766E4D"/>
    <w:rsid w:val="00770F41"/>
    <w:rsid w:val="00771D99"/>
    <w:rsid w:val="0077748B"/>
    <w:rsid w:val="007816F1"/>
    <w:rsid w:val="007864B4"/>
    <w:rsid w:val="00787199"/>
    <w:rsid w:val="007A5ECD"/>
    <w:rsid w:val="007B08E3"/>
    <w:rsid w:val="007B17AB"/>
    <w:rsid w:val="007B1958"/>
    <w:rsid w:val="007B4B69"/>
    <w:rsid w:val="007B6133"/>
    <w:rsid w:val="007B66BD"/>
    <w:rsid w:val="007C01BA"/>
    <w:rsid w:val="007C3975"/>
    <w:rsid w:val="007C514C"/>
    <w:rsid w:val="007C5669"/>
    <w:rsid w:val="007C7AA0"/>
    <w:rsid w:val="007D06CD"/>
    <w:rsid w:val="007D2F1C"/>
    <w:rsid w:val="007E2CCD"/>
    <w:rsid w:val="007E36E5"/>
    <w:rsid w:val="007E3EC5"/>
    <w:rsid w:val="007F37A6"/>
    <w:rsid w:val="007F4317"/>
    <w:rsid w:val="00803494"/>
    <w:rsid w:val="0080485E"/>
    <w:rsid w:val="00805723"/>
    <w:rsid w:val="0081099A"/>
    <w:rsid w:val="00811EA1"/>
    <w:rsid w:val="00822144"/>
    <w:rsid w:val="0084644B"/>
    <w:rsid w:val="00850471"/>
    <w:rsid w:val="00854437"/>
    <w:rsid w:val="008609B0"/>
    <w:rsid w:val="008634D8"/>
    <w:rsid w:val="00867341"/>
    <w:rsid w:val="00871A9D"/>
    <w:rsid w:val="00873BFD"/>
    <w:rsid w:val="00875755"/>
    <w:rsid w:val="0087645C"/>
    <w:rsid w:val="00877C63"/>
    <w:rsid w:val="00882DC1"/>
    <w:rsid w:val="008832A1"/>
    <w:rsid w:val="008853C2"/>
    <w:rsid w:val="00885540"/>
    <w:rsid w:val="008857DC"/>
    <w:rsid w:val="0089701F"/>
    <w:rsid w:val="008A4E1A"/>
    <w:rsid w:val="008A5229"/>
    <w:rsid w:val="008A709C"/>
    <w:rsid w:val="008B24BF"/>
    <w:rsid w:val="008B7C2C"/>
    <w:rsid w:val="008C00B9"/>
    <w:rsid w:val="008C03F9"/>
    <w:rsid w:val="008C23A4"/>
    <w:rsid w:val="008C39C5"/>
    <w:rsid w:val="008C39F4"/>
    <w:rsid w:val="008D5352"/>
    <w:rsid w:val="008E0BE3"/>
    <w:rsid w:val="008E2313"/>
    <w:rsid w:val="008E3BB3"/>
    <w:rsid w:val="008E4C59"/>
    <w:rsid w:val="00902B4D"/>
    <w:rsid w:val="00903197"/>
    <w:rsid w:val="009073A7"/>
    <w:rsid w:val="0091185F"/>
    <w:rsid w:val="00913375"/>
    <w:rsid w:val="0092073F"/>
    <w:rsid w:val="009221BE"/>
    <w:rsid w:val="009222D3"/>
    <w:rsid w:val="00925C11"/>
    <w:rsid w:val="00937B54"/>
    <w:rsid w:val="009422B7"/>
    <w:rsid w:val="0094382F"/>
    <w:rsid w:val="009459D7"/>
    <w:rsid w:val="00946E2E"/>
    <w:rsid w:val="009603BE"/>
    <w:rsid w:val="00965DDD"/>
    <w:rsid w:val="00973253"/>
    <w:rsid w:val="00975838"/>
    <w:rsid w:val="00977624"/>
    <w:rsid w:val="00982275"/>
    <w:rsid w:val="00985D6A"/>
    <w:rsid w:val="00990165"/>
    <w:rsid w:val="0099593C"/>
    <w:rsid w:val="009A270D"/>
    <w:rsid w:val="009A7C34"/>
    <w:rsid w:val="009B1820"/>
    <w:rsid w:val="009B4C42"/>
    <w:rsid w:val="009B4EFB"/>
    <w:rsid w:val="009B5A9C"/>
    <w:rsid w:val="009C469E"/>
    <w:rsid w:val="009C4D18"/>
    <w:rsid w:val="009C574D"/>
    <w:rsid w:val="009C7BD7"/>
    <w:rsid w:val="009D026C"/>
    <w:rsid w:val="009E39D4"/>
    <w:rsid w:val="009E6D65"/>
    <w:rsid w:val="009F1BEC"/>
    <w:rsid w:val="009F324E"/>
    <w:rsid w:val="009F59C2"/>
    <w:rsid w:val="009F6910"/>
    <w:rsid w:val="00A0391E"/>
    <w:rsid w:val="00A05D16"/>
    <w:rsid w:val="00A05E87"/>
    <w:rsid w:val="00A06795"/>
    <w:rsid w:val="00A148BD"/>
    <w:rsid w:val="00A153F6"/>
    <w:rsid w:val="00A21E0E"/>
    <w:rsid w:val="00A33426"/>
    <w:rsid w:val="00A420A2"/>
    <w:rsid w:val="00A43730"/>
    <w:rsid w:val="00A548D1"/>
    <w:rsid w:val="00A60D57"/>
    <w:rsid w:val="00A65DAE"/>
    <w:rsid w:val="00A6712C"/>
    <w:rsid w:val="00A718ED"/>
    <w:rsid w:val="00A824B1"/>
    <w:rsid w:val="00A86C32"/>
    <w:rsid w:val="00A94690"/>
    <w:rsid w:val="00AA52AF"/>
    <w:rsid w:val="00AA5365"/>
    <w:rsid w:val="00AB17DC"/>
    <w:rsid w:val="00AB1EA2"/>
    <w:rsid w:val="00AB222C"/>
    <w:rsid w:val="00AB591C"/>
    <w:rsid w:val="00AC4233"/>
    <w:rsid w:val="00AC7593"/>
    <w:rsid w:val="00AD59BE"/>
    <w:rsid w:val="00AD794F"/>
    <w:rsid w:val="00AD7BEB"/>
    <w:rsid w:val="00AE422F"/>
    <w:rsid w:val="00AE701B"/>
    <w:rsid w:val="00AF5693"/>
    <w:rsid w:val="00B17858"/>
    <w:rsid w:val="00B23068"/>
    <w:rsid w:val="00B340D9"/>
    <w:rsid w:val="00B4025C"/>
    <w:rsid w:val="00B42389"/>
    <w:rsid w:val="00B6208D"/>
    <w:rsid w:val="00B639C6"/>
    <w:rsid w:val="00B65398"/>
    <w:rsid w:val="00B71824"/>
    <w:rsid w:val="00B83BA8"/>
    <w:rsid w:val="00B85D99"/>
    <w:rsid w:val="00B90087"/>
    <w:rsid w:val="00B922B9"/>
    <w:rsid w:val="00B932B5"/>
    <w:rsid w:val="00B976EB"/>
    <w:rsid w:val="00BA1456"/>
    <w:rsid w:val="00BA1B78"/>
    <w:rsid w:val="00BA7521"/>
    <w:rsid w:val="00BB2D8B"/>
    <w:rsid w:val="00BB6B97"/>
    <w:rsid w:val="00BD08B9"/>
    <w:rsid w:val="00BD4CF3"/>
    <w:rsid w:val="00BE018D"/>
    <w:rsid w:val="00BE0F2B"/>
    <w:rsid w:val="00BE20AB"/>
    <w:rsid w:val="00BF2069"/>
    <w:rsid w:val="00BF46F9"/>
    <w:rsid w:val="00BF72ED"/>
    <w:rsid w:val="00C02399"/>
    <w:rsid w:val="00C06D2F"/>
    <w:rsid w:val="00C124E7"/>
    <w:rsid w:val="00C143F5"/>
    <w:rsid w:val="00C14744"/>
    <w:rsid w:val="00C15B6D"/>
    <w:rsid w:val="00C2222E"/>
    <w:rsid w:val="00C236FE"/>
    <w:rsid w:val="00C250AC"/>
    <w:rsid w:val="00C26880"/>
    <w:rsid w:val="00C34ADB"/>
    <w:rsid w:val="00C34CBC"/>
    <w:rsid w:val="00C43B41"/>
    <w:rsid w:val="00C4709D"/>
    <w:rsid w:val="00C4786F"/>
    <w:rsid w:val="00C57032"/>
    <w:rsid w:val="00C57304"/>
    <w:rsid w:val="00C60185"/>
    <w:rsid w:val="00C72E0A"/>
    <w:rsid w:val="00C73242"/>
    <w:rsid w:val="00C818A1"/>
    <w:rsid w:val="00C82658"/>
    <w:rsid w:val="00C848E1"/>
    <w:rsid w:val="00C962B3"/>
    <w:rsid w:val="00C96307"/>
    <w:rsid w:val="00CA0FD4"/>
    <w:rsid w:val="00CA7B43"/>
    <w:rsid w:val="00CC345A"/>
    <w:rsid w:val="00CC40F9"/>
    <w:rsid w:val="00CC67B6"/>
    <w:rsid w:val="00CD09B6"/>
    <w:rsid w:val="00CD305F"/>
    <w:rsid w:val="00CD758B"/>
    <w:rsid w:val="00CE0049"/>
    <w:rsid w:val="00CE412A"/>
    <w:rsid w:val="00CE4C4B"/>
    <w:rsid w:val="00D00D33"/>
    <w:rsid w:val="00D029CE"/>
    <w:rsid w:val="00D05B86"/>
    <w:rsid w:val="00D10452"/>
    <w:rsid w:val="00D118ED"/>
    <w:rsid w:val="00D2193B"/>
    <w:rsid w:val="00D219C2"/>
    <w:rsid w:val="00D22D04"/>
    <w:rsid w:val="00D266E9"/>
    <w:rsid w:val="00D27C13"/>
    <w:rsid w:val="00D30536"/>
    <w:rsid w:val="00D3375B"/>
    <w:rsid w:val="00D43356"/>
    <w:rsid w:val="00D471BF"/>
    <w:rsid w:val="00D50AC7"/>
    <w:rsid w:val="00D53BD6"/>
    <w:rsid w:val="00D57DAC"/>
    <w:rsid w:val="00D610D1"/>
    <w:rsid w:val="00D619C7"/>
    <w:rsid w:val="00D627AA"/>
    <w:rsid w:val="00D67882"/>
    <w:rsid w:val="00D711F8"/>
    <w:rsid w:val="00D72A4F"/>
    <w:rsid w:val="00D74369"/>
    <w:rsid w:val="00D74E56"/>
    <w:rsid w:val="00D7653B"/>
    <w:rsid w:val="00D77ABA"/>
    <w:rsid w:val="00D837C8"/>
    <w:rsid w:val="00D84746"/>
    <w:rsid w:val="00D8489F"/>
    <w:rsid w:val="00D91460"/>
    <w:rsid w:val="00D91AB9"/>
    <w:rsid w:val="00D9254E"/>
    <w:rsid w:val="00D94D65"/>
    <w:rsid w:val="00DA14FC"/>
    <w:rsid w:val="00DB340F"/>
    <w:rsid w:val="00DB38AC"/>
    <w:rsid w:val="00DC225A"/>
    <w:rsid w:val="00DC5156"/>
    <w:rsid w:val="00DC6A24"/>
    <w:rsid w:val="00DC7F75"/>
    <w:rsid w:val="00DD016D"/>
    <w:rsid w:val="00DD4EA3"/>
    <w:rsid w:val="00DE4BF1"/>
    <w:rsid w:val="00DE5717"/>
    <w:rsid w:val="00E01985"/>
    <w:rsid w:val="00E105C4"/>
    <w:rsid w:val="00E10B02"/>
    <w:rsid w:val="00E13A1E"/>
    <w:rsid w:val="00E16009"/>
    <w:rsid w:val="00E23272"/>
    <w:rsid w:val="00E23899"/>
    <w:rsid w:val="00E27346"/>
    <w:rsid w:val="00E35C3B"/>
    <w:rsid w:val="00E37A20"/>
    <w:rsid w:val="00E4166A"/>
    <w:rsid w:val="00E44113"/>
    <w:rsid w:val="00E4612C"/>
    <w:rsid w:val="00E5294D"/>
    <w:rsid w:val="00E54849"/>
    <w:rsid w:val="00E562BD"/>
    <w:rsid w:val="00E62DDC"/>
    <w:rsid w:val="00E67E1C"/>
    <w:rsid w:val="00E7154B"/>
    <w:rsid w:val="00E729D2"/>
    <w:rsid w:val="00E80146"/>
    <w:rsid w:val="00E85976"/>
    <w:rsid w:val="00EA5DC0"/>
    <w:rsid w:val="00EA60CE"/>
    <w:rsid w:val="00EA67FA"/>
    <w:rsid w:val="00EB18B2"/>
    <w:rsid w:val="00EB565F"/>
    <w:rsid w:val="00EB5E70"/>
    <w:rsid w:val="00EB7D33"/>
    <w:rsid w:val="00EC05B8"/>
    <w:rsid w:val="00EC409B"/>
    <w:rsid w:val="00ED1ADA"/>
    <w:rsid w:val="00ED47D8"/>
    <w:rsid w:val="00ED674B"/>
    <w:rsid w:val="00EE0358"/>
    <w:rsid w:val="00EE0A6A"/>
    <w:rsid w:val="00EE0F79"/>
    <w:rsid w:val="00EE2260"/>
    <w:rsid w:val="00EE7506"/>
    <w:rsid w:val="00EF018B"/>
    <w:rsid w:val="00EF4F24"/>
    <w:rsid w:val="00F002E1"/>
    <w:rsid w:val="00F06815"/>
    <w:rsid w:val="00F15062"/>
    <w:rsid w:val="00F164DE"/>
    <w:rsid w:val="00F16EB2"/>
    <w:rsid w:val="00F2052E"/>
    <w:rsid w:val="00F236A4"/>
    <w:rsid w:val="00F344CB"/>
    <w:rsid w:val="00F37183"/>
    <w:rsid w:val="00F6121C"/>
    <w:rsid w:val="00F626AE"/>
    <w:rsid w:val="00F63E7D"/>
    <w:rsid w:val="00F65462"/>
    <w:rsid w:val="00F7381D"/>
    <w:rsid w:val="00F772B0"/>
    <w:rsid w:val="00F82D1B"/>
    <w:rsid w:val="00F8618C"/>
    <w:rsid w:val="00F87E0A"/>
    <w:rsid w:val="00F90142"/>
    <w:rsid w:val="00F9268A"/>
    <w:rsid w:val="00FA4C46"/>
    <w:rsid w:val="00FA62B5"/>
    <w:rsid w:val="00FB2319"/>
    <w:rsid w:val="00FB2CAD"/>
    <w:rsid w:val="00FB6334"/>
    <w:rsid w:val="00FB6AF8"/>
    <w:rsid w:val="00FC032F"/>
    <w:rsid w:val="00FC25AE"/>
    <w:rsid w:val="00FD0CB5"/>
    <w:rsid w:val="00FE3D8A"/>
    <w:rsid w:val="00FF5418"/>
    <w:rsid w:val="0158FACF"/>
    <w:rsid w:val="0179DACB"/>
    <w:rsid w:val="01994906"/>
    <w:rsid w:val="029FC016"/>
    <w:rsid w:val="036746FE"/>
    <w:rsid w:val="03E1834C"/>
    <w:rsid w:val="04D6C360"/>
    <w:rsid w:val="054F125E"/>
    <w:rsid w:val="05926CED"/>
    <w:rsid w:val="05E80E63"/>
    <w:rsid w:val="05E8ECAE"/>
    <w:rsid w:val="07DE6D30"/>
    <w:rsid w:val="08073C89"/>
    <w:rsid w:val="08185566"/>
    <w:rsid w:val="086959C4"/>
    <w:rsid w:val="089F0790"/>
    <w:rsid w:val="08E8CCE4"/>
    <w:rsid w:val="090F5BC2"/>
    <w:rsid w:val="09CC43A3"/>
    <w:rsid w:val="0A663CCB"/>
    <w:rsid w:val="0A6E13D4"/>
    <w:rsid w:val="0B27C54B"/>
    <w:rsid w:val="0BA4A439"/>
    <w:rsid w:val="0C2853F4"/>
    <w:rsid w:val="0C632669"/>
    <w:rsid w:val="0D14E4FA"/>
    <w:rsid w:val="0D732C7F"/>
    <w:rsid w:val="0D7A348B"/>
    <w:rsid w:val="0DB6797E"/>
    <w:rsid w:val="0EC52074"/>
    <w:rsid w:val="0F7503B1"/>
    <w:rsid w:val="0FA500BF"/>
    <w:rsid w:val="1075E942"/>
    <w:rsid w:val="10AE71A4"/>
    <w:rsid w:val="110792B6"/>
    <w:rsid w:val="1183342C"/>
    <w:rsid w:val="120A5ACD"/>
    <w:rsid w:val="12D12AD9"/>
    <w:rsid w:val="12FE1920"/>
    <w:rsid w:val="1325DC2B"/>
    <w:rsid w:val="136AC94B"/>
    <w:rsid w:val="1545B024"/>
    <w:rsid w:val="1702A000"/>
    <w:rsid w:val="1726C8DF"/>
    <w:rsid w:val="17548F53"/>
    <w:rsid w:val="17894A4B"/>
    <w:rsid w:val="188C600E"/>
    <w:rsid w:val="18AF106A"/>
    <w:rsid w:val="19F7C45A"/>
    <w:rsid w:val="1A7D577C"/>
    <w:rsid w:val="1AB68A47"/>
    <w:rsid w:val="1AC6E304"/>
    <w:rsid w:val="1C12AED0"/>
    <w:rsid w:val="1E590A97"/>
    <w:rsid w:val="1FF2F27D"/>
    <w:rsid w:val="200E4FCB"/>
    <w:rsid w:val="21300194"/>
    <w:rsid w:val="22708A33"/>
    <w:rsid w:val="239A782F"/>
    <w:rsid w:val="23F42933"/>
    <w:rsid w:val="2421F5C3"/>
    <w:rsid w:val="24409EC9"/>
    <w:rsid w:val="24910A73"/>
    <w:rsid w:val="25184637"/>
    <w:rsid w:val="2529D42E"/>
    <w:rsid w:val="25327F81"/>
    <w:rsid w:val="26125227"/>
    <w:rsid w:val="26756708"/>
    <w:rsid w:val="26CD58E0"/>
    <w:rsid w:val="2710847F"/>
    <w:rsid w:val="2A5D9F84"/>
    <w:rsid w:val="2A921857"/>
    <w:rsid w:val="2C53A23E"/>
    <w:rsid w:val="2D293712"/>
    <w:rsid w:val="2D7D3ADF"/>
    <w:rsid w:val="2E66E659"/>
    <w:rsid w:val="2E7763B1"/>
    <w:rsid w:val="2EA6E018"/>
    <w:rsid w:val="2FAC9B33"/>
    <w:rsid w:val="3003CA47"/>
    <w:rsid w:val="30BCA0B0"/>
    <w:rsid w:val="321E73F9"/>
    <w:rsid w:val="3244892A"/>
    <w:rsid w:val="32D9D363"/>
    <w:rsid w:val="330C998C"/>
    <w:rsid w:val="348742BA"/>
    <w:rsid w:val="37CB52C0"/>
    <w:rsid w:val="3867EF1F"/>
    <w:rsid w:val="3AA8CF4B"/>
    <w:rsid w:val="3BD40790"/>
    <w:rsid w:val="3BE05804"/>
    <w:rsid w:val="3BF9210A"/>
    <w:rsid w:val="3C1BA7ED"/>
    <w:rsid w:val="3C1E2E2B"/>
    <w:rsid w:val="3C5D9271"/>
    <w:rsid w:val="3CA1A563"/>
    <w:rsid w:val="3D025E1B"/>
    <w:rsid w:val="3F45F23F"/>
    <w:rsid w:val="3F99F99F"/>
    <w:rsid w:val="3F9B9D19"/>
    <w:rsid w:val="403C1609"/>
    <w:rsid w:val="406991FC"/>
    <w:rsid w:val="40F41E47"/>
    <w:rsid w:val="4120AB26"/>
    <w:rsid w:val="4194113B"/>
    <w:rsid w:val="41D374C2"/>
    <w:rsid w:val="4220DF20"/>
    <w:rsid w:val="43461A47"/>
    <w:rsid w:val="436BEC25"/>
    <w:rsid w:val="43D497DA"/>
    <w:rsid w:val="443A768B"/>
    <w:rsid w:val="44AFF5CF"/>
    <w:rsid w:val="4757D6E9"/>
    <w:rsid w:val="478DB8CB"/>
    <w:rsid w:val="48BF385E"/>
    <w:rsid w:val="48EE4352"/>
    <w:rsid w:val="4AF067DB"/>
    <w:rsid w:val="4C6A946A"/>
    <w:rsid w:val="4CE93F47"/>
    <w:rsid w:val="4D56F101"/>
    <w:rsid w:val="4DAEAFFB"/>
    <w:rsid w:val="4E6C8D83"/>
    <w:rsid w:val="4E9D246C"/>
    <w:rsid w:val="4F80C2D8"/>
    <w:rsid w:val="504997D9"/>
    <w:rsid w:val="50768A6E"/>
    <w:rsid w:val="510AF6E5"/>
    <w:rsid w:val="511F5DF4"/>
    <w:rsid w:val="517CD09D"/>
    <w:rsid w:val="519446C7"/>
    <w:rsid w:val="52A9583E"/>
    <w:rsid w:val="53785113"/>
    <w:rsid w:val="546E2CD7"/>
    <w:rsid w:val="54B40E44"/>
    <w:rsid w:val="54F20103"/>
    <w:rsid w:val="553F9E2B"/>
    <w:rsid w:val="561F23E6"/>
    <w:rsid w:val="57915150"/>
    <w:rsid w:val="57E37CB4"/>
    <w:rsid w:val="57EB7CEC"/>
    <w:rsid w:val="58EA61C5"/>
    <w:rsid w:val="590B4B93"/>
    <w:rsid w:val="593CAEC1"/>
    <w:rsid w:val="5978B36C"/>
    <w:rsid w:val="5ACD45DA"/>
    <w:rsid w:val="5B40F1A5"/>
    <w:rsid w:val="5D0B707F"/>
    <w:rsid w:val="5EDBCBBF"/>
    <w:rsid w:val="5FB329DF"/>
    <w:rsid w:val="60F8233A"/>
    <w:rsid w:val="60FB85B0"/>
    <w:rsid w:val="615A77A3"/>
    <w:rsid w:val="61C39767"/>
    <w:rsid w:val="61EAD8B9"/>
    <w:rsid w:val="62C353F2"/>
    <w:rsid w:val="636A4055"/>
    <w:rsid w:val="63759133"/>
    <w:rsid w:val="6388C317"/>
    <w:rsid w:val="639C51C6"/>
    <w:rsid w:val="642C987A"/>
    <w:rsid w:val="6486BDC2"/>
    <w:rsid w:val="6517A901"/>
    <w:rsid w:val="66128AA2"/>
    <w:rsid w:val="6640E6F0"/>
    <w:rsid w:val="667EE902"/>
    <w:rsid w:val="66C7BE71"/>
    <w:rsid w:val="67190857"/>
    <w:rsid w:val="675ED65B"/>
    <w:rsid w:val="6806411D"/>
    <w:rsid w:val="68DD5319"/>
    <w:rsid w:val="691B8DB2"/>
    <w:rsid w:val="69DF0186"/>
    <w:rsid w:val="6A16BA4C"/>
    <w:rsid w:val="6AC56901"/>
    <w:rsid w:val="6C767714"/>
    <w:rsid w:val="6D16121D"/>
    <w:rsid w:val="6E1B749E"/>
    <w:rsid w:val="6ED3E3C0"/>
    <w:rsid w:val="6EF0104A"/>
    <w:rsid w:val="6F92197D"/>
    <w:rsid w:val="70084F4B"/>
    <w:rsid w:val="708C98DC"/>
    <w:rsid w:val="70FD9FA6"/>
    <w:rsid w:val="74837DC7"/>
    <w:rsid w:val="74F88FFC"/>
    <w:rsid w:val="75D98957"/>
    <w:rsid w:val="76CCAC35"/>
    <w:rsid w:val="778E4586"/>
    <w:rsid w:val="780C6827"/>
    <w:rsid w:val="78611173"/>
    <w:rsid w:val="79153459"/>
    <w:rsid w:val="79A7D7F3"/>
    <w:rsid w:val="79F1A7BA"/>
    <w:rsid w:val="7A098573"/>
    <w:rsid w:val="7AEE26DF"/>
    <w:rsid w:val="7B387F48"/>
    <w:rsid w:val="7CF84252"/>
    <w:rsid w:val="7CF8E84F"/>
    <w:rsid w:val="7D078207"/>
    <w:rsid w:val="7D226C15"/>
    <w:rsid w:val="7DF4FFF3"/>
    <w:rsid w:val="7EA527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159B9AEB-6074-4D55-A0C3-BF9447EB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25B7"/>
    <w:rPr>
      <w:rFonts w:ascii="Arial" w:hAnsi="Arial" w:cs="Arial"/>
      <w:sz w:val="24"/>
      <w:szCs w:val="22"/>
      <w:lang w:eastAsia="en-US"/>
    </w:rPr>
  </w:style>
  <w:style w:type="character" w:styleId="CommentReference">
    <w:name w:val="annotation reference"/>
    <w:basedOn w:val="DefaultParagraphFont"/>
    <w:semiHidden/>
    <w:unhideWhenUsed/>
    <w:rsid w:val="00620150"/>
    <w:rPr>
      <w:sz w:val="16"/>
      <w:szCs w:val="16"/>
    </w:rPr>
  </w:style>
  <w:style w:type="paragraph" w:styleId="CommentText">
    <w:name w:val="annotation text"/>
    <w:basedOn w:val="Normal"/>
    <w:link w:val="CommentTextChar"/>
    <w:unhideWhenUsed/>
    <w:rsid w:val="00620150"/>
    <w:rPr>
      <w:sz w:val="20"/>
      <w:szCs w:val="20"/>
    </w:rPr>
  </w:style>
  <w:style w:type="character" w:customStyle="1" w:styleId="CommentTextChar">
    <w:name w:val="Comment Text Char"/>
    <w:basedOn w:val="DefaultParagraphFont"/>
    <w:link w:val="CommentText"/>
    <w:rsid w:val="00620150"/>
    <w:rPr>
      <w:rFonts w:ascii="Arial" w:hAnsi="Arial" w:cs="Arial"/>
      <w:lang w:eastAsia="en-US"/>
    </w:rPr>
  </w:style>
  <w:style w:type="paragraph" w:styleId="CommentSubject">
    <w:name w:val="annotation subject"/>
    <w:basedOn w:val="CommentText"/>
    <w:next w:val="CommentText"/>
    <w:link w:val="CommentSubjectChar"/>
    <w:semiHidden/>
    <w:unhideWhenUsed/>
    <w:rsid w:val="00620150"/>
    <w:rPr>
      <w:b/>
      <w:bCs/>
    </w:rPr>
  </w:style>
  <w:style w:type="character" w:customStyle="1" w:styleId="CommentSubjectChar">
    <w:name w:val="Comment Subject Char"/>
    <w:basedOn w:val="CommentTextChar"/>
    <w:link w:val="CommentSubject"/>
    <w:semiHidden/>
    <w:rsid w:val="00620150"/>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7774">
      <w:bodyDiv w:val="1"/>
      <w:marLeft w:val="0"/>
      <w:marRight w:val="0"/>
      <w:marTop w:val="0"/>
      <w:marBottom w:val="0"/>
      <w:divBdr>
        <w:top w:val="none" w:sz="0" w:space="0" w:color="auto"/>
        <w:left w:val="none" w:sz="0" w:space="0" w:color="auto"/>
        <w:bottom w:val="none" w:sz="0" w:space="0" w:color="auto"/>
        <w:right w:val="none" w:sz="0" w:space="0" w:color="auto"/>
      </w:divBdr>
    </w:div>
    <w:div w:id="53203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ONRW-2126615823-7100</_dlc_DocId>
    <_dlc_DocIdUrl xmlns="f6cfbbfa-3ea0-4d8e-acde-632e83cd9c55">
      <Url>https://prodonrgov.sharepoint.com/_layouts/15/DocIdRedir.aspx?ID=ONRW-2126615823-7100</Url>
      <Description>ONRW-2126615823-7100</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Props1.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customXml/itemProps2.xml><?xml version="1.0" encoding="utf-8"?>
<ds:datastoreItem xmlns:ds="http://schemas.openxmlformats.org/officeDocument/2006/customXml" ds:itemID="{C97249D3-5E4B-465F-93AF-46D391F33B5B}">
  <ds:schemaRefs>
    <ds:schemaRef ds:uri="http://schemas.microsoft.com/sharepoint/events"/>
  </ds:schemaRefs>
</ds:datastoreItem>
</file>

<file path=customXml/itemProps3.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4.xml><?xml version="1.0" encoding="utf-8"?>
<ds:datastoreItem xmlns:ds="http://schemas.openxmlformats.org/officeDocument/2006/customXml" ds:itemID="{59F6D5C9-708F-43BC-8B8E-45F0A0C1F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7876</Characters>
  <Application>Microsoft Office Word</Application>
  <DocSecurity>2</DocSecurity>
  <Lines>183</Lines>
  <Paragraphs>94</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Peter Wynne</cp:lastModifiedBy>
  <cp:revision>3</cp:revision>
  <cp:lastPrinted>2025-04-16T17:52:00Z</cp:lastPrinted>
  <dcterms:created xsi:type="dcterms:W3CDTF">2025-04-07T21:36:00Z</dcterms:created>
  <dcterms:modified xsi:type="dcterms:W3CDTF">2025-11-24T16:53:00Z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dc8547aa-19de-4c29-8dda-d790b161c557</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ies>
</file>