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29591FED">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29591FED">
        <w:trPr>
          <w:trHeight w:val="202"/>
        </w:trPr>
        <w:tc>
          <w:tcPr>
            <w:tcW w:w="9897" w:type="dxa"/>
            <w:gridSpan w:val="2"/>
            <w:shd w:val="clear" w:color="auto" w:fill="D9D9D9" w:themeFill="background1" w:themeFillShade="D9"/>
          </w:tcPr>
          <w:p w14:paraId="4573E01F" w14:textId="167BB4F4"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29591FED">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6B580CD6" w:rsidR="00220466" w:rsidRPr="0048438C" w:rsidRDefault="00684E8C" w:rsidP="0048438C">
            <w:pPr>
              <w:spacing w:before="60" w:after="60"/>
            </w:pPr>
            <w:r>
              <w:t>RO-</w:t>
            </w:r>
            <w:r w:rsidR="00FA4C46">
              <w:t>HOLTEC</w:t>
            </w:r>
            <w:r w:rsidR="00EE0A6A">
              <w:t>SMR300</w:t>
            </w:r>
            <w:r w:rsidR="005933F1">
              <w:t>-</w:t>
            </w:r>
            <w:r w:rsidR="004C5EB1">
              <w:t>00</w:t>
            </w:r>
            <w:r w:rsidR="588EF091">
              <w:t>7</w:t>
            </w:r>
          </w:p>
        </w:tc>
      </w:tr>
      <w:tr w:rsidR="00220466" w:rsidRPr="0048438C" w14:paraId="4573E026" w14:textId="77777777" w:rsidTr="29591FED">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29591FED">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3AEC2BF6" w:rsidR="00850471" w:rsidRPr="0048438C" w:rsidRDefault="09A16424" w:rsidP="29591FED">
            <w:pPr>
              <w:spacing w:before="60" w:after="60"/>
            </w:pPr>
            <w:r>
              <w:t>03</w:t>
            </w:r>
            <w:r w:rsidR="00850471">
              <w:t>/</w:t>
            </w:r>
            <w:r w:rsidR="25E68E3A">
              <w:t>09</w:t>
            </w:r>
            <w:r w:rsidR="00850471">
              <w:t>/</w:t>
            </w:r>
            <w:r w:rsidR="3D14FA0D">
              <w:t>2025</w:t>
            </w:r>
          </w:p>
        </w:tc>
      </w:tr>
      <w:tr w:rsidR="00220466" w:rsidRPr="0048438C" w14:paraId="4573E029" w14:textId="77777777" w:rsidTr="29591FED">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4826A3C8" w:rsidR="00220466" w:rsidRPr="0048438C" w:rsidRDefault="4C2E2527" w:rsidP="29591FED">
            <w:pPr>
              <w:spacing w:before="60" w:after="60"/>
            </w:pPr>
            <w:r>
              <w:t>10</w:t>
            </w:r>
            <w:r w:rsidR="00850471">
              <w:t>/</w:t>
            </w:r>
            <w:r w:rsidR="1CE5C440">
              <w:t>09</w:t>
            </w:r>
            <w:r w:rsidR="00850471">
              <w:t>/</w:t>
            </w:r>
            <w:r w:rsidR="79DA2B9E">
              <w:t>2025</w:t>
            </w:r>
            <w:r w:rsidR="00850471">
              <w:t xml:space="preserve"> </w:t>
            </w:r>
          </w:p>
        </w:tc>
      </w:tr>
      <w:tr w:rsidR="00220466" w:rsidRPr="0048438C" w14:paraId="4573E02C" w14:textId="77777777" w:rsidTr="29591FED">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38291544" w:rsidR="0000781D" w:rsidRPr="0048438C" w:rsidRDefault="548A3B32" w:rsidP="29591FED">
            <w:pPr>
              <w:spacing w:before="60" w:after="60"/>
            </w:pPr>
            <w:r>
              <w:t>01</w:t>
            </w:r>
            <w:r w:rsidR="00850471">
              <w:t>/</w:t>
            </w:r>
            <w:r w:rsidR="38A9359B">
              <w:t>10</w:t>
            </w:r>
            <w:r w:rsidR="00850471">
              <w:t>/</w:t>
            </w:r>
            <w:r w:rsidR="35592990">
              <w:t>2025</w:t>
            </w:r>
            <w:r w:rsidR="00867341">
              <w:t xml:space="preserve"> </w:t>
            </w:r>
          </w:p>
        </w:tc>
      </w:tr>
      <w:tr w:rsidR="00220466" w:rsidRPr="0048438C" w14:paraId="4573E032" w14:textId="77777777" w:rsidTr="29591FED">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40634F15" w:rsidR="00220466" w:rsidRPr="0048438C" w:rsidRDefault="00EC1FFE" w:rsidP="0048438C">
            <w:pPr>
              <w:spacing w:before="60" w:after="60"/>
              <w:rPr>
                <w:szCs w:val="24"/>
              </w:rPr>
            </w:pPr>
            <w:r>
              <w:rPr>
                <w:szCs w:val="24"/>
              </w:rPr>
              <w:t>AR-</w:t>
            </w:r>
            <w:r w:rsidR="004314CA">
              <w:rPr>
                <w:szCs w:val="24"/>
              </w:rPr>
              <w:t>0</w:t>
            </w:r>
            <w:r w:rsidR="00A567FA">
              <w:rPr>
                <w:szCs w:val="24"/>
              </w:rPr>
              <w:t>1757</w:t>
            </w:r>
          </w:p>
        </w:tc>
      </w:tr>
      <w:tr w:rsidR="0040443F" w:rsidRPr="0048438C" w14:paraId="4573E035" w14:textId="77777777" w:rsidTr="29591FED">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12E20151" w:rsidR="0040443F" w:rsidRPr="0040443F" w:rsidRDefault="000B3EBE" w:rsidP="0040443F">
            <w:pPr>
              <w:spacing w:before="60" w:after="60"/>
              <w:rPr>
                <w:szCs w:val="24"/>
                <w:highlight w:val="yellow"/>
              </w:rPr>
            </w:pPr>
            <w:r w:rsidRPr="00CD0CD2">
              <w:t>RQ-01659, RQ-01</w:t>
            </w:r>
            <w:r w:rsidR="00CD0CD2" w:rsidRPr="00CD0CD2">
              <w:t>1967</w:t>
            </w:r>
            <w:r w:rsidR="00501DFE">
              <w:t xml:space="preserve">, </w:t>
            </w:r>
            <w:r w:rsidR="007526A2">
              <w:t>RO</w:t>
            </w:r>
            <w:r w:rsidR="00511AA2">
              <w:t>-</w:t>
            </w:r>
            <w:r w:rsidR="00622E15">
              <w:t>HOLTECSMR</w:t>
            </w:r>
            <w:r w:rsidR="00EF55F9">
              <w:t>300-</w:t>
            </w:r>
            <w:r w:rsidR="007526A2">
              <w:t>006</w:t>
            </w:r>
          </w:p>
        </w:tc>
      </w:tr>
      <w:tr w:rsidR="00850471" w:rsidRPr="0048438C" w14:paraId="4573E03E" w14:textId="77777777" w:rsidTr="29591FED">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3CDDA2E2" w:rsidR="0040443F" w:rsidRPr="0048438C" w:rsidRDefault="00CD0CD2" w:rsidP="0048438C">
            <w:pPr>
              <w:spacing w:before="60" w:after="60"/>
              <w:rPr>
                <w:szCs w:val="24"/>
              </w:rPr>
            </w:pPr>
            <w:r>
              <w:rPr>
                <w:szCs w:val="24"/>
              </w:rPr>
              <w:t xml:space="preserve">Adequacy of </w:t>
            </w:r>
            <w:r w:rsidR="00765A20">
              <w:rPr>
                <w:szCs w:val="24"/>
              </w:rPr>
              <w:t>internal</w:t>
            </w:r>
            <w:r w:rsidR="00BD2208">
              <w:rPr>
                <w:szCs w:val="24"/>
              </w:rPr>
              <w:t xml:space="preserve"> hazards</w:t>
            </w:r>
            <w:r w:rsidR="00765A20">
              <w:rPr>
                <w:szCs w:val="24"/>
              </w:rPr>
              <w:t xml:space="preserve"> analysis to support </w:t>
            </w:r>
            <w:r w:rsidR="00A53EF2">
              <w:rPr>
                <w:szCs w:val="24"/>
              </w:rPr>
              <w:t>containment structure design</w:t>
            </w:r>
          </w:p>
        </w:tc>
      </w:tr>
      <w:tr w:rsidR="00CC67B6" w:rsidRPr="0048438C" w14:paraId="4573E043" w14:textId="77777777" w:rsidTr="29591FED">
        <w:trPr>
          <w:trHeight w:val="202"/>
        </w:trPr>
        <w:tc>
          <w:tcPr>
            <w:tcW w:w="4948" w:type="dxa"/>
          </w:tcPr>
          <w:p w14:paraId="2C943558" w14:textId="1333D360" w:rsidR="0087645C" w:rsidRPr="0087645C" w:rsidRDefault="00CC67B6" w:rsidP="00765A20">
            <w:pPr>
              <w:spacing w:before="60" w:after="60"/>
              <w:rPr>
                <w:szCs w:val="24"/>
              </w:rPr>
            </w:pPr>
            <w:r w:rsidRPr="0048438C">
              <w:rPr>
                <w:b/>
                <w:szCs w:val="24"/>
              </w:rPr>
              <w:t>Lead technical topic:</w:t>
            </w:r>
          </w:p>
          <w:p w14:paraId="4CCF2E8F" w14:textId="77777777" w:rsidR="0087645C" w:rsidRPr="0087645C" w:rsidRDefault="0087645C" w:rsidP="0087645C">
            <w:pPr>
              <w:spacing w:before="60" w:after="60"/>
              <w:rPr>
                <w:szCs w:val="24"/>
              </w:rPr>
            </w:pPr>
            <w:r w:rsidRPr="0087645C">
              <w:rPr>
                <w:szCs w:val="24"/>
              </w:rPr>
              <w:t>Internal Hazards</w:t>
            </w:r>
          </w:p>
          <w:p w14:paraId="4573E040" w14:textId="3EE0C220" w:rsidR="00CC67B6" w:rsidRPr="0048438C" w:rsidRDefault="00CC67B6" w:rsidP="0087645C">
            <w:pPr>
              <w:pStyle w:val="ListParagraph"/>
              <w:spacing w:before="60" w:after="60"/>
              <w:ind w:left="0"/>
              <w:rPr>
                <w:szCs w:val="24"/>
              </w:rPr>
            </w:pPr>
          </w:p>
        </w:tc>
        <w:tc>
          <w:tcPr>
            <w:tcW w:w="4949" w:type="dxa"/>
          </w:tcPr>
          <w:p w14:paraId="411BB36A" w14:textId="3EA400FF" w:rsidR="003A6935" w:rsidRPr="00765A20" w:rsidRDefault="00CC67B6" w:rsidP="00765A20">
            <w:pPr>
              <w:spacing w:before="60" w:after="60"/>
              <w:rPr>
                <w:b/>
                <w:szCs w:val="24"/>
              </w:rPr>
            </w:pPr>
            <w:r w:rsidRPr="0048438C">
              <w:rPr>
                <w:b/>
                <w:szCs w:val="24"/>
              </w:rPr>
              <w:t>Related technical topic(s):</w:t>
            </w:r>
          </w:p>
          <w:p w14:paraId="3CB201B2" w14:textId="77777777" w:rsidR="003A6935" w:rsidRPr="003A6935" w:rsidRDefault="003A6935" w:rsidP="003A6935">
            <w:pPr>
              <w:spacing w:before="60" w:after="60"/>
              <w:rPr>
                <w:szCs w:val="24"/>
              </w:rPr>
            </w:pPr>
            <w:r w:rsidRPr="003A6935">
              <w:rPr>
                <w:szCs w:val="24"/>
              </w:rPr>
              <w:t>Fault Studies</w:t>
            </w:r>
          </w:p>
          <w:p w14:paraId="7E96E90E" w14:textId="2F22DF63" w:rsidR="003A6935" w:rsidRPr="003A6935" w:rsidRDefault="003A6935" w:rsidP="00765A20">
            <w:pPr>
              <w:spacing w:before="60" w:after="60"/>
              <w:rPr>
                <w:szCs w:val="24"/>
              </w:rPr>
            </w:pPr>
            <w:r w:rsidRPr="003A6935">
              <w:rPr>
                <w:szCs w:val="24"/>
              </w:rPr>
              <w:t>Probabilistic Safety Analysis</w:t>
            </w:r>
          </w:p>
          <w:p w14:paraId="52C34EF1" w14:textId="77777777" w:rsidR="003A6935" w:rsidRPr="003A6935" w:rsidRDefault="003A6935" w:rsidP="003A6935">
            <w:pPr>
              <w:spacing w:before="60" w:after="60"/>
              <w:rPr>
                <w:szCs w:val="24"/>
              </w:rPr>
            </w:pPr>
            <w:r w:rsidRPr="003A6935">
              <w:rPr>
                <w:szCs w:val="24"/>
              </w:rPr>
              <w:t>Radiological Protection</w:t>
            </w:r>
          </w:p>
          <w:p w14:paraId="464A52E5" w14:textId="77777777" w:rsidR="003A6935" w:rsidRPr="003A6935" w:rsidRDefault="003A6935" w:rsidP="003A6935">
            <w:pPr>
              <w:spacing w:before="60" w:after="60"/>
              <w:rPr>
                <w:szCs w:val="24"/>
              </w:rPr>
            </w:pPr>
            <w:r w:rsidRPr="003A6935">
              <w:rPr>
                <w:szCs w:val="24"/>
              </w:rPr>
              <w:t>Severe Accident Analysis</w:t>
            </w:r>
          </w:p>
          <w:p w14:paraId="4573E042" w14:textId="39F55461" w:rsidR="00CC67B6" w:rsidRPr="0048438C" w:rsidRDefault="003A6935" w:rsidP="003A6935">
            <w:pPr>
              <w:pStyle w:val="ListParagraph"/>
              <w:spacing w:before="60" w:after="60"/>
              <w:ind w:left="0"/>
              <w:rPr>
                <w:szCs w:val="24"/>
              </w:rPr>
            </w:pPr>
            <w:r w:rsidRPr="003A6935">
              <w:rPr>
                <w:szCs w:val="24"/>
              </w:rPr>
              <w:t>Structural Integrity</w:t>
            </w:r>
            <w:r w:rsidRPr="003A6935">
              <w:rPr>
                <w:szCs w:val="24"/>
                <w:lang w:eastAsia="en-GB"/>
              </w:rPr>
              <w:t xml:space="preserve"> </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29591FED">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29591FED">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6E7D4B71" w14:textId="37E44790" w:rsidR="000E476E" w:rsidRDefault="000E476E" w:rsidP="00EB325F">
            <w:pPr>
              <w:spacing w:before="60" w:after="60"/>
              <w:rPr>
                <w:szCs w:val="24"/>
              </w:rPr>
            </w:pPr>
            <w:r w:rsidRPr="00EC1FFE">
              <w:rPr>
                <w:szCs w:val="24"/>
              </w:rPr>
              <w:t xml:space="preserve">The </w:t>
            </w:r>
            <w:r w:rsidR="00120C91" w:rsidRPr="00EC1FFE">
              <w:rPr>
                <w:szCs w:val="24"/>
              </w:rPr>
              <w:t xml:space="preserve">SMR-300 concept </w:t>
            </w:r>
            <w:r w:rsidR="00625A30" w:rsidRPr="00EC1FFE">
              <w:rPr>
                <w:szCs w:val="24"/>
              </w:rPr>
              <w:t>uses</w:t>
            </w:r>
            <w:r w:rsidR="00120C91" w:rsidRPr="00EC1FFE">
              <w:rPr>
                <w:szCs w:val="24"/>
              </w:rPr>
              <w:t xml:space="preserve"> a large, annular tank of water formed of the space between the Containment Structure (CS) and the Containment Enclosure Structure (CES)</w:t>
            </w:r>
            <w:r w:rsidR="007C3A9A" w:rsidRPr="00EC1FFE">
              <w:rPr>
                <w:szCs w:val="24"/>
              </w:rPr>
              <w:t xml:space="preserve">. This is referred to as the Annular Reservoir (AR). The AR acts as the Ultimate Heat Sink (UHS) for the reactor and alongside the </w:t>
            </w:r>
            <w:r w:rsidR="00C23E3C" w:rsidRPr="00EC1FFE">
              <w:rPr>
                <w:szCs w:val="24"/>
              </w:rPr>
              <w:t>steel CS wall forms the Passive Containment Heat Removal System (</w:t>
            </w:r>
            <w:r w:rsidR="00EC1FFE" w:rsidRPr="00EC1FFE">
              <w:rPr>
                <w:szCs w:val="24"/>
              </w:rPr>
              <w:t>PCH).</w:t>
            </w:r>
            <w:r w:rsidR="00F725F4">
              <w:rPr>
                <w:szCs w:val="24"/>
              </w:rPr>
              <w:t xml:space="preserve"> International and ONR expectations </w:t>
            </w:r>
            <w:r w:rsidR="002B2151">
              <w:rPr>
                <w:szCs w:val="24"/>
              </w:rPr>
              <w:t xml:space="preserve">are that sources of internal hazards are identified and assessed to ensure that the potential consequences of hazards are tolerable, that fundamental safety functions can be </w:t>
            </w:r>
            <w:r w:rsidR="00B419BC">
              <w:rPr>
                <w:szCs w:val="24"/>
              </w:rPr>
              <w:t>ensured by the reactor design and that risks from hazards have been reduced As Low As Reasonably Practicable (ALARP).</w:t>
            </w:r>
            <w:r w:rsidR="00343E9C">
              <w:rPr>
                <w:szCs w:val="24"/>
              </w:rPr>
              <w:t xml:space="preserve"> </w:t>
            </w:r>
          </w:p>
          <w:p w14:paraId="71105191" w14:textId="77777777" w:rsidR="00F61C88" w:rsidRDefault="00F61C88" w:rsidP="0048438C">
            <w:pPr>
              <w:spacing w:before="60" w:after="60"/>
              <w:rPr>
                <w:szCs w:val="24"/>
              </w:rPr>
            </w:pPr>
          </w:p>
          <w:p w14:paraId="5E527C80" w14:textId="3480FFAE" w:rsidR="00F61C88" w:rsidRDefault="00A562B4" w:rsidP="0048438C">
            <w:pPr>
              <w:spacing w:before="60" w:after="60"/>
              <w:rPr>
                <w:szCs w:val="24"/>
              </w:rPr>
            </w:pPr>
            <w:r>
              <w:rPr>
                <w:szCs w:val="24"/>
              </w:rPr>
              <w:t>The RP has provided documentation which describes their approach to the assessment of internal flooding [</w:t>
            </w:r>
            <w:r w:rsidR="00B84516">
              <w:rPr>
                <w:szCs w:val="24"/>
              </w:rPr>
              <w:t>1</w:t>
            </w:r>
            <w:r>
              <w:rPr>
                <w:szCs w:val="24"/>
              </w:rPr>
              <w:t>] a</w:t>
            </w:r>
            <w:r w:rsidR="00EB6282">
              <w:rPr>
                <w:szCs w:val="24"/>
              </w:rPr>
              <w:t>nd</w:t>
            </w:r>
            <w:r>
              <w:rPr>
                <w:szCs w:val="24"/>
              </w:rPr>
              <w:t xml:space="preserve"> representative example assessments of </w:t>
            </w:r>
            <w:r w:rsidR="00D86150">
              <w:rPr>
                <w:szCs w:val="24"/>
              </w:rPr>
              <w:t>potential AR failure scenarios [</w:t>
            </w:r>
            <w:r w:rsidR="00B84516">
              <w:rPr>
                <w:szCs w:val="24"/>
              </w:rPr>
              <w:t>2</w:t>
            </w:r>
            <w:r w:rsidR="00D86150">
              <w:rPr>
                <w:szCs w:val="24"/>
              </w:rPr>
              <w:t xml:space="preserve">]. </w:t>
            </w:r>
            <w:r w:rsidR="0067017F">
              <w:rPr>
                <w:szCs w:val="24"/>
              </w:rPr>
              <w:t>Th</w:t>
            </w:r>
            <w:r w:rsidR="00073644">
              <w:rPr>
                <w:szCs w:val="24"/>
              </w:rPr>
              <w:t>ese submission</w:t>
            </w:r>
            <w:r w:rsidR="00A360B1">
              <w:rPr>
                <w:szCs w:val="24"/>
              </w:rPr>
              <w:t>s</w:t>
            </w:r>
            <w:r w:rsidR="0067017F">
              <w:rPr>
                <w:szCs w:val="24"/>
              </w:rPr>
              <w:t xml:space="preserve"> focus on flooding into the CS</w:t>
            </w:r>
            <w:r w:rsidR="00940659">
              <w:rPr>
                <w:szCs w:val="24"/>
              </w:rPr>
              <w:t xml:space="preserve"> from the AR through a leak in the CS steel wall</w:t>
            </w:r>
            <w:r w:rsidR="0067017F">
              <w:rPr>
                <w:szCs w:val="24"/>
              </w:rPr>
              <w:t xml:space="preserve">. The main arguments presented by the RP are </w:t>
            </w:r>
            <w:r w:rsidR="008336D1">
              <w:rPr>
                <w:szCs w:val="24"/>
              </w:rPr>
              <w:t xml:space="preserve">that the CS steel </w:t>
            </w:r>
            <w:r w:rsidR="003A3FBB">
              <w:rPr>
                <w:szCs w:val="24"/>
              </w:rPr>
              <w:t xml:space="preserve">wall </w:t>
            </w:r>
            <w:r w:rsidR="008336D1">
              <w:rPr>
                <w:szCs w:val="24"/>
              </w:rPr>
              <w:t xml:space="preserve">will have a low frequency of failure and that any failures which could lead to AR </w:t>
            </w:r>
            <w:r w:rsidR="003425BF">
              <w:rPr>
                <w:szCs w:val="24"/>
              </w:rPr>
              <w:t>drain down</w:t>
            </w:r>
            <w:r w:rsidR="008336D1">
              <w:rPr>
                <w:szCs w:val="24"/>
              </w:rPr>
              <w:t xml:space="preserve"> would be of limited size. As such, the time to fill the </w:t>
            </w:r>
            <w:r w:rsidR="00EB6282">
              <w:rPr>
                <w:szCs w:val="24"/>
              </w:rPr>
              <w:t>part</w:t>
            </w:r>
            <w:r w:rsidR="008336D1">
              <w:rPr>
                <w:szCs w:val="24"/>
              </w:rPr>
              <w:t xml:space="preserve"> of the CS </w:t>
            </w:r>
            <w:r w:rsidR="00EB6282">
              <w:rPr>
                <w:szCs w:val="24"/>
              </w:rPr>
              <w:t>identified</w:t>
            </w:r>
            <w:r w:rsidR="003425BF">
              <w:rPr>
                <w:szCs w:val="24"/>
              </w:rPr>
              <w:t xml:space="preserve"> as the </w:t>
            </w:r>
            <w:r w:rsidR="003425BF">
              <w:rPr>
                <w:szCs w:val="24"/>
              </w:rPr>
              <w:lastRenderedPageBreak/>
              <w:t>“floodable” volume would be sufficient</w:t>
            </w:r>
            <w:r w:rsidR="00C6347C">
              <w:rPr>
                <w:szCs w:val="24"/>
              </w:rPr>
              <w:t>ly</w:t>
            </w:r>
            <w:r w:rsidR="003425BF">
              <w:rPr>
                <w:szCs w:val="24"/>
              </w:rPr>
              <w:t xml:space="preserve"> long that </w:t>
            </w:r>
            <w:r w:rsidR="002325CD">
              <w:rPr>
                <w:szCs w:val="24"/>
              </w:rPr>
              <w:t>operators could take action before key Structures, Systems and Components (SSCs) could be compromised.</w:t>
            </w:r>
          </w:p>
          <w:p w14:paraId="286E2CCF" w14:textId="77777777" w:rsidR="00FD211F" w:rsidRDefault="00FD211F" w:rsidP="0048438C">
            <w:pPr>
              <w:spacing w:before="60" w:after="60"/>
              <w:rPr>
                <w:szCs w:val="24"/>
              </w:rPr>
            </w:pPr>
          </w:p>
          <w:p w14:paraId="62072EFD" w14:textId="1E66E1BD" w:rsidR="00FD211F" w:rsidRDefault="00FD211F" w:rsidP="00FD211F">
            <w:pPr>
              <w:spacing w:before="60" w:after="60"/>
            </w:pPr>
            <w:r w:rsidRPr="000147D8">
              <w:rPr>
                <w:szCs w:val="24"/>
              </w:rPr>
              <w:t xml:space="preserve">I have previously raised concerns with the RP on the </w:t>
            </w:r>
            <w:r w:rsidR="00AD14E5">
              <w:rPr>
                <w:szCs w:val="24"/>
              </w:rPr>
              <w:t xml:space="preserve">maturity </w:t>
            </w:r>
            <w:r w:rsidRPr="000147D8">
              <w:rPr>
                <w:szCs w:val="24"/>
              </w:rPr>
              <w:t>of hazards</w:t>
            </w:r>
            <w:r w:rsidR="00AD14E5">
              <w:rPr>
                <w:szCs w:val="24"/>
              </w:rPr>
              <w:t xml:space="preserve"> assessment</w:t>
            </w:r>
            <w:r w:rsidRPr="000147D8">
              <w:rPr>
                <w:szCs w:val="24"/>
              </w:rPr>
              <w:t xml:space="preserve"> inside containment and particularly in respect to the AR given </w:t>
            </w:r>
            <w:r w:rsidR="000147D8" w:rsidRPr="000147D8">
              <w:rPr>
                <w:szCs w:val="24"/>
              </w:rPr>
              <w:t>its</w:t>
            </w:r>
            <w:r w:rsidRPr="000147D8">
              <w:rPr>
                <w:szCs w:val="24"/>
              </w:rPr>
              <w:t xml:space="preserve"> importance to safety within the SMR-300 concept (RQ-</w:t>
            </w:r>
            <w:r w:rsidRPr="000147D8">
              <w:t>01659 and RQ-01967). In response the</w:t>
            </w:r>
            <w:r w:rsidR="00163D2C">
              <w:t xml:space="preserve"> RP</w:t>
            </w:r>
            <w:r w:rsidRPr="000147D8">
              <w:t xml:space="preserve"> </w:t>
            </w:r>
            <w:r w:rsidR="000147D8" w:rsidRPr="000147D8">
              <w:t>has produced</w:t>
            </w:r>
            <w:r w:rsidR="00AC3B47">
              <w:t xml:space="preserve"> the </w:t>
            </w:r>
            <w:r w:rsidR="00AC3B47" w:rsidRPr="00EC5DC5">
              <w:rPr>
                <w:szCs w:val="24"/>
              </w:rPr>
              <w:t>Containment Structure System Based View</w:t>
            </w:r>
            <w:r w:rsidR="000147D8" w:rsidRPr="000147D8">
              <w:t xml:space="preserve"> [</w:t>
            </w:r>
            <w:r w:rsidR="00B84516">
              <w:t>2</w:t>
            </w:r>
            <w:r w:rsidR="000147D8" w:rsidRPr="000147D8">
              <w:t xml:space="preserve">]. Whilst this provides </w:t>
            </w:r>
            <w:r w:rsidR="00F42F61" w:rsidRPr="000147D8">
              <w:t>more</w:t>
            </w:r>
            <w:r w:rsidR="000147D8" w:rsidRPr="000147D8">
              <w:t xml:space="preserve"> detail on the CS </w:t>
            </w:r>
            <w:r w:rsidR="00163D2C">
              <w:t xml:space="preserve">design and an outline of hazard management </w:t>
            </w:r>
            <w:r w:rsidR="001B360F">
              <w:t>strategies,</w:t>
            </w:r>
            <w:r w:rsidR="00163D2C">
              <w:t xml:space="preserve"> I consider that </w:t>
            </w:r>
            <w:r w:rsidR="003F32A1">
              <w:t>further assessment is still required</w:t>
            </w:r>
            <w:r w:rsidR="00BA4154">
              <w:t>. In particular:</w:t>
            </w:r>
          </w:p>
          <w:p w14:paraId="076D4CE0" w14:textId="77777777" w:rsidR="00BA4154" w:rsidRDefault="00BA4154" w:rsidP="00FD211F">
            <w:pPr>
              <w:spacing w:before="60" w:after="60"/>
            </w:pPr>
          </w:p>
          <w:p w14:paraId="463627AD" w14:textId="31F4F653" w:rsidR="00BA4154" w:rsidRDefault="00460A0A" w:rsidP="00BA4154">
            <w:pPr>
              <w:pStyle w:val="ListParagraph"/>
              <w:numPr>
                <w:ilvl w:val="0"/>
                <w:numId w:val="25"/>
              </w:numPr>
              <w:spacing w:before="60" w:after="60"/>
              <w:rPr>
                <w:szCs w:val="24"/>
              </w:rPr>
            </w:pPr>
            <w:r>
              <w:rPr>
                <w:szCs w:val="24"/>
              </w:rPr>
              <w:t>P</w:t>
            </w:r>
            <w:r w:rsidR="00723925" w:rsidRPr="00BA4154">
              <w:rPr>
                <w:szCs w:val="24"/>
              </w:rPr>
              <w:t>rovi</w:t>
            </w:r>
            <w:r>
              <w:rPr>
                <w:szCs w:val="24"/>
              </w:rPr>
              <w:t>sion of</w:t>
            </w:r>
            <w:r w:rsidR="00723925" w:rsidRPr="00BA4154">
              <w:rPr>
                <w:szCs w:val="24"/>
              </w:rPr>
              <w:t xml:space="preserve"> </w:t>
            </w:r>
            <w:r w:rsidR="00201223">
              <w:rPr>
                <w:szCs w:val="24"/>
              </w:rPr>
              <w:t xml:space="preserve">sufficient </w:t>
            </w:r>
            <w:r w:rsidR="00723925" w:rsidRPr="00BA4154">
              <w:rPr>
                <w:szCs w:val="24"/>
              </w:rPr>
              <w:t>evidence</w:t>
            </w:r>
            <w:r w:rsidR="008103D8">
              <w:rPr>
                <w:szCs w:val="24"/>
              </w:rPr>
              <w:t xml:space="preserve"> or arguments</w:t>
            </w:r>
            <w:r w:rsidR="00723925" w:rsidRPr="00BA4154">
              <w:rPr>
                <w:szCs w:val="24"/>
              </w:rPr>
              <w:t xml:space="preserve"> that </w:t>
            </w:r>
            <w:r w:rsidR="00E70239" w:rsidRPr="00BA4154">
              <w:rPr>
                <w:szCs w:val="24"/>
              </w:rPr>
              <w:t xml:space="preserve">the selected break sizes are </w:t>
            </w:r>
            <w:r w:rsidR="001B360F">
              <w:rPr>
                <w:szCs w:val="24"/>
              </w:rPr>
              <w:t>representative,</w:t>
            </w:r>
            <w:r w:rsidR="008103D8">
              <w:rPr>
                <w:szCs w:val="24"/>
              </w:rPr>
              <w:t xml:space="preserve"> </w:t>
            </w:r>
            <w:r w:rsidR="00E70239" w:rsidRPr="00BA4154">
              <w:rPr>
                <w:szCs w:val="24"/>
              </w:rPr>
              <w:t>or conservative based on the failure scenarios identified</w:t>
            </w:r>
            <w:r w:rsidR="008D2099" w:rsidRPr="00BA4154">
              <w:rPr>
                <w:szCs w:val="24"/>
              </w:rPr>
              <w:t xml:space="preserve">. </w:t>
            </w:r>
            <w:r w:rsidR="00D45ADA">
              <w:rPr>
                <w:szCs w:val="24"/>
              </w:rPr>
              <w:t xml:space="preserve">The types of failures considered </w:t>
            </w:r>
            <w:r w:rsidR="00AB10DD">
              <w:rPr>
                <w:szCs w:val="24"/>
              </w:rPr>
              <w:t>should</w:t>
            </w:r>
            <w:r w:rsidR="00D45ADA">
              <w:rPr>
                <w:szCs w:val="24"/>
              </w:rPr>
              <w:t xml:space="preserve"> be derived within the structural integrity topic area and are </w:t>
            </w:r>
            <w:r w:rsidR="00DD3E0D">
              <w:rPr>
                <w:szCs w:val="24"/>
              </w:rPr>
              <w:t xml:space="preserve">within the scope of </w:t>
            </w:r>
            <w:r w:rsidR="00DD3E0D" w:rsidRPr="0048438C">
              <w:rPr>
                <w:szCs w:val="24"/>
              </w:rPr>
              <w:t>RO-</w:t>
            </w:r>
            <w:r w:rsidR="00DD3E0D" w:rsidRPr="004C5EB1">
              <w:rPr>
                <w:szCs w:val="24"/>
              </w:rPr>
              <w:t>HOLTECSMR300-</w:t>
            </w:r>
            <w:r w:rsidR="00DD3E0D" w:rsidRPr="00982273">
              <w:rPr>
                <w:szCs w:val="24"/>
              </w:rPr>
              <w:t>00</w:t>
            </w:r>
            <w:r w:rsidR="00DD3E0D">
              <w:rPr>
                <w:szCs w:val="24"/>
              </w:rPr>
              <w:t>6.</w:t>
            </w:r>
          </w:p>
          <w:p w14:paraId="6E219C69" w14:textId="51F7A3C3" w:rsidR="00BA4154" w:rsidRDefault="002B264E" w:rsidP="00BA4154">
            <w:pPr>
              <w:pStyle w:val="ListParagraph"/>
              <w:numPr>
                <w:ilvl w:val="0"/>
                <w:numId w:val="25"/>
              </w:numPr>
              <w:spacing w:before="60" w:after="60"/>
              <w:rPr>
                <w:szCs w:val="24"/>
              </w:rPr>
            </w:pPr>
            <w:r>
              <w:rPr>
                <w:szCs w:val="24"/>
              </w:rPr>
              <w:t>Provision of</w:t>
            </w:r>
            <w:r w:rsidR="008D2099" w:rsidRPr="00BA4154">
              <w:rPr>
                <w:szCs w:val="24"/>
              </w:rPr>
              <w:t xml:space="preserve"> a comp</w:t>
            </w:r>
            <w:r>
              <w:rPr>
                <w:szCs w:val="24"/>
              </w:rPr>
              <w:t>rehensive</w:t>
            </w:r>
            <w:r w:rsidR="008D2099" w:rsidRPr="00BA4154">
              <w:rPr>
                <w:szCs w:val="24"/>
              </w:rPr>
              <w:t xml:space="preserve"> assessment of which SSCs could be affected by internal flooding in the CS, including those which are not rated for immersion. </w:t>
            </w:r>
          </w:p>
          <w:p w14:paraId="6030C7A2" w14:textId="2A8A6244" w:rsidR="00BA4154" w:rsidRDefault="00C70692" w:rsidP="00BA4154">
            <w:pPr>
              <w:pStyle w:val="ListParagraph"/>
              <w:numPr>
                <w:ilvl w:val="0"/>
                <w:numId w:val="25"/>
              </w:numPr>
              <w:spacing w:before="60" w:after="60"/>
              <w:rPr>
                <w:szCs w:val="24"/>
              </w:rPr>
            </w:pPr>
            <w:r>
              <w:rPr>
                <w:szCs w:val="24"/>
              </w:rPr>
              <w:t xml:space="preserve">Provision of a comprehensive </w:t>
            </w:r>
            <w:r w:rsidR="008D2099" w:rsidRPr="00BA4154">
              <w:rPr>
                <w:szCs w:val="24"/>
              </w:rPr>
              <w:t xml:space="preserve">assessment of the timeline for such an event including </w:t>
            </w:r>
            <w:r w:rsidR="00904BC3" w:rsidRPr="00BA4154">
              <w:rPr>
                <w:szCs w:val="24"/>
              </w:rPr>
              <w:t xml:space="preserve">at what point </w:t>
            </w:r>
            <w:r w:rsidR="008D2099" w:rsidRPr="00BA4154">
              <w:rPr>
                <w:szCs w:val="24"/>
              </w:rPr>
              <w:t xml:space="preserve">the fault would be revealed to </w:t>
            </w:r>
            <w:r w:rsidR="00904BC3" w:rsidRPr="00BA4154">
              <w:rPr>
                <w:szCs w:val="24"/>
              </w:rPr>
              <w:t xml:space="preserve">operators and what other automatic trip signals might </w:t>
            </w:r>
            <w:r w:rsidR="008D488C" w:rsidRPr="00BA4154">
              <w:rPr>
                <w:szCs w:val="24"/>
              </w:rPr>
              <w:t>lead to</w:t>
            </w:r>
            <w:r w:rsidR="0058522F">
              <w:rPr>
                <w:szCs w:val="24"/>
              </w:rPr>
              <w:t xml:space="preserve"> a relevant automatic</w:t>
            </w:r>
            <w:r w:rsidR="008D488C" w:rsidRPr="00BA4154">
              <w:rPr>
                <w:szCs w:val="24"/>
              </w:rPr>
              <w:t xml:space="preserve"> plant response.</w:t>
            </w:r>
          </w:p>
          <w:p w14:paraId="5C086813" w14:textId="19E89183" w:rsidR="00723925" w:rsidRDefault="00750A73" w:rsidP="00BA4154">
            <w:pPr>
              <w:pStyle w:val="ListParagraph"/>
              <w:numPr>
                <w:ilvl w:val="0"/>
                <w:numId w:val="25"/>
              </w:numPr>
              <w:spacing w:before="60" w:after="60"/>
              <w:rPr>
                <w:szCs w:val="24"/>
              </w:rPr>
            </w:pPr>
            <w:r>
              <w:rPr>
                <w:szCs w:val="24"/>
              </w:rPr>
              <w:t xml:space="preserve">Provision of a </w:t>
            </w:r>
            <w:r w:rsidR="00AC42D6">
              <w:rPr>
                <w:szCs w:val="24"/>
              </w:rPr>
              <w:t xml:space="preserve">fully </w:t>
            </w:r>
            <w:r>
              <w:rPr>
                <w:szCs w:val="24"/>
              </w:rPr>
              <w:t xml:space="preserve">comprehensive </w:t>
            </w:r>
            <w:r w:rsidR="008D488C" w:rsidRPr="00BA4154">
              <w:rPr>
                <w:szCs w:val="24"/>
              </w:rPr>
              <w:t xml:space="preserve">description of the flood compartment geometry with respect to key SSCs, particularly the location of </w:t>
            </w:r>
            <w:r w:rsidR="00676552" w:rsidRPr="00BA4154">
              <w:rPr>
                <w:szCs w:val="24"/>
              </w:rPr>
              <w:t xml:space="preserve">Motor-Operated Valves (MOVs) which are </w:t>
            </w:r>
            <w:r w:rsidR="002905D2">
              <w:rPr>
                <w:szCs w:val="24"/>
              </w:rPr>
              <w:t>needed</w:t>
            </w:r>
            <w:r w:rsidR="00676552" w:rsidRPr="00BA4154">
              <w:rPr>
                <w:szCs w:val="24"/>
              </w:rPr>
              <w:t xml:space="preserve"> as part of the Passive Core Cooling System (PCCS).</w:t>
            </w:r>
          </w:p>
          <w:p w14:paraId="15653614" w14:textId="7E9BBB44" w:rsidR="00AB696A" w:rsidRDefault="00C55745" w:rsidP="00BA4154">
            <w:pPr>
              <w:pStyle w:val="ListParagraph"/>
              <w:numPr>
                <w:ilvl w:val="0"/>
                <w:numId w:val="25"/>
              </w:numPr>
              <w:spacing w:before="60" w:after="60"/>
              <w:rPr>
                <w:szCs w:val="24"/>
              </w:rPr>
            </w:pPr>
            <w:r>
              <w:rPr>
                <w:szCs w:val="24"/>
              </w:rPr>
              <w:t>Further development of the RPs</w:t>
            </w:r>
            <w:r w:rsidR="00AB696A">
              <w:rPr>
                <w:szCs w:val="24"/>
              </w:rPr>
              <w:t xml:space="preserve"> assessment of the potential consequences of AR failure</w:t>
            </w:r>
            <w:r>
              <w:rPr>
                <w:szCs w:val="24"/>
              </w:rPr>
              <w:t>. The following po</w:t>
            </w:r>
            <w:r w:rsidR="007924FC">
              <w:rPr>
                <w:szCs w:val="24"/>
              </w:rPr>
              <w:t>ints should be specifically addressed</w:t>
            </w:r>
            <w:r w:rsidR="00AB696A">
              <w:rPr>
                <w:szCs w:val="24"/>
              </w:rPr>
              <w:t>:</w:t>
            </w:r>
          </w:p>
          <w:p w14:paraId="1AE1D45D" w14:textId="489E09C9" w:rsidR="000E476E" w:rsidRDefault="007924FC" w:rsidP="001C49EC">
            <w:pPr>
              <w:pStyle w:val="ListParagraph"/>
              <w:numPr>
                <w:ilvl w:val="1"/>
                <w:numId w:val="25"/>
              </w:numPr>
              <w:spacing w:before="60" w:after="60"/>
              <w:rPr>
                <w:szCs w:val="24"/>
              </w:rPr>
            </w:pPr>
            <w:r>
              <w:rPr>
                <w:szCs w:val="24"/>
              </w:rPr>
              <w:t>A</w:t>
            </w:r>
            <w:r w:rsidR="00E26430">
              <w:rPr>
                <w:szCs w:val="24"/>
              </w:rPr>
              <w:t xml:space="preserve">ssessment of the potential consequences of </w:t>
            </w:r>
            <w:r w:rsidR="00E710BD">
              <w:rPr>
                <w:szCs w:val="24"/>
              </w:rPr>
              <w:t xml:space="preserve">a thermal shock induced failure of the Reactor Coolant Pressure Boundary (RCPB) </w:t>
            </w:r>
            <w:r w:rsidR="00F51DAD">
              <w:rPr>
                <w:szCs w:val="24"/>
              </w:rPr>
              <w:t xml:space="preserve">following </w:t>
            </w:r>
            <w:r w:rsidR="00E710BD">
              <w:rPr>
                <w:szCs w:val="24"/>
              </w:rPr>
              <w:t>failure of the AR.</w:t>
            </w:r>
          </w:p>
          <w:p w14:paraId="19A25445" w14:textId="438784C2" w:rsidR="008D3DE4" w:rsidRDefault="007924FC">
            <w:pPr>
              <w:pStyle w:val="ListParagraph"/>
              <w:numPr>
                <w:ilvl w:val="1"/>
                <w:numId w:val="25"/>
              </w:numPr>
              <w:spacing w:before="60" w:after="60"/>
              <w:rPr>
                <w:szCs w:val="24"/>
              </w:rPr>
            </w:pPr>
            <w:r>
              <w:rPr>
                <w:szCs w:val="24"/>
              </w:rPr>
              <w:t>A</w:t>
            </w:r>
            <w:r w:rsidR="008D3DE4">
              <w:rPr>
                <w:szCs w:val="24"/>
              </w:rPr>
              <w:t xml:space="preserve">ssessment of </w:t>
            </w:r>
            <w:r w:rsidR="00AD2A86">
              <w:rPr>
                <w:szCs w:val="24"/>
              </w:rPr>
              <w:t>risks associated with dilution of boronated water sources</w:t>
            </w:r>
            <w:r w:rsidR="00614958">
              <w:rPr>
                <w:szCs w:val="24"/>
              </w:rPr>
              <w:t xml:space="preserve"> (Spent Fuel Pool (SFP and Primary Core Make-Up Water Tank (PCMWT))</w:t>
            </w:r>
            <w:r w:rsidR="00AD2A86">
              <w:rPr>
                <w:szCs w:val="24"/>
              </w:rPr>
              <w:t xml:space="preserve"> for criticality hold-down purposes</w:t>
            </w:r>
            <w:r w:rsidR="00990101">
              <w:rPr>
                <w:szCs w:val="24"/>
              </w:rPr>
              <w:t>.</w:t>
            </w:r>
          </w:p>
          <w:p w14:paraId="7A4115D0" w14:textId="3D50B677" w:rsidR="001D39E3" w:rsidRPr="00C6347C" w:rsidRDefault="007924FC" w:rsidP="001C49EC">
            <w:pPr>
              <w:pStyle w:val="ListParagraph"/>
              <w:numPr>
                <w:ilvl w:val="1"/>
                <w:numId w:val="25"/>
              </w:numPr>
              <w:spacing w:before="60" w:after="60"/>
              <w:rPr>
                <w:szCs w:val="24"/>
              </w:rPr>
            </w:pPr>
            <w:r>
              <w:rPr>
                <w:szCs w:val="24"/>
              </w:rPr>
              <w:t>A</w:t>
            </w:r>
            <w:r w:rsidR="001D39E3">
              <w:rPr>
                <w:szCs w:val="24"/>
              </w:rPr>
              <w:t xml:space="preserve">ssessment of if the AR continues to </w:t>
            </w:r>
            <w:r w:rsidR="00696097">
              <w:rPr>
                <w:szCs w:val="24"/>
              </w:rPr>
              <w:t xml:space="preserve">adequately </w:t>
            </w:r>
            <w:r w:rsidR="001D39E3">
              <w:rPr>
                <w:szCs w:val="24"/>
              </w:rPr>
              <w:t>perform the UHS function</w:t>
            </w:r>
            <w:r w:rsidR="002635FF">
              <w:rPr>
                <w:szCs w:val="24"/>
              </w:rPr>
              <w:t>.</w:t>
            </w:r>
          </w:p>
          <w:p w14:paraId="6BE76143" w14:textId="77777777" w:rsidR="00850471" w:rsidRPr="0048438C" w:rsidRDefault="00850471" w:rsidP="0048438C">
            <w:pPr>
              <w:spacing w:before="60" w:after="60"/>
              <w:rPr>
                <w:szCs w:val="24"/>
              </w:rPr>
            </w:pPr>
          </w:p>
          <w:p w14:paraId="25806AA4" w14:textId="6EE0AECA" w:rsidR="000758E9" w:rsidRDefault="000758E9" w:rsidP="0048438C">
            <w:pPr>
              <w:spacing w:before="60" w:after="60"/>
              <w:rPr>
                <w:b/>
                <w:szCs w:val="24"/>
                <w:u w:val="single"/>
              </w:rPr>
            </w:pPr>
            <w:r w:rsidRPr="0048438C">
              <w:rPr>
                <w:b/>
                <w:szCs w:val="24"/>
                <w:u w:val="single"/>
              </w:rPr>
              <w:t>Relevant Legislation, Standards and Guidance</w:t>
            </w:r>
          </w:p>
          <w:p w14:paraId="59C2B6F0" w14:textId="77777777" w:rsidR="005C773F" w:rsidRDefault="005C773F" w:rsidP="0048438C">
            <w:pPr>
              <w:spacing w:before="60" w:after="60"/>
              <w:rPr>
                <w:b/>
                <w:szCs w:val="24"/>
                <w:u w:val="single"/>
              </w:rPr>
            </w:pPr>
          </w:p>
          <w:p w14:paraId="4544B367" w14:textId="5E4FB6F5" w:rsidR="005C773F" w:rsidRPr="005C773F" w:rsidRDefault="005C773F" w:rsidP="007D74A8">
            <w:pPr>
              <w:spacing w:before="60" w:after="60"/>
              <w:rPr>
                <w:bCs/>
                <w:szCs w:val="24"/>
                <w:u w:val="single"/>
              </w:rPr>
            </w:pPr>
            <w:r w:rsidRPr="005C773F">
              <w:rPr>
                <w:bCs/>
                <w:szCs w:val="24"/>
                <w:u w:val="single"/>
              </w:rPr>
              <w:t>S</w:t>
            </w:r>
            <w:r w:rsidR="009966E4">
              <w:rPr>
                <w:bCs/>
                <w:szCs w:val="24"/>
                <w:u w:val="single"/>
              </w:rPr>
              <w:t xml:space="preserve">afety </w:t>
            </w:r>
            <w:r w:rsidRPr="005C773F">
              <w:rPr>
                <w:bCs/>
                <w:szCs w:val="24"/>
                <w:u w:val="single"/>
              </w:rPr>
              <w:t>A</w:t>
            </w:r>
            <w:r w:rsidR="009966E4">
              <w:rPr>
                <w:bCs/>
                <w:szCs w:val="24"/>
                <w:u w:val="single"/>
              </w:rPr>
              <w:t xml:space="preserve">ssessment </w:t>
            </w:r>
            <w:r w:rsidRPr="005C773F">
              <w:rPr>
                <w:bCs/>
                <w:szCs w:val="24"/>
                <w:u w:val="single"/>
              </w:rPr>
              <w:t>P</w:t>
            </w:r>
            <w:r w:rsidR="009966E4">
              <w:rPr>
                <w:bCs/>
                <w:szCs w:val="24"/>
                <w:u w:val="single"/>
              </w:rPr>
              <w:t>rinciple</w:t>
            </w:r>
            <w:r>
              <w:rPr>
                <w:bCs/>
                <w:szCs w:val="24"/>
                <w:u w:val="single"/>
              </w:rPr>
              <w:t>s</w:t>
            </w:r>
            <w:r w:rsidR="009966E4">
              <w:rPr>
                <w:bCs/>
                <w:szCs w:val="24"/>
                <w:u w:val="single"/>
              </w:rPr>
              <w:t xml:space="preserve"> [</w:t>
            </w:r>
            <w:r w:rsidR="00B84516">
              <w:rPr>
                <w:bCs/>
                <w:szCs w:val="24"/>
                <w:u w:val="single"/>
              </w:rPr>
              <w:t>3</w:t>
            </w:r>
            <w:r w:rsidR="009966E4">
              <w:rPr>
                <w:bCs/>
                <w:szCs w:val="24"/>
                <w:u w:val="single"/>
              </w:rPr>
              <w:t>]</w:t>
            </w:r>
          </w:p>
          <w:p w14:paraId="4F6DD510" w14:textId="734BFD63" w:rsidR="00021EFB" w:rsidRDefault="00021EFB" w:rsidP="007D74A8">
            <w:pPr>
              <w:spacing w:before="60" w:after="60"/>
              <w:rPr>
                <w:szCs w:val="24"/>
              </w:rPr>
            </w:pPr>
            <w:r>
              <w:rPr>
                <w:szCs w:val="24"/>
              </w:rPr>
              <w:t>FP.4 – Safety Assessment</w:t>
            </w:r>
          </w:p>
          <w:p w14:paraId="566E81C2" w14:textId="4222964A" w:rsidR="00657ECE" w:rsidRDefault="00657ECE" w:rsidP="007D74A8">
            <w:pPr>
              <w:spacing w:before="60" w:after="60"/>
              <w:rPr>
                <w:szCs w:val="24"/>
              </w:rPr>
            </w:pPr>
            <w:r>
              <w:rPr>
                <w:szCs w:val="24"/>
              </w:rPr>
              <w:t>EHA</w:t>
            </w:r>
            <w:r w:rsidR="008E6F07">
              <w:rPr>
                <w:szCs w:val="24"/>
              </w:rPr>
              <w:t xml:space="preserve">.3 – Design </w:t>
            </w:r>
            <w:r w:rsidR="00021EFB">
              <w:rPr>
                <w:szCs w:val="24"/>
              </w:rPr>
              <w:t>B</w:t>
            </w:r>
            <w:r w:rsidR="008E6F07">
              <w:rPr>
                <w:szCs w:val="24"/>
              </w:rPr>
              <w:t xml:space="preserve">asis </w:t>
            </w:r>
            <w:r w:rsidR="00021EFB">
              <w:rPr>
                <w:szCs w:val="24"/>
              </w:rPr>
              <w:t>E</w:t>
            </w:r>
            <w:r w:rsidR="008E6F07">
              <w:rPr>
                <w:szCs w:val="24"/>
              </w:rPr>
              <w:t>vents</w:t>
            </w:r>
          </w:p>
          <w:p w14:paraId="577A7CE0" w14:textId="5DDA3046" w:rsidR="008E6F07" w:rsidRDefault="008E6F07" w:rsidP="007D74A8">
            <w:pPr>
              <w:spacing w:before="60" w:after="60"/>
              <w:rPr>
                <w:szCs w:val="24"/>
              </w:rPr>
            </w:pPr>
            <w:r>
              <w:rPr>
                <w:szCs w:val="24"/>
              </w:rPr>
              <w:t>EHA.6 – Analysis</w:t>
            </w:r>
          </w:p>
          <w:p w14:paraId="1A378408" w14:textId="42A8702C" w:rsidR="009B00A2" w:rsidRDefault="009B00A2" w:rsidP="007D74A8">
            <w:pPr>
              <w:spacing w:before="60" w:after="60"/>
              <w:rPr>
                <w:szCs w:val="24"/>
              </w:rPr>
            </w:pPr>
            <w:r>
              <w:rPr>
                <w:szCs w:val="24"/>
              </w:rPr>
              <w:t>EHA.7 – Cliff Edge Effects</w:t>
            </w:r>
          </w:p>
          <w:p w14:paraId="49586A26" w14:textId="3CAD4554" w:rsidR="00DF12CF" w:rsidRDefault="00033AA8" w:rsidP="00DF12CF">
            <w:pPr>
              <w:spacing w:before="60" w:after="60"/>
              <w:rPr>
                <w:szCs w:val="24"/>
              </w:rPr>
            </w:pPr>
            <w:r w:rsidRPr="00033AA8">
              <w:rPr>
                <w:szCs w:val="24"/>
              </w:rPr>
              <w:t>EHA.12</w:t>
            </w:r>
            <w:r>
              <w:rPr>
                <w:szCs w:val="24"/>
              </w:rPr>
              <w:t xml:space="preserve"> </w:t>
            </w:r>
            <w:r w:rsidR="008E6F07">
              <w:rPr>
                <w:szCs w:val="24"/>
              </w:rPr>
              <w:t>–</w:t>
            </w:r>
            <w:r>
              <w:rPr>
                <w:szCs w:val="24"/>
              </w:rPr>
              <w:t xml:space="preserve"> Flooding</w:t>
            </w:r>
          </w:p>
          <w:p w14:paraId="129DC8E6" w14:textId="6C420701" w:rsidR="004A65D6" w:rsidRDefault="004A65D6" w:rsidP="008E6F07">
            <w:pPr>
              <w:spacing w:before="60" w:after="60"/>
              <w:rPr>
                <w:szCs w:val="24"/>
              </w:rPr>
            </w:pPr>
            <w:r>
              <w:rPr>
                <w:szCs w:val="24"/>
              </w:rPr>
              <w:t>EMC.3 – Evidence</w:t>
            </w:r>
          </w:p>
          <w:p w14:paraId="0A1BA953" w14:textId="01F4AF3E" w:rsidR="003D075D" w:rsidRDefault="00DF12CF" w:rsidP="003D075D">
            <w:pPr>
              <w:spacing w:before="60" w:after="60"/>
              <w:rPr>
                <w:szCs w:val="24"/>
              </w:rPr>
            </w:pPr>
            <w:r>
              <w:rPr>
                <w:szCs w:val="24"/>
              </w:rPr>
              <w:t>FA.2</w:t>
            </w:r>
            <w:r w:rsidR="000F3769">
              <w:rPr>
                <w:szCs w:val="24"/>
              </w:rPr>
              <w:t xml:space="preserve"> – Identification of </w:t>
            </w:r>
            <w:r w:rsidR="009B2509">
              <w:rPr>
                <w:szCs w:val="24"/>
              </w:rPr>
              <w:t>I</w:t>
            </w:r>
            <w:r w:rsidR="000F3769">
              <w:rPr>
                <w:szCs w:val="24"/>
              </w:rPr>
              <w:t xml:space="preserve">nitiating </w:t>
            </w:r>
            <w:r w:rsidR="009B2509">
              <w:rPr>
                <w:szCs w:val="24"/>
              </w:rPr>
              <w:t>F</w:t>
            </w:r>
            <w:r w:rsidR="000F3769">
              <w:rPr>
                <w:szCs w:val="24"/>
              </w:rPr>
              <w:t>aults</w:t>
            </w:r>
          </w:p>
          <w:p w14:paraId="7B48F274" w14:textId="477D777A" w:rsidR="000F3769" w:rsidRDefault="000F3769" w:rsidP="008E6F07">
            <w:pPr>
              <w:spacing w:before="60" w:after="60"/>
              <w:rPr>
                <w:szCs w:val="24"/>
              </w:rPr>
            </w:pPr>
            <w:r>
              <w:rPr>
                <w:szCs w:val="24"/>
              </w:rPr>
              <w:t>FA.3 – Fault Sequences</w:t>
            </w:r>
          </w:p>
          <w:p w14:paraId="48F47336" w14:textId="77777777" w:rsidR="003D075D" w:rsidRDefault="003D075D" w:rsidP="008E6F07">
            <w:pPr>
              <w:spacing w:before="60" w:after="60"/>
              <w:rPr>
                <w:szCs w:val="24"/>
              </w:rPr>
            </w:pPr>
          </w:p>
          <w:p w14:paraId="4F9DAC68" w14:textId="3127E4A5" w:rsidR="003D075D" w:rsidRPr="001C49EC" w:rsidRDefault="003D075D" w:rsidP="008E6F07">
            <w:pPr>
              <w:spacing w:before="60" w:after="60"/>
              <w:rPr>
                <w:szCs w:val="24"/>
                <w:u w:val="single"/>
              </w:rPr>
            </w:pPr>
            <w:r w:rsidRPr="001C49EC">
              <w:rPr>
                <w:szCs w:val="24"/>
                <w:u w:val="single"/>
              </w:rPr>
              <w:t>IAEA Guidance</w:t>
            </w:r>
            <w:r w:rsidR="00DF742B">
              <w:rPr>
                <w:szCs w:val="24"/>
                <w:u w:val="single"/>
              </w:rPr>
              <w:t xml:space="preserve"> [4]</w:t>
            </w:r>
          </w:p>
          <w:p w14:paraId="50DD338B" w14:textId="72DE5F73" w:rsidR="005C773F" w:rsidRDefault="001C5571" w:rsidP="008E6F07">
            <w:pPr>
              <w:spacing w:before="60" w:after="60"/>
              <w:rPr>
                <w:szCs w:val="24"/>
              </w:rPr>
            </w:pPr>
            <w:r>
              <w:rPr>
                <w:szCs w:val="24"/>
              </w:rPr>
              <w:lastRenderedPageBreak/>
              <w:t xml:space="preserve">SSG-64 – Para </w:t>
            </w:r>
            <w:r w:rsidR="00745EC8">
              <w:rPr>
                <w:szCs w:val="24"/>
              </w:rPr>
              <w:t>4.1</w:t>
            </w:r>
            <w:r w:rsidR="009F553E">
              <w:rPr>
                <w:szCs w:val="24"/>
              </w:rPr>
              <w:t>50</w:t>
            </w:r>
          </w:p>
          <w:p w14:paraId="5A43B126" w14:textId="360D7204" w:rsidR="009F553E" w:rsidRDefault="009F553E" w:rsidP="008E6F07">
            <w:pPr>
              <w:spacing w:before="60" w:after="60"/>
              <w:rPr>
                <w:szCs w:val="24"/>
              </w:rPr>
            </w:pPr>
            <w:r>
              <w:rPr>
                <w:szCs w:val="24"/>
              </w:rPr>
              <w:t>SSG-64 – Para 4.155</w:t>
            </w:r>
          </w:p>
          <w:p w14:paraId="37377904" w14:textId="38AA1C7F" w:rsidR="009D6AEF" w:rsidRDefault="009D6AEF" w:rsidP="008E6F07">
            <w:pPr>
              <w:spacing w:before="60" w:after="60"/>
              <w:rPr>
                <w:szCs w:val="24"/>
              </w:rPr>
            </w:pPr>
            <w:r>
              <w:rPr>
                <w:szCs w:val="24"/>
              </w:rPr>
              <w:t>SSG-64 – Para 4.157</w:t>
            </w:r>
          </w:p>
          <w:p w14:paraId="2D7F0DA4" w14:textId="22D435B9" w:rsidR="00777525" w:rsidRDefault="00777525" w:rsidP="008E6F07">
            <w:pPr>
              <w:spacing w:before="60" w:after="60"/>
              <w:rPr>
                <w:szCs w:val="24"/>
              </w:rPr>
            </w:pPr>
            <w:r>
              <w:rPr>
                <w:szCs w:val="24"/>
              </w:rPr>
              <w:t>SSG-64 – Para 4.164</w:t>
            </w:r>
          </w:p>
          <w:p w14:paraId="18E91421" w14:textId="0BA4A889" w:rsidR="00777525" w:rsidRDefault="00777525" w:rsidP="008E6F07">
            <w:pPr>
              <w:spacing w:before="60" w:after="60"/>
              <w:rPr>
                <w:szCs w:val="24"/>
              </w:rPr>
            </w:pPr>
            <w:r>
              <w:rPr>
                <w:szCs w:val="24"/>
              </w:rPr>
              <w:t>SSG-64 – Para 4.165</w:t>
            </w:r>
          </w:p>
          <w:p w14:paraId="48907AAF" w14:textId="77777777" w:rsidR="001C5571" w:rsidRDefault="001C5571" w:rsidP="008E6F07">
            <w:pPr>
              <w:spacing w:before="60" w:after="60"/>
              <w:rPr>
                <w:szCs w:val="24"/>
              </w:rPr>
            </w:pPr>
          </w:p>
          <w:p w14:paraId="6784241C" w14:textId="77777777" w:rsidR="00780F93" w:rsidRPr="0048438C" w:rsidRDefault="00780F93" w:rsidP="00780F93">
            <w:pPr>
              <w:spacing w:before="60" w:after="60"/>
              <w:rPr>
                <w:b/>
                <w:szCs w:val="24"/>
                <w:u w:val="single"/>
              </w:rPr>
            </w:pPr>
            <w:r w:rsidRPr="0048438C">
              <w:rPr>
                <w:b/>
                <w:szCs w:val="24"/>
                <w:u w:val="single"/>
              </w:rPr>
              <w:t>Regulatory Expectations</w:t>
            </w:r>
          </w:p>
          <w:p w14:paraId="536A3AE9" w14:textId="1116F853" w:rsidR="00780F93" w:rsidRDefault="00780F93" w:rsidP="00780F93">
            <w:pPr>
              <w:spacing w:before="60" w:after="60"/>
              <w:rPr>
                <w:szCs w:val="24"/>
              </w:rPr>
            </w:pPr>
            <w:r>
              <w:rPr>
                <w:szCs w:val="24"/>
              </w:rPr>
              <w:t xml:space="preserve">In addition </w:t>
            </w:r>
            <w:r w:rsidR="002635FF">
              <w:rPr>
                <w:szCs w:val="24"/>
              </w:rPr>
              <w:t xml:space="preserve">to </w:t>
            </w:r>
            <w:r>
              <w:rPr>
                <w:szCs w:val="24"/>
              </w:rPr>
              <w:t xml:space="preserve">the </w:t>
            </w:r>
            <w:r w:rsidR="002635FF">
              <w:rPr>
                <w:szCs w:val="24"/>
              </w:rPr>
              <w:t>guidance</w:t>
            </w:r>
            <w:r>
              <w:rPr>
                <w:szCs w:val="24"/>
              </w:rPr>
              <w:t xml:space="preserve"> identified above, the key r</w:t>
            </w:r>
            <w:r w:rsidRPr="00ED4B4F">
              <w:rPr>
                <w:szCs w:val="24"/>
              </w:rPr>
              <w:t>egulatory expectations with respect to the assessment of flooding hazards are clearly outlined with</w:t>
            </w:r>
            <w:r>
              <w:rPr>
                <w:szCs w:val="24"/>
              </w:rPr>
              <w:t>in</w:t>
            </w:r>
            <w:r w:rsidRPr="00ED4B4F">
              <w:rPr>
                <w:szCs w:val="24"/>
              </w:rPr>
              <w:t xml:space="preserve"> TAG 14</w:t>
            </w:r>
            <w:r>
              <w:rPr>
                <w:szCs w:val="24"/>
              </w:rPr>
              <w:t xml:space="preserve"> [</w:t>
            </w:r>
            <w:r w:rsidR="00DF742B">
              <w:rPr>
                <w:szCs w:val="24"/>
              </w:rPr>
              <w:t>5</w:t>
            </w:r>
            <w:r>
              <w:rPr>
                <w:szCs w:val="24"/>
              </w:rPr>
              <w:t>]</w:t>
            </w:r>
            <w:r w:rsidRPr="00ED4B4F">
              <w:rPr>
                <w:szCs w:val="24"/>
              </w:rPr>
              <w:t xml:space="preserve">. </w:t>
            </w:r>
            <w:r>
              <w:rPr>
                <w:szCs w:val="24"/>
              </w:rPr>
              <w:t>Specific e</w:t>
            </w:r>
            <w:r w:rsidRPr="00ED4B4F">
              <w:rPr>
                <w:szCs w:val="24"/>
              </w:rPr>
              <w:t xml:space="preserve">xtracts which </w:t>
            </w:r>
            <w:r>
              <w:rPr>
                <w:szCs w:val="24"/>
              </w:rPr>
              <w:t>are particularly relevant</w:t>
            </w:r>
            <w:r w:rsidRPr="00ED4B4F">
              <w:rPr>
                <w:szCs w:val="24"/>
              </w:rPr>
              <w:t xml:space="preserve"> to </w:t>
            </w:r>
            <w:r>
              <w:rPr>
                <w:szCs w:val="24"/>
              </w:rPr>
              <w:t>this RO</w:t>
            </w:r>
            <w:r w:rsidRPr="00ED4B4F">
              <w:rPr>
                <w:szCs w:val="24"/>
              </w:rPr>
              <w:t xml:space="preserve"> are quoted </w:t>
            </w:r>
            <w:r>
              <w:rPr>
                <w:szCs w:val="24"/>
              </w:rPr>
              <w:t>below</w:t>
            </w:r>
            <w:r w:rsidR="00D30BF2">
              <w:rPr>
                <w:szCs w:val="24"/>
              </w:rPr>
              <w:t>.</w:t>
            </w:r>
          </w:p>
          <w:p w14:paraId="587EB5ED" w14:textId="77777777" w:rsidR="00D30BF2" w:rsidRPr="00ED4B4F" w:rsidRDefault="00D30BF2" w:rsidP="00780F93">
            <w:pPr>
              <w:spacing w:before="60" w:after="60"/>
              <w:rPr>
                <w:szCs w:val="24"/>
              </w:rPr>
            </w:pPr>
          </w:p>
          <w:p w14:paraId="707D360D" w14:textId="482713D3" w:rsidR="006E1762" w:rsidRDefault="00E15F62" w:rsidP="00E15F62">
            <w:pPr>
              <w:spacing w:before="60" w:after="60"/>
              <w:rPr>
                <w:szCs w:val="24"/>
              </w:rPr>
            </w:pPr>
            <w:r>
              <w:rPr>
                <w:szCs w:val="24"/>
              </w:rPr>
              <w:t xml:space="preserve">Para 5.76 – Inspectors </w:t>
            </w:r>
            <w:r w:rsidRPr="00E15F62">
              <w:rPr>
                <w:szCs w:val="24"/>
              </w:rPr>
              <w:t>should expect the design basis events to include foreseeable failures such as full-bore pipework ruptures, which should be postulated in the worst operational state and / or with least control (mode of operation with the highest energy). The consequences of such events (releases from a double ended guillotine break) should be analysed accordingl</w:t>
            </w:r>
            <w:r>
              <w:rPr>
                <w:szCs w:val="24"/>
              </w:rPr>
              <w:t>y.</w:t>
            </w:r>
          </w:p>
          <w:p w14:paraId="42A960FA" w14:textId="77777777" w:rsidR="00E15F62" w:rsidRDefault="00E15F62" w:rsidP="00E15F62">
            <w:pPr>
              <w:spacing w:before="60" w:after="60"/>
              <w:rPr>
                <w:szCs w:val="24"/>
              </w:rPr>
            </w:pPr>
          </w:p>
          <w:p w14:paraId="780F8AB8" w14:textId="43646377" w:rsidR="00E15F62" w:rsidRDefault="00E60CE3" w:rsidP="00F35C17">
            <w:pPr>
              <w:spacing w:before="60" w:after="60"/>
              <w:rPr>
                <w:szCs w:val="24"/>
              </w:rPr>
            </w:pPr>
            <w:r>
              <w:rPr>
                <w:szCs w:val="24"/>
              </w:rPr>
              <w:t xml:space="preserve">Para 5.79 - </w:t>
            </w:r>
            <w:r w:rsidR="00F35C17" w:rsidRPr="00F35C17">
              <w:rPr>
                <w:szCs w:val="24"/>
              </w:rPr>
              <w:t xml:space="preserve">The flood level as a function of time as well as other dynamic effects such as wave formation (for example, as a result of a dropped load into a pool, bund overtopping or failure of doors) or cascading effects (stairwells / flow through penetrations) may impact SSCs and should be considered by </w:t>
            </w:r>
            <w:proofErr w:type="spellStart"/>
            <w:r w:rsidR="00F35C17" w:rsidRPr="00F35C17">
              <w:rPr>
                <w:szCs w:val="24"/>
              </w:rPr>
              <w:t>dutyholders</w:t>
            </w:r>
            <w:proofErr w:type="spellEnd"/>
            <w:r w:rsidR="00F35C17" w:rsidRPr="00F35C17">
              <w:rPr>
                <w:szCs w:val="24"/>
              </w:rPr>
              <w:t xml:space="preserve"> as appropriate</w:t>
            </w:r>
            <w:r w:rsidR="00F35C17">
              <w:rPr>
                <w:szCs w:val="24"/>
              </w:rPr>
              <w:t>.</w:t>
            </w:r>
          </w:p>
          <w:p w14:paraId="72A73D02" w14:textId="77777777" w:rsidR="00574211" w:rsidRDefault="00574211" w:rsidP="00F35C17">
            <w:pPr>
              <w:spacing w:before="60" w:after="60"/>
              <w:rPr>
                <w:szCs w:val="24"/>
              </w:rPr>
            </w:pPr>
          </w:p>
          <w:p w14:paraId="675A6C01" w14:textId="3F69609F" w:rsidR="00574211" w:rsidRDefault="00574211" w:rsidP="006C4CDF">
            <w:pPr>
              <w:spacing w:before="60" w:after="60"/>
              <w:rPr>
                <w:szCs w:val="24"/>
              </w:rPr>
            </w:pPr>
            <w:r>
              <w:rPr>
                <w:szCs w:val="24"/>
              </w:rPr>
              <w:t xml:space="preserve">Para 5.86 - </w:t>
            </w:r>
            <w:r w:rsidR="001D675B" w:rsidRPr="001D675B">
              <w:rPr>
                <w:szCs w:val="24"/>
              </w:rPr>
              <w:t>Inspectors should seek assurances that relevant SSCs remain available to ensure nuclear safety under flooding hazard conditions. In line with the general considerations, this is preferably achieved by segregation, that is, provision of redundant SSCs in separated flood compartments, substantiated against the highest hydrostatic load so far as is reasonably practicable, or by placing SSCs at heights above the maximum credible flood levels</w:t>
            </w:r>
            <w:r w:rsidR="001D675B">
              <w:rPr>
                <w:szCs w:val="24"/>
              </w:rPr>
              <w:t xml:space="preserve"> </w:t>
            </w:r>
            <w:r w:rsidR="001D675B" w:rsidRPr="006C4CDF">
              <w:rPr>
                <w:b/>
                <w:bCs/>
                <w:szCs w:val="24"/>
              </w:rPr>
              <w:t>AND</w:t>
            </w:r>
            <w:r w:rsidR="001D675B">
              <w:rPr>
                <w:szCs w:val="24"/>
              </w:rPr>
              <w:t xml:space="preserve"> Para 5.87 - </w:t>
            </w:r>
            <w:r w:rsidR="006C4CDF" w:rsidRPr="006C4CDF">
              <w:rPr>
                <w:szCs w:val="24"/>
              </w:rPr>
              <w:t>Alternative approaches such as qualification of SSCs to remain operational under hazard conditions (for example, under flooding, steam or spray release) or combination of segregated SSCs and qualification of equipment may be appropriate where full segregation is not reasonably practicable</w:t>
            </w:r>
            <w:r w:rsidR="006C4CDF">
              <w:rPr>
                <w:szCs w:val="24"/>
              </w:rPr>
              <w:t>.</w:t>
            </w:r>
          </w:p>
          <w:p w14:paraId="6AB9A29C" w14:textId="77777777" w:rsidR="00764103" w:rsidRDefault="00764103" w:rsidP="006C4CDF">
            <w:pPr>
              <w:spacing w:before="60" w:after="60"/>
              <w:rPr>
                <w:szCs w:val="24"/>
              </w:rPr>
            </w:pPr>
          </w:p>
          <w:p w14:paraId="2EF0DE7F" w14:textId="6ACFE20D" w:rsidR="00C41166" w:rsidRDefault="00764103" w:rsidP="0048438C">
            <w:pPr>
              <w:spacing w:before="60" w:after="60"/>
              <w:rPr>
                <w:szCs w:val="24"/>
              </w:rPr>
            </w:pPr>
            <w:r>
              <w:rPr>
                <w:szCs w:val="24"/>
              </w:rPr>
              <w:t xml:space="preserve">Para 5.88 - </w:t>
            </w:r>
            <w:r w:rsidR="003337F3" w:rsidRPr="003337F3">
              <w:rPr>
                <w:szCs w:val="24"/>
              </w:rPr>
              <w:t>where operator actions play a role in preventing or mitigating the consequences of flood scenarios, for example, by isolating the flood source / paths, then the feasibility of performing the required actions under the hazard conditions is a matter for consideration by Human Factors and / or Radiological Protection specialists in conjunction with Internal Hazards. Inspectors should ensure that the safety case assumptions and calculations (such as, available response times, flood levels) are compatible with the release scenarios and proposed actions (for example, deploying defences, closure of flood doors etc.). This should also consider how the flood will be notified to operators with a sufficiently reliable system that is subjected to EIM&amp;</w:t>
            </w:r>
            <w:r w:rsidR="003337F3">
              <w:rPr>
                <w:szCs w:val="24"/>
              </w:rPr>
              <w:t>T.</w:t>
            </w:r>
          </w:p>
          <w:p w14:paraId="5489E8C4" w14:textId="77777777" w:rsidR="00617A79" w:rsidRDefault="00617A79" w:rsidP="0048438C">
            <w:pPr>
              <w:spacing w:before="60" w:after="60"/>
            </w:pPr>
          </w:p>
          <w:p w14:paraId="7DDEA547" w14:textId="44200907" w:rsidR="00C41166" w:rsidRDefault="004F7308" w:rsidP="0048438C">
            <w:pPr>
              <w:spacing w:before="60" w:after="60"/>
              <w:rPr>
                <w:szCs w:val="24"/>
                <w:highlight w:val="yellow"/>
              </w:rPr>
            </w:pPr>
            <w:r>
              <w:t>The RP has stated [</w:t>
            </w:r>
            <w:r w:rsidR="00CF1EEE">
              <w:t>6</w:t>
            </w:r>
            <w:r>
              <w:t xml:space="preserve">] that they do not intend to make a highest reliability claim on the CS. In this case further dependence is placed on the internal hazards </w:t>
            </w:r>
            <w:r w:rsidR="00951EF3">
              <w:t>assessment</w:t>
            </w:r>
            <w:r>
              <w:t xml:space="preserve"> </w:t>
            </w:r>
            <w:r w:rsidR="00932699">
              <w:t xml:space="preserve">and it is key that a robust demonstration of CS/AR failure </w:t>
            </w:r>
            <w:r w:rsidR="00951EF3">
              <w:t>tolerance is completed.</w:t>
            </w:r>
            <w:r w:rsidR="00DA0A23">
              <w:t xml:space="preserve"> This is in line with SAP </w:t>
            </w:r>
            <w:r w:rsidR="00DA0A23">
              <w:lastRenderedPageBreak/>
              <w:t xml:space="preserve">FA.3 which expects </w:t>
            </w:r>
            <w:r w:rsidR="00EF5C72">
              <w:t xml:space="preserve">fault sequences to be </w:t>
            </w:r>
            <w:r w:rsidR="001B360F">
              <w:t>developed,</w:t>
            </w:r>
            <w:r w:rsidR="00EF5C72">
              <w:t xml:space="preserve"> and the consequences analysed </w:t>
            </w:r>
            <w:r w:rsidR="00093E19">
              <w:t xml:space="preserve">and EHA.12 which expects flooding conditions to be shown to be tolerable, including those forming severe accidents. </w:t>
            </w:r>
          </w:p>
          <w:p w14:paraId="584B4F6E" w14:textId="77777777" w:rsidR="000977CC" w:rsidRPr="0048438C" w:rsidRDefault="000977CC" w:rsidP="0048438C">
            <w:pPr>
              <w:spacing w:before="60" w:after="60"/>
              <w:rPr>
                <w:szCs w:val="24"/>
              </w:rPr>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09017F57" w14:textId="27942011" w:rsidR="002245BD" w:rsidRDefault="00EC409B" w:rsidP="00A63547">
            <w:pPr>
              <w:spacing w:before="60" w:after="60"/>
              <w:rPr>
                <w:szCs w:val="24"/>
              </w:rPr>
            </w:pPr>
            <w:r w:rsidRPr="0048438C">
              <w:rPr>
                <w:szCs w:val="24"/>
              </w:rPr>
              <w:t>[1]</w:t>
            </w:r>
            <w:r w:rsidR="002245BD">
              <w:rPr>
                <w:szCs w:val="24"/>
              </w:rPr>
              <w:t xml:space="preserve"> </w:t>
            </w:r>
            <w:r w:rsidR="00CE4CE6" w:rsidRPr="00CE4CE6">
              <w:rPr>
                <w:szCs w:val="24"/>
              </w:rPr>
              <w:t>Holtec SMR-300 - Step 2 - Submission - Internal Hazards Methodology and Alignment Report - Revision 0 - HI-2241281 - 20 January 2025</w:t>
            </w:r>
          </w:p>
          <w:p w14:paraId="35B49CCA" w14:textId="1B4A3207" w:rsidR="002245BD" w:rsidRDefault="002245BD" w:rsidP="00A63547">
            <w:pPr>
              <w:spacing w:before="60" w:after="60"/>
              <w:rPr>
                <w:szCs w:val="24"/>
              </w:rPr>
            </w:pPr>
            <w:r>
              <w:rPr>
                <w:szCs w:val="24"/>
              </w:rPr>
              <w:t>[2]</w:t>
            </w:r>
            <w:r w:rsidR="00EC5DC5">
              <w:rPr>
                <w:szCs w:val="24"/>
              </w:rPr>
              <w:t xml:space="preserve"> </w:t>
            </w:r>
            <w:r w:rsidR="00EC5DC5" w:rsidRPr="00EC5DC5">
              <w:rPr>
                <w:szCs w:val="24"/>
              </w:rPr>
              <w:t>Holtec SMR-300 - Step 2 - Submission - Containment Structure System Based View - Revision 0 - HI-2250348 - 22 May 2025</w:t>
            </w:r>
          </w:p>
          <w:p w14:paraId="1A2378DD" w14:textId="1C073892" w:rsidR="00304155" w:rsidRDefault="002245BD" w:rsidP="00A63547">
            <w:pPr>
              <w:spacing w:before="60" w:after="60"/>
              <w:rPr>
                <w:szCs w:val="24"/>
              </w:rPr>
            </w:pPr>
            <w:r>
              <w:rPr>
                <w:szCs w:val="24"/>
              </w:rPr>
              <w:t xml:space="preserve">[3] </w:t>
            </w:r>
            <w:r w:rsidR="00A63547" w:rsidRPr="00A63547">
              <w:rPr>
                <w:szCs w:val="24"/>
              </w:rPr>
              <w:t xml:space="preserve">Safety Assessment Principles for Nuclear Facilities, Rev </w:t>
            </w:r>
            <w:r w:rsidR="00B078B3">
              <w:rPr>
                <w:szCs w:val="24"/>
              </w:rPr>
              <w:t>1</w:t>
            </w:r>
            <w:r w:rsidR="00A63547" w:rsidRPr="00A63547">
              <w:rPr>
                <w:szCs w:val="24"/>
              </w:rPr>
              <w:t>, 20</w:t>
            </w:r>
            <w:r w:rsidR="00B078B3">
              <w:rPr>
                <w:szCs w:val="24"/>
              </w:rPr>
              <w:t>20</w:t>
            </w:r>
          </w:p>
          <w:p w14:paraId="5AF699F7" w14:textId="5C120983" w:rsidR="00F65462" w:rsidRDefault="00304155" w:rsidP="00A63547">
            <w:pPr>
              <w:spacing w:before="60" w:after="60"/>
              <w:rPr>
                <w:szCs w:val="24"/>
              </w:rPr>
            </w:pPr>
            <w:r>
              <w:rPr>
                <w:szCs w:val="24"/>
              </w:rPr>
              <w:t>[4] International Atomic Energy Agency</w:t>
            </w:r>
            <w:r w:rsidR="00F479A4">
              <w:rPr>
                <w:szCs w:val="24"/>
              </w:rPr>
              <w:t>:</w:t>
            </w:r>
            <w:r>
              <w:rPr>
                <w:szCs w:val="24"/>
              </w:rPr>
              <w:t xml:space="preserve"> </w:t>
            </w:r>
            <w:r w:rsidR="004647E9">
              <w:rPr>
                <w:szCs w:val="24"/>
              </w:rPr>
              <w:t>Protection against Internal Hazards in the Design of Nuclear Power Plants</w:t>
            </w:r>
            <w:r w:rsidR="00F479A4">
              <w:rPr>
                <w:szCs w:val="24"/>
              </w:rPr>
              <w:t xml:space="preserve">, </w:t>
            </w:r>
            <w:r w:rsidR="004647E9">
              <w:rPr>
                <w:szCs w:val="24"/>
              </w:rPr>
              <w:t>Safety Specific Guide</w:t>
            </w:r>
            <w:r w:rsidR="00F479A4">
              <w:rPr>
                <w:szCs w:val="24"/>
              </w:rPr>
              <w:t xml:space="preserve">, </w:t>
            </w:r>
            <w:r w:rsidR="004647E9">
              <w:rPr>
                <w:szCs w:val="24"/>
              </w:rPr>
              <w:t>No. SSG-64</w:t>
            </w:r>
            <w:r w:rsidR="00F479A4">
              <w:rPr>
                <w:szCs w:val="24"/>
              </w:rPr>
              <w:t>, 2021</w:t>
            </w:r>
          </w:p>
          <w:p w14:paraId="0A4C03AD" w14:textId="3B03C394" w:rsidR="002C78D2" w:rsidRDefault="002C78D2" w:rsidP="002C78D2">
            <w:pPr>
              <w:spacing w:before="60" w:after="60"/>
              <w:rPr>
                <w:szCs w:val="24"/>
              </w:rPr>
            </w:pPr>
            <w:r>
              <w:rPr>
                <w:szCs w:val="24"/>
              </w:rPr>
              <w:t>[</w:t>
            </w:r>
            <w:r w:rsidR="00304155">
              <w:rPr>
                <w:szCs w:val="24"/>
              </w:rPr>
              <w:t>5</w:t>
            </w:r>
            <w:r>
              <w:rPr>
                <w:szCs w:val="24"/>
              </w:rPr>
              <w:t xml:space="preserve">] </w:t>
            </w:r>
            <w:r w:rsidRPr="002C78D2">
              <w:rPr>
                <w:szCs w:val="24"/>
              </w:rPr>
              <w:t>NS-TAST-GD-0</w:t>
            </w:r>
            <w:r>
              <w:rPr>
                <w:szCs w:val="24"/>
              </w:rPr>
              <w:t>14</w:t>
            </w:r>
            <w:r w:rsidRPr="002C78D2">
              <w:rPr>
                <w:szCs w:val="24"/>
              </w:rPr>
              <w:t xml:space="preserve"> Issue </w:t>
            </w:r>
            <w:r>
              <w:rPr>
                <w:szCs w:val="24"/>
              </w:rPr>
              <w:t>7</w:t>
            </w:r>
            <w:r w:rsidRPr="002C78D2">
              <w:rPr>
                <w:szCs w:val="24"/>
              </w:rPr>
              <w:t xml:space="preserve">.1 </w:t>
            </w:r>
            <w:r>
              <w:rPr>
                <w:szCs w:val="24"/>
              </w:rPr>
              <w:t>Internal Hazards</w:t>
            </w:r>
            <w:r w:rsidRPr="002C78D2">
              <w:rPr>
                <w:szCs w:val="24"/>
              </w:rPr>
              <w:t>, December 2022</w:t>
            </w:r>
          </w:p>
          <w:p w14:paraId="4573E048" w14:textId="4E17B979" w:rsidR="00AC3E49" w:rsidRPr="0048438C" w:rsidRDefault="00AC3E49" w:rsidP="002F6E03">
            <w:pPr>
              <w:spacing w:before="60" w:after="60"/>
              <w:rPr>
                <w:szCs w:val="24"/>
              </w:rPr>
            </w:pPr>
            <w:r>
              <w:rPr>
                <w:szCs w:val="24"/>
              </w:rPr>
              <w:t>[</w:t>
            </w:r>
            <w:r w:rsidR="00AD5B84">
              <w:rPr>
                <w:szCs w:val="24"/>
              </w:rPr>
              <w:t>6</w:t>
            </w:r>
            <w:r>
              <w:rPr>
                <w:szCs w:val="24"/>
              </w:rPr>
              <w:t xml:space="preserve">] </w:t>
            </w:r>
            <w:r w:rsidR="00CF1EEE" w:rsidRPr="00CF1EEE">
              <w:rPr>
                <w:szCs w:val="24"/>
              </w:rPr>
              <w:t>Holtec SMR-300 - Step 2 - Contact Record - ONR-NR-CR-24-852 – Level 4 Internal Hazards - 21 March 2025</w:t>
            </w:r>
          </w:p>
        </w:tc>
      </w:tr>
      <w:tr w:rsidR="00850471" w:rsidRPr="00581D5B" w14:paraId="4573E04B" w14:textId="77777777" w:rsidTr="29591FED">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29591FED">
        <w:trPr>
          <w:trHeight w:val="242"/>
        </w:trPr>
        <w:tc>
          <w:tcPr>
            <w:tcW w:w="9897" w:type="dxa"/>
            <w:gridSpan w:val="2"/>
          </w:tcPr>
          <w:p w14:paraId="4573E04C" w14:textId="03A1F404" w:rsidR="00850471" w:rsidRPr="003D48D8" w:rsidRDefault="00850471" w:rsidP="0048438C">
            <w:pPr>
              <w:spacing w:before="60" w:after="60"/>
              <w:rPr>
                <w:b/>
                <w:noProof/>
                <w:szCs w:val="24"/>
              </w:rPr>
            </w:pPr>
            <w:r w:rsidRPr="003D48D8">
              <w:rPr>
                <w:b/>
                <w:noProof/>
                <w:szCs w:val="24"/>
              </w:rPr>
              <w:t>RO-</w:t>
            </w:r>
            <w:r w:rsidR="0075487C" w:rsidRPr="003D48D8">
              <w:rPr>
                <w:b/>
                <w:noProof/>
                <w:szCs w:val="24"/>
              </w:rPr>
              <w:t>HOLTEC</w:t>
            </w:r>
            <w:r w:rsidR="00581D5B" w:rsidRPr="003D48D8">
              <w:rPr>
                <w:b/>
                <w:noProof/>
                <w:szCs w:val="24"/>
              </w:rPr>
              <w:t>SMR</w:t>
            </w:r>
            <w:r w:rsidR="005933F1" w:rsidRPr="003D48D8">
              <w:rPr>
                <w:b/>
                <w:noProof/>
                <w:szCs w:val="24"/>
              </w:rPr>
              <w:t>300</w:t>
            </w:r>
            <w:r w:rsidR="0075487C" w:rsidRPr="003D48D8">
              <w:rPr>
                <w:b/>
                <w:noProof/>
                <w:szCs w:val="24"/>
              </w:rPr>
              <w:t>-</w:t>
            </w:r>
            <w:r w:rsidR="009934C6">
              <w:rPr>
                <w:b/>
                <w:noProof/>
                <w:szCs w:val="24"/>
              </w:rPr>
              <w:t>007</w:t>
            </w:r>
            <w:r w:rsidRPr="003D48D8">
              <w:rPr>
                <w:b/>
                <w:noProof/>
                <w:szCs w:val="24"/>
              </w:rPr>
              <w:t>.A1</w:t>
            </w:r>
            <w:r w:rsidR="000977CC" w:rsidRPr="003D48D8">
              <w:rPr>
                <w:b/>
                <w:noProof/>
                <w:szCs w:val="24"/>
              </w:rPr>
              <w:t xml:space="preserve"> – </w:t>
            </w:r>
            <w:r w:rsidR="003D48D8" w:rsidRPr="003D48D8">
              <w:rPr>
                <w:b/>
                <w:noProof/>
                <w:szCs w:val="24"/>
              </w:rPr>
              <w:t>Demonstration th</w:t>
            </w:r>
            <w:r w:rsidR="003D48D8">
              <w:rPr>
                <w:b/>
                <w:noProof/>
                <w:szCs w:val="24"/>
              </w:rPr>
              <w:t>at identified flooding scenarios from the CS are credible and conservative</w:t>
            </w:r>
          </w:p>
          <w:p w14:paraId="7BE7FFFB" w14:textId="77777777" w:rsidR="00CC67B6" w:rsidRPr="003D48D8" w:rsidRDefault="00CC67B6" w:rsidP="0048438C">
            <w:pPr>
              <w:spacing w:before="60" w:after="60"/>
              <w:rPr>
                <w:noProof/>
                <w:szCs w:val="24"/>
              </w:rPr>
            </w:pPr>
          </w:p>
          <w:p w14:paraId="2DCB501B" w14:textId="093510A0" w:rsidR="00875755" w:rsidRPr="0048438C" w:rsidRDefault="00875755" w:rsidP="0048438C">
            <w:pPr>
              <w:spacing w:before="60" w:after="60"/>
              <w:rPr>
                <w:noProof/>
                <w:szCs w:val="24"/>
                <w:highlight w:val="yellow"/>
              </w:rPr>
            </w:pPr>
            <w:r w:rsidRPr="0048438C">
              <w:rPr>
                <w:noProof/>
                <w:szCs w:val="24"/>
              </w:rPr>
              <w:t xml:space="preserve">In response to this Regulatory Observation Action, </w:t>
            </w:r>
            <w:r w:rsidR="00AB1EA2">
              <w:rPr>
                <w:noProof/>
                <w:szCs w:val="24"/>
              </w:rPr>
              <w:t>Holtec</w:t>
            </w:r>
            <w:r w:rsidRPr="0048438C">
              <w:rPr>
                <w:noProof/>
                <w:szCs w:val="24"/>
              </w:rPr>
              <w:t xml:space="preserve"> should:</w:t>
            </w:r>
          </w:p>
          <w:p w14:paraId="20AA25FA" w14:textId="3153B85C" w:rsidR="003C7579" w:rsidRPr="001452A1" w:rsidRDefault="00BA1C0B" w:rsidP="00BA1C0B">
            <w:pPr>
              <w:pStyle w:val="ListParagraph"/>
              <w:numPr>
                <w:ilvl w:val="0"/>
                <w:numId w:val="26"/>
              </w:numPr>
              <w:spacing w:before="60" w:after="60"/>
              <w:rPr>
                <w:noProof/>
                <w:szCs w:val="24"/>
              </w:rPr>
            </w:pPr>
            <w:r w:rsidRPr="001452A1">
              <w:rPr>
                <w:noProof/>
                <w:szCs w:val="24"/>
              </w:rPr>
              <w:t>Explain the basis for selected break/leak sizes</w:t>
            </w:r>
            <w:r w:rsidR="002F54D9" w:rsidRPr="001452A1">
              <w:rPr>
                <w:noProof/>
                <w:szCs w:val="24"/>
              </w:rPr>
              <w:t xml:space="preserve"> following postulated failures of the CS. The size of break should take into account the different types of failures identified and </w:t>
            </w:r>
            <w:r w:rsidR="00C06823">
              <w:rPr>
                <w:noProof/>
                <w:szCs w:val="24"/>
              </w:rPr>
              <w:t xml:space="preserve">consider the </w:t>
            </w:r>
            <w:r w:rsidR="002F54D9" w:rsidRPr="001452A1">
              <w:rPr>
                <w:noProof/>
                <w:szCs w:val="24"/>
              </w:rPr>
              <w:t>associated frequencies.</w:t>
            </w:r>
          </w:p>
          <w:p w14:paraId="277998F4" w14:textId="388116E9" w:rsidR="001452A1" w:rsidRPr="001452A1" w:rsidRDefault="001452A1" w:rsidP="00BA1C0B">
            <w:pPr>
              <w:pStyle w:val="ListParagraph"/>
              <w:numPr>
                <w:ilvl w:val="0"/>
                <w:numId w:val="26"/>
              </w:numPr>
              <w:spacing w:before="60" w:after="60"/>
              <w:rPr>
                <w:noProof/>
                <w:szCs w:val="24"/>
              </w:rPr>
            </w:pPr>
            <w:r w:rsidRPr="001452A1">
              <w:rPr>
                <w:noProof/>
                <w:szCs w:val="24"/>
              </w:rPr>
              <w:t>Explain the sensi</w:t>
            </w:r>
            <w:r w:rsidR="00C06823">
              <w:rPr>
                <w:noProof/>
                <w:szCs w:val="24"/>
              </w:rPr>
              <w:t>ti</w:t>
            </w:r>
            <w:r w:rsidRPr="001452A1">
              <w:rPr>
                <w:noProof/>
                <w:szCs w:val="24"/>
              </w:rPr>
              <w:t>vity of consequence analysis to the assumed break size including any potential cliff edge effects.</w:t>
            </w:r>
          </w:p>
          <w:p w14:paraId="4573E04D" w14:textId="79A415FC"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AB1EA2">
              <w:rPr>
                <w:bCs/>
                <w:i/>
                <w:noProof/>
                <w:szCs w:val="24"/>
              </w:rPr>
              <w:t>Holtec</w:t>
            </w:r>
            <w:r w:rsidRPr="00FD0CB5">
              <w:rPr>
                <w:bCs/>
                <w:i/>
                <w:noProof/>
                <w:szCs w:val="24"/>
              </w:rPr>
              <w:t xml:space="preserve"> Resolution Plan</w:t>
            </w:r>
            <w:r w:rsidRPr="00FD0CB5">
              <w:rPr>
                <w:bCs/>
                <w:noProof/>
                <w:szCs w:val="24"/>
              </w:rPr>
              <w:t>'</w:t>
            </w:r>
          </w:p>
        </w:tc>
      </w:tr>
      <w:tr w:rsidR="009D2A02" w:rsidRPr="0048438C" w14:paraId="0839CC87" w14:textId="77777777" w:rsidTr="29591FED">
        <w:trPr>
          <w:trHeight w:val="242"/>
        </w:trPr>
        <w:tc>
          <w:tcPr>
            <w:tcW w:w="9897" w:type="dxa"/>
            <w:gridSpan w:val="2"/>
          </w:tcPr>
          <w:p w14:paraId="47DB14A6" w14:textId="1038EF5D" w:rsidR="009D2A02" w:rsidRDefault="009D2A02" w:rsidP="009D2A02">
            <w:pPr>
              <w:spacing w:before="60" w:after="60"/>
              <w:rPr>
                <w:b/>
                <w:noProof/>
                <w:szCs w:val="24"/>
              </w:rPr>
            </w:pPr>
            <w:r w:rsidRPr="008657F1">
              <w:rPr>
                <w:b/>
                <w:noProof/>
                <w:szCs w:val="24"/>
              </w:rPr>
              <w:t>RO-HOLTECSMR300-</w:t>
            </w:r>
            <w:r w:rsidR="008C4A8D">
              <w:rPr>
                <w:b/>
                <w:noProof/>
                <w:szCs w:val="24"/>
              </w:rPr>
              <w:t>007</w:t>
            </w:r>
            <w:r w:rsidRPr="008657F1">
              <w:rPr>
                <w:b/>
                <w:noProof/>
                <w:szCs w:val="24"/>
              </w:rPr>
              <w:t>.A</w:t>
            </w:r>
            <w:r>
              <w:rPr>
                <w:b/>
                <w:noProof/>
                <w:szCs w:val="24"/>
              </w:rPr>
              <w:t>2</w:t>
            </w:r>
            <w:r w:rsidRPr="008657F1">
              <w:rPr>
                <w:b/>
                <w:noProof/>
                <w:szCs w:val="24"/>
              </w:rPr>
              <w:t xml:space="preserve"> – </w:t>
            </w:r>
            <w:r w:rsidR="00F87E55">
              <w:rPr>
                <w:b/>
                <w:noProof/>
                <w:szCs w:val="24"/>
              </w:rPr>
              <w:t xml:space="preserve">Identification of </w:t>
            </w:r>
            <w:r w:rsidR="006856AF">
              <w:rPr>
                <w:b/>
                <w:noProof/>
                <w:szCs w:val="24"/>
              </w:rPr>
              <w:t xml:space="preserve">impacted </w:t>
            </w:r>
            <w:r w:rsidR="00F87E55">
              <w:rPr>
                <w:b/>
                <w:noProof/>
                <w:szCs w:val="24"/>
              </w:rPr>
              <w:t xml:space="preserve">SSCs and </w:t>
            </w:r>
            <w:r w:rsidRPr="008657F1">
              <w:rPr>
                <w:b/>
                <w:noProof/>
                <w:szCs w:val="24"/>
              </w:rPr>
              <w:t>Assessment of</w:t>
            </w:r>
            <w:r>
              <w:rPr>
                <w:b/>
                <w:noProof/>
                <w:szCs w:val="24"/>
              </w:rPr>
              <w:t xml:space="preserve"> flooding level as a function of time within identified scenarios</w:t>
            </w:r>
          </w:p>
          <w:p w14:paraId="3AB4094F" w14:textId="77777777" w:rsidR="009D2A02" w:rsidRDefault="009D2A02" w:rsidP="009D2A02">
            <w:pPr>
              <w:spacing w:before="60" w:after="60"/>
              <w:rPr>
                <w:b/>
                <w:noProof/>
                <w:szCs w:val="24"/>
              </w:rPr>
            </w:pPr>
          </w:p>
          <w:p w14:paraId="27D5EFD8" w14:textId="77777777" w:rsidR="009D2A02" w:rsidRPr="0048438C" w:rsidRDefault="009D2A02" w:rsidP="009D2A02">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212C3487" w14:textId="77777777" w:rsidR="00705BB0" w:rsidRPr="001C49EC" w:rsidRDefault="002E3A94" w:rsidP="009D2A02">
            <w:pPr>
              <w:pStyle w:val="ListParagraph"/>
              <w:numPr>
                <w:ilvl w:val="0"/>
                <w:numId w:val="28"/>
              </w:numPr>
              <w:spacing w:before="60" w:after="60"/>
              <w:rPr>
                <w:b/>
                <w:noProof/>
                <w:szCs w:val="24"/>
              </w:rPr>
            </w:pPr>
            <w:r>
              <w:rPr>
                <w:bCs/>
                <w:noProof/>
                <w:szCs w:val="24"/>
              </w:rPr>
              <w:t>Provide a level by level description of the CS floodable volume</w:t>
            </w:r>
            <w:r w:rsidR="00705BB0">
              <w:rPr>
                <w:bCs/>
                <w:noProof/>
                <w:szCs w:val="24"/>
              </w:rPr>
              <w:t xml:space="preserve"> and </w:t>
            </w:r>
            <w:r>
              <w:rPr>
                <w:noProof/>
                <w:szCs w:val="24"/>
              </w:rPr>
              <w:t>any other areas of the CS which may become flooded</w:t>
            </w:r>
            <w:r w:rsidR="00705BB0">
              <w:rPr>
                <w:noProof/>
                <w:szCs w:val="24"/>
              </w:rPr>
              <w:t>.</w:t>
            </w:r>
          </w:p>
          <w:p w14:paraId="57B4DF75" w14:textId="77777777" w:rsidR="00F87E55" w:rsidRPr="001C49EC" w:rsidRDefault="00705BB0" w:rsidP="009D2A02">
            <w:pPr>
              <w:pStyle w:val="ListParagraph"/>
              <w:numPr>
                <w:ilvl w:val="0"/>
                <w:numId w:val="28"/>
              </w:numPr>
              <w:spacing w:before="60" w:after="60"/>
              <w:rPr>
                <w:b/>
                <w:noProof/>
                <w:szCs w:val="24"/>
              </w:rPr>
            </w:pPr>
            <w:r>
              <w:rPr>
                <w:noProof/>
                <w:szCs w:val="24"/>
              </w:rPr>
              <w:t>Identify which SSCs are physically located within the CS floodable volume</w:t>
            </w:r>
            <w:r>
              <w:rPr>
                <w:bCs/>
                <w:noProof/>
                <w:szCs w:val="24"/>
              </w:rPr>
              <w:t xml:space="preserve"> and </w:t>
            </w:r>
            <w:r>
              <w:rPr>
                <w:noProof/>
                <w:szCs w:val="24"/>
              </w:rPr>
              <w:t>any other areas of the CS which may become flooded.</w:t>
            </w:r>
          </w:p>
          <w:p w14:paraId="1E022BB2" w14:textId="68297CB3" w:rsidR="002E3A94" w:rsidRPr="001C49EC" w:rsidRDefault="00F87E55" w:rsidP="009D2A02">
            <w:pPr>
              <w:pStyle w:val="ListParagraph"/>
              <w:numPr>
                <w:ilvl w:val="0"/>
                <w:numId w:val="28"/>
              </w:numPr>
              <w:spacing w:before="60" w:after="60"/>
              <w:rPr>
                <w:b/>
                <w:noProof/>
                <w:szCs w:val="24"/>
              </w:rPr>
            </w:pPr>
            <w:r>
              <w:rPr>
                <w:bCs/>
                <w:noProof/>
                <w:szCs w:val="24"/>
              </w:rPr>
              <w:t xml:space="preserve">Identify </w:t>
            </w:r>
            <w:r w:rsidR="002E3A94">
              <w:rPr>
                <w:bCs/>
                <w:noProof/>
                <w:szCs w:val="24"/>
              </w:rPr>
              <w:t xml:space="preserve">SSCs and other equipment which may initiate a plant response either through deliberate or spurious operation during a flood event. Specifically, this should include </w:t>
            </w:r>
            <w:r w:rsidR="002E3A94" w:rsidRPr="00BA4154">
              <w:rPr>
                <w:szCs w:val="24"/>
              </w:rPr>
              <w:t xml:space="preserve">the location of MOVs which are </w:t>
            </w:r>
            <w:r w:rsidR="00681552">
              <w:rPr>
                <w:szCs w:val="24"/>
              </w:rPr>
              <w:t xml:space="preserve">needed </w:t>
            </w:r>
            <w:r w:rsidR="002E3A94" w:rsidRPr="00BA4154">
              <w:rPr>
                <w:szCs w:val="24"/>
              </w:rPr>
              <w:t>as part of the PCCS</w:t>
            </w:r>
            <w:r w:rsidR="008A2B6D">
              <w:rPr>
                <w:szCs w:val="24"/>
              </w:rPr>
              <w:t>.</w:t>
            </w:r>
          </w:p>
          <w:p w14:paraId="6FB3060A" w14:textId="2268AE34" w:rsidR="00F87E55" w:rsidRPr="001C49EC" w:rsidRDefault="00F87E55" w:rsidP="00F87E55">
            <w:pPr>
              <w:pStyle w:val="ListParagraph"/>
              <w:numPr>
                <w:ilvl w:val="0"/>
                <w:numId w:val="28"/>
              </w:numPr>
              <w:spacing w:before="60" w:after="60"/>
              <w:rPr>
                <w:b/>
                <w:noProof/>
                <w:szCs w:val="24"/>
              </w:rPr>
            </w:pPr>
            <w:r>
              <w:rPr>
                <w:bCs/>
                <w:noProof/>
                <w:szCs w:val="24"/>
              </w:rPr>
              <w:t xml:space="preserve">Provide a timeline of flooding levels within the CS against the scenarios identified in Action </w:t>
            </w:r>
            <w:r w:rsidR="006856AF">
              <w:rPr>
                <w:bCs/>
                <w:noProof/>
                <w:szCs w:val="24"/>
              </w:rPr>
              <w:t>A</w:t>
            </w:r>
            <w:r>
              <w:rPr>
                <w:bCs/>
                <w:noProof/>
                <w:szCs w:val="24"/>
              </w:rPr>
              <w:t>1. This should also identify the likely time to fail for SSCs significant to nuclear safety.</w:t>
            </w:r>
          </w:p>
          <w:p w14:paraId="234507E3" w14:textId="77777777" w:rsidR="009D2A02" w:rsidRDefault="009D2A02" w:rsidP="009D2A02">
            <w:pPr>
              <w:spacing w:before="60" w:after="60"/>
              <w:rPr>
                <w:b/>
                <w:noProof/>
                <w:szCs w:val="24"/>
              </w:rPr>
            </w:pPr>
          </w:p>
          <w:p w14:paraId="6D2D91A8" w14:textId="2A4C5A52" w:rsidR="009D2A02" w:rsidRPr="003D48D8" w:rsidRDefault="009D2A02" w:rsidP="009D2A02">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0D2287" w:rsidRPr="00B5423F" w14:paraId="1B8FCF0F" w14:textId="77777777" w:rsidTr="29591FED">
        <w:trPr>
          <w:trHeight w:val="242"/>
        </w:trPr>
        <w:tc>
          <w:tcPr>
            <w:tcW w:w="9897" w:type="dxa"/>
            <w:gridSpan w:val="2"/>
          </w:tcPr>
          <w:p w14:paraId="05E082B4" w14:textId="5D660E56" w:rsidR="000D2287" w:rsidRDefault="000D2287" w:rsidP="0048438C">
            <w:pPr>
              <w:spacing w:before="60" w:after="60"/>
              <w:rPr>
                <w:b/>
                <w:noProof/>
                <w:szCs w:val="24"/>
              </w:rPr>
            </w:pPr>
            <w:r w:rsidRPr="00B5423F">
              <w:rPr>
                <w:b/>
                <w:noProof/>
                <w:szCs w:val="24"/>
              </w:rPr>
              <w:lastRenderedPageBreak/>
              <w:t>RO-HOLTECSMR300-</w:t>
            </w:r>
            <w:r w:rsidR="00E65C64">
              <w:rPr>
                <w:b/>
                <w:noProof/>
                <w:szCs w:val="24"/>
              </w:rPr>
              <w:t>007</w:t>
            </w:r>
            <w:r w:rsidRPr="00B5423F">
              <w:rPr>
                <w:b/>
                <w:noProof/>
                <w:szCs w:val="24"/>
              </w:rPr>
              <w:t>.</w:t>
            </w:r>
            <w:r w:rsidR="00134719" w:rsidRPr="00B5423F">
              <w:rPr>
                <w:b/>
                <w:noProof/>
                <w:szCs w:val="24"/>
              </w:rPr>
              <w:t>A</w:t>
            </w:r>
            <w:r w:rsidR="009D2A02">
              <w:rPr>
                <w:b/>
                <w:noProof/>
                <w:szCs w:val="24"/>
              </w:rPr>
              <w:t>3</w:t>
            </w:r>
            <w:r w:rsidR="00134719" w:rsidRPr="00B5423F">
              <w:rPr>
                <w:b/>
                <w:noProof/>
                <w:szCs w:val="24"/>
              </w:rPr>
              <w:t xml:space="preserve"> </w:t>
            </w:r>
            <w:r w:rsidR="00B5423F" w:rsidRPr="00B5423F">
              <w:rPr>
                <w:b/>
                <w:noProof/>
                <w:szCs w:val="24"/>
              </w:rPr>
              <w:t>–</w:t>
            </w:r>
            <w:r w:rsidR="00781A95">
              <w:rPr>
                <w:b/>
                <w:noProof/>
                <w:szCs w:val="24"/>
              </w:rPr>
              <w:t xml:space="preserve"> SSC</w:t>
            </w:r>
            <w:r w:rsidR="00B5423F">
              <w:rPr>
                <w:b/>
                <w:noProof/>
                <w:szCs w:val="24"/>
              </w:rPr>
              <w:t xml:space="preserve"> qualification requirements</w:t>
            </w:r>
          </w:p>
          <w:p w14:paraId="359F387F" w14:textId="77777777" w:rsidR="001452A1" w:rsidRDefault="001452A1" w:rsidP="0048438C">
            <w:pPr>
              <w:spacing w:before="60" w:after="60"/>
              <w:rPr>
                <w:b/>
                <w:noProof/>
                <w:szCs w:val="24"/>
              </w:rPr>
            </w:pPr>
          </w:p>
          <w:p w14:paraId="6929F31F" w14:textId="77777777" w:rsidR="001452A1" w:rsidRPr="0048438C" w:rsidRDefault="001452A1" w:rsidP="001452A1">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753105BC" w14:textId="74B68782" w:rsidR="001452A1" w:rsidRPr="003874A4" w:rsidRDefault="00643090" w:rsidP="001452A1">
            <w:pPr>
              <w:pStyle w:val="ListParagraph"/>
              <w:numPr>
                <w:ilvl w:val="0"/>
                <w:numId w:val="27"/>
              </w:numPr>
              <w:spacing w:before="60" w:after="60"/>
              <w:rPr>
                <w:b/>
                <w:noProof/>
                <w:szCs w:val="24"/>
              </w:rPr>
            </w:pPr>
            <w:r>
              <w:rPr>
                <w:noProof/>
                <w:szCs w:val="24"/>
              </w:rPr>
              <w:t xml:space="preserve">For the </w:t>
            </w:r>
            <w:r w:rsidR="003874A4">
              <w:rPr>
                <w:noProof/>
                <w:szCs w:val="24"/>
              </w:rPr>
              <w:t>SSCs</w:t>
            </w:r>
            <w:r>
              <w:rPr>
                <w:noProof/>
                <w:szCs w:val="24"/>
              </w:rPr>
              <w:t xml:space="preserve"> identified in Action </w:t>
            </w:r>
            <w:r w:rsidR="007103C7">
              <w:rPr>
                <w:noProof/>
                <w:szCs w:val="24"/>
              </w:rPr>
              <w:t>A</w:t>
            </w:r>
            <w:r>
              <w:rPr>
                <w:noProof/>
                <w:szCs w:val="24"/>
              </w:rPr>
              <w:t>2</w:t>
            </w:r>
            <w:r w:rsidR="003874A4">
              <w:rPr>
                <w:noProof/>
                <w:szCs w:val="24"/>
              </w:rPr>
              <w:t xml:space="preserve"> </w:t>
            </w:r>
            <w:r>
              <w:rPr>
                <w:noProof/>
                <w:szCs w:val="24"/>
              </w:rPr>
              <w:t xml:space="preserve">state the </w:t>
            </w:r>
            <w:r w:rsidR="003874A4">
              <w:rPr>
                <w:noProof/>
                <w:szCs w:val="24"/>
              </w:rPr>
              <w:t>qualifications in the current design against</w:t>
            </w:r>
            <w:r>
              <w:rPr>
                <w:noProof/>
                <w:szCs w:val="24"/>
              </w:rPr>
              <w:t xml:space="preserve"> all potential </w:t>
            </w:r>
            <w:r w:rsidR="002A7499">
              <w:rPr>
                <w:noProof/>
                <w:szCs w:val="24"/>
              </w:rPr>
              <w:t xml:space="preserve">internal </w:t>
            </w:r>
            <w:r w:rsidR="00CB4AB1">
              <w:rPr>
                <w:noProof/>
                <w:szCs w:val="24"/>
              </w:rPr>
              <w:t>hazard</w:t>
            </w:r>
            <w:r w:rsidR="002A7499">
              <w:rPr>
                <w:noProof/>
                <w:szCs w:val="24"/>
              </w:rPr>
              <w:t>s</w:t>
            </w:r>
            <w:r w:rsidR="00CB4AB1">
              <w:rPr>
                <w:noProof/>
                <w:szCs w:val="24"/>
              </w:rPr>
              <w:t xml:space="preserve"> associated with a potential failure of the AR. Explicitly this should include</w:t>
            </w:r>
            <w:r w:rsidR="003874A4">
              <w:rPr>
                <w:noProof/>
                <w:szCs w:val="24"/>
              </w:rPr>
              <w:t xml:space="preserve"> spray, jetting and immersion.</w:t>
            </w:r>
          </w:p>
          <w:p w14:paraId="515A694F" w14:textId="77777777" w:rsidR="003874A4" w:rsidRPr="00F907BB" w:rsidRDefault="00287B71" w:rsidP="001452A1">
            <w:pPr>
              <w:pStyle w:val="ListParagraph"/>
              <w:numPr>
                <w:ilvl w:val="0"/>
                <w:numId w:val="27"/>
              </w:numPr>
              <w:spacing w:before="60" w:after="60"/>
              <w:rPr>
                <w:b/>
                <w:noProof/>
                <w:szCs w:val="24"/>
              </w:rPr>
            </w:pPr>
            <w:r>
              <w:rPr>
                <w:noProof/>
                <w:szCs w:val="24"/>
              </w:rPr>
              <w:t>Identify which SSCs would be assumed to fail in the event of immersion.</w:t>
            </w:r>
          </w:p>
          <w:p w14:paraId="3F0A50F7" w14:textId="77777777" w:rsidR="00F907BB" w:rsidRDefault="00F907BB" w:rsidP="00F907BB">
            <w:pPr>
              <w:spacing w:before="60" w:after="60"/>
              <w:rPr>
                <w:b/>
                <w:noProof/>
                <w:szCs w:val="24"/>
              </w:rPr>
            </w:pPr>
          </w:p>
          <w:p w14:paraId="05A16441" w14:textId="09D0DB84" w:rsidR="00F907BB" w:rsidRPr="00F907BB" w:rsidRDefault="00F907BB" w:rsidP="00F907BB">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B5423F" w:rsidRPr="00694D66" w14:paraId="6A108F2C" w14:textId="77777777" w:rsidTr="29591FED">
        <w:trPr>
          <w:trHeight w:val="242"/>
        </w:trPr>
        <w:tc>
          <w:tcPr>
            <w:tcW w:w="9897" w:type="dxa"/>
            <w:gridSpan w:val="2"/>
          </w:tcPr>
          <w:p w14:paraId="3E369992" w14:textId="6EE8BB5D" w:rsidR="00B5423F" w:rsidRDefault="00B5423F" w:rsidP="0048438C">
            <w:pPr>
              <w:spacing w:before="60" w:after="60"/>
              <w:rPr>
                <w:b/>
                <w:noProof/>
                <w:szCs w:val="24"/>
              </w:rPr>
            </w:pPr>
            <w:r w:rsidRPr="00694D66">
              <w:rPr>
                <w:b/>
                <w:noProof/>
                <w:szCs w:val="24"/>
              </w:rPr>
              <w:t>RO-HOLTECSMR300-</w:t>
            </w:r>
            <w:r w:rsidR="00E65C64">
              <w:rPr>
                <w:b/>
                <w:noProof/>
                <w:szCs w:val="24"/>
              </w:rPr>
              <w:t>007</w:t>
            </w:r>
            <w:r w:rsidRPr="00694D66">
              <w:rPr>
                <w:b/>
                <w:noProof/>
                <w:szCs w:val="24"/>
              </w:rPr>
              <w:t>.A</w:t>
            </w:r>
            <w:r w:rsidR="002A7499">
              <w:rPr>
                <w:b/>
                <w:noProof/>
                <w:szCs w:val="24"/>
              </w:rPr>
              <w:t>4</w:t>
            </w:r>
            <w:r w:rsidR="00694D66" w:rsidRPr="00694D66">
              <w:rPr>
                <w:b/>
                <w:noProof/>
                <w:szCs w:val="24"/>
              </w:rPr>
              <w:t xml:space="preserve"> – </w:t>
            </w:r>
            <w:r w:rsidR="00202AC7">
              <w:rPr>
                <w:b/>
                <w:noProof/>
                <w:szCs w:val="24"/>
              </w:rPr>
              <w:t xml:space="preserve">Demonstration of plant tolerance to </w:t>
            </w:r>
            <w:r w:rsidR="002A7499">
              <w:rPr>
                <w:b/>
                <w:noProof/>
                <w:szCs w:val="24"/>
              </w:rPr>
              <w:t>AR failure sequences</w:t>
            </w:r>
          </w:p>
          <w:p w14:paraId="6C9A43A6" w14:textId="77777777" w:rsidR="005E6632" w:rsidRDefault="005E6632" w:rsidP="0048438C">
            <w:pPr>
              <w:spacing w:before="60" w:after="60"/>
              <w:rPr>
                <w:b/>
                <w:noProof/>
                <w:szCs w:val="24"/>
              </w:rPr>
            </w:pPr>
          </w:p>
          <w:p w14:paraId="45E27DBE" w14:textId="77777777" w:rsidR="005E6632" w:rsidRDefault="005E6632" w:rsidP="0048438C">
            <w:pPr>
              <w:spacing w:before="60" w:after="60"/>
              <w:rPr>
                <w:noProof/>
                <w:szCs w:val="24"/>
              </w:rPr>
            </w:pPr>
            <w:r w:rsidRPr="0048438C">
              <w:rPr>
                <w:noProof/>
                <w:szCs w:val="24"/>
              </w:rPr>
              <w:t xml:space="preserve">In response to this Regulatory Observation Action, </w:t>
            </w:r>
            <w:r>
              <w:rPr>
                <w:noProof/>
                <w:szCs w:val="24"/>
              </w:rPr>
              <w:t>Holtec</w:t>
            </w:r>
            <w:r w:rsidRPr="0048438C">
              <w:rPr>
                <w:noProof/>
                <w:szCs w:val="24"/>
              </w:rPr>
              <w:t xml:space="preserve"> should</w:t>
            </w:r>
            <w:r>
              <w:rPr>
                <w:noProof/>
                <w:szCs w:val="24"/>
              </w:rPr>
              <w:t>:</w:t>
            </w:r>
          </w:p>
          <w:p w14:paraId="007F5A9D" w14:textId="1EA4D25F" w:rsidR="00934334" w:rsidRDefault="005E6632" w:rsidP="005E6632">
            <w:pPr>
              <w:pStyle w:val="ListParagraph"/>
              <w:numPr>
                <w:ilvl w:val="0"/>
                <w:numId w:val="28"/>
              </w:numPr>
              <w:spacing w:before="60" w:after="60"/>
              <w:rPr>
                <w:bCs/>
                <w:noProof/>
                <w:szCs w:val="24"/>
              </w:rPr>
            </w:pPr>
            <w:r w:rsidRPr="00FE4C3D">
              <w:rPr>
                <w:bCs/>
                <w:noProof/>
                <w:szCs w:val="24"/>
              </w:rPr>
              <w:t>Explain the safety case assumptions</w:t>
            </w:r>
            <w:r w:rsidR="00934334">
              <w:rPr>
                <w:bCs/>
                <w:noProof/>
                <w:szCs w:val="24"/>
              </w:rPr>
              <w:t xml:space="preserve"> associated with failure of the annular reservoir </w:t>
            </w:r>
            <w:r w:rsidR="00005BA6">
              <w:rPr>
                <w:bCs/>
                <w:noProof/>
                <w:szCs w:val="24"/>
              </w:rPr>
              <w:t xml:space="preserve">and the </w:t>
            </w:r>
            <w:r w:rsidR="0023453D">
              <w:rPr>
                <w:bCs/>
                <w:noProof/>
                <w:szCs w:val="24"/>
              </w:rPr>
              <w:t xml:space="preserve">likely plant response in each of the scenarios identified in Action </w:t>
            </w:r>
            <w:r w:rsidR="00A53576">
              <w:rPr>
                <w:bCs/>
                <w:noProof/>
                <w:szCs w:val="24"/>
              </w:rPr>
              <w:t>A</w:t>
            </w:r>
            <w:r w:rsidR="0023453D">
              <w:rPr>
                <w:bCs/>
                <w:noProof/>
                <w:szCs w:val="24"/>
              </w:rPr>
              <w:t>1</w:t>
            </w:r>
            <w:r w:rsidR="000720B3">
              <w:rPr>
                <w:bCs/>
                <w:noProof/>
                <w:szCs w:val="24"/>
              </w:rPr>
              <w:t xml:space="preserve">. In each case </w:t>
            </w:r>
            <w:r w:rsidR="00DA128B">
              <w:rPr>
                <w:bCs/>
                <w:noProof/>
                <w:szCs w:val="24"/>
              </w:rPr>
              <w:t xml:space="preserve">the analysis should consider </w:t>
            </w:r>
            <w:r w:rsidR="00DA128B" w:rsidRPr="00FE4C3D">
              <w:rPr>
                <w:bCs/>
                <w:noProof/>
                <w:szCs w:val="24"/>
              </w:rPr>
              <w:t>any sensitivities associated with assumptions made in defining the initating event</w:t>
            </w:r>
            <w:r w:rsidR="0023453D">
              <w:rPr>
                <w:bCs/>
                <w:noProof/>
                <w:szCs w:val="24"/>
              </w:rPr>
              <w:t>. Explicitly this should consider</w:t>
            </w:r>
            <w:r w:rsidR="00AC1C45">
              <w:rPr>
                <w:bCs/>
                <w:noProof/>
                <w:szCs w:val="24"/>
              </w:rPr>
              <w:t xml:space="preserve"> and assess</w:t>
            </w:r>
            <w:r w:rsidR="0023453D">
              <w:rPr>
                <w:bCs/>
                <w:noProof/>
                <w:szCs w:val="24"/>
              </w:rPr>
              <w:t>:</w:t>
            </w:r>
          </w:p>
          <w:p w14:paraId="425EFEE0" w14:textId="5135800C" w:rsidR="00AB2573" w:rsidRDefault="00AC1C45" w:rsidP="00AB2573">
            <w:pPr>
              <w:pStyle w:val="ListParagraph"/>
              <w:numPr>
                <w:ilvl w:val="1"/>
                <w:numId w:val="28"/>
              </w:numPr>
              <w:spacing w:before="60" w:after="60"/>
              <w:rPr>
                <w:bCs/>
                <w:noProof/>
                <w:szCs w:val="24"/>
              </w:rPr>
            </w:pPr>
            <w:r>
              <w:rPr>
                <w:bCs/>
                <w:noProof/>
                <w:szCs w:val="24"/>
              </w:rPr>
              <w:t>T</w:t>
            </w:r>
            <w:r w:rsidR="00AB2573">
              <w:rPr>
                <w:bCs/>
                <w:noProof/>
                <w:szCs w:val="24"/>
              </w:rPr>
              <w:t>he potential for</w:t>
            </w:r>
            <w:r w:rsidR="005E6632" w:rsidRPr="00FE4C3D">
              <w:rPr>
                <w:bCs/>
                <w:noProof/>
                <w:szCs w:val="24"/>
              </w:rPr>
              <w:t xml:space="preserve"> </w:t>
            </w:r>
            <w:r w:rsidR="009D7E89" w:rsidRPr="00FE4C3D">
              <w:rPr>
                <w:bCs/>
                <w:noProof/>
                <w:szCs w:val="24"/>
              </w:rPr>
              <w:t xml:space="preserve">thermal shock following discharge of AR water onto hot components within the CS. This should include justifications for any </w:t>
            </w:r>
            <w:r w:rsidR="00D800F0" w:rsidRPr="00FE4C3D">
              <w:rPr>
                <w:bCs/>
                <w:noProof/>
                <w:szCs w:val="24"/>
              </w:rPr>
              <w:t>components where withstand is claimed as well as any associated frequency assumptions used to screen fault sequ</w:t>
            </w:r>
            <w:r w:rsidR="00DE0211">
              <w:rPr>
                <w:bCs/>
                <w:noProof/>
                <w:szCs w:val="24"/>
              </w:rPr>
              <w:t>e</w:t>
            </w:r>
            <w:r w:rsidR="00D800F0" w:rsidRPr="00FE4C3D">
              <w:rPr>
                <w:bCs/>
                <w:noProof/>
                <w:szCs w:val="24"/>
              </w:rPr>
              <w:t>nces.</w:t>
            </w:r>
          </w:p>
          <w:p w14:paraId="778ADA15" w14:textId="7520B20C" w:rsidR="00B347FC" w:rsidRDefault="00AC1C45" w:rsidP="00AB2573">
            <w:pPr>
              <w:pStyle w:val="ListParagraph"/>
              <w:numPr>
                <w:ilvl w:val="1"/>
                <w:numId w:val="28"/>
              </w:numPr>
              <w:spacing w:before="60" w:after="60"/>
              <w:rPr>
                <w:bCs/>
                <w:noProof/>
                <w:szCs w:val="24"/>
              </w:rPr>
            </w:pPr>
            <w:r>
              <w:rPr>
                <w:bCs/>
                <w:noProof/>
                <w:szCs w:val="24"/>
              </w:rPr>
              <w:t>T</w:t>
            </w:r>
            <w:r w:rsidR="00B347FC" w:rsidRPr="001C49EC">
              <w:rPr>
                <w:bCs/>
                <w:noProof/>
                <w:szCs w:val="24"/>
              </w:rPr>
              <w:t>he potential for progressive dilution of boronated water sources required for criticality hold-down purposes. Specifically this should include consideration of the SFP and PCMWT.</w:t>
            </w:r>
          </w:p>
          <w:p w14:paraId="50C27204" w14:textId="76BFF105" w:rsidR="00F42C9D" w:rsidRPr="001C49EC" w:rsidRDefault="00F42C9D" w:rsidP="001C49EC">
            <w:pPr>
              <w:pStyle w:val="ListParagraph"/>
              <w:numPr>
                <w:ilvl w:val="1"/>
                <w:numId w:val="28"/>
              </w:numPr>
              <w:spacing w:before="60" w:after="60"/>
              <w:rPr>
                <w:bCs/>
                <w:noProof/>
                <w:szCs w:val="24"/>
              </w:rPr>
            </w:pPr>
            <w:r>
              <w:rPr>
                <w:bCs/>
                <w:noProof/>
                <w:szCs w:val="24"/>
              </w:rPr>
              <w:t>The ability of the AR to act as the plant ultimate heat sink under postulated failure scenarios.</w:t>
            </w:r>
          </w:p>
          <w:p w14:paraId="102F9F3A" w14:textId="77777777" w:rsidR="00F907BB" w:rsidRDefault="00F907BB" w:rsidP="00F907BB">
            <w:pPr>
              <w:spacing w:before="60" w:after="60"/>
              <w:rPr>
                <w:b/>
                <w:noProof/>
                <w:szCs w:val="24"/>
              </w:rPr>
            </w:pPr>
          </w:p>
          <w:p w14:paraId="67D82501" w14:textId="0DFC35A3" w:rsidR="00F907BB" w:rsidRPr="00F907BB" w:rsidRDefault="00F907BB" w:rsidP="00F907BB">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3A6FC5" w:rsidRPr="00C538FF" w14:paraId="7F720C8C" w14:textId="77777777" w:rsidTr="29591FED">
        <w:trPr>
          <w:trHeight w:val="242"/>
        </w:trPr>
        <w:tc>
          <w:tcPr>
            <w:tcW w:w="9897" w:type="dxa"/>
            <w:gridSpan w:val="2"/>
          </w:tcPr>
          <w:p w14:paraId="2B95D21D" w14:textId="7B46B53F" w:rsidR="003A6FC5" w:rsidRDefault="003A6FC5" w:rsidP="0048438C">
            <w:pPr>
              <w:spacing w:before="60" w:after="60"/>
              <w:rPr>
                <w:b/>
                <w:noProof/>
                <w:szCs w:val="24"/>
              </w:rPr>
            </w:pPr>
            <w:r w:rsidRPr="00694D66">
              <w:rPr>
                <w:b/>
                <w:noProof/>
                <w:szCs w:val="24"/>
              </w:rPr>
              <w:t>RO-HOLTECSMR300-</w:t>
            </w:r>
            <w:r w:rsidR="00E65C64">
              <w:rPr>
                <w:b/>
                <w:noProof/>
                <w:szCs w:val="24"/>
              </w:rPr>
              <w:t>007</w:t>
            </w:r>
            <w:r w:rsidRPr="00694D66">
              <w:rPr>
                <w:b/>
                <w:noProof/>
                <w:szCs w:val="24"/>
              </w:rPr>
              <w:t>.A</w:t>
            </w:r>
            <w:r w:rsidR="00E65C64">
              <w:rPr>
                <w:b/>
                <w:noProof/>
                <w:szCs w:val="24"/>
              </w:rPr>
              <w:t>5</w:t>
            </w:r>
            <w:r w:rsidRPr="00694D66">
              <w:rPr>
                <w:b/>
                <w:noProof/>
                <w:szCs w:val="24"/>
              </w:rPr>
              <w:t xml:space="preserve"> – </w:t>
            </w:r>
            <w:r>
              <w:rPr>
                <w:b/>
                <w:noProof/>
                <w:szCs w:val="24"/>
              </w:rPr>
              <w:t xml:space="preserve">Demonstration </w:t>
            </w:r>
            <w:r w:rsidR="00D3362B">
              <w:rPr>
                <w:b/>
                <w:noProof/>
                <w:szCs w:val="24"/>
              </w:rPr>
              <w:t xml:space="preserve">that risks </w:t>
            </w:r>
            <w:r w:rsidR="002C4178">
              <w:rPr>
                <w:b/>
                <w:noProof/>
                <w:szCs w:val="24"/>
              </w:rPr>
              <w:t xml:space="preserve">from internal flooding within the </w:t>
            </w:r>
            <w:r w:rsidR="00D3362B">
              <w:rPr>
                <w:b/>
                <w:noProof/>
                <w:szCs w:val="24"/>
              </w:rPr>
              <w:t>CS have been reduced to levels which are</w:t>
            </w:r>
            <w:r>
              <w:rPr>
                <w:b/>
                <w:noProof/>
                <w:szCs w:val="24"/>
              </w:rPr>
              <w:t xml:space="preserve"> ALARP</w:t>
            </w:r>
          </w:p>
          <w:p w14:paraId="09FCB38C" w14:textId="77777777" w:rsidR="003A6FC5" w:rsidRDefault="003A6FC5" w:rsidP="0048438C">
            <w:pPr>
              <w:spacing w:before="60" w:after="60"/>
              <w:rPr>
                <w:b/>
                <w:noProof/>
                <w:szCs w:val="24"/>
              </w:rPr>
            </w:pPr>
          </w:p>
          <w:p w14:paraId="4FAD4FA5" w14:textId="77777777" w:rsidR="003A6FC5" w:rsidRDefault="003A6FC5" w:rsidP="0048438C">
            <w:pPr>
              <w:spacing w:before="60" w:after="60"/>
              <w:rPr>
                <w:noProof/>
                <w:szCs w:val="24"/>
              </w:rPr>
            </w:pPr>
            <w:r w:rsidRPr="0048438C">
              <w:rPr>
                <w:noProof/>
                <w:szCs w:val="24"/>
              </w:rPr>
              <w:t xml:space="preserve">In response to this Regulatory Observation Action, </w:t>
            </w:r>
            <w:r>
              <w:rPr>
                <w:noProof/>
                <w:szCs w:val="24"/>
              </w:rPr>
              <w:t>Holtec</w:t>
            </w:r>
            <w:r w:rsidRPr="0048438C">
              <w:rPr>
                <w:noProof/>
                <w:szCs w:val="24"/>
              </w:rPr>
              <w:t xml:space="preserve"> should</w:t>
            </w:r>
            <w:r>
              <w:rPr>
                <w:noProof/>
                <w:szCs w:val="24"/>
              </w:rPr>
              <w:t>:</w:t>
            </w:r>
          </w:p>
          <w:p w14:paraId="0F42598C" w14:textId="4743D14C" w:rsidR="003A6FC5" w:rsidRPr="001C49EC" w:rsidRDefault="003A6FC5" w:rsidP="001C49EC">
            <w:pPr>
              <w:pStyle w:val="ListParagraph"/>
              <w:numPr>
                <w:ilvl w:val="0"/>
                <w:numId w:val="29"/>
              </w:numPr>
              <w:spacing w:before="60" w:after="60"/>
              <w:rPr>
                <w:bCs/>
                <w:noProof/>
                <w:szCs w:val="24"/>
              </w:rPr>
            </w:pPr>
            <w:r w:rsidRPr="00C538FF">
              <w:rPr>
                <w:bCs/>
                <w:noProof/>
                <w:szCs w:val="24"/>
              </w:rPr>
              <w:t xml:space="preserve">Provide a suitable </w:t>
            </w:r>
            <w:r w:rsidR="00C538FF" w:rsidRPr="00C538FF">
              <w:rPr>
                <w:bCs/>
                <w:noProof/>
                <w:szCs w:val="24"/>
              </w:rPr>
              <w:t>demonstration</w:t>
            </w:r>
            <w:r w:rsidR="003E42DE">
              <w:rPr>
                <w:bCs/>
                <w:noProof/>
                <w:szCs w:val="24"/>
              </w:rPr>
              <w:t xml:space="preserve"> on how</w:t>
            </w:r>
            <w:r w:rsidR="00C538FF" w:rsidRPr="001C49EC">
              <w:rPr>
                <w:bCs/>
                <w:noProof/>
                <w:szCs w:val="24"/>
              </w:rPr>
              <w:t xml:space="preserve"> </w:t>
            </w:r>
            <w:r w:rsidR="00C538FF">
              <w:rPr>
                <w:bCs/>
                <w:noProof/>
                <w:szCs w:val="24"/>
              </w:rPr>
              <w:t>the risk of flooding associated with the annular reservoir has been</w:t>
            </w:r>
            <w:r w:rsidR="00230199">
              <w:rPr>
                <w:bCs/>
                <w:noProof/>
                <w:szCs w:val="24"/>
              </w:rPr>
              <w:t xml:space="preserve"> (or </w:t>
            </w:r>
            <w:r w:rsidR="003E42DE">
              <w:rPr>
                <w:bCs/>
                <w:noProof/>
                <w:szCs w:val="24"/>
              </w:rPr>
              <w:t>will</w:t>
            </w:r>
            <w:r w:rsidR="00230199">
              <w:rPr>
                <w:bCs/>
                <w:noProof/>
                <w:szCs w:val="24"/>
              </w:rPr>
              <w:t xml:space="preserve"> be)</w:t>
            </w:r>
            <w:r w:rsidR="00C538FF">
              <w:rPr>
                <w:bCs/>
                <w:noProof/>
                <w:szCs w:val="24"/>
              </w:rPr>
              <w:t xml:space="preserve"> reduced ALARP. </w:t>
            </w:r>
          </w:p>
        </w:tc>
      </w:tr>
    </w:tbl>
    <w:p w14:paraId="6E129088" w14:textId="77777777" w:rsidR="00D837C8" w:rsidRPr="00C538FF"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lastRenderedPageBreak/>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0E5E" w14:textId="77777777" w:rsidR="00B62F5D" w:rsidRDefault="00B62F5D">
      <w:r>
        <w:separator/>
      </w:r>
    </w:p>
  </w:endnote>
  <w:endnote w:type="continuationSeparator" w:id="0">
    <w:p w14:paraId="55EEFC60" w14:textId="77777777" w:rsidR="00B62F5D" w:rsidRDefault="00B6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7E1EB27A" w:rsidR="00C15B6D" w:rsidRDefault="00C15B6D" w:rsidP="00EF4AAF">
    <w:pPr>
      <w:pStyle w:val="Footer"/>
      <w:tabs>
        <w:tab w:val="clear" w:pos="8306"/>
        <w:tab w:val="right" w:pos="9840"/>
      </w:tabs>
      <w:spacing w:before="120"/>
      <w:jc w:val="right"/>
      <w:rPr>
        <w:lang w:val="en-US"/>
      </w:rPr>
    </w:pPr>
    <w:r>
      <w:rPr>
        <w:lang w:val="en-US"/>
      </w:rPr>
      <w:tab/>
    </w:r>
    <w:r w:rsidR="006300E5">
      <w:rPr>
        <w:lang w:val="en-US"/>
      </w:rPr>
      <w:t xml:space="preserve">                 </w:t>
    </w:r>
    <w:r w:rsidR="00EF4AAF">
      <w:rPr>
        <w:lang w:val="en-US"/>
      </w:rPr>
      <w:t>P</w:t>
    </w:r>
    <w:r w:rsidR="005A547C" w:rsidRPr="009D128E">
      <w:rPr>
        <w:sz w:val="22"/>
        <w:szCs w:val="22"/>
        <w:lang w:val="en-US"/>
      </w:rPr>
      <w:t xml:space="preserve">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FE3A" w14:textId="77777777" w:rsidR="00B62F5D" w:rsidRDefault="00B62F5D">
      <w:r>
        <w:separator/>
      </w:r>
    </w:p>
  </w:footnote>
  <w:footnote w:type="continuationSeparator" w:id="0">
    <w:p w14:paraId="6339112C" w14:textId="77777777" w:rsidR="00B62F5D" w:rsidRDefault="00B6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C303F1"/>
    <w:multiLevelType w:val="hybridMultilevel"/>
    <w:tmpl w:val="A27A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F3826"/>
    <w:multiLevelType w:val="hybridMultilevel"/>
    <w:tmpl w:val="FD9AA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D6379"/>
    <w:multiLevelType w:val="hybridMultilevel"/>
    <w:tmpl w:val="AD28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90DFC"/>
    <w:multiLevelType w:val="hybridMultilevel"/>
    <w:tmpl w:val="640A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A45E14"/>
    <w:multiLevelType w:val="hybridMultilevel"/>
    <w:tmpl w:val="C75A3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20"/>
  </w:num>
  <w:num w:numId="2" w16cid:durableId="1038162188">
    <w:abstractNumId w:val="20"/>
  </w:num>
  <w:num w:numId="3" w16cid:durableId="1457485129">
    <w:abstractNumId w:val="20"/>
  </w:num>
  <w:num w:numId="4" w16cid:durableId="605386637">
    <w:abstractNumId w:val="18"/>
  </w:num>
  <w:num w:numId="5" w16cid:durableId="642780601">
    <w:abstractNumId w:val="14"/>
  </w:num>
  <w:num w:numId="6" w16cid:durableId="1993218993">
    <w:abstractNumId w:val="20"/>
  </w:num>
  <w:num w:numId="7" w16cid:durableId="1210649461">
    <w:abstractNumId w:val="20"/>
  </w:num>
  <w:num w:numId="8" w16cid:durableId="777143800">
    <w:abstractNumId w:val="20"/>
  </w:num>
  <w:num w:numId="9" w16cid:durableId="416095553">
    <w:abstractNumId w:val="20"/>
  </w:num>
  <w:num w:numId="10" w16cid:durableId="157312330">
    <w:abstractNumId w:val="20"/>
  </w:num>
  <w:num w:numId="11" w16cid:durableId="272445445">
    <w:abstractNumId w:val="20"/>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1"/>
  </w:num>
  <w:num w:numId="18" w16cid:durableId="1027683759">
    <w:abstractNumId w:val="10"/>
  </w:num>
  <w:num w:numId="19" w16cid:durableId="1637100462">
    <w:abstractNumId w:val="17"/>
  </w:num>
  <w:num w:numId="20" w16cid:durableId="1174806318">
    <w:abstractNumId w:val="12"/>
  </w:num>
  <w:num w:numId="21" w16cid:durableId="945313271">
    <w:abstractNumId w:val="7"/>
  </w:num>
  <w:num w:numId="22" w16cid:durableId="1200700022">
    <w:abstractNumId w:val="8"/>
  </w:num>
  <w:num w:numId="23" w16cid:durableId="645672170">
    <w:abstractNumId w:val="5"/>
  </w:num>
  <w:num w:numId="24" w16cid:durableId="1840466613">
    <w:abstractNumId w:val="13"/>
  </w:num>
  <w:num w:numId="25" w16cid:durableId="395398131">
    <w:abstractNumId w:val="19"/>
  </w:num>
  <w:num w:numId="26" w16cid:durableId="1959990583">
    <w:abstractNumId w:val="6"/>
  </w:num>
  <w:num w:numId="27" w16cid:durableId="1591042022">
    <w:abstractNumId w:val="15"/>
  </w:num>
  <w:num w:numId="28" w16cid:durableId="1557205700">
    <w:abstractNumId w:val="9"/>
  </w:num>
  <w:num w:numId="29" w16cid:durableId="846359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5BA6"/>
    <w:rsid w:val="0000781D"/>
    <w:rsid w:val="000147D8"/>
    <w:rsid w:val="00021EFB"/>
    <w:rsid w:val="00032EA1"/>
    <w:rsid w:val="00033AA8"/>
    <w:rsid w:val="000452FF"/>
    <w:rsid w:val="00047346"/>
    <w:rsid w:val="000534BF"/>
    <w:rsid w:val="000720B3"/>
    <w:rsid w:val="00073644"/>
    <w:rsid w:val="000758E9"/>
    <w:rsid w:val="000875C1"/>
    <w:rsid w:val="00093E19"/>
    <w:rsid w:val="000977CC"/>
    <w:rsid w:val="000B32E8"/>
    <w:rsid w:val="000B3EBE"/>
    <w:rsid w:val="000B699C"/>
    <w:rsid w:val="000D2287"/>
    <w:rsid w:val="000E40A2"/>
    <w:rsid w:val="000E476E"/>
    <w:rsid w:val="000F3769"/>
    <w:rsid w:val="001178D5"/>
    <w:rsid w:val="00120C91"/>
    <w:rsid w:val="00125578"/>
    <w:rsid w:val="00134719"/>
    <w:rsid w:val="00141E00"/>
    <w:rsid w:val="001438BC"/>
    <w:rsid w:val="001452A1"/>
    <w:rsid w:val="00163D2C"/>
    <w:rsid w:val="00170A05"/>
    <w:rsid w:val="0017312F"/>
    <w:rsid w:val="00185D10"/>
    <w:rsid w:val="001B360F"/>
    <w:rsid w:val="001C1EEF"/>
    <w:rsid w:val="001C49EC"/>
    <w:rsid w:val="001C5571"/>
    <w:rsid w:val="001C5C1B"/>
    <w:rsid w:val="001D39E3"/>
    <w:rsid w:val="001D675B"/>
    <w:rsid w:val="001E0058"/>
    <w:rsid w:val="001F36BA"/>
    <w:rsid w:val="001F685B"/>
    <w:rsid w:val="0020016F"/>
    <w:rsid w:val="00201223"/>
    <w:rsid w:val="0020150E"/>
    <w:rsid w:val="00202AC7"/>
    <w:rsid w:val="0021065B"/>
    <w:rsid w:val="00212157"/>
    <w:rsid w:val="00213E44"/>
    <w:rsid w:val="00220466"/>
    <w:rsid w:val="00221347"/>
    <w:rsid w:val="002245BD"/>
    <w:rsid w:val="00230199"/>
    <w:rsid w:val="002325CD"/>
    <w:rsid w:val="0023453D"/>
    <w:rsid w:val="002537E6"/>
    <w:rsid w:val="002635FF"/>
    <w:rsid w:val="00282FF7"/>
    <w:rsid w:val="002860FC"/>
    <w:rsid w:val="00287B71"/>
    <w:rsid w:val="002905D2"/>
    <w:rsid w:val="00294EB8"/>
    <w:rsid w:val="002A537F"/>
    <w:rsid w:val="002A7499"/>
    <w:rsid w:val="002B2151"/>
    <w:rsid w:val="002B264E"/>
    <w:rsid w:val="002C0193"/>
    <w:rsid w:val="002C0396"/>
    <w:rsid w:val="002C31A2"/>
    <w:rsid w:val="002C4178"/>
    <w:rsid w:val="002C78D2"/>
    <w:rsid w:val="002E3A94"/>
    <w:rsid w:val="002F451A"/>
    <w:rsid w:val="002F54D9"/>
    <w:rsid w:val="002F6E03"/>
    <w:rsid w:val="002F73B0"/>
    <w:rsid w:val="00304155"/>
    <w:rsid w:val="003137B2"/>
    <w:rsid w:val="003234E6"/>
    <w:rsid w:val="0032663C"/>
    <w:rsid w:val="003337F3"/>
    <w:rsid w:val="00337177"/>
    <w:rsid w:val="003425BF"/>
    <w:rsid w:val="00343E9C"/>
    <w:rsid w:val="00347213"/>
    <w:rsid w:val="00353C8B"/>
    <w:rsid w:val="00366AEB"/>
    <w:rsid w:val="00367C32"/>
    <w:rsid w:val="00370D34"/>
    <w:rsid w:val="00375262"/>
    <w:rsid w:val="00382999"/>
    <w:rsid w:val="003874A4"/>
    <w:rsid w:val="00391EB9"/>
    <w:rsid w:val="00395BF8"/>
    <w:rsid w:val="003A3FBB"/>
    <w:rsid w:val="003A6935"/>
    <w:rsid w:val="003A6FC5"/>
    <w:rsid w:val="003B6ACD"/>
    <w:rsid w:val="003C7579"/>
    <w:rsid w:val="003D075D"/>
    <w:rsid w:val="003D48D8"/>
    <w:rsid w:val="003E42DE"/>
    <w:rsid w:val="003F32A1"/>
    <w:rsid w:val="004019BD"/>
    <w:rsid w:val="0040443F"/>
    <w:rsid w:val="004205B5"/>
    <w:rsid w:val="004214AE"/>
    <w:rsid w:val="00427775"/>
    <w:rsid w:val="004314CA"/>
    <w:rsid w:val="00431EC9"/>
    <w:rsid w:val="00441E02"/>
    <w:rsid w:val="00444C41"/>
    <w:rsid w:val="00456724"/>
    <w:rsid w:val="00460A0A"/>
    <w:rsid w:val="00463F83"/>
    <w:rsid w:val="004647E9"/>
    <w:rsid w:val="0048024A"/>
    <w:rsid w:val="0048438C"/>
    <w:rsid w:val="00494EE4"/>
    <w:rsid w:val="004A65D6"/>
    <w:rsid w:val="004B5670"/>
    <w:rsid w:val="004C2A23"/>
    <w:rsid w:val="004C51F6"/>
    <w:rsid w:val="004C5EB1"/>
    <w:rsid w:val="004E5017"/>
    <w:rsid w:val="004F7308"/>
    <w:rsid w:val="00501DFE"/>
    <w:rsid w:val="00511AA2"/>
    <w:rsid w:val="00542CA2"/>
    <w:rsid w:val="005503F1"/>
    <w:rsid w:val="0055746B"/>
    <w:rsid w:val="00574211"/>
    <w:rsid w:val="00581D5B"/>
    <w:rsid w:val="0058522F"/>
    <w:rsid w:val="005933F1"/>
    <w:rsid w:val="005A547C"/>
    <w:rsid w:val="005C4812"/>
    <w:rsid w:val="005C74A1"/>
    <w:rsid w:val="005C773F"/>
    <w:rsid w:val="005D3796"/>
    <w:rsid w:val="005D7BAC"/>
    <w:rsid w:val="005E6632"/>
    <w:rsid w:val="005E7EB2"/>
    <w:rsid w:val="005F2D88"/>
    <w:rsid w:val="005F4CBD"/>
    <w:rsid w:val="005F56D3"/>
    <w:rsid w:val="005F5B75"/>
    <w:rsid w:val="006006BE"/>
    <w:rsid w:val="00604A3F"/>
    <w:rsid w:val="00614958"/>
    <w:rsid w:val="00614F0F"/>
    <w:rsid w:val="00616365"/>
    <w:rsid w:val="00617A79"/>
    <w:rsid w:val="00622E15"/>
    <w:rsid w:val="00625A30"/>
    <w:rsid w:val="00627D12"/>
    <w:rsid w:val="006300E5"/>
    <w:rsid w:val="00635ABF"/>
    <w:rsid w:val="0064017F"/>
    <w:rsid w:val="00642BC4"/>
    <w:rsid w:val="00643090"/>
    <w:rsid w:val="00643936"/>
    <w:rsid w:val="00646031"/>
    <w:rsid w:val="0064751A"/>
    <w:rsid w:val="00657ECE"/>
    <w:rsid w:val="00660949"/>
    <w:rsid w:val="006635C1"/>
    <w:rsid w:val="00666ED8"/>
    <w:rsid w:val="00667ACF"/>
    <w:rsid w:val="0067017F"/>
    <w:rsid w:val="00670C5C"/>
    <w:rsid w:val="00676552"/>
    <w:rsid w:val="00681552"/>
    <w:rsid w:val="00684128"/>
    <w:rsid w:val="00684E8C"/>
    <w:rsid w:val="006856AF"/>
    <w:rsid w:val="0069375A"/>
    <w:rsid w:val="00694D66"/>
    <w:rsid w:val="00696097"/>
    <w:rsid w:val="006A096B"/>
    <w:rsid w:val="006A5AF2"/>
    <w:rsid w:val="006B5F31"/>
    <w:rsid w:val="006C3011"/>
    <w:rsid w:val="006C4CDF"/>
    <w:rsid w:val="006C635A"/>
    <w:rsid w:val="006E1762"/>
    <w:rsid w:val="00702CD3"/>
    <w:rsid w:val="00703B2A"/>
    <w:rsid w:val="00705BB0"/>
    <w:rsid w:val="00706C65"/>
    <w:rsid w:val="007102C7"/>
    <w:rsid w:val="007103C7"/>
    <w:rsid w:val="0071141F"/>
    <w:rsid w:val="007150E3"/>
    <w:rsid w:val="00720771"/>
    <w:rsid w:val="00723925"/>
    <w:rsid w:val="007442A6"/>
    <w:rsid w:val="00744AA9"/>
    <w:rsid w:val="00745EC8"/>
    <w:rsid w:val="00750A73"/>
    <w:rsid w:val="007526A2"/>
    <w:rsid w:val="0075487C"/>
    <w:rsid w:val="00764103"/>
    <w:rsid w:val="00765A20"/>
    <w:rsid w:val="00771D99"/>
    <w:rsid w:val="00777525"/>
    <w:rsid w:val="00780F93"/>
    <w:rsid w:val="007816F1"/>
    <w:rsid w:val="00781A95"/>
    <w:rsid w:val="007841B7"/>
    <w:rsid w:val="00787199"/>
    <w:rsid w:val="007924FC"/>
    <w:rsid w:val="007A5ECD"/>
    <w:rsid w:val="007B08E3"/>
    <w:rsid w:val="007B4B69"/>
    <w:rsid w:val="007B6133"/>
    <w:rsid w:val="007B66BD"/>
    <w:rsid w:val="007B77AE"/>
    <w:rsid w:val="007C3A9A"/>
    <w:rsid w:val="007C7AA0"/>
    <w:rsid w:val="007D74A8"/>
    <w:rsid w:val="007F2678"/>
    <w:rsid w:val="00800DF8"/>
    <w:rsid w:val="00805723"/>
    <w:rsid w:val="008103D8"/>
    <w:rsid w:val="0081099A"/>
    <w:rsid w:val="0082759A"/>
    <w:rsid w:val="008336D1"/>
    <w:rsid w:val="00850471"/>
    <w:rsid w:val="00854437"/>
    <w:rsid w:val="008634D8"/>
    <w:rsid w:val="008657F1"/>
    <w:rsid w:val="00867341"/>
    <w:rsid w:val="00873BFD"/>
    <w:rsid w:val="00875755"/>
    <w:rsid w:val="0087645C"/>
    <w:rsid w:val="00882779"/>
    <w:rsid w:val="008832A1"/>
    <w:rsid w:val="008832ED"/>
    <w:rsid w:val="0089701F"/>
    <w:rsid w:val="008A2B6D"/>
    <w:rsid w:val="008B7C2C"/>
    <w:rsid w:val="008C00B9"/>
    <w:rsid w:val="008C03F9"/>
    <w:rsid w:val="008C2156"/>
    <w:rsid w:val="008C4A8D"/>
    <w:rsid w:val="008C7BE7"/>
    <w:rsid w:val="008D2099"/>
    <w:rsid w:val="008D3DE4"/>
    <w:rsid w:val="008D4533"/>
    <w:rsid w:val="008D488C"/>
    <w:rsid w:val="008E3BB3"/>
    <w:rsid w:val="008E6F07"/>
    <w:rsid w:val="0090244F"/>
    <w:rsid w:val="00902B4D"/>
    <w:rsid w:val="00904BC3"/>
    <w:rsid w:val="009073A7"/>
    <w:rsid w:val="00913C28"/>
    <w:rsid w:val="0092073F"/>
    <w:rsid w:val="00930F17"/>
    <w:rsid w:val="00932699"/>
    <w:rsid w:val="00934334"/>
    <w:rsid w:val="00940659"/>
    <w:rsid w:val="009459D7"/>
    <w:rsid w:val="00951EF3"/>
    <w:rsid w:val="00952E62"/>
    <w:rsid w:val="00980147"/>
    <w:rsid w:val="00982275"/>
    <w:rsid w:val="00990101"/>
    <w:rsid w:val="009934C6"/>
    <w:rsid w:val="009966E4"/>
    <w:rsid w:val="009A270D"/>
    <w:rsid w:val="009A74DE"/>
    <w:rsid w:val="009B00A2"/>
    <w:rsid w:val="009B2509"/>
    <w:rsid w:val="009B42AB"/>
    <w:rsid w:val="009B4EFB"/>
    <w:rsid w:val="009B5A9C"/>
    <w:rsid w:val="009C6D0A"/>
    <w:rsid w:val="009D0C8B"/>
    <w:rsid w:val="009D2A02"/>
    <w:rsid w:val="009D6AEF"/>
    <w:rsid w:val="009D7E89"/>
    <w:rsid w:val="009E6D65"/>
    <w:rsid w:val="009F553E"/>
    <w:rsid w:val="00A153F6"/>
    <w:rsid w:val="00A168CB"/>
    <w:rsid w:val="00A237FC"/>
    <w:rsid w:val="00A26BC8"/>
    <w:rsid w:val="00A360B1"/>
    <w:rsid w:val="00A53576"/>
    <w:rsid w:val="00A53EF2"/>
    <w:rsid w:val="00A562B4"/>
    <w:rsid w:val="00A567FA"/>
    <w:rsid w:val="00A63547"/>
    <w:rsid w:val="00AA5365"/>
    <w:rsid w:val="00AB10DD"/>
    <w:rsid w:val="00AB17DC"/>
    <w:rsid w:val="00AB1EA2"/>
    <w:rsid w:val="00AB2573"/>
    <w:rsid w:val="00AB696A"/>
    <w:rsid w:val="00AC1C45"/>
    <w:rsid w:val="00AC3B47"/>
    <w:rsid w:val="00AC3E49"/>
    <w:rsid w:val="00AC42D6"/>
    <w:rsid w:val="00AC6668"/>
    <w:rsid w:val="00AD14E5"/>
    <w:rsid w:val="00AD2A86"/>
    <w:rsid w:val="00AD5B84"/>
    <w:rsid w:val="00AE4F13"/>
    <w:rsid w:val="00AE60BF"/>
    <w:rsid w:val="00B05D8D"/>
    <w:rsid w:val="00B078B3"/>
    <w:rsid w:val="00B23213"/>
    <w:rsid w:val="00B347FC"/>
    <w:rsid w:val="00B419BC"/>
    <w:rsid w:val="00B5423F"/>
    <w:rsid w:val="00B62F5D"/>
    <w:rsid w:val="00B639C6"/>
    <w:rsid w:val="00B71518"/>
    <w:rsid w:val="00B71824"/>
    <w:rsid w:val="00B84516"/>
    <w:rsid w:val="00B85D99"/>
    <w:rsid w:val="00B97EA6"/>
    <w:rsid w:val="00BA0A96"/>
    <w:rsid w:val="00BA1B78"/>
    <w:rsid w:val="00BA1C0B"/>
    <w:rsid w:val="00BA305A"/>
    <w:rsid w:val="00BA4154"/>
    <w:rsid w:val="00BB2D8B"/>
    <w:rsid w:val="00BD08B9"/>
    <w:rsid w:val="00BD2208"/>
    <w:rsid w:val="00BE157B"/>
    <w:rsid w:val="00BF1C29"/>
    <w:rsid w:val="00BF66AF"/>
    <w:rsid w:val="00C02D8F"/>
    <w:rsid w:val="00C06823"/>
    <w:rsid w:val="00C0763E"/>
    <w:rsid w:val="00C14744"/>
    <w:rsid w:val="00C15B6D"/>
    <w:rsid w:val="00C23E3C"/>
    <w:rsid w:val="00C304D8"/>
    <w:rsid w:val="00C34CBC"/>
    <w:rsid w:val="00C41166"/>
    <w:rsid w:val="00C4293A"/>
    <w:rsid w:val="00C43AD7"/>
    <w:rsid w:val="00C43B41"/>
    <w:rsid w:val="00C4709D"/>
    <w:rsid w:val="00C5137A"/>
    <w:rsid w:val="00C52DF5"/>
    <w:rsid w:val="00C538FF"/>
    <w:rsid w:val="00C53C05"/>
    <w:rsid w:val="00C55745"/>
    <w:rsid w:val="00C568A1"/>
    <w:rsid w:val="00C6347C"/>
    <w:rsid w:val="00C70692"/>
    <w:rsid w:val="00C73242"/>
    <w:rsid w:val="00CB4AB1"/>
    <w:rsid w:val="00CC1355"/>
    <w:rsid w:val="00CC345A"/>
    <w:rsid w:val="00CC67B6"/>
    <w:rsid w:val="00CD0CD2"/>
    <w:rsid w:val="00CD2972"/>
    <w:rsid w:val="00CD305F"/>
    <w:rsid w:val="00CD3B5F"/>
    <w:rsid w:val="00CD3EF4"/>
    <w:rsid w:val="00CE4CE6"/>
    <w:rsid w:val="00CF1EEE"/>
    <w:rsid w:val="00D2193B"/>
    <w:rsid w:val="00D266E9"/>
    <w:rsid w:val="00D30BF2"/>
    <w:rsid w:val="00D3362B"/>
    <w:rsid w:val="00D45ADA"/>
    <w:rsid w:val="00D67882"/>
    <w:rsid w:val="00D74369"/>
    <w:rsid w:val="00D800F0"/>
    <w:rsid w:val="00D837C8"/>
    <w:rsid w:val="00D85819"/>
    <w:rsid w:val="00D86150"/>
    <w:rsid w:val="00D869A9"/>
    <w:rsid w:val="00DA08DA"/>
    <w:rsid w:val="00DA0A23"/>
    <w:rsid w:val="00DA128B"/>
    <w:rsid w:val="00DB2F98"/>
    <w:rsid w:val="00DB340F"/>
    <w:rsid w:val="00DB4D32"/>
    <w:rsid w:val="00DC6A24"/>
    <w:rsid w:val="00DC7F75"/>
    <w:rsid w:val="00DD3E0D"/>
    <w:rsid w:val="00DD4EA3"/>
    <w:rsid w:val="00DE0211"/>
    <w:rsid w:val="00DF0B9F"/>
    <w:rsid w:val="00DF12CF"/>
    <w:rsid w:val="00DF742B"/>
    <w:rsid w:val="00E15F62"/>
    <w:rsid w:val="00E26430"/>
    <w:rsid w:val="00E52918"/>
    <w:rsid w:val="00E562BD"/>
    <w:rsid w:val="00E60CE3"/>
    <w:rsid w:val="00E62DDC"/>
    <w:rsid w:val="00E632C9"/>
    <w:rsid w:val="00E65C64"/>
    <w:rsid w:val="00E70239"/>
    <w:rsid w:val="00E710BD"/>
    <w:rsid w:val="00E8180F"/>
    <w:rsid w:val="00E833BE"/>
    <w:rsid w:val="00E95D1A"/>
    <w:rsid w:val="00EB292F"/>
    <w:rsid w:val="00EB2CE4"/>
    <w:rsid w:val="00EB325F"/>
    <w:rsid w:val="00EB4F2C"/>
    <w:rsid w:val="00EB5981"/>
    <w:rsid w:val="00EB6282"/>
    <w:rsid w:val="00EB7D33"/>
    <w:rsid w:val="00EC1FFE"/>
    <w:rsid w:val="00EC409B"/>
    <w:rsid w:val="00EC5DC5"/>
    <w:rsid w:val="00ED1ADA"/>
    <w:rsid w:val="00ED1C99"/>
    <w:rsid w:val="00ED420C"/>
    <w:rsid w:val="00ED4B4F"/>
    <w:rsid w:val="00EE0472"/>
    <w:rsid w:val="00EE0A6A"/>
    <w:rsid w:val="00EE2260"/>
    <w:rsid w:val="00EE7506"/>
    <w:rsid w:val="00EF4AAF"/>
    <w:rsid w:val="00EF55F9"/>
    <w:rsid w:val="00EF5C72"/>
    <w:rsid w:val="00F16EB2"/>
    <w:rsid w:val="00F35C17"/>
    <w:rsid w:val="00F42C9D"/>
    <w:rsid w:val="00F42F61"/>
    <w:rsid w:val="00F44400"/>
    <w:rsid w:val="00F479A4"/>
    <w:rsid w:val="00F51DAD"/>
    <w:rsid w:val="00F52957"/>
    <w:rsid w:val="00F57DEA"/>
    <w:rsid w:val="00F61C88"/>
    <w:rsid w:val="00F65462"/>
    <w:rsid w:val="00F725F4"/>
    <w:rsid w:val="00F82D1B"/>
    <w:rsid w:val="00F8618C"/>
    <w:rsid w:val="00F87E0A"/>
    <w:rsid w:val="00F87E55"/>
    <w:rsid w:val="00F907BB"/>
    <w:rsid w:val="00FA4C46"/>
    <w:rsid w:val="00FA62B5"/>
    <w:rsid w:val="00FA7804"/>
    <w:rsid w:val="00FB45F9"/>
    <w:rsid w:val="00FB6334"/>
    <w:rsid w:val="00FC4D11"/>
    <w:rsid w:val="00FD0CB5"/>
    <w:rsid w:val="00FD211F"/>
    <w:rsid w:val="00FE4C3D"/>
    <w:rsid w:val="00FF5AA0"/>
    <w:rsid w:val="00FF7AB3"/>
    <w:rsid w:val="09A16424"/>
    <w:rsid w:val="0CECD0DE"/>
    <w:rsid w:val="1072C904"/>
    <w:rsid w:val="1CE5C440"/>
    <w:rsid w:val="25E68E3A"/>
    <w:rsid w:val="2667AA11"/>
    <w:rsid w:val="29591FED"/>
    <w:rsid w:val="33054DF2"/>
    <w:rsid w:val="35592990"/>
    <w:rsid w:val="38A9359B"/>
    <w:rsid w:val="3D14FA0D"/>
    <w:rsid w:val="4C2E2527"/>
    <w:rsid w:val="548A3B32"/>
    <w:rsid w:val="588EF091"/>
    <w:rsid w:val="5FBBC4DE"/>
    <w:rsid w:val="79DA2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196779E2-8407-462E-935C-F076D453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4751A"/>
    <w:rPr>
      <w:sz w:val="16"/>
      <w:szCs w:val="16"/>
    </w:rPr>
  </w:style>
  <w:style w:type="paragraph" w:styleId="CommentText">
    <w:name w:val="annotation text"/>
    <w:basedOn w:val="Normal"/>
    <w:link w:val="CommentTextChar"/>
    <w:unhideWhenUsed/>
    <w:rsid w:val="0064751A"/>
    <w:rPr>
      <w:sz w:val="20"/>
      <w:szCs w:val="20"/>
    </w:rPr>
  </w:style>
  <w:style w:type="character" w:customStyle="1" w:styleId="CommentTextChar">
    <w:name w:val="Comment Text Char"/>
    <w:basedOn w:val="DefaultParagraphFont"/>
    <w:link w:val="CommentText"/>
    <w:rsid w:val="0064751A"/>
    <w:rPr>
      <w:rFonts w:ascii="Arial" w:hAnsi="Arial" w:cs="Arial"/>
      <w:lang w:eastAsia="en-US"/>
    </w:rPr>
  </w:style>
  <w:style w:type="paragraph" w:styleId="CommentSubject">
    <w:name w:val="annotation subject"/>
    <w:basedOn w:val="CommentText"/>
    <w:next w:val="CommentText"/>
    <w:link w:val="CommentSubjectChar"/>
    <w:semiHidden/>
    <w:unhideWhenUsed/>
    <w:rsid w:val="0064751A"/>
    <w:rPr>
      <w:b/>
      <w:bCs/>
    </w:rPr>
  </w:style>
  <w:style w:type="character" w:customStyle="1" w:styleId="CommentSubjectChar">
    <w:name w:val="Comment Subject Char"/>
    <w:basedOn w:val="CommentTextChar"/>
    <w:link w:val="CommentSubject"/>
    <w:semiHidden/>
    <w:rsid w:val="0064751A"/>
    <w:rPr>
      <w:rFonts w:ascii="Arial" w:hAnsi="Arial" w:cs="Arial"/>
      <w:b/>
      <w:bCs/>
      <w:lang w:eastAsia="en-US"/>
    </w:rPr>
  </w:style>
  <w:style w:type="paragraph" w:styleId="Revision">
    <w:name w:val="Revision"/>
    <w:hidden/>
    <w:uiPriority w:val="99"/>
    <w:semiHidden/>
    <w:rsid w:val="00DB4D32"/>
    <w:rPr>
      <w:rFonts w:ascii="Arial" w:hAnsi="Arial" w:cs="Arial"/>
      <w:sz w:val="24"/>
      <w:szCs w:val="22"/>
      <w:lang w:eastAsia="en-US"/>
    </w:rPr>
  </w:style>
  <w:style w:type="character" w:customStyle="1" w:styleId="FooterChar">
    <w:name w:val="Footer Char"/>
    <w:basedOn w:val="DefaultParagraphFont"/>
    <w:link w:val="Footer"/>
    <w:uiPriority w:val="99"/>
    <w:rsid w:val="001E005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ONRW-2126615823-7883</_dlc_DocId>
    <_dlc_DocIdUrl xmlns="f6cfbbfa-3ea0-4d8e-acde-632e83cd9c55">
      <Url>https://prodonrgov.sharepoint.com/_layouts/15/DocIdRedir.aspx?ID=ONRW-2126615823-7883</Url>
      <Description>ONRW-2126615823-7883</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2.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3.xml><?xml version="1.0" encoding="utf-8"?>
<ds:datastoreItem xmlns:ds="http://schemas.openxmlformats.org/officeDocument/2006/customXml" ds:itemID="{98D8D0F3-9B64-4356-83CC-6336E6F8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5.xml><?xml version="1.0" encoding="utf-8"?>
<ds:datastoreItem xmlns:ds="http://schemas.openxmlformats.org/officeDocument/2006/customXml" ds:itemID="{C97249D3-5E4B-465F-93AF-46D391F33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9907</Characters>
  <DocSecurity>0</DocSecurity>
  <Lines>82</Lines>
  <Paragraphs>23</Paragraphs>
  <ScaleCrop>false</ScaleCrop>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2017-10-03T10:43:00Z</cp:lastPrinted>
  <dcterms:created xsi:type="dcterms:W3CDTF">2025-07-09T14:45:00Z</dcterms:created>
  <dcterms:modified xsi:type="dcterms:W3CDTF">2025-11-27T09:54:00Z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8fbc752a-ba97-46b8-85d8-0a1a286cfdab</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