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75FCC5B1">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75FCC5B1">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75FCC5B1">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6A5705F6" w:rsidR="00220466" w:rsidRPr="0048438C" w:rsidRDefault="00684E8C" w:rsidP="0048438C">
            <w:pPr>
              <w:spacing w:before="60" w:after="60"/>
            </w:pPr>
            <w:r>
              <w:t>RO-</w:t>
            </w:r>
            <w:r w:rsidR="00FA4C46">
              <w:t>HOLTEC</w:t>
            </w:r>
            <w:r w:rsidR="00EE0A6A">
              <w:t>SMR300</w:t>
            </w:r>
            <w:r w:rsidR="005933F1">
              <w:t>-</w:t>
            </w:r>
            <w:r w:rsidR="021E4AC2">
              <w:t>003</w:t>
            </w:r>
          </w:p>
        </w:tc>
      </w:tr>
      <w:tr w:rsidR="00220466" w:rsidRPr="0048438C" w14:paraId="4573E026" w14:textId="77777777" w:rsidTr="75FCC5B1">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229C24A2" w:rsidR="00220466" w:rsidRPr="0048438C" w:rsidRDefault="00902B4D" w:rsidP="0048438C">
            <w:pPr>
              <w:spacing w:before="60" w:after="60"/>
              <w:rPr>
                <w:szCs w:val="24"/>
              </w:rPr>
            </w:pPr>
            <w:r>
              <w:rPr>
                <w:szCs w:val="24"/>
              </w:rPr>
              <w:t>0</w:t>
            </w:r>
          </w:p>
        </w:tc>
      </w:tr>
      <w:tr w:rsidR="00850471" w:rsidRPr="0048438C" w14:paraId="3FF001D1" w14:textId="77777777" w:rsidTr="75FCC5B1">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35AE929D" w:rsidR="00850471" w:rsidRPr="0048438C" w:rsidRDefault="1419BF52" w:rsidP="75FCC5B1">
            <w:pPr>
              <w:spacing w:before="60" w:after="60"/>
            </w:pPr>
            <w:r>
              <w:t>08/07/25</w:t>
            </w:r>
          </w:p>
        </w:tc>
      </w:tr>
      <w:tr w:rsidR="00220466" w:rsidRPr="0048438C" w14:paraId="4573E029" w14:textId="77777777" w:rsidTr="75FCC5B1">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2BBEF126" w:rsidR="00220466" w:rsidRPr="0048438C" w:rsidRDefault="0D07D77F" w:rsidP="0048438C">
            <w:pPr>
              <w:spacing w:before="60" w:after="60"/>
            </w:pPr>
            <w:r>
              <w:t>15</w:t>
            </w:r>
            <w:r w:rsidR="00850471">
              <w:t>/</w:t>
            </w:r>
            <w:r w:rsidR="278DEBBC">
              <w:t>07</w:t>
            </w:r>
            <w:r w:rsidR="00850471">
              <w:t>/</w:t>
            </w:r>
            <w:r w:rsidR="40536D41">
              <w:t>25</w:t>
            </w:r>
            <w:r w:rsidR="00850471">
              <w:t xml:space="preserve"> [date sent + </w:t>
            </w:r>
            <w:r w:rsidR="00170A05">
              <w:t>5 working days</w:t>
            </w:r>
            <w:r w:rsidR="00850471">
              <w:t>]</w:t>
            </w:r>
          </w:p>
        </w:tc>
      </w:tr>
      <w:tr w:rsidR="00220466" w:rsidRPr="0048438C" w14:paraId="4573E02C" w14:textId="77777777" w:rsidTr="75FCC5B1">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7C58B50C" w:rsidR="0000781D" w:rsidRPr="0048438C" w:rsidRDefault="4B332652" w:rsidP="75FCC5B1">
            <w:pPr>
              <w:spacing w:before="60" w:after="60"/>
            </w:pPr>
            <w:r>
              <w:t>05/08/25</w:t>
            </w:r>
            <w:r w:rsidR="00867341">
              <w:t xml:space="preserve"> [</w:t>
            </w:r>
            <w:r w:rsidR="009E6D65">
              <w:t xml:space="preserve">acknowledgment + </w:t>
            </w:r>
            <w:r w:rsidR="2DC4A706">
              <w:t>15</w:t>
            </w:r>
            <w:r w:rsidR="009E6D65">
              <w:t xml:space="preserve"> working days</w:t>
            </w:r>
            <w:r w:rsidR="00867341">
              <w:t>]</w:t>
            </w:r>
          </w:p>
        </w:tc>
      </w:tr>
      <w:tr w:rsidR="00220466" w:rsidRPr="0048438C" w14:paraId="4573E032" w14:textId="77777777" w:rsidTr="75FCC5B1">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1DC7B69C" w:rsidR="00220466" w:rsidRPr="00BD0422" w:rsidRDefault="00BD0422" w:rsidP="00BD0422">
            <w:pPr>
              <w:spacing w:before="60" w:after="60"/>
              <w:rPr>
                <w:szCs w:val="24"/>
                <w:highlight w:val="yellow"/>
              </w:rPr>
            </w:pPr>
            <w:r w:rsidRPr="00BD0422">
              <w:rPr>
                <w:szCs w:val="24"/>
              </w:rPr>
              <w:t>AR-01683</w:t>
            </w:r>
          </w:p>
        </w:tc>
      </w:tr>
      <w:tr w:rsidR="0040443F" w:rsidRPr="0048438C" w14:paraId="4573E035" w14:textId="77777777" w:rsidTr="75FCC5B1">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4573E034" w14:textId="3F3A35E9" w:rsidR="0040443F" w:rsidRPr="0040443F" w:rsidRDefault="0040443F" w:rsidP="0040443F">
            <w:pPr>
              <w:spacing w:before="60" w:after="60"/>
              <w:rPr>
                <w:szCs w:val="24"/>
                <w:highlight w:val="yellow"/>
              </w:rPr>
            </w:pPr>
          </w:p>
        </w:tc>
      </w:tr>
      <w:tr w:rsidR="00850471" w:rsidRPr="0048438C" w14:paraId="4573E03E" w14:textId="77777777" w:rsidTr="75FCC5B1">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6C6DE8C9" w:rsidR="0040443F" w:rsidRPr="0048438C" w:rsidRDefault="0029690F" w:rsidP="0048438C">
            <w:pPr>
              <w:spacing w:before="60" w:after="60"/>
            </w:pPr>
            <w:r>
              <w:t>Provision of</w:t>
            </w:r>
            <w:r w:rsidR="00E10ED2">
              <w:t xml:space="preserve"> defence in depth </w:t>
            </w:r>
            <w:r>
              <w:t xml:space="preserve">measures </w:t>
            </w:r>
            <w:r w:rsidR="00E10ED2">
              <w:t>for prevention of high pressure melt ejection</w:t>
            </w:r>
          </w:p>
        </w:tc>
      </w:tr>
      <w:tr w:rsidR="00CC67B6" w:rsidRPr="0048438C" w14:paraId="4573E043" w14:textId="77777777" w:rsidTr="75FCC5B1">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4AF5636C" w14:textId="77777777" w:rsidR="0087645C" w:rsidRPr="0087645C" w:rsidRDefault="0087645C" w:rsidP="0087645C">
            <w:pPr>
              <w:spacing w:before="60" w:after="60"/>
              <w:rPr>
                <w:szCs w:val="24"/>
              </w:rPr>
            </w:pPr>
            <w:r w:rsidRPr="0087645C">
              <w:rPr>
                <w:szCs w:val="24"/>
              </w:rPr>
              <w:t>Severe Accident Analysis</w:t>
            </w:r>
          </w:p>
          <w:p w14:paraId="4573E040" w14:textId="16411F4D" w:rsidR="00CC67B6" w:rsidRPr="0048438C" w:rsidRDefault="00CC67B6" w:rsidP="0087645C">
            <w:pPr>
              <w:pStyle w:val="ListParagraph"/>
              <w:spacing w:before="60" w:after="60"/>
              <w:ind w:left="0"/>
              <w:rPr>
                <w:szCs w:val="24"/>
              </w:rPr>
            </w:pP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0E0835DB" w14:textId="008958AB" w:rsidR="003A6935" w:rsidRPr="003A6935" w:rsidRDefault="003A6935" w:rsidP="0053091F">
            <w:pPr>
              <w:spacing w:before="60" w:after="60"/>
              <w:rPr>
                <w:szCs w:val="24"/>
              </w:rPr>
            </w:pPr>
            <w:r w:rsidRPr="003A6935">
              <w:rPr>
                <w:szCs w:val="24"/>
              </w:rPr>
              <w:t>Fault Studies</w:t>
            </w:r>
          </w:p>
          <w:p w14:paraId="4573E042" w14:textId="47956DC4" w:rsidR="00CC67B6" w:rsidRPr="0048438C" w:rsidRDefault="003A6935" w:rsidP="002345BF">
            <w:pPr>
              <w:spacing w:before="60" w:after="60"/>
              <w:rPr>
                <w:szCs w:val="24"/>
              </w:rPr>
            </w:pPr>
            <w:r w:rsidRPr="003A6935">
              <w:rPr>
                <w:szCs w:val="24"/>
              </w:rPr>
              <w:t>Probabilistic Safety Analysis</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75FCC5B1">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75FCC5B1">
        <w:tc>
          <w:tcPr>
            <w:tcW w:w="9897" w:type="dxa"/>
            <w:gridSpan w:val="2"/>
          </w:tcPr>
          <w:p w14:paraId="4F3F6A8D" w14:textId="162229E0" w:rsidR="00850471" w:rsidRPr="0048438C" w:rsidRDefault="00CC67B6" w:rsidP="0048438C">
            <w:pPr>
              <w:spacing w:before="60" w:after="60"/>
              <w:rPr>
                <w:b/>
                <w:szCs w:val="24"/>
                <w:u w:val="single"/>
              </w:rPr>
            </w:pPr>
            <w:r w:rsidRPr="0048438C">
              <w:rPr>
                <w:b/>
                <w:szCs w:val="24"/>
                <w:u w:val="single"/>
              </w:rPr>
              <w:t>Background</w:t>
            </w:r>
          </w:p>
          <w:p w14:paraId="1945AE7E" w14:textId="3E6E4D25" w:rsidR="00B27FE1" w:rsidRDefault="00BE326E" w:rsidP="00BE326E">
            <w:r>
              <w:t xml:space="preserve">It is common practice for PWR designs to provide </w:t>
            </w:r>
            <w:r w:rsidR="0029690F">
              <w:t xml:space="preserve">a </w:t>
            </w:r>
            <w:r>
              <w:t>means of depressurising the primary circuit in response to indications that significant fuel damage has occurred so as to prevent the high pressure ejection of melted fuel/corium</w:t>
            </w:r>
            <w:r w:rsidR="00D01E50">
              <w:t xml:space="preserve"> and direct containment heating</w:t>
            </w:r>
            <w:r w:rsidR="5FA01878">
              <w:t>, with this means being diverse from any means of depressurising the primary circuit in response to design basis events</w:t>
            </w:r>
            <w:r>
              <w:t xml:space="preserve">. </w:t>
            </w:r>
            <w:r w:rsidR="008338F6">
              <w:t xml:space="preserve">High pressure melt ejection </w:t>
            </w:r>
            <w:r w:rsidR="00F76F21">
              <w:t xml:space="preserve">and direct containment heating </w:t>
            </w:r>
            <w:r w:rsidR="00B27FE1">
              <w:t xml:space="preserve">has the potential to </w:t>
            </w:r>
            <w:r w:rsidR="007D2BB5">
              <w:t>cause</w:t>
            </w:r>
            <w:r w:rsidR="00B27FE1">
              <w:t xml:space="preserve"> a significant challenge to containment </w:t>
            </w:r>
            <w:r w:rsidR="007D2BB5">
              <w:t>structures</w:t>
            </w:r>
            <w:r w:rsidR="00B27FE1">
              <w:t xml:space="preserve"> and lead to a large radioactive release with significant environmental and societal consequences.</w:t>
            </w:r>
          </w:p>
          <w:p w14:paraId="561DA881" w14:textId="77777777" w:rsidR="00B27FE1" w:rsidRDefault="00B27FE1" w:rsidP="00BE326E"/>
          <w:p w14:paraId="10E19983" w14:textId="7175A8EB" w:rsidR="002E5F18" w:rsidRDefault="007F14FD" w:rsidP="002C698D">
            <w:r>
              <w:t>Such systems are</w:t>
            </w:r>
            <w:r w:rsidR="00B27FE1">
              <w:t xml:space="preserve"> provided</w:t>
            </w:r>
            <w:r>
              <w:t xml:space="preserve"> in addition to </w:t>
            </w:r>
            <w:r w:rsidR="004D6777">
              <w:t xml:space="preserve">safety measures to prevent over-pressure of the primary circuit or to depressurise the primary circuit </w:t>
            </w:r>
            <w:r w:rsidR="00B52189">
              <w:t xml:space="preserve">in response to a fault and in addition to the </w:t>
            </w:r>
            <w:r w:rsidR="0035186A">
              <w:t xml:space="preserve">normally operating </w:t>
            </w:r>
            <w:r w:rsidR="00B52189">
              <w:t>primary circuit pressure control systems</w:t>
            </w:r>
            <w:r w:rsidR="00482DA2">
              <w:t xml:space="preserve">, as failure of these systems may have led to the </w:t>
            </w:r>
            <w:r w:rsidR="004971FC">
              <w:t>degraded core state.</w:t>
            </w:r>
          </w:p>
          <w:p w14:paraId="48DB1D26" w14:textId="77777777" w:rsidR="008A3EFD" w:rsidRDefault="008A3EFD" w:rsidP="00BE326E"/>
          <w:p w14:paraId="4AD7880E" w14:textId="477418EA" w:rsidR="008A3EFD" w:rsidRDefault="004426D8" w:rsidP="00480809">
            <w:r>
              <w:t>Specific Safety Guide</w:t>
            </w:r>
            <w:r w:rsidR="00F575B5">
              <w:t xml:space="preserve"> 88</w:t>
            </w:r>
            <w:r>
              <w:t xml:space="preserve"> (</w:t>
            </w:r>
            <w:r w:rsidR="008A3EFD">
              <w:t>SSG-88</w:t>
            </w:r>
            <w:r w:rsidR="00F575B5">
              <w:t>) from the International Atomic Energy Agency (IAEA)</w:t>
            </w:r>
            <w:r w:rsidR="008A3EFD">
              <w:t xml:space="preserve"> (Ref 1)</w:t>
            </w:r>
            <w:r w:rsidR="000D1DB1">
              <w:t xml:space="preserve"> </w:t>
            </w:r>
            <w:r w:rsidR="002C4230">
              <w:t xml:space="preserve">sets out </w:t>
            </w:r>
            <w:r w:rsidR="000D1DB1">
              <w:t xml:space="preserve">the expectation that </w:t>
            </w:r>
            <w:r w:rsidR="00B602B5">
              <w:t>direct containment heating be practically eliminated</w:t>
            </w:r>
            <w:r w:rsidR="00F23262">
              <w:t xml:space="preserve"> and that </w:t>
            </w:r>
            <w:r w:rsidR="00480809" w:rsidRPr="00480809">
              <w:t>design provisions</w:t>
            </w:r>
            <w:r w:rsidR="00221352">
              <w:t xml:space="preserve"> be provided</w:t>
            </w:r>
            <w:r w:rsidR="00480809" w:rsidRPr="00480809">
              <w:t xml:space="preserve"> to depressuri</w:t>
            </w:r>
            <w:r w:rsidR="00F76F21">
              <w:t>s</w:t>
            </w:r>
            <w:r w:rsidR="00480809" w:rsidRPr="00480809">
              <w:t>e the reactor coolant system when a meltdown is found</w:t>
            </w:r>
            <w:r w:rsidR="005113A5">
              <w:t xml:space="preserve"> to be</w:t>
            </w:r>
            <w:r w:rsidR="00480809" w:rsidRPr="00480809">
              <w:t xml:space="preserve"> unavoidable</w:t>
            </w:r>
            <w:r w:rsidR="00F76F21">
              <w:t>.</w:t>
            </w:r>
          </w:p>
          <w:p w14:paraId="382663FD" w14:textId="77777777" w:rsidR="002E5F18" w:rsidRDefault="002E5F18" w:rsidP="00BE326E"/>
          <w:p w14:paraId="6F628BD7" w14:textId="7CDE9FBC" w:rsidR="008B185F" w:rsidRDefault="008B185F" w:rsidP="008B185F">
            <w:r>
              <w:t xml:space="preserve">International consensus is that the appropriate strategy for achieving the overall safety </w:t>
            </w:r>
            <w:r>
              <w:lastRenderedPageBreak/>
              <w:t>objective is through the application of the concept of defence in depth</w:t>
            </w:r>
            <w:r w:rsidR="62158941">
              <w:t xml:space="preserve"> (Ref </w:t>
            </w:r>
            <w:r w:rsidR="7AEA4EA5">
              <w:t>2</w:t>
            </w:r>
            <w:r w:rsidR="62158941">
              <w:t>)</w:t>
            </w:r>
            <w:r>
              <w:t>. This should provide a series of independent barriers (inherent features, equipment and procedures) aimed at preventing faults in the first instance, and ensuring appropriate protection or mitigation of accidents in the event that prevention fails.</w:t>
            </w:r>
          </w:p>
          <w:p w14:paraId="4B49DDD7" w14:textId="77777777" w:rsidR="0061611D" w:rsidRDefault="0061611D" w:rsidP="008B185F">
            <w:pPr>
              <w:rPr>
                <w:szCs w:val="24"/>
              </w:rPr>
            </w:pPr>
          </w:p>
          <w:p w14:paraId="274A0F02" w14:textId="1EBB7CEE" w:rsidR="008B185F" w:rsidRDefault="0061611D" w:rsidP="00BE326E">
            <w:r>
              <w:t>Defence in depth is generally applied in five levels, which should be, as far as practicable, independent from one another</w:t>
            </w:r>
            <w:r w:rsidR="079CBA62">
              <w:t xml:space="preserve"> (Ref </w:t>
            </w:r>
            <w:r w:rsidR="2AF4CE72">
              <w:t>3</w:t>
            </w:r>
            <w:r w:rsidR="079CBA62">
              <w:t>)</w:t>
            </w:r>
            <w:r>
              <w:t xml:space="preserve">. </w:t>
            </w:r>
          </w:p>
          <w:p w14:paraId="3DE0C5BD" w14:textId="0DBF59B3" w:rsidR="002E5F18" w:rsidRDefault="002E5F18" w:rsidP="00BE326E">
            <w:r>
              <w:t xml:space="preserve">The SMR-300 design </w:t>
            </w:r>
            <w:r w:rsidR="00E00359">
              <w:t xml:space="preserve">(Ref </w:t>
            </w:r>
            <w:r w:rsidR="65B479B3">
              <w:t>4</w:t>
            </w:r>
            <w:r w:rsidR="00E00359">
              <w:t xml:space="preserve">) </w:t>
            </w:r>
            <w:r>
              <w:t xml:space="preserve">has an Automatic Depressurisation System (ADS) </w:t>
            </w:r>
            <w:r w:rsidR="009C1BDA">
              <w:t xml:space="preserve">which is designed to depressurise the primary circuit </w:t>
            </w:r>
            <w:r w:rsidR="001C397C">
              <w:t>following actuation of the safety systems and facilitate safety injection from the accumulators and the Passiv</w:t>
            </w:r>
            <w:r w:rsidR="008806ED">
              <w:t>e Cooling Water Makeup Tank</w:t>
            </w:r>
            <w:r w:rsidR="00FF2C5D">
              <w:t xml:space="preserve"> thus ensuring long term cooling of the core</w:t>
            </w:r>
            <w:r w:rsidR="00691F08">
              <w:t>.</w:t>
            </w:r>
            <w:r w:rsidR="0044050A">
              <w:t xml:space="preserve"> This is </w:t>
            </w:r>
            <w:r w:rsidR="00330611">
              <w:t>a safety measure at level 3 defence in depth.</w:t>
            </w:r>
          </w:p>
          <w:p w14:paraId="4C7A0F71" w14:textId="77777777" w:rsidR="002E5F18" w:rsidRDefault="002E5F18" w:rsidP="00BE326E"/>
          <w:p w14:paraId="6AA0E224" w14:textId="5A4217A7" w:rsidR="00BE326E" w:rsidRDefault="00BE326E" w:rsidP="00BE326E">
            <w:r>
              <w:t xml:space="preserve">Given that failure of the ADS system </w:t>
            </w:r>
            <w:r w:rsidR="00D341E7">
              <w:t xml:space="preserve">to actuate </w:t>
            </w:r>
            <w:r>
              <w:t>could be a means by which a degraded core state could be arrived at</w:t>
            </w:r>
            <w:r w:rsidR="00691F08">
              <w:t>,</w:t>
            </w:r>
            <w:r>
              <w:t xml:space="preserve"> consideration should be given to the inclusion of a</w:t>
            </w:r>
            <w:r w:rsidR="4C0DB0DC">
              <w:t>n Independent</w:t>
            </w:r>
            <w:r>
              <w:t xml:space="preserve"> means of depressurising the primary circuit at level 4 defence in depth.</w:t>
            </w:r>
          </w:p>
          <w:p w14:paraId="41C3FA1E" w14:textId="77777777" w:rsidR="003D7F38" w:rsidRDefault="003D7F38" w:rsidP="00BE326E"/>
          <w:p w14:paraId="0D17A808" w14:textId="29B38A98" w:rsidR="00BE326E" w:rsidRDefault="00A60576" w:rsidP="00DF082E">
            <w:r>
              <w:t xml:space="preserve">No justification has been provided as to how the </w:t>
            </w:r>
            <w:r w:rsidR="00AA67B9">
              <w:t xml:space="preserve">SMR-300 </w:t>
            </w:r>
            <w:r>
              <w:t xml:space="preserve">design </w:t>
            </w:r>
            <w:r w:rsidR="00650592">
              <w:t xml:space="preserve">practically eliminates </w:t>
            </w:r>
            <w:r w:rsidR="00620B7F">
              <w:t>high pressure melt ejection</w:t>
            </w:r>
            <w:r w:rsidR="000D3ECC">
              <w:t xml:space="preserve"> and direct containment heating</w:t>
            </w:r>
            <w:r w:rsidR="00650592">
              <w:t>, or how the design reduces risks ALARP in this respect.</w:t>
            </w:r>
            <w:r w:rsidR="00620B7F">
              <w:t xml:space="preserve"> </w:t>
            </w:r>
            <w:r w:rsidR="3856410F" w:rsidRPr="1F947089">
              <w:rPr>
                <w:rFonts w:eastAsia="Arial"/>
                <w:color w:val="000000" w:themeColor="text1"/>
                <w:szCs w:val="24"/>
              </w:rPr>
              <w:t>This represents a potential shortfall in regulatory expectations which requires action to resolve</w:t>
            </w:r>
            <w:r w:rsidR="004D39F8">
              <w:t>.</w:t>
            </w:r>
          </w:p>
          <w:p w14:paraId="146E6838" w14:textId="77777777" w:rsidR="00BE326E" w:rsidRPr="0048438C" w:rsidRDefault="00BE326E" w:rsidP="0048438C">
            <w:pPr>
              <w:spacing w:before="60" w:after="60"/>
              <w:rPr>
                <w:szCs w:val="24"/>
              </w:rPr>
            </w:pPr>
          </w:p>
          <w:p w14:paraId="25806AA4" w14:textId="6EE0AECA" w:rsidR="000758E9" w:rsidRPr="0048438C" w:rsidRDefault="000758E9" w:rsidP="0048438C">
            <w:pPr>
              <w:spacing w:before="60" w:after="60"/>
              <w:rPr>
                <w:b/>
                <w:szCs w:val="24"/>
                <w:u w:val="single"/>
              </w:rPr>
            </w:pPr>
            <w:r w:rsidRPr="0048438C">
              <w:rPr>
                <w:b/>
                <w:szCs w:val="24"/>
                <w:u w:val="single"/>
              </w:rPr>
              <w:t>Relevant Legislation, Standards and Guidance</w:t>
            </w:r>
          </w:p>
          <w:p w14:paraId="3A9D7E8D" w14:textId="0E7E509D" w:rsidR="005E4D98" w:rsidRDefault="005E4D98" w:rsidP="005E4D98">
            <w:pPr>
              <w:spacing w:before="60" w:after="60"/>
            </w:pPr>
            <w:r>
              <w:t>The following guidance from the IAEA is relevant:</w:t>
            </w:r>
          </w:p>
          <w:p w14:paraId="328B5E3A" w14:textId="68302C13" w:rsidR="2109C47D" w:rsidRDefault="2109C47D" w:rsidP="56AB07E4">
            <w:pPr>
              <w:spacing w:before="60" w:after="60"/>
            </w:pPr>
            <w:r>
              <w:t>SSR-2/1 -</w:t>
            </w:r>
            <w:r w:rsidR="3E686324">
              <w:t xml:space="preserve"> </w:t>
            </w:r>
            <w:r w:rsidR="751E5D03">
              <w:t>Requirement 7</w:t>
            </w:r>
            <w:r w:rsidR="44D24F7D">
              <w:t xml:space="preserve"> Application of defence in depth</w:t>
            </w:r>
          </w:p>
          <w:p w14:paraId="5B1546E5" w14:textId="0A7BCCEC" w:rsidR="000758E9" w:rsidRDefault="00221352" w:rsidP="0048438C">
            <w:pPr>
              <w:spacing w:before="60" w:after="60"/>
            </w:pPr>
            <w:r>
              <w:t>SSG-88</w:t>
            </w:r>
            <w:r w:rsidR="005564FD">
              <w:t xml:space="preserve"> -</w:t>
            </w:r>
            <w:r w:rsidR="009F060A" w:rsidDel="005564FD">
              <w:t xml:space="preserve"> </w:t>
            </w:r>
            <w:r w:rsidR="00BE2E56">
              <w:t>Design Extension Conditions and the Concept of Practical Elimination in the Design of Nuclear Power Plants</w:t>
            </w:r>
          </w:p>
          <w:p w14:paraId="33D32A30" w14:textId="57006B6E" w:rsidR="56AB07E4" w:rsidRDefault="56AB07E4" w:rsidP="56AB07E4">
            <w:pPr>
              <w:spacing w:before="60" w:after="60"/>
            </w:pPr>
          </w:p>
          <w:p w14:paraId="09866940" w14:textId="1F8A2C4E" w:rsidR="0029428F" w:rsidRDefault="0029428F" w:rsidP="0029428F">
            <w:pPr>
              <w:spacing w:before="60" w:after="60"/>
            </w:pPr>
            <w:r>
              <w:t xml:space="preserve">The following Safety Assessment Principles (SAPs) (Ref </w:t>
            </w:r>
            <w:r w:rsidR="7FE9AFCE">
              <w:t>5</w:t>
            </w:r>
            <w:r>
              <w:t>) are relevant:</w:t>
            </w:r>
          </w:p>
          <w:p w14:paraId="226E3309" w14:textId="0AFB727F" w:rsidR="00240BAE" w:rsidRDefault="00240BAE" w:rsidP="0048438C">
            <w:pPr>
              <w:spacing w:before="60" w:after="60"/>
              <w:rPr>
                <w:szCs w:val="24"/>
              </w:rPr>
            </w:pPr>
            <w:r>
              <w:rPr>
                <w:szCs w:val="24"/>
              </w:rPr>
              <w:t xml:space="preserve">SAP SC.4 </w:t>
            </w:r>
            <w:r w:rsidR="005564FD">
              <w:rPr>
                <w:szCs w:val="24"/>
              </w:rPr>
              <w:t xml:space="preserve"> - </w:t>
            </w:r>
            <w:r w:rsidR="00CD6CA2">
              <w:rPr>
                <w:szCs w:val="24"/>
              </w:rPr>
              <w:t xml:space="preserve">Safety </w:t>
            </w:r>
            <w:r w:rsidR="005564FD">
              <w:rPr>
                <w:szCs w:val="24"/>
              </w:rPr>
              <w:t>c</w:t>
            </w:r>
            <w:r w:rsidR="00CD6CA2">
              <w:rPr>
                <w:szCs w:val="24"/>
              </w:rPr>
              <w:t xml:space="preserve">ase </w:t>
            </w:r>
            <w:r w:rsidR="005564FD">
              <w:rPr>
                <w:szCs w:val="24"/>
              </w:rPr>
              <w:t>c</w:t>
            </w:r>
            <w:r w:rsidR="00CD6CA2">
              <w:rPr>
                <w:szCs w:val="24"/>
              </w:rPr>
              <w:t>haracteristics</w:t>
            </w:r>
          </w:p>
          <w:p w14:paraId="238F5377" w14:textId="7C544615" w:rsidR="00221352" w:rsidRDefault="00CB7986" w:rsidP="0048438C">
            <w:pPr>
              <w:spacing w:before="60" w:after="60"/>
              <w:rPr>
                <w:szCs w:val="24"/>
              </w:rPr>
            </w:pPr>
            <w:r>
              <w:rPr>
                <w:szCs w:val="24"/>
              </w:rPr>
              <w:t xml:space="preserve">SAP </w:t>
            </w:r>
            <w:r w:rsidR="009F060A">
              <w:rPr>
                <w:szCs w:val="24"/>
              </w:rPr>
              <w:t xml:space="preserve">EKP.3 </w:t>
            </w:r>
            <w:r w:rsidR="005564FD">
              <w:rPr>
                <w:szCs w:val="24"/>
              </w:rPr>
              <w:t xml:space="preserve">- </w:t>
            </w:r>
            <w:r w:rsidR="009F060A">
              <w:rPr>
                <w:szCs w:val="24"/>
              </w:rPr>
              <w:t xml:space="preserve">Defence in </w:t>
            </w:r>
            <w:r w:rsidR="005564FD">
              <w:rPr>
                <w:szCs w:val="24"/>
              </w:rPr>
              <w:t>d</w:t>
            </w:r>
            <w:r w:rsidR="009F060A">
              <w:rPr>
                <w:szCs w:val="24"/>
              </w:rPr>
              <w:t>epth</w:t>
            </w:r>
            <w:r w:rsidR="000F69BF">
              <w:rPr>
                <w:szCs w:val="24"/>
              </w:rPr>
              <w:t xml:space="preserve"> </w:t>
            </w:r>
          </w:p>
          <w:p w14:paraId="3AE8AF78" w14:textId="688070DB" w:rsidR="003D0A65" w:rsidRPr="0048438C" w:rsidRDefault="000F69BF" w:rsidP="0048438C">
            <w:pPr>
              <w:spacing w:before="60" w:after="60"/>
              <w:rPr>
                <w:szCs w:val="24"/>
              </w:rPr>
            </w:pPr>
            <w:r>
              <w:rPr>
                <w:szCs w:val="24"/>
              </w:rPr>
              <w:t xml:space="preserve">SAP </w:t>
            </w:r>
            <w:r w:rsidR="003D0A65">
              <w:rPr>
                <w:szCs w:val="24"/>
              </w:rPr>
              <w:t xml:space="preserve">FA.16 </w:t>
            </w:r>
            <w:r w:rsidR="005564FD">
              <w:rPr>
                <w:szCs w:val="24"/>
              </w:rPr>
              <w:t xml:space="preserve">- </w:t>
            </w:r>
            <w:r w:rsidR="003D0A65">
              <w:rPr>
                <w:szCs w:val="24"/>
              </w:rPr>
              <w:t xml:space="preserve">Use of </w:t>
            </w:r>
            <w:r w:rsidR="005564FD">
              <w:rPr>
                <w:szCs w:val="24"/>
              </w:rPr>
              <w:t>s</w:t>
            </w:r>
            <w:r w:rsidR="003D0A65">
              <w:rPr>
                <w:szCs w:val="24"/>
              </w:rPr>
              <w:t xml:space="preserve">evere </w:t>
            </w:r>
            <w:r w:rsidR="005564FD">
              <w:rPr>
                <w:szCs w:val="24"/>
              </w:rPr>
              <w:t>a</w:t>
            </w:r>
            <w:r w:rsidR="003D0A65">
              <w:rPr>
                <w:szCs w:val="24"/>
              </w:rPr>
              <w:t xml:space="preserve">ccident </w:t>
            </w:r>
            <w:r w:rsidR="005564FD">
              <w:rPr>
                <w:szCs w:val="24"/>
              </w:rPr>
              <w:t>a</w:t>
            </w:r>
            <w:r w:rsidR="003D0A65">
              <w:rPr>
                <w:szCs w:val="24"/>
              </w:rPr>
              <w:t>nalysis</w:t>
            </w:r>
          </w:p>
          <w:p w14:paraId="4A87D771" w14:textId="77777777" w:rsidR="000758E9" w:rsidRPr="0048438C" w:rsidRDefault="000758E9" w:rsidP="0048438C">
            <w:pPr>
              <w:spacing w:before="60" w:after="60"/>
              <w:rPr>
                <w:szCs w:val="24"/>
              </w:rPr>
            </w:pPr>
          </w:p>
          <w:p w14:paraId="268B2B85" w14:textId="2A98076B" w:rsidR="00CC67B6" w:rsidRPr="0048438C" w:rsidRDefault="00F65462" w:rsidP="0048438C">
            <w:pPr>
              <w:spacing w:before="60" w:after="60"/>
              <w:rPr>
                <w:b/>
                <w:szCs w:val="24"/>
                <w:u w:val="single"/>
              </w:rPr>
            </w:pPr>
            <w:r w:rsidRPr="0048438C">
              <w:rPr>
                <w:b/>
                <w:szCs w:val="24"/>
                <w:u w:val="single"/>
              </w:rPr>
              <w:t>Regulatory Expectations</w:t>
            </w:r>
          </w:p>
          <w:p w14:paraId="12FD84FF" w14:textId="348E47D8" w:rsidR="00CD6CA2" w:rsidRDefault="00CD6CA2" w:rsidP="007F12F1">
            <w:pPr>
              <w:spacing w:before="60" w:after="60"/>
              <w:rPr>
                <w:szCs w:val="24"/>
              </w:rPr>
            </w:pPr>
            <w:r>
              <w:rPr>
                <w:szCs w:val="24"/>
              </w:rPr>
              <w:t>SAP SC.4</w:t>
            </w:r>
            <w:r w:rsidR="005564FD">
              <w:rPr>
                <w:szCs w:val="24"/>
              </w:rPr>
              <w:t xml:space="preserve"> sets out the expectation that</w:t>
            </w:r>
            <w:r>
              <w:rPr>
                <w:szCs w:val="24"/>
              </w:rPr>
              <w:t xml:space="preserve"> </w:t>
            </w:r>
            <w:r w:rsidR="007F12F1">
              <w:rPr>
                <w:szCs w:val="24"/>
              </w:rPr>
              <w:t>a</w:t>
            </w:r>
            <w:r w:rsidR="007F12F1" w:rsidRPr="007F12F1">
              <w:rPr>
                <w:szCs w:val="24"/>
              </w:rPr>
              <w:t xml:space="preserve"> safety case should</w:t>
            </w:r>
            <w:r w:rsidR="007F12F1">
              <w:rPr>
                <w:szCs w:val="24"/>
              </w:rPr>
              <w:t xml:space="preserve"> </w:t>
            </w:r>
            <w:r w:rsidR="007F12F1" w:rsidRPr="007F12F1">
              <w:rPr>
                <w:szCs w:val="24"/>
              </w:rPr>
              <w:t>explicitly set out the argument for why risks are ALARP</w:t>
            </w:r>
            <w:r w:rsidR="007F12F1">
              <w:rPr>
                <w:szCs w:val="24"/>
              </w:rPr>
              <w:t xml:space="preserve">, and </w:t>
            </w:r>
            <w:r w:rsidR="005564FD">
              <w:rPr>
                <w:szCs w:val="24"/>
              </w:rPr>
              <w:t xml:space="preserve">provide </w:t>
            </w:r>
            <w:r w:rsidR="007F12F1" w:rsidRPr="007F12F1">
              <w:rPr>
                <w:szCs w:val="24"/>
              </w:rPr>
              <w:t>link</w:t>
            </w:r>
            <w:r w:rsidR="005564FD">
              <w:rPr>
                <w:szCs w:val="24"/>
              </w:rPr>
              <w:t>s</w:t>
            </w:r>
            <w:r w:rsidR="007F12F1" w:rsidRPr="007F12F1">
              <w:rPr>
                <w:szCs w:val="24"/>
              </w:rPr>
              <w:t xml:space="preserve"> </w:t>
            </w:r>
            <w:r w:rsidR="005564FD">
              <w:rPr>
                <w:szCs w:val="24"/>
              </w:rPr>
              <w:t xml:space="preserve">to </w:t>
            </w:r>
            <w:r w:rsidR="007F12F1" w:rsidRPr="007F12F1">
              <w:rPr>
                <w:szCs w:val="24"/>
              </w:rPr>
              <w:t>the information necessary to show that risks are ALARP</w:t>
            </w:r>
            <w:r w:rsidR="007F12F1">
              <w:rPr>
                <w:szCs w:val="24"/>
              </w:rPr>
              <w:t>.</w:t>
            </w:r>
          </w:p>
          <w:p w14:paraId="5F07A780" w14:textId="77777777" w:rsidR="00CD6CA2" w:rsidRDefault="00CD6CA2" w:rsidP="0048438C">
            <w:pPr>
              <w:spacing w:before="60" w:after="60"/>
              <w:rPr>
                <w:szCs w:val="24"/>
              </w:rPr>
            </w:pPr>
          </w:p>
          <w:p w14:paraId="74426001" w14:textId="7710C9B7" w:rsidR="00A9080D" w:rsidRDefault="007F309D" w:rsidP="00404DD6">
            <w:pPr>
              <w:spacing w:before="60" w:after="60"/>
              <w:rPr>
                <w:szCs w:val="24"/>
              </w:rPr>
            </w:pPr>
            <w:r>
              <w:rPr>
                <w:szCs w:val="24"/>
              </w:rPr>
              <w:t>SAP FA.16</w:t>
            </w:r>
            <w:r w:rsidR="005564FD">
              <w:rPr>
                <w:szCs w:val="24"/>
              </w:rPr>
              <w:t xml:space="preserve"> sets out the expectation that</w:t>
            </w:r>
            <w:r>
              <w:rPr>
                <w:szCs w:val="24"/>
              </w:rPr>
              <w:t xml:space="preserve"> s</w:t>
            </w:r>
            <w:r w:rsidR="00404DD6" w:rsidRPr="00404DD6">
              <w:rPr>
                <w:szCs w:val="24"/>
              </w:rPr>
              <w:t>evere accident analysis should be used in the consideration of further risk-reducing measures. The severe accident analysis should provide information to</w:t>
            </w:r>
            <w:r>
              <w:rPr>
                <w:szCs w:val="24"/>
              </w:rPr>
              <w:t xml:space="preserve"> </w:t>
            </w:r>
            <w:r w:rsidR="00404DD6" w:rsidRPr="00404DD6">
              <w:rPr>
                <w:szCs w:val="24"/>
              </w:rPr>
              <w:t xml:space="preserve">assist in the identification of any further reasonably practicable preventative or mitigating measures beyond those derived from engineering analysis, </w:t>
            </w:r>
            <w:r w:rsidR="00640F8F">
              <w:rPr>
                <w:szCs w:val="24"/>
              </w:rPr>
              <w:t>Design Basis Analysis (</w:t>
            </w:r>
            <w:r w:rsidR="00404DD6" w:rsidRPr="00404DD6">
              <w:rPr>
                <w:szCs w:val="24"/>
              </w:rPr>
              <w:t>DBA</w:t>
            </w:r>
            <w:r w:rsidR="00640F8F">
              <w:rPr>
                <w:szCs w:val="24"/>
              </w:rPr>
              <w:t>)</w:t>
            </w:r>
            <w:r w:rsidR="00404DD6" w:rsidRPr="00404DD6">
              <w:rPr>
                <w:szCs w:val="24"/>
              </w:rPr>
              <w:t xml:space="preserve"> and </w:t>
            </w:r>
            <w:r w:rsidR="00640F8F">
              <w:rPr>
                <w:szCs w:val="24"/>
              </w:rPr>
              <w:t>Probabilistic Safety Analysis (</w:t>
            </w:r>
            <w:r w:rsidR="00404DD6" w:rsidRPr="00404DD6">
              <w:rPr>
                <w:szCs w:val="24"/>
              </w:rPr>
              <w:t>PSA</w:t>
            </w:r>
            <w:r w:rsidR="00640F8F">
              <w:rPr>
                <w:szCs w:val="24"/>
              </w:rPr>
              <w:t>)</w:t>
            </w:r>
            <w:r w:rsidR="005A0886">
              <w:rPr>
                <w:szCs w:val="24"/>
              </w:rPr>
              <w:t>.</w:t>
            </w:r>
          </w:p>
          <w:p w14:paraId="52AF4DE3" w14:textId="77777777" w:rsidR="005A0886" w:rsidRDefault="005A0886" w:rsidP="00404DD6">
            <w:pPr>
              <w:spacing w:before="60" w:after="60"/>
              <w:rPr>
                <w:szCs w:val="24"/>
              </w:rPr>
            </w:pPr>
          </w:p>
          <w:p w14:paraId="3C41A97B" w14:textId="6EE25D8B" w:rsidR="005A0886" w:rsidRDefault="00C655A2" w:rsidP="002E0C6C">
            <w:pPr>
              <w:spacing w:before="60" w:after="60"/>
              <w:rPr>
                <w:szCs w:val="24"/>
              </w:rPr>
            </w:pPr>
            <w:r>
              <w:rPr>
                <w:szCs w:val="24"/>
              </w:rPr>
              <w:lastRenderedPageBreak/>
              <w:t>SAP EKP.3</w:t>
            </w:r>
            <w:r w:rsidR="00D647D5">
              <w:rPr>
                <w:szCs w:val="24"/>
              </w:rPr>
              <w:t xml:space="preserve"> sets out</w:t>
            </w:r>
            <w:r w:rsidR="00C73069">
              <w:rPr>
                <w:szCs w:val="24"/>
              </w:rPr>
              <w:t xml:space="preserve"> the expectation that</w:t>
            </w:r>
            <w:r w:rsidR="00202A90">
              <w:rPr>
                <w:szCs w:val="24"/>
              </w:rPr>
              <w:t xml:space="preserve"> </w:t>
            </w:r>
            <w:r w:rsidR="00CC4A29">
              <w:rPr>
                <w:szCs w:val="24"/>
              </w:rPr>
              <w:t xml:space="preserve">nuclear facilities should be designed so that </w:t>
            </w:r>
            <w:r w:rsidR="002240F2" w:rsidRPr="002240F2">
              <w:rPr>
                <w:szCs w:val="24"/>
              </w:rPr>
              <w:t>defence in depth against potentially significant faults or failures is achieved by the provision of multiple independent barriers to fault progression.</w:t>
            </w:r>
            <w:r w:rsidR="002240F2">
              <w:rPr>
                <w:szCs w:val="24"/>
              </w:rPr>
              <w:t xml:space="preserve"> </w:t>
            </w:r>
            <w:r w:rsidR="002E0C6C" w:rsidRPr="002E0C6C">
              <w:t xml:space="preserve"> </w:t>
            </w:r>
            <w:r w:rsidR="003F1AEC">
              <w:t>T</w:t>
            </w:r>
            <w:r w:rsidR="00202A90" w:rsidRPr="00202A90">
              <w:rPr>
                <w:szCs w:val="24"/>
              </w:rPr>
              <w:t>he concept of defence in depth should be applied so that additional measures are</w:t>
            </w:r>
            <w:r w:rsidR="0060696F">
              <w:rPr>
                <w:szCs w:val="24"/>
              </w:rPr>
              <w:t xml:space="preserve"> identified and</w:t>
            </w:r>
            <w:r w:rsidR="00202A90" w:rsidRPr="00202A90">
              <w:rPr>
                <w:szCs w:val="24"/>
              </w:rPr>
              <w:t xml:space="preserve"> provided to mitigate the consequences of accidents, especially severe accidents.</w:t>
            </w:r>
          </w:p>
          <w:p w14:paraId="2EF39632" w14:textId="77777777" w:rsidR="00967B5C" w:rsidRDefault="00967B5C" w:rsidP="00202A90">
            <w:pPr>
              <w:spacing w:before="60" w:after="60"/>
              <w:rPr>
                <w:szCs w:val="24"/>
              </w:rPr>
            </w:pPr>
          </w:p>
          <w:p w14:paraId="738BEC8C" w14:textId="7446A3C8" w:rsidR="00441DB9" w:rsidRDefault="002E010E" w:rsidP="00564B6F">
            <w:pPr>
              <w:spacing w:before="60" w:after="60"/>
            </w:pPr>
            <w:r>
              <w:t xml:space="preserve">As per SAPs para 611, </w:t>
            </w:r>
            <w:r w:rsidR="0061611D">
              <w:t xml:space="preserve">and </w:t>
            </w:r>
            <w:r>
              <w:t>in line with wider international guidance</w:t>
            </w:r>
            <w:r w:rsidR="309ED10B">
              <w:t xml:space="preserve"> (Ref 1)</w:t>
            </w:r>
            <w:r>
              <w:t xml:space="preserve">, the SAA should form part of a demonstration that potential severe accident states have been ‘practically eliminated’. To demonstrate practical elimination, the safety case should show either that it is physically impossible for the accident state to occur or that design provisions mean that the state can be considered to be extremely unlikely with a high degree of confidence. Each instance where practical elimination is claimed should be assessed separately, taking into account relevant uncertainties, particularly those due to limited knowledge of extreme physical phenomena (eg the behaviour of molten reactor cores). Moreover, an accident state should not be considered to have been practically eliminated simply on the basis of meeting probabilistic criteria. Instead, any claims made on </w:t>
            </w:r>
            <w:r w:rsidR="00833016">
              <w:t>Structures, Systems and Component (</w:t>
            </w:r>
            <w:r>
              <w:t>SSCs</w:t>
            </w:r>
            <w:r w:rsidR="00833016">
              <w:t>)</w:t>
            </w:r>
            <w:r>
              <w:t xml:space="preserve"> in relation to practical elimination need to be substantiated appropriately</w:t>
            </w:r>
            <w:r w:rsidR="00441DB9">
              <w:t>.</w:t>
            </w:r>
          </w:p>
          <w:p w14:paraId="453D1C36" w14:textId="4F51CAB3" w:rsidR="56AB07E4" w:rsidRDefault="56AB07E4" w:rsidP="56AB07E4">
            <w:pPr>
              <w:spacing w:before="60" w:after="60"/>
            </w:pPr>
          </w:p>
          <w:p w14:paraId="72DFB33F" w14:textId="1E22C958" w:rsidR="2876545B" w:rsidRDefault="2876545B" w:rsidP="00C1FD58">
            <w:pPr>
              <w:spacing w:before="60" w:after="60"/>
              <w:rPr>
                <w:rFonts w:eastAsia="Arial"/>
              </w:rPr>
            </w:pPr>
            <w:r>
              <w:t>IAEA SSR-2/1 Requirement 7 set</w:t>
            </w:r>
            <w:r w:rsidR="00CF73E9">
              <w:t>s</w:t>
            </w:r>
            <w:r>
              <w:t xml:space="preserve"> out the expectation that, t</w:t>
            </w:r>
            <w:r w:rsidRPr="6633DA4C">
              <w:rPr>
                <w:rFonts w:eastAsia="Arial"/>
              </w:rPr>
              <w:t>he design of a nuclear power plant incorporate defence in depth and that the levels of defence in depth be independent as far as is practicable.</w:t>
            </w:r>
          </w:p>
          <w:p w14:paraId="4C932E86" w14:textId="77777777" w:rsidR="00A9080D" w:rsidRPr="0048438C" w:rsidRDefault="00A9080D" w:rsidP="0048438C">
            <w:pPr>
              <w:spacing w:before="60" w:after="60"/>
              <w:rPr>
                <w:szCs w:val="24"/>
              </w:rPr>
            </w:pPr>
          </w:p>
          <w:p w14:paraId="2993E5C2" w14:textId="77777777" w:rsidR="00EC409B" w:rsidRPr="0048438C" w:rsidRDefault="00EC409B" w:rsidP="0048438C">
            <w:pPr>
              <w:spacing w:before="60" w:after="60"/>
              <w:rPr>
                <w:b/>
                <w:szCs w:val="24"/>
                <w:u w:val="single"/>
              </w:rPr>
            </w:pPr>
            <w:r w:rsidRPr="0048438C">
              <w:rPr>
                <w:b/>
                <w:szCs w:val="24"/>
                <w:u w:val="single"/>
              </w:rPr>
              <w:t>References</w:t>
            </w:r>
          </w:p>
          <w:p w14:paraId="170AF9D1" w14:textId="2660556E" w:rsidR="00EC409B" w:rsidRDefault="00EC409B" w:rsidP="6633DA4C">
            <w:pPr>
              <w:spacing w:before="60" w:after="60"/>
            </w:pPr>
            <w:r>
              <w:t xml:space="preserve">[1] </w:t>
            </w:r>
            <w:r w:rsidR="000D1DB1">
              <w:t>SSG-88</w:t>
            </w:r>
            <w:r w:rsidR="00167FE9">
              <w:t xml:space="preserve"> Design Extension Conditions and the Concept of Practical Elimination </w:t>
            </w:r>
            <w:r w:rsidR="00121DA6">
              <w:t xml:space="preserve">in the Design of Nuclear Power Plants, </w:t>
            </w:r>
            <w:r w:rsidR="00680E1D">
              <w:t>2024</w:t>
            </w:r>
            <w:r w:rsidR="00BB1419">
              <w:t>.</w:t>
            </w:r>
          </w:p>
          <w:p w14:paraId="3DFAF819" w14:textId="4B5C152B" w:rsidR="0776D36F" w:rsidRDefault="0776D36F" w:rsidP="6633DA4C">
            <w:pPr>
              <w:spacing w:before="60" w:after="60"/>
            </w:pPr>
            <w:r>
              <w:t>[2] IAEA SF-1 Fundamental Safety Principles, 2006.</w:t>
            </w:r>
          </w:p>
          <w:p w14:paraId="7625E03F" w14:textId="08BE6F79" w:rsidR="0AC59D84" w:rsidRDefault="0AC59D84" w:rsidP="6633DA4C">
            <w:pPr>
              <w:spacing w:before="60" w:after="60"/>
            </w:pPr>
            <w:r>
              <w:t>[3] IAEA SSR-2/1 Safety of Nuclear Power Plants: Design, 2016.</w:t>
            </w:r>
          </w:p>
          <w:p w14:paraId="4B637538" w14:textId="33723C58" w:rsidR="00F65462" w:rsidRDefault="000D1DB1" w:rsidP="0048438C">
            <w:pPr>
              <w:spacing w:before="60" w:after="60"/>
            </w:pPr>
            <w:r>
              <w:t>[</w:t>
            </w:r>
            <w:r w:rsidR="5964C0A0">
              <w:t>4</w:t>
            </w:r>
            <w:r>
              <w:t xml:space="preserve">] </w:t>
            </w:r>
            <w:r w:rsidR="009A216B">
              <w:t xml:space="preserve">HI-2240337, </w:t>
            </w:r>
            <w:r w:rsidR="00FD1A43">
              <w:t xml:space="preserve">Holtec SMR </w:t>
            </w:r>
            <w:r w:rsidR="00B06B7D">
              <w:t>GDA PSR PART B Chapter 1 Reactor Coolant System and Engineered Safety Features</w:t>
            </w:r>
            <w:r w:rsidR="006C5EEE">
              <w:t xml:space="preserve">, Revision 1, </w:t>
            </w:r>
            <w:r w:rsidR="39FB2BA1">
              <w:t>June 2025</w:t>
            </w:r>
            <w:r w:rsidR="006C5EEE">
              <w:t xml:space="preserve">, </w:t>
            </w:r>
            <w:r w:rsidR="008A7D68">
              <w:t>202</w:t>
            </w:r>
            <w:r w:rsidR="55AD7009">
              <w:t>5</w:t>
            </w:r>
            <w:r w:rsidR="008A7D68">
              <w:t>/</w:t>
            </w:r>
            <w:r w:rsidR="4EC95735">
              <w:t>24052</w:t>
            </w:r>
            <w:r w:rsidR="008A7D68">
              <w:t>.</w:t>
            </w:r>
          </w:p>
          <w:p w14:paraId="01317FA6" w14:textId="018DED7E" w:rsidR="008A3EFD" w:rsidRPr="0048438C" w:rsidRDefault="000F69BF" w:rsidP="0048438C">
            <w:pPr>
              <w:spacing w:before="60" w:after="60"/>
            </w:pPr>
            <w:r>
              <w:t>[</w:t>
            </w:r>
            <w:r w:rsidR="2CE93ED2">
              <w:t>5</w:t>
            </w:r>
            <w:r>
              <w:t>] S</w:t>
            </w:r>
            <w:r w:rsidR="008A7D68">
              <w:t xml:space="preserve">afety </w:t>
            </w:r>
            <w:r>
              <w:t>A</w:t>
            </w:r>
            <w:r w:rsidR="008A7D68">
              <w:t xml:space="preserve">ssessment </w:t>
            </w:r>
            <w:r>
              <w:t>P</w:t>
            </w:r>
            <w:r w:rsidR="008A7D68">
              <w:t>rinciple</w:t>
            </w:r>
            <w:r>
              <w:t>s</w:t>
            </w:r>
            <w:r w:rsidR="00B47FB5">
              <w:t xml:space="preserve"> for Nuclear Facilities</w:t>
            </w:r>
            <w:r w:rsidR="0D35EC4E">
              <w:t xml:space="preserve"> 2014 Edition</w:t>
            </w:r>
            <w:r w:rsidR="00B47FB5">
              <w:t xml:space="preserve">, Rev </w:t>
            </w:r>
            <w:r w:rsidR="0C5671C3">
              <w:t>1</w:t>
            </w:r>
            <w:r w:rsidR="00B47FB5">
              <w:t>,</w:t>
            </w:r>
            <w:r>
              <w:t xml:space="preserve"> </w:t>
            </w:r>
            <w:r w:rsidR="63108C1E">
              <w:t>January</w:t>
            </w:r>
            <w:r w:rsidR="2C849AC2">
              <w:t xml:space="preserve"> </w:t>
            </w:r>
            <w:r>
              <w:t>20</w:t>
            </w:r>
            <w:r w:rsidR="4ED95428">
              <w:t>20</w:t>
            </w:r>
            <w:r w:rsidR="00B47FB5">
              <w:t>.</w:t>
            </w:r>
          </w:p>
          <w:p w14:paraId="4573E048" w14:textId="06169FA5" w:rsidR="008A3EFD" w:rsidRPr="0048438C" w:rsidRDefault="008A3EFD" w:rsidP="0048438C">
            <w:pPr>
              <w:spacing w:before="60" w:after="60"/>
            </w:pPr>
          </w:p>
        </w:tc>
      </w:tr>
      <w:tr w:rsidR="00850471" w:rsidRPr="00581D5B" w14:paraId="4573E04B" w14:textId="77777777" w:rsidTr="75FCC5B1">
        <w:tc>
          <w:tcPr>
            <w:tcW w:w="9897" w:type="dxa"/>
            <w:gridSpan w:val="2"/>
            <w:shd w:val="clear" w:color="auto" w:fill="D9D9D9" w:themeFill="background1" w:themeFillShade="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850471" w:rsidRPr="0048438C" w14:paraId="4573E04E" w14:textId="77777777" w:rsidTr="75FCC5B1">
        <w:trPr>
          <w:trHeight w:val="242"/>
        </w:trPr>
        <w:tc>
          <w:tcPr>
            <w:tcW w:w="9897" w:type="dxa"/>
            <w:gridSpan w:val="2"/>
          </w:tcPr>
          <w:p w14:paraId="4573E04C" w14:textId="1A69BF30" w:rsidR="00850471" w:rsidRPr="0048438C" w:rsidRDefault="00850471" w:rsidP="0048438C">
            <w:pPr>
              <w:spacing w:before="60" w:after="60"/>
              <w:rPr>
                <w:b/>
                <w:bCs/>
              </w:rPr>
            </w:pPr>
            <w:r w:rsidRPr="6633DA4C">
              <w:rPr>
                <w:b/>
                <w:bCs/>
              </w:rPr>
              <w:t>RO-</w:t>
            </w:r>
            <w:r w:rsidR="6DA115D4" w:rsidRPr="6633DA4C">
              <w:rPr>
                <w:b/>
                <w:bCs/>
              </w:rPr>
              <w:t>HOLTEC</w:t>
            </w:r>
            <w:r w:rsidR="00581D5B" w:rsidRPr="6633DA4C">
              <w:rPr>
                <w:b/>
                <w:bCs/>
              </w:rPr>
              <w:t>SMR</w:t>
            </w:r>
            <w:r w:rsidR="005933F1" w:rsidRPr="6633DA4C">
              <w:rPr>
                <w:b/>
                <w:bCs/>
              </w:rPr>
              <w:t>300</w:t>
            </w:r>
            <w:r w:rsidR="77716BE0" w:rsidRPr="6633DA4C">
              <w:rPr>
                <w:b/>
                <w:bCs/>
              </w:rPr>
              <w:t>-</w:t>
            </w:r>
            <w:r w:rsidR="68DAD715" w:rsidRPr="6633DA4C">
              <w:rPr>
                <w:b/>
                <w:bCs/>
              </w:rPr>
              <w:t>003</w:t>
            </w:r>
            <w:r w:rsidRPr="6633DA4C">
              <w:rPr>
                <w:b/>
                <w:bCs/>
              </w:rPr>
              <w:t>.A1</w:t>
            </w:r>
            <w:r w:rsidR="000977CC" w:rsidRPr="6633DA4C">
              <w:rPr>
                <w:b/>
                <w:bCs/>
              </w:rPr>
              <w:t xml:space="preserve"> – </w:t>
            </w:r>
            <w:r w:rsidR="00143C2F" w:rsidRPr="6633DA4C">
              <w:rPr>
                <w:b/>
                <w:bCs/>
              </w:rPr>
              <w:t xml:space="preserve">Demonstration of practical elimination of </w:t>
            </w:r>
            <w:r w:rsidR="01545EA4" w:rsidRPr="6633DA4C">
              <w:rPr>
                <w:b/>
                <w:bCs/>
                <w:noProof/>
              </w:rPr>
              <w:t>a large or early release caused by</w:t>
            </w:r>
            <w:r w:rsidR="00143C2F" w:rsidRPr="6633DA4C">
              <w:rPr>
                <w:b/>
                <w:bCs/>
                <w:noProof/>
              </w:rPr>
              <w:t xml:space="preserve"> </w:t>
            </w:r>
            <w:r w:rsidR="00143C2F" w:rsidRPr="6633DA4C">
              <w:rPr>
                <w:b/>
                <w:bCs/>
              </w:rPr>
              <w:t>direct containment heating</w:t>
            </w:r>
            <w:r w:rsidR="31F93DA7" w:rsidRPr="6633DA4C">
              <w:rPr>
                <w:b/>
                <w:bCs/>
                <w:noProof/>
              </w:rPr>
              <w:t xml:space="preserve"> due to high pressure melt ejection</w:t>
            </w:r>
          </w:p>
          <w:p w14:paraId="7BE7FFFB" w14:textId="77777777" w:rsidR="00CC67B6" w:rsidRPr="0048438C" w:rsidRDefault="00CC67B6" w:rsidP="0048438C">
            <w:pPr>
              <w:spacing w:before="60" w:after="60"/>
              <w:rPr>
                <w:noProof/>
                <w:szCs w:val="24"/>
              </w:rPr>
            </w:pPr>
          </w:p>
          <w:p w14:paraId="2DCB501B" w14:textId="093510A0" w:rsidR="00875755" w:rsidRPr="0048438C" w:rsidRDefault="00875755" w:rsidP="0048438C">
            <w:pPr>
              <w:spacing w:before="60" w:after="60"/>
              <w:rPr>
                <w:noProof/>
                <w:szCs w:val="24"/>
                <w:highlight w:val="yellow"/>
              </w:rPr>
            </w:pPr>
            <w:r w:rsidRPr="0048438C">
              <w:rPr>
                <w:noProof/>
                <w:szCs w:val="24"/>
              </w:rPr>
              <w:t xml:space="preserve">In response to this Regulatory Observation Action, </w:t>
            </w:r>
            <w:r w:rsidR="00AB1EA2">
              <w:rPr>
                <w:noProof/>
                <w:szCs w:val="24"/>
              </w:rPr>
              <w:t>Holtec</w:t>
            </w:r>
            <w:r w:rsidRPr="0048438C">
              <w:rPr>
                <w:noProof/>
                <w:szCs w:val="24"/>
              </w:rPr>
              <w:t xml:space="preserve"> should:</w:t>
            </w:r>
          </w:p>
          <w:p w14:paraId="20AA25FA" w14:textId="50D3C8FA" w:rsidR="003C7579" w:rsidRDefault="003C7579" w:rsidP="0048438C">
            <w:pPr>
              <w:spacing w:before="60" w:after="60"/>
              <w:rPr>
                <w:noProof/>
                <w:szCs w:val="24"/>
                <w:highlight w:val="yellow"/>
              </w:rPr>
            </w:pPr>
          </w:p>
          <w:p w14:paraId="4F0A439A" w14:textId="57105CD0" w:rsidR="00033EE4" w:rsidRPr="00C96F0F" w:rsidRDefault="00033EE4" w:rsidP="00C96F0F">
            <w:pPr>
              <w:spacing w:before="60" w:after="60"/>
            </w:pPr>
            <w:r>
              <w:t xml:space="preserve">Provide appropriate arguments and evidence to demonstrate that </w:t>
            </w:r>
            <w:r w:rsidR="79CE423A" w:rsidRPr="00C1FD58">
              <w:rPr>
                <w:noProof/>
              </w:rPr>
              <w:t xml:space="preserve">any large or early releases caused by </w:t>
            </w:r>
            <w:r w:rsidR="004B1798">
              <w:t xml:space="preserve">direct containment heating due to high pressure ejection of molten fuel / corium </w:t>
            </w:r>
            <w:r w:rsidR="00B624A1" w:rsidRPr="00C1FD58">
              <w:rPr>
                <w:noProof/>
              </w:rPr>
              <w:t>ha</w:t>
            </w:r>
            <w:r w:rsidR="7693D1AB" w:rsidRPr="00C1FD58">
              <w:rPr>
                <w:noProof/>
              </w:rPr>
              <w:t>ve</w:t>
            </w:r>
            <w:r w:rsidR="00B624A1">
              <w:t xml:space="preserve"> been practically eliminated, that being extremely </w:t>
            </w:r>
            <w:r w:rsidR="64099237">
              <w:t>unlikely</w:t>
            </w:r>
            <w:r w:rsidR="00B624A1">
              <w:t xml:space="preserve"> to occur with a high </w:t>
            </w:r>
            <w:r w:rsidR="00B624A1">
              <w:lastRenderedPageBreak/>
              <w:t>degree of confidence.</w:t>
            </w:r>
          </w:p>
          <w:p w14:paraId="4573E04D" w14:textId="79A415FC" w:rsidR="00850471" w:rsidRPr="00FD0CB5" w:rsidRDefault="00850471" w:rsidP="0048438C">
            <w:pPr>
              <w:spacing w:before="60" w:after="60"/>
              <w:rPr>
                <w:bCs/>
                <w:noProof/>
                <w:szCs w:val="24"/>
              </w:rPr>
            </w:pPr>
            <w:r w:rsidRPr="0048438C">
              <w:rPr>
                <w:noProof/>
                <w:szCs w:val="24"/>
              </w:rPr>
              <w:br/>
            </w:r>
            <w:r w:rsidRPr="00FD0CB5">
              <w:rPr>
                <w:bCs/>
                <w:noProof/>
                <w:szCs w:val="24"/>
              </w:rPr>
              <w:t>Resolution required by '</w:t>
            </w:r>
            <w:r w:rsidRPr="00FD0CB5">
              <w:rPr>
                <w:bCs/>
                <w:i/>
                <w:noProof/>
                <w:szCs w:val="24"/>
              </w:rPr>
              <w:t xml:space="preserve">to be determined by </w:t>
            </w:r>
            <w:r w:rsidR="00AB1EA2">
              <w:rPr>
                <w:bCs/>
                <w:i/>
                <w:noProof/>
                <w:szCs w:val="24"/>
              </w:rPr>
              <w:t>Holtec</w:t>
            </w:r>
            <w:r w:rsidRPr="00FD0CB5">
              <w:rPr>
                <w:bCs/>
                <w:i/>
                <w:noProof/>
                <w:szCs w:val="24"/>
              </w:rPr>
              <w:t xml:space="preserve"> Resolution Plan</w:t>
            </w:r>
            <w:r w:rsidRPr="00FD0CB5">
              <w:rPr>
                <w:bCs/>
                <w:noProof/>
                <w:szCs w:val="24"/>
              </w:rPr>
              <w:t>'</w:t>
            </w:r>
          </w:p>
        </w:tc>
      </w:tr>
      <w:tr w:rsidR="00C96F0F" w:rsidRPr="0048438C" w14:paraId="59A43368" w14:textId="77777777" w:rsidTr="75FCC5B1">
        <w:trPr>
          <w:trHeight w:val="242"/>
        </w:trPr>
        <w:tc>
          <w:tcPr>
            <w:tcW w:w="9897" w:type="dxa"/>
            <w:gridSpan w:val="2"/>
          </w:tcPr>
          <w:p w14:paraId="02E0EFEF" w14:textId="5866CE63" w:rsidR="00C96F0F" w:rsidRPr="0048438C" w:rsidRDefault="00C96F0F" w:rsidP="6633DA4C">
            <w:pPr>
              <w:spacing w:before="60" w:after="60"/>
              <w:rPr>
                <w:b/>
                <w:bCs/>
                <w:noProof/>
              </w:rPr>
            </w:pPr>
            <w:r w:rsidRPr="6633DA4C">
              <w:rPr>
                <w:b/>
                <w:bCs/>
                <w:noProof/>
              </w:rPr>
              <w:lastRenderedPageBreak/>
              <w:t>RO-</w:t>
            </w:r>
            <w:r w:rsidR="48F2C969" w:rsidRPr="6633DA4C">
              <w:rPr>
                <w:b/>
                <w:bCs/>
                <w:noProof/>
              </w:rPr>
              <w:t>HOLTECSMR300</w:t>
            </w:r>
            <w:r w:rsidR="7BD994D9" w:rsidRPr="6633DA4C">
              <w:rPr>
                <w:b/>
                <w:bCs/>
                <w:noProof/>
              </w:rPr>
              <w:t>-</w:t>
            </w:r>
            <w:r w:rsidR="2E7AC8C6" w:rsidRPr="6633DA4C">
              <w:rPr>
                <w:b/>
                <w:bCs/>
                <w:noProof/>
              </w:rPr>
              <w:t>003</w:t>
            </w:r>
            <w:r w:rsidRPr="6633DA4C">
              <w:rPr>
                <w:b/>
                <w:bCs/>
                <w:noProof/>
              </w:rPr>
              <w:t>.A</w:t>
            </w:r>
            <w:r w:rsidR="00507584" w:rsidRPr="6633DA4C">
              <w:rPr>
                <w:b/>
                <w:bCs/>
                <w:noProof/>
              </w:rPr>
              <w:t>2</w:t>
            </w:r>
            <w:r w:rsidRPr="6633DA4C">
              <w:rPr>
                <w:b/>
                <w:bCs/>
                <w:noProof/>
              </w:rPr>
              <w:t xml:space="preserve"> – Demonstration </w:t>
            </w:r>
            <w:r w:rsidR="00507584" w:rsidRPr="6633DA4C">
              <w:rPr>
                <w:b/>
                <w:bCs/>
                <w:noProof/>
              </w:rPr>
              <w:t xml:space="preserve">that </w:t>
            </w:r>
            <w:r w:rsidR="00852F57" w:rsidRPr="6633DA4C">
              <w:rPr>
                <w:b/>
                <w:bCs/>
                <w:noProof/>
              </w:rPr>
              <w:t xml:space="preserve">there are sufficient means of depressurising the primary circuit </w:t>
            </w:r>
            <w:r w:rsidR="00B23F9A" w:rsidRPr="6633DA4C">
              <w:rPr>
                <w:b/>
                <w:bCs/>
                <w:noProof/>
              </w:rPr>
              <w:t>in response to degraded core states.</w:t>
            </w:r>
            <w:r w:rsidR="00507584" w:rsidRPr="6633DA4C">
              <w:rPr>
                <w:b/>
                <w:bCs/>
                <w:noProof/>
              </w:rPr>
              <w:t xml:space="preserve"> </w:t>
            </w:r>
          </w:p>
          <w:p w14:paraId="0A61526F" w14:textId="77777777" w:rsidR="00C96F0F" w:rsidRPr="0048438C" w:rsidRDefault="00C96F0F" w:rsidP="00C96F0F">
            <w:pPr>
              <w:spacing w:before="60" w:after="60"/>
              <w:rPr>
                <w:noProof/>
                <w:szCs w:val="24"/>
              </w:rPr>
            </w:pPr>
          </w:p>
          <w:p w14:paraId="52A41F0D" w14:textId="77777777" w:rsidR="00C96F0F" w:rsidRPr="0048438C" w:rsidRDefault="00C96F0F" w:rsidP="00C96F0F">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0015BC44" w14:textId="77777777" w:rsidR="00C96F0F" w:rsidRDefault="00C96F0F" w:rsidP="00C96F0F">
            <w:pPr>
              <w:spacing w:before="60" w:after="60"/>
            </w:pPr>
          </w:p>
          <w:p w14:paraId="0B550130" w14:textId="52282479" w:rsidR="00C96F0F" w:rsidRPr="00C96F0F" w:rsidRDefault="00C96F0F" w:rsidP="00C1FD58">
            <w:pPr>
              <w:spacing w:before="60" w:after="60"/>
              <w:rPr>
                <w:noProof/>
              </w:rPr>
            </w:pPr>
            <w:r>
              <w:t xml:space="preserve">Provide a justification as to </w:t>
            </w:r>
            <w:r w:rsidR="1E56AEA6" w:rsidRPr="00C1FD58">
              <w:rPr>
                <w:rFonts w:eastAsia="Arial"/>
                <w:color w:val="000000" w:themeColor="text1"/>
                <w:szCs w:val="24"/>
              </w:rPr>
              <w:t>how the risks associated with the design have been reduced ALARP</w:t>
            </w:r>
            <w:r>
              <w:t xml:space="preserve"> with respect to the prevention of high pressure melt ejection</w:t>
            </w:r>
            <w:r w:rsidR="002C1BB8">
              <w:t xml:space="preserve">. </w:t>
            </w:r>
            <w:r>
              <w:t>This should include consideration of the potential options to reduce risk and a demonstration that all reasonably practicable options have been taken.</w:t>
            </w:r>
            <w:r w:rsidR="00424C2B">
              <w:t xml:space="preserve">  Provision of a diverse safety measure should be included in the options considered.</w:t>
            </w:r>
          </w:p>
          <w:p w14:paraId="6AC14C9D" w14:textId="77777777" w:rsidR="00C96F0F" w:rsidRDefault="00C96F0F" w:rsidP="0048438C">
            <w:pPr>
              <w:spacing w:before="60" w:after="60"/>
              <w:rPr>
                <w:b/>
                <w:noProof/>
                <w:szCs w:val="24"/>
              </w:rPr>
            </w:pPr>
          </w:p>
          <w:p w14:paraId="21912E26" w14:textId="14A50040" w:rsidR="003B5B16" w:rsidRPr="0048438C" w:rsidRDefault="003B5B16" w:rsidP="0048438C">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2"/>
      <w:footerReference w:type="even" r:id="rId13"/>
      <w:footerReference w:type="default" r:id="rId14"/>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274E" w14:textId="77777777" w:rsidR="00D15EC9" w:rsidRDefault="00D15EC9">
      <w:r>
        <w:separator/>
      </w:r>
    </w:p>
  </w:endnote>
  <w:endnote w:type="continuationSeparator" w:id="0">
    <w:p w14:paraId="4CC48197" w14:textId="77777777" w:rsidR="00D15EC9" w:rsidRDefault="00D15EC9">
      <w:r>
        <w:continuationSeparator/>
      </w:r>
    </w:p>
  </w:endnote>
  <w:endnote w:type="continuationNotice" w:id="1">
    <w:p w14:paraId="532BBF28" w14:textId="77777777" w:rsidR="00D15EC9" w:rsidRDefault="00D15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43155AC4"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Pr>
        <w:lang w:val="en-US"/>
      </w:rPr>
      <w:tab/>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0FE8" w14:textId="77777777" w:rsidR="00D15EC9" w:rsidRDefault="00D15EC9">
      <w:r>
        <w:separator/>
      </w:r>
    </w:p>
  </w:footnote>
  <w:footnote w:type="continuationSeparator" w:id="0">
    <w:p w14:paraId="1D8D32D4" w14:textId="77777777" w:rsidR="00D15EC9" w:rsidRDefault="00D15EC9">
      <w:r>
        <w:continuationSeparator/>
      </w:r>
    </w:p>
  </w:footnote>
  <w:footnote w:type="continuationNotice" w:id="1">
    <w:p w14:paraId="5486C9D7" w14:textId="77777777" w:rsidR="00D15EC9" w:rsidRDefault="00D15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7690D"/>
    <w:multiLevelType w:val="hybridMultilevel"/>
    <w:tmpl w:val="CAA6B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2"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4580136">
    <w:abstractNumId w:val="16"/>
  </w:num>
  <w:num w:numId="2" w16cid:durableId="1038162188">
    <w:abstractNumId w:val="16"/>
  </w:num>
  <w:num w:numId="3" w16cid:durableId="1457485129">
    <w:abstractNumId w:val="16"/>
  </w:num>
  <w:num w:numId="4" w16cid:durableId="605386637">
    <w:abstractNumId w:val="15"/>
  </w:num>
  <w:num w:numId="5" w16cid:durableId="642780601">
    <w:abstractNumId w:val="13"/>
  </w:num>
  <w:num w:numId="6" w16cid:durableId="1993218993">
    <w:abstractNumId w:val="16"/>
  </w:num>
  <w:num w:numId="7" w16cid:durableId="1210649461">
    <w:abstractNumId w:val="16"/>
  </w:num>
  <w:num w:numId="8" w16cid:durableId="777143800">
    <w:abstractNumId w:val="16"/>
  </w:num>
  <w:num w:numId="9" w16cid:durableId="416095553">
    <w:abstractNumId w:val="16"/>
  </w:num>
  <w:num w:numId="10" w16cid:durableId="157312330">
    <w:abstractNumId w:val="16"/>
  </w:num>
  <w:num w:numId="11" w16cid:durableId="272445445">
    <w:abstractNumId w:val="16"/>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9"/>
  </w:num>
  <w:num w:numId="18" w16cid:durableId="1027683759">
    <w:abstractNumId w:val="8"/>
  </w:num>
  <w:num w:numId="19" w16cid:durableId="1637100462">
    <w:abstractNumId w:val="14"/>
  </w:num>
  <w:num w:numId="20" w16cid:durableId="1174806318">
    <w:abstractNumId w:val="11"/>
  </w:num>
  <w:num w:numId="21" w16cid:durableId="945313271">
    <w:abstractNumId w:val="6"/>
  </w:num>
  <w:num w:numId="22" w16cid:durableId="1200700022">
    <w:abstractNumId w:val="7"/>
  </w:num>
  <w:num w:numId="23" w16cid:durableId="645672170">
    <w:abstractNumId w:val="5"/>
  </w:num>
  <w:num w:numId="24" w16cid:durableId="1840466613">
    <w:abstractNumId w:val="12"/>
  </w:num>
  <w:num w:numId="25" w16cid:durableId="1128359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365"/>
    <w:rsid w:val="0000781D"/>
    <w:rsid w:val="00033EE4"/>
    <w:rsid w:val="00044EA1"/>
    <w:rsid w:val="00047346"/>
    <w:rsid w:val="000758E9"/>
    <w:rsid w:val="00085FC3"/>
    <w:rsid w:val="000977CC"/>
    <w:rsid w:val="000D1DB1"/>
    <w:rsid w:val="000D3ECC"/>
    <w:rsid w:val="000F69BF"/>
    <w:rsid w:val="001178D5"/>
    <w:rsid w:val="00121DA6"/>
    <w:rsid w:val="00125578"/>
    <w:rsid w:val="001325B4"/>
    <w:rsid w:val="00141E00"/>
    <w:rsid w:val="001438BC"/>
    <w:rsid w:val="00143C2F"/>
    <w:rsid w:val="00167FE9"/>
    <w:rsid w:val="00170A05"/>
    <w:rsid w:val="001832A3"/>
    <w:rsid w:val="00185D10"/>
    <w:rsid w:val="00194AD7"/>
    <w:rsid w:val="001B363E"/>
    <w:rsid w:val="001B5AFD"/>
    <w:rsid w:val="001C397C"/>
    <w:rsid w:val="001C6DB2"/>
    <w:rsid w:val="001D280D"/>
    <w:rsid w:val="001E2BEC"/>
    <w:rsid w:val="001F685B"/>
    <w:rsid w:val="0020150E"/>
    <w:rsid w:val="00202A90"/>
    <w:rsid w:val="00212157"/>
    <w:rsid w:val="00220466"/>
    <w:rsid w:val="00221347"/>
    <w:rsid w:val="00221352"/>
    <w:rsid w:val="002240F2"/>
    <w:rsid w:val="002345BF"/>
    <w:rsid w:val="00235533"/>
    <w:rsid w:val="00240BAE"/>
    <w:rsid w:val="002515DA"/>
    <w:rsid w:val="002537E6"/>
    <w:rsid w:val="002860FC"/>
    <w:rsid w:val="0029428F"/>
    <w:rsid w:val="0029690F"/>
    <w:rsid w:val="002A492A"/>
    <w:rsid w:val="002C0193"/>
    <w:rsid w:val="002C0396"/>
    <w:rsid w:val="002C1BB8"/>
    <w:rsid w:val="002C4230"/>
    <w:rsid w:val="002C5D98"/>
    <w:rsid w:val="002C698D"/>
    <w:rsid w:val="002D02EA"/>
    <w:rsid w:val="002E010E"/>
    <w:rsid w:val="002E0C6C"/>
    <w:rsid w:val="002E5F18"/>
    <w:rsid w:val="002F4B5C"/>
    <w:rsid w:val="00330611"/>
    <w:rsid w:val="00334D61"/>
    <w:rsid w:val="00347213"/>
    <w:rsid w:val="0035186A"/>
    <w:rsid w:val="00352FC1"/>
    <w:rsid w:val="00366AEB"/>
    <w:rsid w:val="00367C32"/>
    <w:rsid w:val="003A1667"/>
    <w:rsid w:val="003A6935"/>
    <w:rsid w:val="003B5B16"/>
    <w:rsid w:val="003B6ACD"/>
    <w:rsid w:val="003C6DAF"/>
    <w:rsid w:val="003C7579"/>
    <w:rsid w:val="003D080A"/>
    <w:rsid w:val="003D0A65"/>
    <w:rsid w:val="003D7F38"/>
    <w:rsid w:val="003F1AEC"/>
    <w:rsid w:val="004019BD"/>
    <w:rsid w:val="0040443F"/>
    <w:rsid w:val="00404DD6"/>
    <w:rsid w:val="004073D0"/>
    <w:rsid w:val="004214AE"/>
    <w:rsid w:val="00424C2B"/>
    <w:rsid w:val="00427B54"/>
    <w:rsid w:val="0044050A"/>
    <w:rsid w:val="00441DB9"/>
    <w:rsid w:val="00441E02"/>
    <w:rsid w:val="004426D8"/>
    <w:rsid w:val="00444C41"/>
    <w:rsid w:val="0047015E"/>
    <w:rsid w:val="00480809"/>
    <w:rsid w:val="00482DA2"/>
    <w:rsid w:val="00482EDC"/>
    <w:rsid w:val="0048438C"/>
    <w:rsid w:val="00494EE4"/>
    <w:rsid w:val="004971FC"/>
    <w:rsid w:val="004B1798"/>
    <w:rsid w:val="004D107F"/>
    <w:rsid w:val="004D39F8"/>
    <w:rsid w:val="004D6777"/>
    <w:rsid w:val="004E0CD6"/>
    <w:rsid w:val="004E5017"/>
    <w:rsid w:val="00507584"/>
    <w:rsid w:val="005113A5"/>
    <w:rsid w:val="0053091F"/>
    <w:rsid w:val="00530A0C"/>
    <w:rsid w:val="00530ABC"/>
    <w:rsid w:val="00542CA2"/>
    <w:rsid w:val="005564FD"/>
    <w:rsid w:val="00564B6F"/>
    <w:rsid w:val="00570AF1"/>
    <w:rsid w:val="00571FCC"/>
    <w:rsid w:val="00581D5B"/>
    <w:rsid w:val="005933F1"/>
    <w:rsid w:val="005A0886"/>
    <w:rsid w:val="005A3472"/>
    <w:rsid w:val="005A547C"/>
    <w:rsid w:val="005C4812"/>
    <w:rsid w:val="005C74A1"/>
    <w:rsid w:val="005E4D98"/>
    <w:rsid w:val="005E5A18"/>
    <w:rsid w:val="005F2D88"/>
    <w:rsid w:val="005F4CBD"/>
    <w:rsid w:val="005F56D3"/>
    <w:rsid w:val="006006BE"/>
    <w:rsid w:val="0060696F"/>
    <w:rsid w:val="0061611D"/>
    <w:rsid w:val="00620B7F"/>
    <w:rsid w:val="00627D12"/>
    <w:rsid w:val="006300E5"/>
    <w:rsid w:val="00640F8F"/>
    <w:rsid w:val="00642D5F"/>
    <w:rsid w:val="00650592"/>
    <w:rsid w:val="00660949"/>
    <w:rsid w:val="00662D9B"/>
    <w:rsid w:val="00680E1D"/>
    <w:rsid w:val="00684E8C"/>
    <w:rsid w:val="00686E33"/>
    <w:rsid w:val="00691F08"/>
    <w:rsid w:val="006B5F31"/>
    <w:rsid w:val="006C5EEE"/>
    <w:rsid w:val="006E2909"/>
    <w:rsid w:val="00706C65"/>
    <w:rsid w:val="007102C7"/>
    <w:rsid w:val="00744AA9"/>
    <w:rsid w:val="00745B58"/>
    <w:rsid w:val="007541D7"/>
    <w:rsid w:val="00771D99"/>
    <w:rsid w:val="007816F1"/>
    <w:rsid w:val="007864B4"/>
    <w:rsid w:val="00787199"/>
    <w:rsid w:val="007A5ECD"/>
    <w:rsid w:val="007B08E3"/>
    <w:rsid w:val="007B173E"/>
    <w:rsid w:val="007B4B69"/>
    <w:rsid w:val="007B6133"/>
    <w:rsid w:val="007B66B4"/>
    <w:rsid w:val="007B66BD"/>
    <w:rsid w:val="007C0244"/>
    <w:rsid w:val="007C5632"/>
    <w:rsid w:val="007C7AA0"/>
    <w:rsid w:val="007D2BB5"/>
    <w:rsid w:val="007E498D"/>
    <w:rsid w:val="007F12F1"/>
    <w:rsid w:val="007F14FD"/>
    <w:rsid w:val="007F309D"/>
    <w:rsid w:val="00805167"/>
    <w:rsid w:val="00805723"/>
    <w:rsid w:val="0081099A"/>
    <w:rsid w:val="0082106F"/>
    <w:rsid w:val="00833016"/>
    <w:rsid w:val="008338F6"/>
    <w:rsid w:val="00837E8F"/>
    <w:rsid w:val="00850471"/>
    <w:rsid w:val="00852F57"/>
    <w:rsid w:val="00854437"/>
    <w:rsid w:val="008634D8"/>
    <w:rsid w:val="00867341"/>
    <w:rsid w:val="00873BFD"/>
    <w:rsid w:val="00875755"/>
    <w:rsid w:val="0087645C"/>
    <w:rsid w:val="008806ED"/>
    <w:rsid w:val="008832A1"/>
    <w:rsid w:val="0089701F"/>
    <w:rsid w:val="008A3EFD"/>
    <w:rsid w:val="008A7D68"/>
    <w:rsid w:val="008B0AB7"/>
    <w:rsid w:val="008B185F"/>
    <w:rsid w:val="008B7C2C"/>
    <w:rsid w:val="008C00B9"/>
    <w:rsid w:val="008C03F9"/>
    <w:rsid w:val="008E3BB3"/>
    <w:rsid w:val="00902B4D"/>
    <w:rsid w:val="009073A7"/>
    <w:rsid w:val="0091243D"/>
    <w:rsid w:val="0092073F"/>
    <w:rsid w:val="009459D7"/>
    <w:rsid w:val="0095762D"/>
    <w:rsid w:val="009610FA"/>
    <w:rsid w:val="00967B5C"/>
    <w:rsid w:val="00982275"/>
    <w:rsid w:val="00996853"/>
    <w:rsid w:val="009A216B"/>
    <w:rsid w:val="009A270D"/>
    <w:rsid w:val="009A625E"/>
    <w:rsid w:val="009A6CA4"/>
    <w:rsid w:val="009B4EFB"/>
    <w:rsid w:val="009B5A9C"/>
    <w:rsid w:val="009C1BDA"/>
    <w:rsid w:val="009E0710"/>
    <w:rsid w:val="009E6D65"/>
    <w:rsid w:val="009F060A"/>
    <w:rsid w:val="00A153F6"/>
    <w:rsid w:val="00A37DE2"/>
    <w:rsid w:val="00A55D99"/>
    <w:rsid w:val="00A60576"/>
    <w:rsid w:val="00A639F8"/>
    <w:rsid w:val="00A63A36"/>
    <w:rsid w:val="00A85905"/>
    <w:rsid w:val="00A9080D"/>
    <w:rsid w:val="00AA5365"/>
    <w:rsid w:val="00AA67B9"/>
    <w:rsid w:val="00AB1644"/>
    <w:rsid w:val="00AB17DC"/>
    <w:rsid w:val="00AB1EA2"/>
    <w:rsid w:val="00AE47A4"/>
    <w:rsid w:val="00B06B7D"/>
    <w:rsid w:val="00B17A34"/>
    <w:rsid w:val="00B23F9A"/>
    <w:rsid w:val="00B27FE1"/>
    <w:rsid w:val="00B32EF4"/>
    <w:rsid w:val="00B47FB5"/>
    <w:rsid w:val="00B52189"/>
    <w:rsid w:val="00B5648D"/>
    <w:rsid w:val="00B602B5"/>
    <w:rsid w:val="00B624A1"/>
    <w:rsid w:val="00B639C6"/>
    <w:rsid w:val="00B71824"/>
    <w:rsid w:val="00B85D99"/>
    <w:rsid w:val="00BA1B78"/>
    <w:rsid w:val="00BB054D"/>
    <w:rsid w:val="00BB1419"/>
    <w:rsid w:val="00BB2D8B"/>
    <w:rsid w:val="00BB3675"/>
    <w:rsid w:val="00BC2945"/>
    <w:rsid w:val="00BD0422"/>
    <w:rsid w:val="00BD08B9"/>
    <w:rsid w:val="00BE2E56"/>
    <w:rsid w:val="00BE326E"/>
    <w:rsid w:val="00BE5A8E"/>
    <w:rsid w:val="00C14744"/>
    <w:rsid w:val="00C15B6D"/>
    <w:rsid w:val="00C1FD58"/>
    <w:rsid w:val="00C2340F"/>
    <w:rsid w:val="00C34CBC"/>
    <w:rsid w:val="00C43B41"/>
    <w:rsid w:val="00C4709D"/>
    <w:rsid w:val="00C655A2"/>
    <w:rsid w:val="00C73069"/>
    <w:rsid w:val="00C73242"/>
    <w:rsid w:val="00C96F0F"/>
    <w:rsid w:val="00CA5324"/>
    <w:rsid w:val="00CB7986"/>
    <w:rsid w:val="00CC1B0F"/>
    <w:rsid w:val="00CC345A"/>
    <w:rsid w:val="00CC4A29"/>
    <w:rsid w:val="00CC67B6"/>
    <w:rsid w:val="00CD305F"/>
    <w:rsid w:val="00CD6CA2"/>
    <w:rsid w:val="00CF73E9"/>
    <w:rsid w:val="00D01E50"/>
    <w:rsid w:val="00D15EC9"/>
    <w:rsid w:val="00D2193B"/>
    <w:rsid w:val="00D266E9"/>
    <w:rsid w:val="00D341E7"/>
    <w:rsid w:val="00D371EA"/>
    <w:rsid w:val="00D51FEC"/>
    <w:rsid w:val="00D60499"/>
    <w:rsid w:val="00D607CE"/>
    <w:rsid w:val="00D647D5"/>
    <w:rsid w:val="00D67882"/>
    <w:rsid w:val="00D74369"/>
    <w:rsid w:val="00D837C8"/>
    <w:rsid w:val="00D83D60"/>
    <w:rsid w:val="00DB05E5"/>
    <w:rsid w:val="00DB340F"/>
    <w:rsid w:val="00DB4E57"/>
    <w:rsid w:val="00DC6A24"/>
    <w:rsid w:val="00DC7F75"/>
    <w:rsid w:val="00DD4EA3"/>
    <w:rsid w:val="00DF082E"/>
    <w:rsid w:val="00E00359"/>
    <w:rsid w:val="00E03E1A"/>
    <w:rsid w:val="00E10ED2"/>
    <w:rsid w:val="00E3075A"/>
    <w:rsid w:val="00E559CD"/>
    <w:rsid w:val="00E562BD"/>
    <w:rsid w:val="00E62DDC"/>
    <w:rsid w:val="00E80146"/>
    <w:rsid w:val="00EB7D33"/>
    <w:rsid w:val="00EC1D4D"/>
    <w:rsid w:val="00EC409B"/>
    <w:rsid w:val="00ED1ADA"/>
    <w:rsid w:val="00EE0A6A"/>
    <w:rsid w:val="00EE2260"/>
    <w:rsid w:val="00EE2291"/>
    <w:rsid w:val="00EE7506"/>
    <w:rsid w:val="00EF5690"/>
    <w:rsid w:val="00F02CA2"/>
    <w:rsid w:val="00F06B59"/>
    <w:rsid w:val="00F16EB2"/>
    <w:rsid w:val="00F23262"/>
    <w:rsid w:val="00F26445"/>
    <w:rsid w:val="00F32593"/>
    <w:rsid w:val="00F46CA7"/>
    <w:rsid w:val="00F575B5"/>
    <w:rsid w:val="00F62B49"/>
    <w:rsid w:val="00F65462"/>
    <w:rsid w:val="00F76F21"/>
    <w:rsid w:val="00F82D1B"/>
    <w:rsid w:val="00F83B8B"/>
    <w:rsid w:val="00F8618C"/>
    <w:rsid w:val="00F87E0A"/>
    <w:rsid w:val="00F97713"/>
    <w:rsid w:val="00FA4C46"/>
    <w:rsid w:val="00FA62B5"/>
    <w:rsid w:val="00FB2666"/>
    <w:rsid w:val="00FB6334"/>
    <w:rsid w:val="00FD0CB5"/>
    <w:rsid w:val="00FD1A43"/>
    <w:rsid w:val="00FD7886"/>
    <w:rsid w:val="00FF2C5D"/>
    <w:rsid w:val="01545EA4"/>
    <w:rsid w:val="021E4AC2"/>
    <w:rsid w:val="031D9B68"/>
    <w:rsid w:val="0776D36F"/>
    <w:rsid w:val="079CBA62"/>
    <w:rsid w:val="0A9E2C6E"/>
    <w:rsid w:val="0AC59D84"/>
    <w:rsid w:val="0C5671C3"/>
    <w:rsid w:val="0CC78B6F"/>
    <w:rsid w:val="0CEE17D6"/>
    <w:rsid w:val="0D07D77F"/>
    <w:rsid w:val="0D35EC4E"/>
    <w:rsid w:val="11792658"/>
    <w:rsid w:val="11F43BFE"/>
    <w:rsid w:val="1304254B"/>
    <w:rsid w:val="1419BF52"/>
    <w:rsid w:val="14D51065"/>
    <w:rsid w:val="199EC050"/>
    <w:rsid w:val="1A39F42C"/>
    <w:rsid w:val="1E56AEA6"/>
    <w:rsid w:val="1F947089"/>
    <w:rsid w:val="1FC81D36"/>
    <w:rsid w:val="2109C47D"/>
    <w:rsid w:val="2125876A"/>
    <w:rsid w:val="22C98F09"/>
    <w:rsid w:val="26A52AF9"/>
    <w:rsid w:val="278DEBBC"/>
    <w:rsid w:val="2876545B"/>
    <w:rsid w:val="2A0FD0F0"/>
    <w:rsid w:val="2A4788B1"/>
    <w:rsid w:val="2AF4CE72"/>
    <w:rsid w:val="2B88398E"/>
    <w:rsid w:val="2BBD2989"/>
    <w:rsid w:val="2C849AC2"/>
    <w:rsid w:val="2CE93ED2"/>
    <w:rsid w:val="2D1A45F7"/>
    <w:rsid w:val="2DC4A706"/>
    <w:rsid w:val="2E7AC8C6"/>
    <w:rsid w:val="309ED10B"/>
    <w:rsid w:val="30D3D751"/>
    <w:rsid w:val="31F93DA7"/>
    <w:rsid w:val="3856410F"/>
    <w:rsid w:val="39A743E9"/>
    <w:rsid w:val="39E38F76"/>
    <w:rsid w:val="39FB2BA1"/>
    <w:rsid w:val="3C77A675"/>
    <w:rsid w:val="3DE68818"/>
    <w:rsid w:val="3E686324"/>
    <w:rsid w:val="40536D41"/>
    <w:rsid w:val="40BE1A61"/>
    <w:rsid w:val="43E6D28B"/>
    <w:rsid w:val="44D24F7D"/>
    <w:rsid w:val="48F2C969"/>
    <w:rsid w:val="497836C8"/>
    <w:rsid w:val="498B98F0"/>
    <w:rsid w:val="4B332652"/>
    <w:rsid w:val="4C0DB0DC"/>
    <w:rsid w:val="4CCCB626"/>
    <w:rsid w:val="4CFBA9AC"/>
    <w:rsid w:val="4E0CA239"/>
    <w:rsid w:val="4EC95735"/>
    <w:rsid w:val="4ED95428"/>
    <w:rsid w:val="50556CF2"/>
    <w:rsid w:val="55AD7009"/>
    <w:rsid w:val="56AB07E4"/>
    <w:rsid w:val="56DC2D6E"/>
    <w:rsid w:val="56FEDB3F"/>
    <w:rsid w:val="5964C0A0"/>
    <w:rsid w:val="5D57E317"/>
    <w:rsid w:val="5F8F7115"/>
    <w:rsid w:val="5FA01878"/>
    <w:rsid w:val="62158941"/>
    <w:rsid w:val="63108C1E"/>
    <w:rsid w:val="64099237"/>
    <w:rsid w:val="65B479B3"/>
    <w:rsid w:val="6633DA4C"/>
    <w:rsid w:val="68DAD715"/>
    <w:rsid w:val="696667AC"/>
    <w:rsid w:val="6A61C73D"/>
    <w:rsid w:val="6B1525C9"/>
    <w:rsid w:val="6BA4FA12"/>
    <w:rsid w:val="6BDF4325"/>
    <w:rsid w:val="6C870029"/>
    <w:rsid w:val="6DA115D4"/>
    <w:rsid w:val="700D70C5"/>
    <w:rsid w:val="72FA84B4"/>
    <w:rsid w:val="751E5D03"/>
    <w:rsid w:val="75AD84EF"/>
    <w:rsid w:val="75FCC5B1"/>
    <w:rsid w:val="7693D1AB"/>
    <w:rsid w:val="77716BE0"/>
    <w:rsid w:val="79CE423A"/>
    <w:rsid w:val="7AEA4EA5"/>
    <w:rsid w:val="7B63DCA4"/>
    <w:rsid w:val="7BD994D9"/>
    <w:rsid w:val="7D86AFBC"/>
    <w:rsid w:val="7FDFAD30"/>
    <w:rsid w:val="7FE9AF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AA05F4BE-6783-46BC-ABA7-8A8F1C10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690F"/>
    <w:rPr>
      <w:rFonts w:ascii="Arial" w:hAnsi="Arial" w:cs="Arial"/>
      <w:sz w:val="24"/>
      <w:szCs w:val="22"/>
      <w:lang w:eastAsia="en-US"/>
    </w:rPr>
  </w:style>
  <w:style w:type="character" w:styleId="CommentReference">
    <w:name w:val="annotation reference"/>
    <w:basedOn w:val="DefaultParagraphFont"/>
    <w:semiHidden/>
    <w:unhideWhenUsed/>
    <w:rsid w:val="0029690F"/>
    <w:rPr>
      <w:sz w:val="16"/>
      <w:szCs w:val="16"/>
    </w:rPr>
  </w:style>
  <w:style w:type="paragraph" w:styleId="CommentText">
    <w:name w:val="annotation text"/>
    <w:basedOn w:val="Normal"/>
    <w:link w:val="CommentTextChar"/>
    <w:unhideWhenUsed/>
    <w:rsid w:val="0029690F"/>
    <w:rPr>
      <w:sz w:val="20"/>
      <w:szCs w:val="20"/>
    </w:rPr>
  </w:style>
  <w:style w:type="character" w:customStyle="1" w:styleId="CommentTextChar">
    <w:name w:val="Comment Text Char"/>
    <w:basedOn w:val="DefaultParagraphFont"/>
    <w:link w:val="CommentText"/>
    <w:rsid w:val="0029690F"/>
    <w:rPr>
      <w:rFonts w:ascii="Arial" w:hAnsi="Arial" w:cs="Arial"/>
      <w:lang w:eastAsia="en-US"/>
    </w:rPr>
  </w:style>
  <w:style w:type="paragraph" w:styleId="CommentSubject">
    <w:name w:val="annotation subject"/>
    <w:basedOn w:val="CommentText"/>
    <w:next w:val="CommentText"/>
    <w:link w:val="CommentSubjectChar"/>
    <w:semiHidden/>
    <w:unhideWhenUsed/>
    <w:rsid w:val="0029690F"/>
    <w:rPr>
      <w:b/>
      <w:bCs/>
    </w:rPr>
  </w:style>
  <w:style w:type="character" w:customStyle="1" w:styleId="CommentSubjectChar">
    <w:name w:val="Comment Subject Char"/>
    <w:basedOn w:val="CommentTextChar"/>
    <w:link w:val="CommentSubject"/>
    <w:semiHidden/>
    <w:rsid w:val="0029690F"/>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979974">
      <w:bodyDiv w:val="1"/>
      <w:marLeft w:val="0"/>
      <w:marRight w:val="0"/>
      <w:marTop w:val="0"/>
      <w:marBottom w:val="0"/>
      <w:divBdr>
        <w:top w:val="none" w:sz="0" w:space="0" w:color="auto"/>
        <w:left w:val="none" w:sz="0" w:space="0" w:color="auto"/>
        <w:bottom w:val="none" w:sz="0" w:space="0" w:color="auto"/>
        <w:right w:val="none" w:sz="0" w:space="0" w:color="auto"/>
      </w:divBdr>
    </w:div>
    <w:div w:id="16195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82c93ee35fd8ff950cfc5657121d4b9d">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9a60a15c6576bfec3866ff31301bef2"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_dlc_DocId xmlns="f6cfbbfa-3ea0-4d8e-acde-632e83cd9c55">ONRW-2126615823-7091</_dlc_DocId>
    <_dlc_DocIdUrl xmlns="f6cfbbfa-3ea0-4d8e-acde-632e83cd9c55">
      <Url>https://prodonrgov.sharepoint.com/_layouts/15/DocIdRedir.aspx?ID=ONRW-2126615823-7091</Url>
      <Description>ONRW-2126615823-7091</Description>
    </_dlc_DocIdUrl>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Props1.xml><?xml version="1.0" encoding="utf-8"?>
<ds:datastoreItem xmlns:ds="http://schemas.openxmlformats.org/officeDocument/2006/customXml" ds:itemID="{1D3680D2-F470-4B19-B66C-752B6889C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3.xml><?xml version="1.0" encoding="utf-8"?>
<ds:datastoreItem xmlns:ds="http://schemas.openxmlformats.org/officeDocument/2006/customXml" ds:itemID="{C97249D3-5E4B-465F-93AF-46D391F33B5B}">
  <ds:schemaRefs>
    <ds:schemaRef ds:uri="http://schemas.microsoft.com/sharepoint/events"/>
  </ds:schemaRefs>
</ds:datastoreItem>
</file>

<file path=customXml/itemProps4.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customXml/itemProps5.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6777</Characters>
  <Application>Microsoft Office Word</Application>
  <DocSecurity>0</DocSecurity>
  <Lines>157</Lines>
  <Paragraphs>75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Peter Wynne</cp:lastModifiedBy>
  <cp:revision>2</cp:revision>
  <cp:lastPrinted>2017-10-03T18:43:00Z</cp:lastPrinted>
  <dcterms:created xsi:type="dcterms:W3CDTF">2025-04-07T21:37:00Z</dcterms:created>
  <dcterms:modified xsi:type="dcterms:W3CDTF">2025-11-24T16:54:00Z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41ac8626-9e1d-403e-b17d-6eecf3e02f71</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y fmtid="{D5CDD505-2E9C-101B-9397-08002B2CF9AE}" pid="14" name="docLang">
    <vt:lpwstr>en</vt:lpwstr>
  </property>
</Properties>
</file>