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48"/>
        <w:gridCol w:w="4949"/>
      </w:tblGrid>
      <w:tr w:rsidR="00220466" w:rsidRPr="00627D12" w14:paraId="4573E01E" w14:textId="77777777" w:rsidTr="1FB060AA">
        <w:trPr>
          <w:trHeight w:val="211"/>
        </w:trPr>
        <w:tc>
          <w:tcPr>
            <w:tcW w:w="9897" w:type="dxa"/>
            <w:gridSpan w:val="2"/>
            <w:shd w:val="clear" w:color="auto" w:fill="auto"/>
            <w:vAlign w:val="center"/>
          </w:tcPr>
          <w:p w14:paraId="4573E01D" w14:textId="2825D1DF" w:rsidR="00220466" w:rsidRPr="00627D12" w:rsidRDefault="0048438C" w:rsidP="0048438C">
            <w:pPr>
              <w:jc w:val="center"/>
              <w:rPr>
                <w:b/>
                <w:sz w:val="28"/>
                <w:szCs w:val="28"/>
              </w:rPr>
            </w:pPr>
            <w:r>
              <w:rPr>
                <w:b/>
                <w:sz w:val="28"/>
                <w:szCs w:val="28"/>
              </w:rPr>
              <w:t>GDA Regulatory Observation</w:t>
            </w:r>
          </w:p>
        </w:tc>
      </w:tr>
      <w:tr w:rsidR="00220466" w:rsidRPr="0048438C" w14:paraId="4573E020" w14:textId="77777777" w:rsidTr="1FB060AA">
        <w:trPr>
          <w:trHeight w:val="202"/>
        </w:trPr>
        <w:tc>
          <w:tcPr>
            <w:tcW w:w="9897" w:type="dxa"/>
            <w:gridSpan w:val="2"/>
            <w:shd w:val="clear" w:color="auto" w:fill="D9D9D9" w:themeFill="background1" w:themeFillShade="D9"/>
          </w:tcPr>
          <w:p w14:paraId="4573E01F" w14:textId="77777777" w:rsidR="00220466" w:rsidRPr="0048438C" w:rsidRDefault="00220466" w:rsidP="0048438C">
            <w:pPr>
              <w:spacing w:before="60" w:after="60"/>
              <w:jc w:val="center"/>
              <w:rPr>
                <w:b/>
                <w:szCs w:val="24"/>
              </w:rPr>
            </w:pPr>
            <w:r w:rsidRPr="0048438C">
              <w:rPr>
                <w:b/>
                <w:szCs w:val="24"/>
              </w:rPr>
              <w:t>REGULATOR TO COMPLETE</w:t>
            </w:r>
          </w:p>
        </w:tc>
      </w:tr>
      <w:tr w:rsidR="00220466" w:rsidRPr="0048438C" w14:paraId="4573E023" w14:textId="77777777" w:rsidTr="1FB060AA">
        <w:trPr>
          <w:trHeight w:val="202"/>
        </w:trPr>
        <w:tc>
          <w:tcPr>
            <w:tcW w:w="4948" w:type="dxa"/>
            <w:shd w:val="clear" w:color="auto" w:fill="auto"/>
          </w:tcPr>
          <w:p w14:paraId="4573E021" w14:textId="77777777" w:rsidR="00220466" w:rsidRPr="0048438C" w:rsidRDefault="00C34CBC" w:rsidP="0048438C">
            <w:pPr>
              <w:spacing w:before="60" w:after="60"/>
              <w:rPr>
                <w:b/>
                <w:szCs w:val="24"/>
              </w:rPr>
            </w:pPr>
            <w:r w:rsidRPr="0048438C">
              <w:rPr>
                <w:b/>
                <w:szCs w:val="24"/>
              </w:rPr>
              <w:t>RO</w:t>
            </w:r>
            <w:r w:rsidR="00220466" w:rsidRPr="0048438C">
              <w:rPr>
                <w:b/>
                <w:szCs w:val="24"/>
              </w:rPr>
              <w:t xml:space="preserve"> unique no.:</w:t>
            </w:r>
          </w:p>
        </w:tc>
        <w:tc>
          <w:tcPr>
            <w:tcW w:w="4949" w:type="dxa"/>
            <w:shd w:val="clear" w:color="auto" w:fill="auto"/>
          </w:tcPr>
          <w:p w14:paraId="4573E022" w14:textId="43290423" w:rsidR="00220466" w:rsidRPr="0048438C" w:rsidRDefault="00684E8C" w:rsidP="0048438C">
            <w:pPr>
              <w:spacing w:before="60" w:after="60"/>
              <w:rPr>
                <w:szCs w:val="24"/>
              </w:rPr>
            </w:pPr>
            <w:r w:rsidRPr="0048438C">
              <w:rPr>
                <w:szCs w:val="24"/>
              </w:rPr>
              <w:t>RO-</w:t>
            </w:r>
            <w:r w:rsidR="0048438C">
              <w:rPr>
                <w:szCs w:val="24"/>
              </w:rPr>
              <w:t>RRSMR</w:t>
            </w:r>
            <w:r w:rsidR="002860FC" w:rsidRPr="0048438C">
              <w:rPr>
                <w:szCs w:val="24"/>
              </w:rPr>
              <w:t>-</w:t>
            </w:r>
            <w:r w:rsidR="002E05DA">
              <w:rPr>
                <w:szCs w:val="24"/>
              </w:rPr>
              <w:t>001</w:t>
            </w:r>
          </w:p>
        </w:tc>
      </w:tr>
      <w:tr w:rsidR="00220466" w:rsidRPr="0048438C" w14:paraId="4573E026" w14:textId="77777777" w:rsidTr="1FB060AA">
        <w:trPr>
          <w:trHeight w:val="202"/>
        </w:trPr>
        <w:tc>
          <w:tcPr>
            <w:tcW w:w="4948" w:type="dxa"/>
            <w:shd w:val="clear" w:color="auto" w:fill="auto"/>
          </w:tcPr>
          <w:p w14:paraId="4573E024" w14:textId="61F5DE6D" w:rsidR="00220466" w:rsidRPr="0048438C" w:rsidRDefault="00850471" w:rsidP="0048438C">
            <w:pPr>
              <w:spacing w:before="60" w:after="60"/>
              <w:rPr>
                <w:b/>
                <w:szCs w:val="24"/>
              </w:rPr>
            </w:pPr>
            <w:r w:rsidRPr="0048438C">
              <w:rPr>
                <w:b/>
                <w:szCs w:val="24"/>
              </w:rPr>
              <w:t>Revision:</w:t>
            </w:r>
          </w:p>
        </w:tc>
        <w:tc>
          <w:tcPr>
            <w:tcW w:w="4949" w:type="dxa"/>
            <w:shd w:val="clear" w:color="auto" w:fill="auto"/>
          </w:tcPr>
          <w:p w14:paraId="4573E025" w14:textId="229C24A2" w:rsidR="00220466" w:rsidRPr="0048438C" w:rsidRDefault="00902B4D" w:rsidP="0048438C">
            <w:pPr>
              <w:spacing w:before="60" w:after="60"/>
              <w:rPr>
                <w:szCs w:val="24"/>
              </w:rPr>
            </w:pPr>
            <w:r>
              <w:rPr>
                <w:szCs w:val="24"/>
              </w:rPr>
              <w:t>0</w:t>
            </w:r>
          </w:p>
        </w:tc>
      </w:tr>
      <w:tr w:rsidR="00850471" w:rsidRPr="0048438C" w14:paraId="3FF001D1" w14:textId="77777777" w:rsidTr="1FB060AA">
        <w:trPr>
          <w:trHeight w:val="202"/>
        </w:trPr>
        <w:tc>
          <w:tcPr>
            <w:tcW w:w="4948" w:type="dxa"/>
            <w:shd w:val="clear" w:color="auto" w:fill="auto"/>
          </w:tcPr>
          <w:p w14:paraId="20FBBDA3" w14:textId="34CA6CCC" w:rsidR="00850471" w:rsidRPr="0048438C" w:rsidRDefault="00850471" w:rsidP="0048438C">
            <w:pPr>
              <w:spacing w:before="60" w:after="60"/>
              <w:rPr>
                <w:b/>
                <w:szCs w:val="24"/>
              </w:rPr>
            </w:pPr>
            <w:r w:rsidRPr="0048438C">
              <w:rPr>
                <w:b/>
                <w:szCs w:val="24"/>
              </w:rPr>
              <w:t>Date sent:</w:t>
            </w:r>
          </w:p>
        </w:tc>
        <w:tc>
          <w:tcPr>
            <w:tcW w:w="4949" w:type="dxa"/>
            <w:shd w:val="clear" w:color="auto" w:fill="auto"/>
          </w:tcPr>
          <w:p w14:paraId="74A6D96C" w14:textId="2461D99D" w:rsidR="00850471" w:rsidRPr="0048438C" w:rsidRDefault="0040500F" w:rsidP="0048438C">
            <w:pPr>
              <w:spacing w:before="60" w:after="60"/>
              <w:rPr>
                <w:szCs w:val="24"/>
                <w:highlight w:val="yellow"/>
              </w:rPr>
            </w:pPr>
            <w:r w:rsidRPr="0040500F">
              <w:rPr>
                <w:szCs w:val="24"/>
              </w:rPr>
              <w:t>15/08/2023</w:t>
            </w:r>
          </w:p>
        </w:tc>
      </w:tr>
      <w:tr w:rsidR="00220466" w:rsidRPr="0048438C" w14:paraId="4573E029" w14:textId="77777777" w:rsidTr="1FB060AA">
        <w:trPr>
          <w:trHeight w:val="211"/>
        </w:trPr>
        <w:tc>
          <w:tcPr>
            <w:tcW w:w="4948" w:type="dxa"/>
            <w:shd w:val="clear" w:color="auto" w:fill="auto"/>
          </w:tcPr>
          <w:p w14:paraId="4573E027" w14:textId="77777777" w:rsidR="00220466" w:rsidRPr="0048438C" w:rsidRDefault="00220466" w:rsidP="0048438C">
            <w:pPr>
              <w:spacing w:before="60" w:after="60"/>
              <w:rPr>
                <w:b/>
                <w:szCs w:val="24"/>
              </w:rPr>
            </w:pPr>
            <w:r w:rsidRPr="0048438C">
              <w:rPr>
                <w:b/>
                <w:szCs w:val="24"/>
              </w:rPr>
              <w:t>Acknowledgement required by:</w:t>
            </w:r>
          </w:p>
        </w:tc>
        <w:tc>
          <w:tcPr>
            <w:tcW w:w="4949" w:type="dxa"/>
            <w:shd w:val="clear" w:color="auto" w:fill="auto"/>
          </w:tcPr>
          <w:p w14:paraId="4573E028" w14:textId="6A7CF3DB" w:rsidR="00220466" w:rsidRPr="0048438C" w:rsidRDefault="0040500F" w:rsidP="0048438C">
            <w:pPr>
              <w:spacing w:before="60" w:after="60"/>
              <w:rPr>
                <w:szCs w:val="24"/>
              </w:rPr>
            </w:pPr>
            <w:r w:rsidRPr="0040500F">
              <w:rPr>
                <w:szCs w:val="24"/>
              </w:rPr>
              <w:t xml:space="preserve">06/09/2023 </w:t>
            </w:r>
          </w:p>
        </w:tc>
      </w:tr>
      <w:tr w:rsidR="00220466" w:rsidRPr="0048438C" w14:paraId="4573E02C" w14:textId="77777777" w:rsidTr="1FB060AA">
        <w:trPr>
          <w:trHeight w:val="202"/>
        </w:trPr>
        <w:tc>
          <w:tcPr>
            <w:tcW w:w="4948" w:type="dxa"/>
            <w:shd w:val="clear" w:color="auto" w:fill="auto"/>
          </w:tcPr>
          <w:p w14:paraId="4573E02A" w14:textId="2C90C52D" w:rsidR="00220466" w:rsidRPr="0048438C" w:rsidRDefault="00C34CBC" w:rsidP="0048438C">
            <w:pPr>
              <w:spacing w:before="60" w:after="60"/>
              <w:rPr>
                <w:b/>
                <w:szCs w:val="24"/>
              </w:rPr>
            </w:pPr>
            <w:r w:rsidRPr="0048438C">
              <w:rPr>
                <w:b/>
                <w:szCs w:val="24"/>
              </w:rPr>
              <w:t xml:space="preserve">Resolution Plan </w:t>
            </w:r>
            <w:r w:rsidR="0000781D" w:rsidRPr="0048438C">
              <w:rPr>
                <w:b/>
                <w:szCs w:val="24"/>
              </w:rPr>
              <w:t xml:space="preserve">Agreement </w:t>
            </w:r>
            <w:r w:rsidRPr="0048438C">
              <w:rPr>
                <w:b/>
                <w:szCs w:val="24"/>
              </w:rPr>
              <w:t>Required by</w:t>
            </w:r>
            <w:r w:rsidR="00220466" w:rsidRPr="0048438C">
              <w:rPr>
                <w:b/>
                <w:szCs w:val="24"/>
              </w:rPr>
              <w:t>:</w:t>
            </w:r>
          </w:p>
        </w:tc>
        <w:tc>
          <w:tcPr>
            <w:tcW w:w="4949" w:type="dxa"/>
            <w:shd w:val="clear" w:color="auto" w:fill="auto"/>
          </w:tcPr>
          <w:p w14:paraId="4573E02B" w14:textId="155BFD50" w:rsidR="0000781D" w:rsidRPr="0048438C" w:rsidRDefault="0040500F" w:rsidP="0048438C">
            <w:pPr>
              <w:spacing w:before="60" w:after="60"/>
              <w:rPr>
                <w:szCs w:val="24"/>
                <w:highlight w:val="yellow"/>
              </w:rPr>
            </w:pPr>
            <w:r w:rsidRPr="0040500F">
              <w:rPr>
                <w:szCs w:val="24"/>
              </w:rPr>
              <w:t>04/10/2023</w:t>
            </w:r>
            <w:r w:rsidR="00867341" w:rsidRPr="0040500F">
              <w:rPr>
                <w:szCs w:val="24"/>
              </w:rPr>
              <w:t xml:space="preserve"> </w:t>
            </w:r>
          </w:p>
        </w:tc>
      </w:tr>
      <w:tr w:rsidR="00220466" w:rsidRPr="0048438C" w14:paraId="4573E032" w14:textId="77777777" w:rsidTr="1FB060AA">
        <w:trPr>
          <w:trHeight w:val="168"/>
        </w:trPr>
        <w:tc>
          <w:tcPr>
            <w:tcW w:w="4948" w:type="dxa"/>
            <w:shd w:val="clear" w:color="auto" w:fill="auto"/>
          </w:tcPr>
          <w:p w14:paraId="4573E030" w14:textId="641F0447" w:rsidR="00220466" w:rsidRPr="0048438C" w:rsidRDefault="00867341" w:rsidP="0048438C">
            <w:pPr>
              <w:spacing w:before="60" w:after="60"/>
              <w:rPr>
                <w:b/>
                <w:szCs w:val="24"/>
              </w:rPr>
            </w:pPr>
            <w:r>
              <w:rPr>
                <w:b/>
                <w:szCs w:val="24"/>
              </w:rPr>
              <w:t>Record Reference</w:t>
            </w:r>
            <w:r w:rsidR="00494EE4" w:rsidRPr="0048438C">
              <w:rPr>
                <w:b/>
                <w:szCs w:val="24"/>
              </w:rPr>
              <w:t>:</w:t>
            </w:r>
          </w:p>
        </w:tc>
        <w:tc>
          <w:tcPr>
            <w:tcW w:w="4949" w:type="dxa"/>
            <w:shd w:val="clear" w:color="auto" w:fill="auto"/>
          </w:tcPr>
          <w:p w14:paraId="4573E031" w14:textId="0F200CC5" w:rsidR="00220466" w:rsidRPr="0048438C" w:rsidRDefault="4895A5BA" w:rsidP="0048438C">
            <w:pPr>
              <w:spacing w:before="60" w:after="60"/>
            </w:pPr>
            <w:r>
              <w:t>ONRW-2126615823-1136</w:t>
            </w:r>
          </w:p>
        </w:tc>
      </w:tr>
      <w:tr w:rsidR="0040443F" w:rsidRPr="0048438C" w14:paraId="4573E035" w14:textId="77777777" w:rsidTr="1FB060AA">
        <w:trPr>
          <w:trHeight w:val="202"/>
        </w:trPr>
        <w:tc>
          <w:tcPr>
            <w:tcW w:w="4948" w:type="dxa"/>
            <w:shd w:val="clear" w:color="auto" w:fill="auto"/>
          </w:tcPr>
          <w:p w14:paraId="4573E033" w14:textId="1E8DA103" w:rsidR="0040443F" w:rsidRPr="0048438C" w:rsidRDefault="0040443F" w:rsidP="0040443F">
            <w:pPr>
              <w:spacing w:before="60" w:after="60"/>
              <w:rPr>
                <w:b/>
                <w:szCs w:val="24"/>
              </w:rPr>
            </w:pPr>
            <w:r w:rsidRPr="0048438C">
              <w:rPr>
                <w:b/>
                <w:szCs w:val="24"/>
              </w:rPr>
              <w:t xml:space="preserve">Related RQ / RO No. and </w:t>
            </w:r>
            <w:proofErr w:type="spellStart"/>
            <w:r w:rsidR="00BE5FA8">
              <w:rPr>
                <w:b/>
                <w:szCs w:val="24"/>
              </w:rPr>
              <w:t>WiRED</w:t>
            </w:r>
            <w:proofErr w:type="spellEnd"/>
            <w:r w:rsidRPr="0048438C">
              <w:rPr>
                <w:b/>
                <w:szCs w:val="24"/>
              </w:rPr>
              <w:t xml:space="preserve"> Ref:</w:t>
            </w:r>
            <w:r w:rsidRPr="0048438C">
              <w:rPr>
                <w:szCs w:val="24"/>
              </w:rPr>
              <w:t xml:space="preserve"> (if any)</w:t>
            </w:r>
            <w:r w:rsidRPr="0048438C">
              <w:rPr>
                <w:b/>
                <w:szCs w:val="24"/>
              </w:rPr>
              <w:t>:</w:t>
            </w:r>
          </w:p>
        </w:tc>
        <w:tc>
          <w:tcPr>
            <w:tcW w:w="4949" w:type="dxa"/>
            <w:shd w:val="clear" w:color="auto" w:fill="auto"/>
          </w:tcPr>
          <w:p w14:paraId="4573E034" w14:textId="580D7D99" w:rsidR="0040443F" w:rsidRPr="0040443F" w:rsidRDefault="00BE5FA8" w:rsidP="0040443F">
            <w:pPr>
              <w:spacing w:before="60" w:after="60"/>
              <w:rPr>
                <w:szCs w:val="24"/>
                <w:highlight w:val="yellow"/>
              </w:rPr>
            </w:pPr>
            <w:r w:rsidRPr="00BE5FA8">
              <w:t>N/A</w:t>
            </w:r>
          </w:p>
        </w:tc>
      </w:tr>
      <w:tr w:rsidR="00850471" w:rsidRPr="0048438C" w14:paraId="4573E03E" w14:textId="77777777" w:rsidTr="1FB060AA">
        <w:trPr>
          <w:trHeight w:val="202"/>
        </w:trPr>
        <w:tc>
          <w:tcPr>
            <w:tcW w:w="4948" w:type="dxa"/>
            <w:shd w:val="clear" w:color="auto" w:fill="auto"/>
          </w:tcPr>
          <w:p w14:paraId="4573E03C" w14:textId="77777777" w:rsidR="00850471" w:rsidRPr="0048438C" w:rsidRDefault="00850471" w:rsidP="0048438C">
            <w:pPr>
              <w:spacing w:before="60" w:after="60"/>
              <w:rPr>
                <w:b/>
                <w:szCs w:val="24"/>
              </w:rPr>
            </w:pPr>
            <w:r w:rsidRPr="0048438C">
              <w:rPr>
                <w:b/>
                <w:szCs w:val="24"/>
              </w:rPr>
              <w:t>Observation title:</w:t>
            </w:r>
          </w:p>
        </w:tc>
        <w:tc>
          <w:tcPr>
            <w:tcW w:w="4949" w:type="dxa"/>
            <w:shd w:val="clear" w:color="auto" w:fill="auto"/>
          </w:tcPr>
          <w:p w14:paraId="4573E03D" w14:textId="289BE494" w:rsidR="0040443F" w:rsidRPr="0048438C" w:rsidRDefault="008420DB" w:rsidP="0048438C">
            <w:pPr>
              <w:spacing w:before="60" w:after="60"/>
              <w:rPr>
                <w:szCs w:val="24"/>
              </w:rPr>
            </w:pPr>
            <w:r>
              <w:rPr>
                <w:szCs w:val="24"/>
              </w:rPr>
              <w:t>Development of the generic E3S case</w:t>
            </w:r>
          </w:p>
        </w:tc>
      </w:tr>
      <w:tr w:rsidR="00CC67B6" w:rsidRPr="0048438C" w14:paraId="4573E043" w14:textId="77777777" w:rsidTr="1FB060AA">
        <w:trPr>
          <w:trHeight w:val="202"/>
        </w:trPr>
        <w:tc>
          <w:tcPr>
            <w:tcW w:w="4948" w:type="dxa"/>
            <w:shd w:val="clear" w:color="auto" w:fill="auto"/>
          </w:tcPr>
          <w:p w14:paraId="71E06B30" w14:textId="77777777" w:rsidR="00CC67B6" w:rsidRPr="0048438C" w:rsidRDefault="00CC67B6" w:rsidP="0048438C">
            <w:pPr>
              <w:spacing w:before="60" w:after="60"/>
              <w:rPr>
                <w:szCs w:val="24"/>
              </w:rPr>
            </w:pPr>
            <w:r w:rsidRPr="0048438C">
              <w:rPr>
                <w:b/>
                <w:szCs w:val="24"/>
              </w:rPr>
              <w:t>Lead technical topic:</w:t>
            </w:r>
          </w:p>
          <w:p w14:paraId="7D4DB2E9" w14:textId="77777777" w:rsidR="0087645C" w:rsidRPr="0087645C" w:rsidRDefault="0087645C" w:rsidP="0087645C">
            <w:pPr>
              <w:spacing w:before="60" w:after="60"/>
              <w:rPr>
                <w:szCs w:val="24"/>
              </w:rPr>
            </w:pPr>
            <w:r w:rsidRPr="0087645C">
              <w:rPr>
                <w:szCs w:val="24"/>
              </w:rPr>
              <w:t>Project</w:t>
            </w:r>
          </w:p>
          <w:p w14:paraId="4573E040" w14:textId="0F3C9721" w:rsidR="00CC67B6" w:rsidRPr="0048438C" w:rsidRDefault="00CC67B6" w:rsidP="0087645C">
            <w:pPr>
              <w:pStyle w:val="ListParagraph"/>
              <w:spacing w:before="60" w:after="60"/>
              <w:ind w:left="0"/>
              <w:rPr>
                <w:szCs w:val="24"/>
              </w:rPr>
            </w:pPr>
          </w:p>
        </w:tc>
        <w:tc>
          <w:tcPr>
            <w:tcW w:w="4949" w:type="dxa"/>
            <w:shd w:val="clear" w:color="auto" w:fill="auto"/>
          </w:tcPr>
          <w:p w14:paraId="0BA3764E" w14:textId="77777777" w:rsidR="00CC67B6" w:rsidRPr="0048438C" w:rsidRDefault="00CC67B6" w:rsidP="0048438C">
            <w:pPr>
              <w:spacing w:before="60" w:after="60"/>
              <w:rPr>
                <w:b/>
                <w:szCs w:val="24"/>
              </w:rPr>
            </w:pPr>
            <w:r w:rsidRPr="0048438C">
              <w:rPr>
                <w:b/>
                <w:szCs w:val="24"/>
              </w:rPr>
              <w:t>Related technical topic(s):</w:t>
            </w:r>
          </w:p>
          <w:p w14:paraId="5EBEAE4B" w14:textId="77777777" w:rsidR="003A6935" w:rsidRPr="003A6935" w:rsidRDefault="003A6935" w:rsidP="003A6935">
            <w:pPr>
              <w:spacing w:before="60" w:after="60"/>
              <w:rPr>
                <w:szCs w:val="24"/>
              </w:rPr>
            </w:pPr>
            <w:r w:rsidRPr="003A6935">
              <w:rPr>
                <w:szCs w:val="24"/>
              </w:rPr>
              <w:t>Chemistry</w:t>
            </w:r>
          </w:p>
          <w:p w14:paraId="54314ECF" w14:textId="77777777" w:rsidR="003A6935" w:rsidRPr="003A6935" w:rsidRDefault="003A6935" w:rsidP="003A6935">
            <w:pPr>
              <w:spacing w:before="60" w:after="60"/>
              <w:rPr>
                <w:szCs w:val="24"/>
              </w:rPr>
            </w:pPr>
            <w:r w:rsidRPr="003A6935">
              <w:rPr>
                <w:szCs w:val="24"/>
              </w:rPr>
              <w:t>Civil Engineering</w:t>
            </w:r>
          </w:p>
          <w:p w14:paraId="02A933B2" w14:textId="77777777" w:rsidR="003A6935" w:rsidRPr="003A6935" w:rsidRDefault="003A6935" w:rsidP="003A6935">
            <w:pPr>
              <w:spacing w:before="60" w:after="60"/>
              <w:rPr>
                <w:szCs w:val="24"/>
              </w:rPr>
            </w:pPr>
            <w:r w:rsidRPr="003A6935">
              <w:rPr>
                <w:szCs w:val="24"/>
              </w:rPr>
              <w:t>Control &amp; Instrumentation</w:t>
            </w:r>
          </w:p>
          <w:p w14:paraId="3030D4A2" w14:textId="77777777" w:rsidR="003A6935" w:rsidRPr="003A6935" w:rsidRDefault="003A6935" w:rsidP="003A6935">
            <w:pPr>
              <w:spacing w:before="60" w:after="60"/>
              <w:rPr>
                <w:szCs w:val="24"/>
              </w:rPr>
            </w:pPr>
            <w:r w:rsidRPr="003A6935">
              <w:rPr>
                <w:szCs w:val="24"/>
              </w:rPr>
              <w:t>Conventional Fire Safety</w:t>
            </w:r>
          </w:p>
          <w:p w14:paraId="5C5A21B2" w14:textId="77777777" w:rsidR="003A6935" w:rsidRPr="003A6935" w:rsidRDefault="003A6935" w:rsidP="003A6935">
            <w:pPr>
              <w:spacing w:before="60" w:after="60"/>
              <w:rPr>
                <w:szCs w:val="24"/>
              </w:rPr>
            </w:pPr>
            <w:r w:rsidRPr="003A6935">
              <w:rPr>
                <w:szCs w:val="24"/>
              </w:rPr>
              <w:t>Conventional Health and Safety</w:t>
            </w:r>
          </w:p>
          <w:p w14:paraId="08CB8827" w14:textId="77777777" w:rsidR="003A6935" w:rsidRPr="003A6935" w:rsidRDefault="003A6935" w:rsidP="003A6935">
            <w:pPr>
              <w:spacing w:before="60" w:after="60"/>
              <w:rPr>
                <w:szCs w:val="24"/>
              </w:rPr>
            </w:pPr>
            <w:r w:rsidRPr="003A6935">
              <w:rPr>
                <w:szCs w:val="24"/>
              </w:rPr>
              <w:t>Electrical Engineering</w:t>
            </w:r>
          </w:p>
          <w:p w14:paraId="0332F585" w14:textId="77777777" w:rsidR="003A6935" w:rsidRPr="003A6935" w:rsidRDefault="003A6935" w:rsidP="003A6935">
            <w:pPr>
              <w:spacing w:before="60" w:after="60"/>
              <w:rPr>
                <w:szCs w:val="24"/>
              </w:rPr>
            </w:pPr>
            <w:r w:rsidRPr="003A6935">
              <w:rPr>
                <w:szCs w:val="24"/>
              </w:rPr>
              <w:t xml:space="preserve">Environment </w:t>
            </w:r>
          </w:p>
          <w:p w14:paraId="5501AF61" w14:textId="77777777" w:rsidR="003A6935" w:rsidRPr="003A6935" w:rsidRDefault="003A6935" w:rsidP="003A6935">
            <w:pPr>
              <w:spacing w:before="60" w:after="60"/>
              <w:rPr>
                <w:szCs w:val="24"/>
              </w:rPr>
            </w:pPr>
            <w:r w:rsidRPr="003A6935">
              <w:rPr>
                <w:szCs w:val="24"/>
              </w:rPr>
              <w:t>External Hazards</w:t>
            </w:r>
          </w:p>
          <w:p w14:paraId="3CB201B2" w14:textId="77777777" w:rsidR="003A6935" w:rsidRPr="003A6935" w:rsidRDefault="003A6935" w:rsidP="003A6935">
            <w:pPr>
              <w:spacing w:before="60" w:after="60"/>
              <w:rPr>
                <w:szCs w:val="24"/>
              </w:rPr>
            </w:pPr>
            <w:r w:rsidRPr="003A6935">
              <w:rPr>
                <w:szCs w:val="24"/>
              </w:rPr>
              <w:t>Fault Studies</w:t>
            </w:r>
          </w:p>
          <w:p w14:paraId="13F7D1E6" w14:textId="77777777" w:rsidR="003A6935" w:rsidRPr="003A6935" w:rsidRDefault="003A6935" w:rsidP="003A6935">
            <w:pPr>
              <w:spacing w:before="60" w:after="60"/>
              <w:rPr>
                <w:szCs w:val="24"/>
              </w:rPr>
            </w:pPr>
            <w:r w:rsidRPr="003A6935">
              <w:rPr>
                <w:szCs w:val="24"/>
              </w:rPr>
              <w:t>Fuel and Core</w:t>
            </w:r>
          </w:p>
          <w:p w14:paraId="253C1BEE" w14:textId="77777777" w:rsidR="003A6935" w:rsidRPr="003A6935" w:rsidRDefault="003A6935" w:rsidP="003A6935">
            <w:pPr>
              <w:spacing w:before="60" w:after="60"/>
              <w:rPr>
                <w:szCs w:val="24"/>
              </w:rPr>
            </w:pPr>
            <w:r w:rsidRPr="003A6935">
              <w:rPr>
                <w:szCs w:val="24"/>
              </w:rPr>
              <w:t>Human Factors</w:t>
            </w:r>
          </w:p>
          <w:p w14:paraId="0E0835DB" w14:textId="77777777" w:rsidR="003A6935" w:rsidRPr="003A6935" w:rsidRDefault="003A6935" w:rsidP="003A6935">
            <w:pPr>
              <w:spacing w:before="60" w:after="60"/>
              <w:rPr>
                <w:szCs w:val="24"/>
              </w:rPr>
            </w:pPr>
            <w:r w:rsidRPr="003A6935">
              <w:rPr>
                <w:szCs w:val="24"/>
              </w:rPr>
              <w:t>Internal Hazards</w:t>
            </w:r>
          </w:p>
          <w:p w14:paraId="6C06D578" w14:textId="77777777" w:rsidR="003A6935" w:rsidRPr="003A6935" w:rsidRDefault="003A6935" w:rsidP="003A6935">
            <w:pPr>
              <w:spacing w:before="60" w:after="60"/>
              <w:rPr>
                <w:szCs w:val="24"/>
              </w:rPr>
            </w:pPr>
            <w:r w:rsidRPr="003A6935">
              <w:rPr>
                <w:szCs w:val="24"/>
              </w:rPr>
              <w:t>Management for Safety and Quality Assurance</w:t>
            </w:r>
          </w:p>
          <w:p w14:paraId="5D383E4C" w14:textId="77777777" w:rsidR="003A6935" w:rsidRPr="003A6935" w:rsidRDefault="003A6935" w:rsidP="003A6935">
            <w:pPr>
              <w:spacing w:before="60" w:after="60"/>
              <w:rPr>
                <w:szCs w:val="24"/>
              </w:rPr>
            </w:pPr>
            <w:r w:rsidRPr="003A6935">
              <w:rPr>
                <w:szCs w:val="24"/>
              </w:rPr>
              <w:t>Mechanical Engineering</w:t>
            </w:r>
          </w:p>
          <w:p w14:paraId="51BAE46B" w14:textId="77777777" w:rsidR="003A6935" w:rsidRPr="003A6935" w:rsidRDefault="003A6935" w:rsidP="003A6935">
            <w:pPr>
              <w:spacing w:before="60" w:after="60"/>
              <w:rPr>
                <w:szCs w:val="24"/>
              </w:rPr>
            </w:pPr>
            <w:r w:rsidRPr="003A6935">
              <w:rPr>
                <w:szCs w:val="24"/>
              </w:rPr>
              <w:t>Nuclear Liabilities Regulation</w:t>
            </w:r>
          </w:p>
          <w:p w14:paraId="09D9AB8D" w14:textId="77777777" w:rsidR="003A6935" w:rsidRPr="003A6935" w:rsidRDefault="003A6935" w:rsidP="003A6935">
            <w:pPr>
              <w:spacing w:before="60" w:after="60"/>
              <w:rPr>
                <w:szCs w:val="24"/>
              </w:rPr>
            </w:pPr>
            <w:r w:rsidRPr="003A6935">
              <w:rPr>
                <w:szCs w:val="24"/>
              </w:rPr>
              <w:t>Probabilistic Safety Analysis</w:t>
            </w:r>
          </w:p>
          <w:p w14:paraId="7E77BE0F" w14:textId="77777777" w:rsidR="003A6935" w:rsidRPr="003A6935" w:rsidRDefault="003A6935" w:rsidP="003A6935">
            <w:pPr>
              <w:spacing w:before="60" w:after="60"/>
              <w:rPr>
                <w:szCs w:val="24"/>
              </w:rPr>
            </w:pPr>
            <w:r w:rsidRPr="003A6935">
              <w:rPr>
                <w:szCs w:val="24"/>
              </w:rPr>
              <w:t>Radiological Consequences</w:t>
            </w:r>
          </w:p>
          <w:p w14:paraId="52C34EF1" w14:textId="77777777" w:rsidR="003A6935" w:rsidRPr="003A6935" w:rsidRDefault="003A6935" w:rsidP="003A6935">
            <w:pPr>
              <w:spacing w:before="60" w:after="60"/>
              <w:rPr>
                <w:szCs w:val="24"/>
              </w:rPr>
            </w:pPr>
            <w:r w:rsidRPr="003A6935">
              <w:rPr>
                <w:szCs w:val="24"/>
              </w:rPr>
              <w:t>Radiological Protection</w:t>
            </w:r>
          </w:p>
          <w:p w14:paraId="29B85961" w14:textId="77777777" w:rsidR="003A6935" w:rsidRPr="003A6935" w:rsidRDefault="003A6935" w:rsidP="003A6935">
            <w:pPr>
              <w:spacing w:before="60" w:after="60"/>
              <w:rPr>
                <w:szCs w:val="24"/>
              </w:rPr>
            </w:pPr>
            <w:r w:rsidRPr="003A6935">
              <w:rPr>
                <w:szCs w:val="24"/>
              </w:rPr>
              <w:t>Safeguards</w:t>
            </w:r>
          </w:p>
          <w:p w14:paraId="2049B24F" w14:textId="77777777" w:rsidR="003A6935" w:rsidRPr="003A6935" w:rsidRDefault="003A6935" w:rsidP="003A6935">
            <w:pPr>
              <w:spacing w:before="60" w:after="60"/>
              <w:rPr>
                <w:szCs w:val="24"/>
              </w:rPr>
            </w:pPr>
            <w:r w:rsidRPr="003A6935">
              <w:rPr>
                <w:szCs w:val="24"/>
              </w:rPr>
              <w:t>Security</w:t>
            </w:r>
          </w:p>
          <w:p w14:paraId="464A52E5" w14:textId="77777777" w:rsidR="003A6935" w:rsidRPr="003A6935" w:rsidRDefault="003A6935" w:rsidP="003A6935">
            <w:pPr>
              <w:spacing w:before="60" w:after="60"/>
              <w:rPr>
                <w:szCs w:val="24"/>
              </w:rPr>
            </w:pPr>
            <w:r w:rsidRPr="003A6935">
              <w:rPr>
                <w:szCs w:val="24"/>
              </w:rPr>
              <w:t>Severe Accident Analysis</w:t>
            </w:r>
          </w:p>
          <w:p w14:paraId="4573E042" w14:textId="39F55461" w:rsidR="00CC67B6" w:rsidRPr="0048438C" w:rsidRDefault="003A6935" w:rsidP="003A6935">
            <w:pPr>
              <w:pStyle w:val="ListParagraph"/>
              <w:spacing w:before="60" w:after="60"/>
              <w:ind w:left="0"/>
              <w:rPr>
                <w:szCs w:val="24"/>
              </w:rPr>
            </w:pPr>
            <w:r w:rsidRPr="003A6935">
              <w:rPr>
                <w:szCs w:val="24"/>
              </w:rPr>
              <w:lastRenderedPageBreak/>
              <w:t>Structural Integrity</w:t>
            </w:r>
            <w:r w:rsidRPr="003A6935">
              <w:rPr>
                <w:szCs w:val="24"/>
                <w:lang w:eastAsia="en-GB"/>
              </w:rPr>
              <w:t xml:space="preserve"> </w:t>
            </w:r>
            <w:r w:rsidR="00CC67B6" w:rsidRPr="0048438C">
              <w:rPr>
                <w:szCs w:val="24"/>
                <w:lang w:eastAsia="en-GB"/>
              </w:rPr>
              <w:fldChar w:fldCharType="begin"/>
            </w:r>
            <w:r w:rsidR="00CC67B6" w:rsidRPr="0048438C">
              <w:rPr>
                <w:szCs w:val="24"/>
                <w:lang w:eastAsia="en-GB"/>
              </w:rPr>
              <w:instrText xml:space="preserve"> MERGEFIELD F10 </w:instrText>
            </w:r>
            <w:r w:rsidR="00CC67B6" w:rsidRPr="0048438C">
              <w:rPr>
                <w:szCs w:val="24"/>
                <w:lang w:eastAsia="en-GB"/>
              </w:rPr>
              <w:fldChar w:fldCharType="end"/>
            </w:r>
          </w:p>
        </w:tc>
      </w:tr>
      <w:tr w:rsidR="00850471" w:rsidRPr="0048438C" w14:paraId="4573E045" w14:textId="77777777" w:rsidTr="1FB060AA">
        <w:trPr>
          <w:trHeight w:val="242"/>
        </w:trPr>
        <w:tc>
          <w:tcPr>
            <w:tcW w:w="9897" w:type="dxa"/>
            <w:gridSpan w:val="2"/>
            <w:shd w:val="clear" w:color="auto" w:fill="CCCCCC"/>
          </w:tcPr>
          <w:p w14:paraId="4573E044" w14:textId="7ECC632F" w:rsidR="00850471" w:rsidRPr="00581D5B" w:rsidRDefault="00581D5B" w:rsidP="0048438C">
            <w:pPr>
              <w:spacing w:before="60" w:after="60"/>
              <w:rPr>
                <w:b/>
                <w:iCs/>
                <w:szCs w:val="24"/>
              </w:rPr>
            </w:pPr>
            <w:r w:rsidRPr="00581D5B">
              <w:rPr>
                <w:b/>
                <w:iCs/>
                <w:szCs w:val="24"/>
              </w:rPr>
              <w:lastRenderedPageBreak/>
              <w:t>REGULATORY OBSERVATION:</w:t>
            </w:r>
          </w:p>
        </w:tc>
      </w:tr>
      <w:tr w:rsidR="00850471" w:rsidRPr="0048438C" w14:paraId="4573E049" w14:textId="77777777" w:rsidTr="1FB060AA">
        <w:tc>
          <w:tcPr>
            <w:tcW w:w="9897" w:type="dxa"/>
            <w:gridSpan w:val="2"/>
            <w:shd w:val="clear" w:color="auto" w:fill="auto"/>
          </w:tcPr>
          <w:p w14:paraId="4F3F6A8D" w14:textId="162229E0" w:rsidR="00850471" w:rsidRPr="0048438C" w:rsidRDefault="00CC67B6" w:rsidP="0048438C">
            <w:pPr>
              <w:spacing w:before="60" w:after="60"/>
              <w:rPr>
                <w:b/>
                <w:szCs w:val="24"/>
                <w:u w:val="single"/>
              </w:rPr>
            </w:pPr>
            <w:r w:rsidRPr="0048438C">
              <w:rPr>
                <w:b/>
                <w:szCs w:val="24"/>
                <w:u w:val="single"/>
              </w:rPr>
              <w:t>Background</w:t>
            </w:r>
          </w:p>
          <w:p w14:paraId="0D10CAF7" w14:textId="2E439609" w:rsidR="002A7969" w:rsidRDefault="00160525" w:rsidP="002A7969">
            <w:pPr>
              <w:spacing w:before="60" w:after="60"/>
            </w:pPr>
            <w:r>
              <w:t>During Step 1 of the Generic Design Assessment (GDA) for the Rolls-Royce SMR design the Requesting Party (Rolls-Royce SMR L</w:t>
            </w:r>
            <w:r w:rsidR="00E530B0">
              <w:t>t</w:t>
            </w:r>
            <w:r>
              <w:t>d) submitted information on its strategy and intentions regarding the development of their Environment, Safety, Security and Safeguards (E3S) case</w:t>
            </w:r>
            <w:r w:rsidR="008165A1">
              <w:t xml:space="preserve"> [1]</w:t>
            </w:r>
            <w:r>
              <w:t xml:space="preserve">. </w:t>
            </w:r>
            <w:r w:rsidR="002A7969">
              <w:t>Concurrent with the development of the E3S case the RP continues to further develop its design. The RP is aiming to produce an integrated design and E3S case, which it is claimed will offer benefits in terms of clarity, integration and understanding impacts from any changes.</w:t>
            </w:r>
          </w:p>
          <w:p w14:paraId="296C3BDB" w14:textId="77777777" w:rsidR="002A7969" w:rsidRDefault="002A7969" w:rsidP="00160525">
            <w:pPr>
              <w:spacing w:before="60" w:after="60"/>
            </w:pPr>
          </w:p>
          <w:p w14:paraId="775F794E" w14:textId="33897E86" w:rsidR="00160525" w:rsidRDefault="009B44DE" w:rsidP="00160525">
            <w:pPr>
              <w:spacing w:before="60" w:after="60"/>
            </w:pPr>
            <w:r>
              <w:t>Several</w:t>
            </w:r>
            <w:r w:rsidR="00160525">
              <w:t xml:space="preserve"> notable aspects of </w:t>
            </w:r>
            <w:r w:rsidR="002A7969">
              <w:t xml:space="preserve">the RP’s </w:t>
            </w:r>
            <w:r w:rsidR="00160525">
              <w:t xml:space="preserve">approach </w:t>
            </w:r>
            <w:r w:rsidR="008420DB">
              <w:t>to development of the</w:t>
            </w:r>
            <w:r>
              <w:t>ir</w:t>
            </w:r>
            <w:r w:rsidR="008420DB">
              <w:t xml:space="preserve"> E3S case </w:t>
            </w:r>
            <w:r w:rsidR="00160525">
              <w:t>are:</w:t>
            </w:r>
          </w:p>
          <w:p w14:paraId="0B11B713" w14:textId="747B464D" w:rsidR="002A7969" w:rsidRDefault="002A7969" w:rsidP="00160525">
            <w:pPr>
              <w:pStyle w:val="ListParagraph"/>
              <w:numPr>
                <w:ilvl w:val="0"/>
                <w:numId w:val="25"/>
              </w:numPr>
              <w:spacing w:before="60" w:after="60"/>
            </w:pPr>
            <w:r>
              <w:t>The RP has chosen to develop its cases in a holistic manner across the E3S purposes, to demonstrate that the design will ‘protect people and the environment from harm’</w:t>
            </w:r>
            <w:r w:rsidR="00F93C48">
              <w:t>;</w:t>
            </w:r>
          </w:p>
          <w:p w14:paraId="26E2C477" w14:textId="3844E299" w:rsidR="002A7969" w:rsidRDefault="00C17155" w:rsidP="00160525">
            <w:pPr>
              <w:pStyle w:val="ListParagraph"/>
              <w:numPr>
                <w:ilvl w:val="0"/>
                <w:numId w:val="25"/>
              </w:numPr>
              <w:spacing w:before="60" w:after="60"/>
            </w:pPr>
            <w:r>
              <w:t>Use of a</w:t>
            </w:r>
            <w:r w:rsidR="002A7969">
              <w:t xml:space="preserve"> </w:t>
            </w:r>
            <w:r w:rsidR="006037E8">
              <w:t xml:space="preserve">document </w:t>
            </w:r>
            <w:r w:rsidR="002A7969">
              <w:t>hierarchy, with the highest Tier 1 level comprising the E3S summary chapters supported by lower</w:t>
            </w:r>
            <w:r w:rsidR="006037E8">
              <w:t>-</w:t>
            </w:r>
            <w:r w:rsidR="002A7969">
              <w:t>level, more detailed, Tier 2 and 3 documents</w:t>
            </w:r>
            <w:r>
              <w:t xml:space="preserve"> which contain arguments and evidence</w:t>
            </w:r>
            <w:r w:rsidR="00F93C48">
              <w:t>;</w:t>
            </w:r>
          </w:p>
          <w:p w14:paraId="3026AB74" w14:textId="45B5CD57" w:rsidR="00160525" w:rsidRDefault="002A7969" w:rsidP="00160525">
            <w:pPr>
              <w:pStyle w:val="ListParagraph"/>
              <w:numPr>
                <w:ilvl w:val="0"/>
                <w:numId w:val="25"/>
              </w:numPr>
              <w:spacing w:before="60" w:after="60"/>
            </w:pPr>
            <w:r>
              <w:t>The u</w:t>
            </w:r>
            <w:r w:rsidR="00160525">
              <w:t>se of a rigorous Claim, Arguments and Evidence (CAE) structure</w:t>
            </w:r>
            <w:r w:rsidR="00F93C48">
              <w:t xml:space="preserve"> to define the “golden thread” for the case;</w:t>
            </w:r>
          </w:p>
          <w:p w14:paraId="4502DF12" w14:textId="60FD1F47" w:rsidR="00160525" w:rsidRDefault="00160525" w:rsidP="00160525">
            <w:pPr>
              <w:pStyle w:val="ListParagraph"/>
              <w:numPr>
                <w:ilvl w:val="0"/>
                <w:numId w:val="25"/>
              </w:numPr>
              <w:spacing w:before="60" w:after="60"/>
            </w:pPr>
            <w:r>
              <w:t>A combined systems engineering and analysis approach</w:t>
            </w:r>
            <w:r w:rsidR="00F93C48">
              <w:t>;</w:t>
            </w:r>
          </w:p>
          <w:p w14:paraId="1220A63D" w14:textId="39B105B6" w:rsidR="00160525" w:rsidRDefault="00160525" w:rsidP="00160525">
            <w:pPr>
              <w:pStyle w:val="ListParagraph"/>
              <w:numPr>
                <w:ilvl w:val="0"/>
                <w:numId w:val="25"/>
              </w:numPr>
              <w:spacing w:before="60" w:after="60"/>
            </w:pPr>
            <w:r>
              <w:t xml:space="preserve">Alignment to </w:t>
            </w:r>
            <w:r w:rsidR="0082304C">
              <w:t>i</w:t>
            </w:r>
            <w:r w:rsidRPr="00160525">
              <w:t>nternational guidance</w:t>
            </w:r>
            <w:r w:rsidR="007603DD">
              <w:t xml:space="preserve"> for safety cases</w:t>
            </w:r>
            <w:r w:rsidR="0082304C">
              <w:t xml:space="preserve">, </w:t>
            </w:r>
            <w:r w:rsidRPr="00160525">
              <w:t>supplemented to include UK specific expectations and expanded to include the other E3S purpose</w:t>
            </w:r>
            <w:r w:rsidR="007603DD">
              <w:t>s</w:t>
            </w:r>
            <w:r w:rsidR="00F93C48">
              <w:t>;</w:t>
            </w:r>
          </w:p>
          <w:p w14:paraId="48566023" w14:textId="00883BBE" w:rsidR="00160525" w:rsidRDefault="00160525" w:rsidP="00160525">
            <w:pPr>
              <w:pStyle w:val="ListParagraph"/>
              <w:numPr>
                <w:ilvl w:val="0"/>
                <w:numId w:val="25"/>
              </w:numPr>
              <w:spacing w:before="60" w:after="60"/>
            </w:pPr>
            <w:r>
              <w:t>Derivation and management of functional and non-functional requirements</w:t>
            </w:r>
            <w:r w:rsidR="00F93C48">
              <w:t>; and</w:t>
            </w:r>
          </w:p>
          <w:p w14:paraId="6DC8CFCD" w14:textId="2CEC1788" w:rsidR="00160525" w:rsidRDefault="00160525" w:rsidP="00160525">
            <w:pPr>
              <w:pStyle w:val="ListParagraph"/>
              <w:numPr>
                <w:ilvl w:val="0"/>
                <w:numId w:val="25"/>
              </w:numPr>
              <w:spacing w:before="60" w:after="60"/>
            </w:pPr>
            <w:r>
              <w:t xml:space="preserve">Adoption of a range of digital tools to aid the production and control of the </w:t>
            </w:r>
            <w:r w:rsidR="002A7969">
              <w:t xml:space="preserve">design and </w:t>
            </w:r>
            <w:r>
              <w:t>case</w:t>
            </w:r>
            <w:r w:rsidR="00F93C48">
              <w:t>.</w:t>
            </w:r>
          </w:p>
          <w:p w14:paraId="6026B0E4" w14:textId="77777777" w:rsidR="00160525" w:rsidRDefault="00160525" w:rsidP="00160525">
            <w:pPr>
              <w:spacing w:before="60" w:after="60"/>
            </w:pPr>
          </w:p>
          <w:p w14:paraId="63114B85" w14:textId="5DCD1C07" w:rsidR="0082304C" w:rsidRDefault="0082304C" w:rsidP="00160525">
            <w:pPr>
              <w:spacing w:before="60" w:after="60"/>
            </w:pPr>
            <w:r>
              <w:t>At the end of Step 1 we reported that we were</w:t>
            </w:r>
            <w:r w:rsidRPr="0082304C">
              <w:t xml:space="preserve"> satisfied that the proposed E3S approac</w:t>
            </w:r>
            <w:r w:rsidR="00675477">
              <w:t>h was</w:t>
            </w:r>
            <w:r w:rsidRPr="0082304C">
              <w:t xml:space="preserve"> logical, suitably structured and w</w:t>
            </w:r>
            <w:r w:rsidR="00053443">
              <w:t>ould</w:t>
            </w:r>
            <w:r w:rsidRPr="0082304C">
              <w:t xml:space="preserve"> give the RP means to </w:t>
            </w:r>
            <w:r w:rsidR="001C5D09">
              <w:t>direct</w:t>
            </w:r>
            <w:r w:rsidRPr="0082304C">
              <w:t xml:space="preserve"> the development of its design. We recognise</w:t>
            </w:r>
            <w:r w:rsidR="002A7969">
              <w:t>d</w:t>
            </w:r>
            <w:r w:rsidRPr="0082304C">
              <w:t xml:space="preserve"> the early production of clear strategies and the holistic approach to be good practices adopted by the RP.</w:t>
            </w:r>
          </w:p>
          <w:p w14:paraId="5038CDC7" w14:textId="77777777" w:rsidR="00BE5FA8" w:rsidRDefault="00BE5FA8" w:rsidP="0048438C">
            <w:pPr>
              <w:spacing w:before="60" w:after="60"/>
            </w:pPr>
          </w:p>
          <w:p w14:paraId="2A85B2D5" w14:textId="2E27BE08" w:rsidR="00BE5FA8" w:rsidRPr="006037E8" w:rsidRDefault="006037E8" w:rsidP="006037E8">
            <w:pPr>
              <w:spacing w:before="60" w:after="60"/>
              <w:rPr>
                <w:szCs w:val="24"/>
              </w:rPr>
            </w:pPr>
            <w:r w:rsidRPr="006037E8">
              <w:rPr>
                <w:szCs w:val="24"/>
              </w:rPr>
              <w:t xml:space="preserve">The first version of the Tier 1 E3S chapters </w:t>
            </w:r>
            <w:r w:rsidR="00535BA9">
              <w:rPr>
                <w:szCs w:val="24"/>
              </w:rPr>
              <w:t xml:space="preserve">[2] </w:t>
            </w:r>
            <w:r w:rsidRPr="006037E8">
              <w:rPr>
                <w:szCs w:val="24"/>
              </w:rPr>
              <w:t xml:space="preserve">were submitted </w:t>
            </w:r>
            <w:r>
              <w:rPr>
                <w:szCs w:val="24"/>
              </w:rPr>
              <w:t xml:space="preserve">to the Regulators </w:t>
            </w:r>
            <w:r w:rsidRPr="006037E8">
              <w:rPr>
                <w:szCs w:val="24"/>
              </w:rPr>
              <w:t>at the start of Step 2</w:t>
            </w:r>
            <w:r>
              <w:rPr>
                <w:szCs w:val="24"/>
              </w:rPr>
              <w:t>, and lower-level Tier 2 and 3 submissions continue to be provided in accordance with the agreed submission schedule for the Step.</w:t>
            </w:r>
            <w:r w:rsidR="00F109E9">
              <w:rPr>
                <w:szCs w:val="24"/>
              </w:rPr>
              <w:t xml:space="preserve"> </w:t>
            </w:r>
            <w:r w:rsidR="00A80B4A">
              <w:rPr>
                <w:szCs w:val="24"/>
              </w:rPr>
              <w:t>Through o</w:t>
            </w:r>
            <w:r w:rsidR="00F109E9">
              <w:rPr>
                <w:szCs w:val="24"/>
              </w:rPr>
              <w:t>ur assessment of these submissions</w:t>
            </w:r>
            <w:r w:rsidR="00871E61">
              <w:rPr>
                <w:szCs w:val="24"/>
              </w:rPr>
              <w:t>, and interactions with t</w:t>
            </w:r>
            <w:r w:rsidRPr="006037E8">
              <w:rPr>
                <w:szCs w:val="24"/>
              </w:rPr>
              <w:t>he RP</w:t>
            </w:r>
            <w:r>
              <w:rPr>
                <w:szCs w:val="24"/>
              </w:rPr>
              <w:t xml:space="preserve"> to date</w:t>
            </w:r>
            <w:r w:rsidRPr="006037E8">
              <w:rPr>
                <w:szCs w:val="24"/>
              </w:rPr>
              <w:t xml:space="preserve">, </w:t>
            </w:r>
            <w:r w:rsidR="00A80B4A">
              <w:rPr>
                <w:szCs w:val="24"/>
              </w:rPr>
              <w:t xml:space="preserve">we have identified that further work is needed </w:t>
            </w:r>
            <w:r w:rsidR="0004245E">
              <w:rPr>
                <w:szCs w:val="24"/>
              </w:rPr>
              <w:t xml:space="preserve">by </w:t>
            </w:r>
            <w:r w:rsidR="00A80B4A">
              <w:rPr>
                <w:szCs w:val="24"/>
              </w:rPr>
              <w:t>t</w:t>
            </w:r>
            <w:r w:rsidR="00E62613">
              <w:rPr>
                <w:szCs w:val="24"/>
              </w:rPr>
              <w:t>h</w:t>
            </w:r>
            <w:r w:rsidR="00A80B4A">
              <w:rPr>
                <w:szCs w:val="24"/>
              </w:rPr>
              <w:t xml:space="preserve">e </w:t>
            </w:r>
            <w:r w:rsidR="00E62613">
              <w:rPr>
                <w:szCs w:val="24"/>
              </w:rPr>
              <w:t xml:space="preserve">RP </w:t>
            </w:r>
            <w:r w:rsidR="0004245E">
              <w:rPr>
                <w:szCs w:val="24"/>
              </w:rPr>
              <w:t xml:space="preserve">for it </w:t>
            </w:r>
            <w:r w:rsidR="00E62613">
              <w:rPr>
                <w:szCs w:val="24"/>
              </w:rPr>
              <w:t>to achieve its objective</w:t>
            </w:r>
            <w:r w:rsidR="00CF0957">
              <w:rPr>
                <w:szCs w:val="24"/>
              </w:rPr>
              <w:t>s</w:t>
            </w:r>
            <w:r w:rsidR="00E62613">
              <w:rPr>
                <w:szCs w:val="24"/>
              </w:rPr>
              <w:t xml:space="preserve"> for the E3S case during GDA.</w:t>
            </w:r>
            <w:r w:rsidR="00871E61">
              <w:rPr>
                <w:szCs w:val="24"/>
              </w:rPr>
              <w:t xml:space="preserve"> </w:t>
            </w:r>
            <w:r w:rsidR="00E90544">
              <w:rPr>
                <w:szCs w:val="24"/>
              </w:rPr>
              <w:t xml:space="preserve">We are therefore seeking additional </w:t>
            </w:r>
            <w:r w:rsidRPr="006037E8">
              <w:rPr>
                <w:szCs w:val="24"/>
              </w:rPr>
              <w:t xml:space="preserve">confidence that the RP has </w:t>
            </w:r>
            <w:r w:rsidR="00832411">
              <w:rPr>
                <w:szCs w:val="24"/>
              </w:rPr>
              <w:t xml:space="preserve">fully </w:t>
            </w:r>
            <w:r w:rsidRPr="006037E8">
              <w:rPr>
                <w:szCs w:val="24"/>
              </w:rPr>
              <w:t xml:space="preserve">developed and is implementing suitable and sufficient procedures and controls to </w:t>
            </w:r>
            <w:r w:rsidR="004D3DEC">
              <w:rPr>
                <w:szCs w:val="24"/>
              </w:rPr>
              <w:t>develop a</w:t>
            </w:r>
            <w:r w:rsidRPr="006037E8">
              <w:rPr>
                <w:szCs w:val="24"/>
              </w:rPr>
              <w:t xml:space="preserve"> </w:t>
            </w:r>
            <w:r>
              <w:rPr>
                <w:szCs w:val="24"/>
              </w:rPr>
              <w:t>Rolls-Royce SMR E3S case</w:t>
            </w:r>
            <w:r w:rsidRPr="006037E8">
              <w:rPr>
                <w:szCs w:val="24"/>
              </w:rPr>
              <w:t xml:space="preserve"> </w:t>
            </w:r>
            <w:r w:rsidR="004D3DEC">
              <w:rPr>
                <w:szCs w:val="24"/>
              </w:rPr>
              <w:t xml:space="preserve">which </w:t>
            </w:r>
            <w:r w:rsidRPr="006037E8">
              <w:rPr>
                <w:szCs w:val="24"/>
              </w:rPr>
              <w:t xml:space="preserve">will meet </w:t>
            </w:r>
            <w:r w:rsidR="0004245E">
              <w:rPr>
                <w:szCs w:val="24"/>
              </w:rPr>
              <w:t xml:space="preserve">UK and international </w:t>
            </w:r>
            <w:r w:rsidRPr="006037E8">
              <w:rPr>
                <w:szCs w:val="24"/>
              </w:rPr>
              <w:t>regulatory expectations</w:t>
            </w:r>
            <w:r>
              <w:rPr>
                <w:szCs w:val="24"/>
              </w:rPr>
              <w:t xml:space="preserve"> and will be an enabler for future regulatory activities</w:t>
            </w:r>
            <w:r w:rsidRPr="006037E8">
              <w:rPr>
                <w:szCs w:val="24"/>
              </w:rPr>
              <w:t xml:space="preserve">. </w:t>
            </w:r>
            <w:r w:rsidR="00E90544">
              <w:rPr>
                <w:szCs w:val="24"/>
              </w:rPr>
              <w:t xml:space="preserve">Our view is that </w:t>
            </w:r>
            <w:r w:rsidR="00694D7F">
              <w:rPr>
                <w:szCs w:val="24"/>
              </w:rPr>
              <w:t xml:space="preserve">a fundamental part of this is to have </w:t>
            </w:r>
            <w:r w:rsidRPr="006037E8">
              <w:rPr>
                <w:szCs w:val="24"/>
              </w:rPr>
              <w:t>a clear</w:t>
            </w:r>
            <w:r>
              <w:rPr>
                <w:szCs w:val="24"/>
              </w:rPr>
              <w:t xml:space="preserve"> </w:t>
            </w:r>
            <w:r w:rsidRPr="006037E8">
              <w:rPr>
                <w:szCs w:val="24"/>
              </w:rPr>
              <w:t>understanding of the strategy, objectives, scope and plan for development of the case</w:t>
            </w:r>
            <w:r w:rsidR="00E120AE">
              <w:rPr>
                <w:szCs w:val="24"/>
              </w:rPr>
              <w:t xml:space="preserve"> and to embed this fully within the RP’s organisation</w:t>
            </w:r>
            <w:r w:rsidR="00775E2F">
              <w:rPr>
                <w:szCs w:val="24"/>
              </w:rPr>
              <w:t xml:space="preserve"> and arrangements.</w:t>
            </w:r>
            <w:r>
              <w:rPr>
                <w:szCs w:val="24"/>
              </w:rPr>
              <w:t xml:space="preserve"> </w:t>
            </w:r>
            <w:r w:rsidRPr="006037E8">
              <w:rPr>
                <w:szCs w:val="24"/>
              </w:rPr>
              <w:t xml:space="preserve"> </w:t>
            </w:r>
          </w:p>
          <w:p w14:paraId="6BE76143" w14:textId="77777777" w:rsidR="00850471" w:rsidRPr="0048438C" w:rsidRDefault="00850471" w:rsidP="0048438C">
            <w:pPr>
              <w:spacing w:before="60" w:after="60"/>
              <w:rPr>
                <w:szCs w:val="24"/>
              </w:rPr>
            </w:pPr>
          </w:p>
          <w:p w14:paraId="25806AA4" w14:textId="6EE0AECA" w:rsidR="000758E9" w:rsidRPr="0048438C" w:rsidRDefault="000758E9" w:rsidP="0048438C">
            <w:pPr>
              <w:spacing w:before="60" w:after="60"/>
              <w:rPr>
                <w:b/>
                <w:szCs w:val="24"/>
                <w:u w:val="single"/>
              </w:rPr>
            </w:pPr>
            <w:r w:rsidRPr="0048438C">
              <w:rPr>
                <w:b/>
                <w:szCs w:val="24"/>
                <w:u w:val="single"/>
              </w:rPr>
              <w:t>Relevant Legislation, Standards and Guidance</w:t>
            </w:r>
          </w:p>
          <w:p w14:paraId="0209A271" w14:textId="080C8EDD" w:rsidR="002A7969" w:rsidRDefault="002A7969" w:rsidP="0048438C">
            <w:pPr>
              <w:spacing w:before="60" w:after="60"/>
            </w:pPr>
            <w:r>
              <w:t>A documented safety case is a requirement of the Licence Conditions (LC) associated with holding a nuclear site licence, particularly LCs 23</w:t>
            </w:r>
            <w:r w:rsidR="00F03C8C">
              <w:t xml:space="preserve"> [3]</w:t>
            </w:r>
            <w:r>
              <w:t xml:space="preserve"> and 14</w:t>
            </w:r>
            <w:r w:rsidR="00F03C8C">
              <w:t xml:space="preserve"> [4]</w:t>
            </w:r>
            <w:r>
              <w:t xml:space="preserve">. Safety documentation is also required under other legislation, such as relevant statutory provisions of the Health and Safety at Work etc Act 1974 (e.g. the Management of Health and Safety at Work Regulations 1999 and the Ionising Radiations Regulations 2017). Safety cases are also considered in IAEA </w:t>
            </w:r>
            <w:r w:rsidR="008B3A0F">
              <w:t>[5]</w:t>
            </w:r>
            <w:r w:rsidR="004D3DEC">
              <w:t xml:space="preserve"> [6]</w:t>
            </w:r>
            <w:r w:rsidR="008B3A0F">
              <w:t xml:space="preserve"> </w:t>
            </w:r>
            <w:r>
              <w:t>and WENRA</w:t>
            </w:r>
            <w:r w:rsidR="008B3A0F">
              <w:t xml:space="preserve"> [</w:t>
            </w:r>
            <w:r w:rsidR="004D3DEC">
              <w:t>7</w:t>
            </w:r>
            <w:r w:rsidR="008B3A0F">
              <w:t>]</w:t>
            </w:r>
            <w:r>
              <w:t xml:space="preserve"> standards and guidance. </w:t>
            </w:r>
            <w:r w:rsidR="002A068A">
              <w:t>ONR’s</w:t>
            </w:r>
            <w:r>
              <w:t xml:space="preserve"> </w:t>
            </w:r>
            <w:r w:rsidR="008C5FA3">
              <w:t>Safety Assessment Principles (</w:t>
            </w:r>
            <w:r>
              <w:t>SAPs</w:t>
            </w:r>
            <w:r w:rsidR="008C5FA3">
              <w:t>)</w:t>
            </w:r>
            <w:r>
              <w:t xml:space="preserve"> </w:t>
            </w:r>
            <w:r w:rsidR="008B3A0F">
              <w:t>[</w:t>
            </w:r>
            <w:r w:rsidR="004D3DEC">
              <w:t>8</w:t>
            </w:r>
            <w:r w:rsidR="008B3A0F">
              <w:t xml:space="preserve">] </w:t>
            </w:r>
            <w:r>
              <w:t>contain specific principles relating to safety cases (SC</w:t>
            </w:r>
            <w:r w:rsidR="008C5FA3">
              <w:t>.</w:t>
            </w:r>
            <w:r>
              <w:t>1</w:t>
            </w:r>
            <w:r w:rsidR="008C5FA3">
              <w:t xml:space="preserve"> to </w:t>
            </w:r>
            <w:r>
              <w:t xml:space="preserve">8) which are further expanded in </w:t>
            </w:r>
            <w:r w:rsidR="008C5FA3">
              <w:t>the associated Technical Assessment Guide (</w:t>
            </w:r>
            <w:r>
              <w:t>TAG</w:t>
            </w:r>
            <w:r w:rsidR="008C5FA3">
              <w:t>)</w:t>
            </w:r>
            <w:r>
              <w:t xml:space="preserve"> NS-TAST-GD-051</w:t>
            </w:r>
            <w:r w:rsidR="008B3A0F">
              <w:t xml:space="preserve"> [</w:t>
            </w:r>
            <w:r w:rsidR="004D3DEC">
              <w:t>9</w:t>
            </w:r>
            <w:r w:rsidR="008B3A0F">
              <w:t>]</w:t>
            </w:r>
            <w:r>
              <w:t>.</w:t>
            </w:r>
          </w:p>
          <w:p w14:paraId="7055A658" w14:textId="77777777" w:rsidR="00ED7F2E" w:rsidRDefault="00ED7F2E" w:rsidP="0048438C">
            <w:pPr>
              <w:spacing w:before="60" w:after="60"/>
            </w:pPr>
          </w:p>
          <w:p w14:paraId="6FE66067" w14:textId="5412EE64" w:rsidR="002C0E4C" w:rsidRDefault="009B2AB0" w:rsidP="00851AE9">
            <w:pPr>
              <w:spacing w:before="60" w:after="60"/>
            </w:pPr>
            <w:r>
              <w:t>ONR</w:t>
            </w:r>
            <w:r w:rsidR="00542966">
              <w:t xml:space="preserve"> approves the security plans produced by </w:t>
            </w:r>
            <w:proofErr w:type="spellStart"/>
            <w:r w:rsidR="00542966">
              <w:t>dutyholders</w:t>
            </w:r>
            <w:proofErr w:type="spellEnd"/>
            <w:r>
              <w:t xml:space="preserve"> under the Nuclear Industries Security Regulations (NISR) 2003</w:t>
            </w:r>
            <w:r w:rsidR="00185390">
              <w:t xml:space="preserve"> [</w:t>
            </w:r>
            <w:r w:rsidR="004D3DEC">
              <w:t>10</w:t>
            </w:r>
            <w:r w:rsidR="00185390">
              <w:t>]</w:t>
            </w:r>
            <w:r w:rsidR="000C0ABB">
              <w:t>, to demonstrate that their security arrangements</w:t>
            </w:r>
            <w:r w:rsidR="00EF42B4">
              <w:t xml:space="preserve"> </w:t>
            </w:r>
            <w:r w:rsidR="00851AE9">
              <w:t xml:space="preserve">meet relevant legal obligations. </w:t>
            </w:r>
            <w:r w:rsidR="003F7FE7">
              <w:t xml:space="preserve">IAEA guidance is available in the Nuclear Security Fundamentals [11]. </w:t>
            </w:r>
            <w:r w:rsidR="00842950">
              <w:t>ONR guidance is detailed in the Security Assessment Principles (</w:t>
            </w:r>
            <w:proofErr w:type="spellStart"/>
            <w:r w:rsidR="00842950">
              <w:t>SyAPs</w:t>
            </w:r>
            <w:proofErr w:type="spellEnd"/>
            <w:r w:rsidR="00842950">
              <w:t xml:space="preserve">) </w:t>
            </w:r>
            <w:r w:rsidR="00185390">
              <w:t>[</w:t>
            </w:r>
            <w:r w:rsidR="004D3DEC">
              <w:t>1</w:t>
            </w:r>
            <w:r w:rsidR="003F7FE7">
              <w:t>2</w:t>
            </w:r>
            <w:r w:rsidR="00185390">
              <w:t xml:space="preserve">] </w:t>
            </w:r>
            <w:r w:rsidR="00842950">
              <w:t xml:space="preserve">and associated </w:t>
            </w:r>
            <w:r w:rsidR="00851AE9">
              <w:t>TAG</w:t>
            </w:r>
            <w:r w:rsidR="00842950">
              <w:t>s</w:t>
            </w:r>
            <w:r w:rsidR="00185390">
              <w:t xml:space="preserve"> [</w:t>
            </w:r>
            <w:r w:rsidR="004D3DEC">
              <w:t>1</w:t>
            </w:r>
            <w:r w:rsidR="003F7FE7">
              <w:t>3</w:t>
            </w:r>
            <w:r w:rsidR="00185390">
              <w:t>]</w:t>
            </w:r>
            <w:r w:rsidR="00851AE9">
              <w:t>.</w:t>
            </w:r>
          </w:p>
          <w:p w14:paraId="136B940E" w14:textId="77777777" w:rsidR="007B5D49" w:rsidRDefault="007B5D49" w:rsidP="00851AE9">
            <w:pPr>
              <w:spacing w:before="60" w:after="60"/>
            </w:pPr>
          </w:p>
          <w:p w14:paraId="39E1C8D9" w14:textId="6F77A433" w:rsidR="007B5D49" w:rsidRDefault="007B5D49" w:rsidP="007B5D49">
            <w:pPr>
              <w:spacing w:before="60" w:after="60"/>
            </w:pPr>
            <w:r>
              <w:t>The Nuclear Safeguards (EU Exit) Regulations 2019 (NSR19)</w:t>
            </w:r>
            <w:r w:rsidR="006B647B">
              <w:t xml:space="preserve"> </w:t>
            </w:r>
            <w:r w:rsidR="00185390">
              <w:t>[</w:t>
            </w:r>
            <w:r w:rsidR="004D3DEC">
              <w:t>1</w:t>
            </w:r>
            <w:r w:rsidR="0004245E">
              <w:t>4</w:t>
            </w:r>
            <w:r w:rsidR="00185390">
              <w:t xml:space="preserve">] </w:t>
            </w:r>
            <w:r w:rsidR="006B647B">
              <w:t>require the submission to ONR of nuclear material accountancy and control plans (ACPs) and basic technical characteristics (BTC) submissions</w:t>
            </w:r>
            <w:r w:rsidR="00446DEE">
              <w:t xml:space="preserve"> to demonstrate their compliance with legal requirements for safeguarding</w:t>
            </w:r>
            <w:r w:rsidR="006B647B">
              <w:t>.</w:t>
            </w:r>
            <w:r w:rsidR="00446DEE">
              <w:t xml:space="preserve"> ONR guidance is </w:t>
            </w:r>
            <w:r w:rsidR="00AC72A8">
              <w:t>available in the TAGs</w:t>
            </w:r>
            <w:r w:rsidR="00185390">
              <w:t xml:space="preserve"> [</w:t>
            </w:r>
            <w:r w:rsidR="004D3DEC">
              <w:t>1</w:t>
            </w:r>
            <w:r w:rsidR="0004245E">
              <w:t>3</w:t>
            </w:r>
            <w:r w:rsidR="00185390">
              <w:t>]</w:t>
            </w:r>
            <w:r w:rsidR="00AC72A8">
              <w:t>.</w:t>
            </w:r>
          </w:p>
          <w:p w14:paraId="3CEB2190" w14:textId="77777777" w:rsidR="002C0E4C" w:rsidRDefault="002C0E4C" w:rsidP="0048438C">
            <w:pPr>
              <w:spacing w:before="60" w:after="60"/>
            </w:pPr>
          </w:p>
          <w:p w14:paraId="574838EF" w14:textId="32DC9F88" w:rsidR="00D55DE9" w:rsidRDefault="00D969F0" w:rsidP="0048438C">
            <w:pPr>
              <w:spacing w:before="60" w:after="60"/>
            </w:pPr>
            <w:r>
              <w:t>A</w:t>
            </w:r>
            <w:r w:rsidR="00620F35" w:rsidRPr="00620F35">
              <w:t xml:space="preserve">n environment case is used to demonstrate that the Environment Agency radioactive substances regulation (RSR): objective and principles </w:t>
            </w:r>
            <w:r w:rsidR="00EF5D13">
              <w:t>[</w:t>
            </w:r>
            <w:r w:rsidR="004D3DEC">
              <w:t>1</w:t>
            </w:r>
            <w:r w:rsidR="0004245E">
              <w:t>5</w:t>
            </w:r>
            <w:r w:rsidR="00EF5D13">
              <w:t xml:space="preserve">] </w:t>
            </w:r>
            <w:r w:rsidR="00620F35" w:rsidRPr="00620F35">
              <w:t>have been taken into account.</w:t>
            </w:r>
          </w:p>
          <w:p w14:paraId="05C562A8" w14:textId="77777777" w:rsidR="00FB59B9" w:rsidRDefault="00FB59B9" w:rsidP="0048438C">
            <w:pPr>
              <w:spacing w:before="60" w:after="60"/>
            </w:pPr>
          </w:p>
          <w:p w14:paraId="038E671F" w14:textId="394EF21D" w:rsidR="00FB59B9" w:rsidRDefault="00FB59B9" w:rsidP="0048438C">
            <w:pPr>
              <w:spacing w:before="60" w:after="60"/>
            </w:pPr>
            <w:r>
              <w:t xml:space="preserve">During GDA, the RP is expected to produced generic versions of these </w:t>
            </w:r>
            <w:r w:rsidR="0051038C">
              <w:t>cases, which will be used by a future licensee to inform their site-specific cases.</w:t>
            </w:r>
            <w:r w:rsidR="00A83FA2">
              <w:t xml:space="preserve"> This is detailed in </w:t>
            </w:r>
            <w:r w:rsidR="00A83FA2" w:rsidRPr="00A83FA2">
              <w:t>the Regulators “Guidance to Requesting Parties”</w:t>
            </w:r>
            <w:r w:rsidR="00EF5D13">
              <w:t xml:space="preserve"> [</w:t>
            </w:r>
            <w:r w:rsidR="004D3DEC">
              <w:t>1</w:t>
            </w:r>
            <w:r w:rsidR="0004245E">
              <w:t>6</w:t>
            </w:r>
            <w:r w:rsidR="00EF5D13">
              <w:t>] [</w:t>
            </w:r>
            <w:r w:rsidR="004D3DEC">
              <w:t>1</w:t>
            </w:r>
            <w:r w:rsidR="0004245E">
              <w:t>7</w:t>
            </w:r>
            <w:r w:rsidR="00EF5D13">
              <w:t>]</w:t>
            </w:r>
            <w:r w:rsidR="00A83FA2">
              <w:t>.</w:t>
            </w:r>
          </w:p>
          <w:p w14:paraId="6B300EE7" w14:textId="77777777" w:rsidR="0051038C" w:rsidRDefault="0051038C" w:rsidP="0048438C">
            <w:pPr>
              <w:spacing w:before="60" w:after="60"/>
              <w:rPr>
                <w:b/>
                <w:szCs w:val="24"/>
                <w:u w:val="single"/>
              </w:rPr>
            </w:pPr>
          </w:p>
          <w:p w14:paraId="268B2B85" w14:textId="136A2C3E" w:rsidR="00CC67B6" w:rsidRDefault="00F65462" w:rsidP="0048438C">
            <w:pPr>
              <w:spacing w:before="60" w:after="60"/>
              <w:rPr>
                <w:b/>
                <w:szCs w:val="24"/>
                <w:u w:val="single"/>
              </w:rPr>
            </w:pPr>
            <w:r w:rsidRPr="0048438C">
              <w:rPr>
                <w:b/>
                <w:szCs w:val="24"/>
                <w:u w:val="single"/>
              </w:rPr>
              <w:t>Regulatory Expectations</w:t>
            </w:r>
          </w:p>
          <w:p w14:paraId="5DF2CA3F" w14:textId="4F76D999" w:rsidR="002A7969" w:rsidRDefault="006D32DC" w:rsidP="002A7969">
            <w:pPr>
              <w:spacing w:before="60" w:after="60"/>
            </w:pPr>
            <w:r>
              <w:t xml:space="preserve">There are numerous legal requirements which </w:t>
            </w:r>
            <w:r w:rsidR="00D77FC0">
              <w:t xml:space="preserve">mean that an operator of a nuclear power plant must justify that their facility is safe, secure and </w:t>
            </w:r>
            <w:r w:rsidR="000336E6">
              <w:t xml:space="preserve">minimises </w:t>
            </w:r>
            <w:r w:rsidR="00D77FC0">
              <w:t>environmental</w:t>
            </w:r>
            <w:r w:rsidR="000336E6">
              <w:t xml:space="preserve"> impacts. </w:t>
            </w:r>
            <w:r w:rsidR="002A7969">
              <w:t xml:space="preserve">For GDA, the </w:t>
            </w:r>
            <w:r w:rsidR="00B847C0">
              <w:t xml:space="preserve">Regulators </w:t>
            </w:r>
            <w:r w:rsidR="002A7969">
              <w:t xml:space="preserve">“Guidance to Requesting Parties” requires the production and submission of relevant aspects of the </w:t>
            </w:r>
            <w:r w:rsidR="000C035C">
              <w:t xml:space="preserve">environment, </w:t>
            </w:r>
            <w:r w:rsidR="002A7969">
              <w:t>safety</w:t>
            </w:r>
            <w:r w:rsidR="000C035C">
              <w:t>, security and safeguards</w:t>
            </w:r>
            <w:r w:rsidR="002A7969">
              <w:t xml:space="preserve"> case</w:t>
            </w:r>
            <w:r w:rsidR="000C035C">
              <w:t>s</w:t>
            </w:r>
            <w:r w:rsidR="002A7969">
              <w:t xml:space="preserve"> for the </w:t>
            </w:r>
            <w:r w:rsidR="00B847C0">
              <w:t xml:space="preserve">generic </w:t>
            </w:r>
            <w:r w:rsidR="002A7969">
              <w:t xml:space="preserve">design undertaking the GDA, as this forms the basis for </w:t>
            </w:r>
            <w:r w:rsidR="000C035C">
              <w:t>the Regulators</w:t>
            </w:r>
            <w:r w:rsidR="002A7969">
              <w:t xml:space="preserve"> assessment</w:t>
            </w:r>
            <w:r w:rsidR="00B847C0">
              <w:t>s</w:t>
            </w:r>
            <w:r w:rsidR="002A7969">
              <w:t xml:space="preserve">. </w:t>
            </w:r>
            <w:r w:rsidR="008B4F65">
              <w:t>It is important that t</w:t>
            </w:r>
            <w:r w:rsidR="00B847C0">
              <w:t>hese cases</w:t>
            </w:r>
            <w:r w:rsidR="002A7969">
              <w:t xml:space="preserve"> should be complete, coherent, cogent and consistent</w:t>
            </w:r>
            <w:r w:rsidR="008B4F65">
              <w:t xml:space="preserve"> – recognising that they will be refined and developed throughout </w:t>
            </w:r>
            <w:r w:rsidR="00D43CF5">
              <w:t xml:space="preserve">the </w:t>
            </w:r>
            <w:r w:rsidR="008B4F65">
              <w:t>GDA.</w:t>
            </w:r>
            <w:r w:rsidR="00D43CF5">
              <w:t xml:space="preserve"> </w:t>
            </w:r>
            <w:r w:rsidR="002A7969">
              <w:t xml:space="preserve"> </w:t>
            </w:r>
          </w:p>
          <w:p w14:paraId="4645C5C0" w14:textId="77777777" w:rsidR="002A7969" w:rsidRDefault="002A7969" w:rsidP="002A7969">
            <w:pPr>
              <w:spacing w:before="60" w:after="60"/>
            </w:pPr>
          </w:p>
          <w:p w14:paraId="584B4F6E" w14:textId="4E9E953B" w:rsidR="000977CC" w:rsidRDefault="002A7969" w:rsidP="0048438C">
            <w:pPr>
              <w:spacing w:before="60" w:after="60"/>
              <w:rPr>
                <w:szCs w:val="24"/>
              </w:rPr>
            </w:pPr>
            <w:r>
              <w:t xml:space="preserve">Production of </w:t>
            </w:r>
            <w:r w:rsidR="000A7542">
              <w:t>such</w:t>
            </w:r>
            <w:r>
              <w:t xml:space="preserve"> case</w:t>
            </w:r>
            <w:r w:rsidR="00171AA2">
              <w:t>s</w:t>
            </w:r>
            <w:r>
              <w:t xml:space="preserve"> can be complex and time consuming. It therefore requires forethought to be given right through</w:t>
            </w:r>
            <w:r w:rsidR="00171AA2">
              <w:t>out</w:t>
            </w:r>
            <w:r>
              <w:t xml:space="preserve"> the production and development to ensure that the right people are involved at the right time, with a clear vision for what the</w:t>
            </w:r>
            <w:r w:rsidR="000A7542">
              <w:t xml:space="preserve">y are </w:t>
            </w:r>
            <w:r>
              <w:t>trying to achieve</w:t>
            </w:r>
            <w:r w:rsidR="000A7542">
              <w:t xml:space="preserve"> and demonstrate</w:t>
            </w:r>
            <w:r w:rsidR="00951EE7">
              <w:t xml:space="preserve">, and </w:t>
            </w:r>
            <w:r w:rsidR="00DD6372">
              <w:t xml:space="preserve">for </w:t>
            </w:r>
            <w:r w:rsidR="00951EE7">
              <w:t>how this will be documented and presented</w:t>
            </w:r>
            <w:r>
              <w:t>.</w:t>
            </w:r>
            <w:r w:rsidR="00E15C77">
              <w:t xml:space="preserve"> The </w:t>
            </w:r>
            <w:r w:rsidR="00DD6372">
              <w:t xml:space="preserve">organisational arrangements that provide </w:t>
            </w:r>
            <w:r w:rsidR="00E15C77">
              <w:t xml:space="preserve">control and oversight also needs to be suitably </w:t>
            </w:r>
            <w:r w:rsidR="00E15C77">
              <w:lastRenderedPageBreak/>
              <w:t>rigorous</w:t>
            </w:r>
            <w:r w:rsidR="00DD6372">
              <w:t xml:space="preserve"> and embedded within the RP. </w:t>
            </w:r>
            <w:r w:rsidR="00BC49A6">
              <w:rPr>
                <w:szCs w:val="24"/>
              </w:rPr>
              <w:t>For Rolls-Royce SMR Ltd, who are also developing the design in parallel with their E3S case, th</w:t>
            </w:r>
            <w:r w:rsidR="00171AA2">
              <w:rPr>
                <w:szCs w:val="24"/>
              </w:rPr>
              <w:t xml:space="preserve">ere is the need to ensure that </w:t>
            </w:r>
            <w:r w:rsidR="00DD6372">
              <w:rPr>
                <w:szCs w:val="24"/>
              </w:rPr>
              <w:t xml:space="preserve">design and E3S activities are </w:t>
            </w:r>
            <w:r w:rsidR="000C3876">
              <w:rPr>
                <w:szCs w:val="24"/>
              </w:rPr>
              <w:t xml:space="preserve">properly </w:t>
            </w:r>
            <w:r w:rsidR="00DD6372">
              <w:rPr>
                <w:szCs w:val="24"/>
              </w:rPr>
              <w:t>coordinated</w:t>
            </w:r>
            <w:r w:rsidR="00292358">
              <w:rPr>
                <w:szCs w:val="24"/>
              </w:rPr>
              <w:t xml:space="preserve"> including across the various </w:t>
            </w:r>
            <w:r w:rsidR="00B94D16">
              <w:rPr>
                <w:szCs w:val="24"/>
              </w:rPr>
              <w:t xml:space="preserve">E3S </w:t>
            </w:r>
            <w:r w:rsidR="00292358">
              <w:rPr>
                <w:szCs w:val="24"/>
              </w:rPr>
              <w:t>purposes</w:t>
            </w:r>
            <w:r w:rsidR="00A57466">
              <w:rPr>
                <w:szCs w:val="24"/>
              </w:rPr>
              <w:t>.</w:t>
            </w:r>
          </w:p>
          <w:p w14:paraId="62A56583" w14:textId="77777777" w:rsidR="00A57466" w:rsidRDefault="00A57466" w:rsidP="0048438C">
            <w:pPr>
              <w:spacing w:before="60" w:after="60"/>
              <w:rPr>
                <w:szCs w:val="24"/>
              </w:rPr>
            </w:pPr>
          </w:p>
          <w:p w14:paraId="3701B40D" w14:textId="5A1ADE90" w:rsidR="00BA67E3" w:rsidRPr="00BA67E3" w:rsidRDefault="00BA67E3" w:rsidP="00BA67E3">
            <w:pPr>
              <w:spacing w:before="60" w:after="60"/>
              <w:rPr>
                <w:szCs w:val="24"/>
              </w:rPr>
            </w:pPr>
            <w:r>
              <w:rPr>
                <w:szCs w:val="24"/>
              </w:rPr>
              <w:t xml:space="preserve">Our </w:t>
            </w:r>
            <w:r w:rsidRPr="00BA67E3">
              <w:rPr>
                <w:szCs w:val="24"/>
              </w:rPr>
              <w:t>main</w:t>
            </w:r>
            <w:r>
              <w:rPr>
                <w:szCs w:val="24"/>
              </w:rPr>
              <w:t xml:space="preserve"> </w:t>
            </w:r>
            <w:r w:rsidRPr="00BA67E3">
              <w:rPr>
                <w:szCs w:val="24"/>
              </w:rPr>
              <w:t xml:space="preserve">concerns over the development of the </w:t>
            </w:r>
            <w:r>
              <w:rPr>
                <w:szCs w:val="24"/>
              </w:rPr>
              <w:t>E3S</w:t>
            </w:r>
            <w:r w:rsidRPr="00BA67E3">
              <w:rPr>
                <w:szCs w:val="24"/>
              </w:rPr>
              <w:t xml:space="preserve"> </w:t>
            </w:r>
            <w:r w:rsidR="000C3876">
              <w:rPr>
                <w:szCs w:val="24"/>
              </w:rPr>
              <w:t xml:space="preserve">case </w:t>
            </w:r>
            <w:r w:rsidRPr="00BA67E3">
              <w:rPr>
                <w:szCs w:val="24"/>
              </w:rPr>
              <w:t xml:space="preserve">for </w:t>
            </w:r>
            <w:r>
              <w:rPr>
                <w:szCs w:val="24"/>
              </w:rPr>
              <w:t>the generic Rolls-Royce SMR design</w:t>
            </w:r>
            <w:r w:rsidRPr="00BA67E3">
              <w:rPr>
                <w:szCs w:val="24"/>
              </w:rPr>
              <w:t xml:space="preserve"> can be summarised as:</w:t>
            </w:r>
          </w:p>
          <w:p w14:paraId="5C5BC025" w14:textId="729ED0A4" w:rsidR="00BA67E3" w:rsidRPr="000C3876" w:rsidRDefault="00BA67E3" w:rsidP="000C3876">
            <w:pPr>
              <w:pStyle w:val="ListParagraph"/>
              <w:numPr>
                <w:ilvl w:val="0"/>
                <w:numId w:val="25"/>
              </w:numPr>
              <w:spacing w:before="60" w:after="60"/>
              <w:rPr>
                <w:szCs w:val="24"/>
              </w:rPr>
            </w:pPr>
            <w:r w:rsidRPr="000C3876">
              <w:rPr>
                <w:szCs w:val="24"/>
              </w:rPr>
              <w:t xml:space="preserve">The status of the planning and arrangements to develop the </w:t>
            </w:r>
            <w:r w:rsidR="00D51DB0">
              <w:rPr>
                <w:szCs w:val="24"/>
              </w:rPr>
              <w:t>E3S</w:t>
            </w:r>
            <w:r w:rsidRPr="000C3876">
              <w:rPr>
                <w:szCs w:val="24"/>
              </w:rPr>
              <w:t xml:space="preserve"> </w:t>
            </w:r>
            <w:r w:rsidR="00B94D16">
              <w:rPr>
                <w:szCs w:val="24"/>
              </w:rPr>
              <w:t xml:space="preserve">case </w:t>
            </w:r>
            <w:r w:rsidR="00BE3547">
              <w:rPr>
                <w:szCs w:val="24"/>
              </w:rPr>
              <w:t xml:space="preserve">are not fully mature and </w:t>
            </w:r>
            <w:r w:rsidRPr="000C3876">
              <w:rPr>
                <w:szCs w:val="24"/>
              </w:rPr>
              <w:t xml:space="preserve">do not </w:t>
            </w:r>
            <w:r w:rsidR="00BE3547">
              <w:rPr>
                <w:szCs w:val="24"/>
              </w:rPr>
              <w:t>yet</w:t>
            </w:r>
            <w:r w:rsidRPr="000C3876">
              <w:rPr>
                <w:szCs w:val="24"/>
              </w:rPr>
              <w:t xml:space="preserve"> align with </w:t>
            </w:r>
            <w:r w:rsidR="008E6CE5">
              <w:rPr>
                <w:szCs w:val="24"/>
              </w:rPr>
              <w:t>regulatory</w:t>
            </w:r>
            <w:r w:rsidRPr="000C3876">
              <w:rPr>
                <w:szCs w:val="24"/>
              </w:rPr>
              <w:t xml:space="preserve"> expectation</w:t>
            </w:r>
            <w:r w:rsidR="008E6CE5">
              <w:rPr>
                <w:szCs w:val="24"/>
              </w:rPr>
              <w:t>s</w:t>
            </w:r>
            <w:r w:rsidRPr="000C3876">
              <w:rPr>
                <w:szCs w:val="24"/>
              </w:rPr>
              <w:t xml:space="preserve"> for </w:t>
            </w:r>
            <w:r w:rsidR="00B94D16">
              <w:rPr>
                <w:szCs w:val="24"/>
              </w:rPr>
              <w:t xml:space="preserve">successful </w:t>
            </w:r>
            <w:r w:rsidRPr="000C3876">
              <w:rPr>
                <w:szCs w:val="24"/>
              </w:rPr>
              <w:t>progress</w:t>
            </w:r>
            <w:r w:rsidR="00B94D16">
              <w:rPr>
                <w:szCs w:val="24"/>
              </w:rPr>
              <w:t xml:space="preserve">ion and completion of </w:t>
            </w:r>
            <w:r w:rsidRPr="000C3876">
              <w:rPr>
                <w:szCs w:val="24"/>
              </w:rPr>
              <w:t xml:space="preserve">GDA; </w:t>
            </w:r>
          </w:p>
          <w:p w14:paraId="7177E4EE" w14:textId="31C32842" w:rsidR="00133420" w:rsidRDefault="00BA67E3" w:rsidP="00133420">
            <w:pPr>
              <w:pStyle w:val="ListParagraph"/>
              <w:numPr>
                <w:ilvl w:val="0"/>
                <w:numId w:val="25"/>
              </w:numPr>
              <w:spacing w:before="60" w:after="60"/>
              <w:rPr>
                <w:szCs w:val="24"/>
              </w:rPr>
            </w:pPr>
            <w:r w:rsidRPr="000C3876">
              <w:rPr>
                <w:szCs w:val="24"/>
              </w:rPr>
              <w:t xml:space="preserve">The overall objectives, strategy and scope of the </w:t>
            </w:r>
            <w:r w:rsidR="007A1B32">
              <w:rPr>
                <w:szCs w:val="24"/>
              </w:rPr>
              <w:t>E3S case</w:t>
            </w:r>
            <w:r w:rsidRPr="000C3876">
              <w:rPr>
                <w:szCs w:val="24"/>
              </w:rPr>
              <w:t xml:space="preserve"> ha</w:t>
            </w:r>
            <w:r w:rsidR="00F14BA3">
              <w:rPr>
                <w:szCs w:val="24"/>
              </w:rPr>
              <w:t>s</w:t>
            </w:r>
            <w:r w:rsidRPr="000C3876">
              <w:rPr>
                <w:szCs w:val="24"/>
              </w:rPr>
              <w:t xml:space="preserve"> not been </w:t>
            </w:r>
            <w:r w:rsidR="00F14BA3">
              <w:rPr>
                <w:szCs w:val="24"/>
              </w:rPr>
              <w:t>fully</w:t>
            </w:r>
            <w:r w:rsidRPr="000C3876">
              <w:rPr>
                <w:szCs w:val="24"/>
              </w:rPr>
              <w:t xml:space="preserve"> </w:t>
            </w:r>
            <w:r w:rsidR="00F14BA3">
              <w:rPr>
                <w:szCs w:val="24"/>
              </w:rPr>
              <w:t xml:space="preserve">documented, and therefore it is not possible to </w:t>
            </w:r>
            <w:r w:rsidRPr="000C3876">
              <w:rPr>
                <w:szCs w:val="24"/>
              </w:rPr>
              <w:t>demonstrate</w:t>
            </w:r>
            <w:r w:rsidR="00F14BA3">
              <w:rPr>
                <w:szCs w:val="24"/>
              </w:rPr>
              <w:t xml:space="preserve"> their </w:t>
            </w:r>
            <w:r w:rsidR="00DA6782">
              <w:rPr>
                <w:szCs w:val="24"/>
              </w:rPr>
              <w:t xml:space="preserve">completeness and </w:t>
            </w:r>
            <w:r w:rsidR="00F14BA3">
              <w:rPr>
                <w:szCs w:val="24"/>
              </w:rPr>
              <w:t>adequacy</w:t>
            </w:r>
            <w:r w:rsidRPr="000C3876">
              <w:rPr>
                <w:szCs w:val="24"/>
              </w:rPr>
              <w:t>;</w:t>
            </w:r>
          </w:p>
          <w:p w14:paraId="5B9FB3DF" w14:textId="3C336473" w:rsidR="00133420" w:rsidRPr="00133420" w:rsidRDefault="00133420" w:rsidP="00133420">
            <w:pPr>
              <w:pStyle w:val="ListParagraph"/>
              <w:numPr>
                <w:ilvl w:val="0"/>
                <w:numId w:val="25"/>
              </w:numPr>
              <w:spacing w:before="60" w:after="60"/>
              <w:rPr>
                <w:szCs w:val="24"/>
              </w:rPr>
            </w:pPr>
            <w:r>
              <w:rPr>
                <w:szCs w:val="24"/>
              </w:rPr>
              <w:t xml:space="preserve">It is not clear </w:t>
            </w:r>
            <w:r w:rsidR="00F14BA3">
              <w:rPr>
                <w:szCs w:val="24"/>
              </w:rPr>
              <w:t>whether</w:t>
            </w:r>
            <w:r w:rsidR="00CD03DE">
              <w:rPr>
                <w:szCs w:val="24"/>
              </w:rPr>
              <w:t xml:space="preserve"> the current gaps</w:t>
            </w:r>
            <w:r w:rsidR="0028107D">
              <w:rPr>
                <w:szCs w:val="24"/>
              </w:rPr>
              <w:t xml:space="preserve"> in the </w:t>
            </w:r>
            <w:r w:rsidR="00745C0B">
              <w:rPr>
                <w:szCs w:val="24"/>
              </w:rPr>
              <w:t xml:space="preserve">E3S case, including in the </w:t>
            </w:r>
            <w:r w:rsidR="00DA6782">
              <w:rPr>
                <w:szCs w:val="24"/>
              </w:rPr>
              <w:t xml:space="preserve">underlying </w:t>
            </w:r>
            <w:r w:rsidR="0028107D">
              <w:rPr>
                <w:szCs w:val="24"/>
              </w:rPr>
              <w:t>CAE structure</w:t>
            </w:r>
            <w:r w:rsidR="00745C0B">
              <w:rPr>
                <w:szCs w:val="24"/>
              </w:rPr>
              <w:t xml:space="preserve">, </w:t>
            </w:r>
            <w:r w:rsidR="0028107D">
              <w:rPr>
                <w:szCs w:val="24"/>
              </w:rPr>
              <w:t>have been identified and therefore</w:t>
            </w:r>
            <w:r w:rsidR="00CD03DE">
              <w:rPr>
                <w:szCs w:val="24"/>
              </w:rPr>
              <w:t xml:space="preserve"> </w:t>
            </w:r>
            <w:r>
              <w:rPr>
                <w:szCs w:val="24"/>
              </w:rPr>
              <w:t xml:space="preserve">what further work </w:t>
            </w:r>
            <w:r w:rsidR="00CD03DE">
              <w:rPr>
                <w:szCs w:val="24"/>
              </w:rPr>
              <w:t xml:space="preserve">needs to </w:t>
            </w:r>
            <w:r>
              <w:rPr>
                <w:szCs w:val="24"/>
              </w:rPr>
              <w:t>be undertaken</w:t>
            </w:r>
            <w:r w:rsidR="0028107D">
              <w:rPr>
                <w:szCs w:val="24"/>
              </w:rPr>
              <w:t xml:space="preserve"> to resolve them;</w:t>
            </w:r>
          </w:p>
          <w:p w14:paraId="19A8A1F8" w14:textId="7A8F9623" w:rsidR="00BA67E3" w:rsidRPr="000C3876" w:rsidRDefault="00BA67E3" w:rsidP="000C3876">
            <w:pPr>
              <w:pStyle w:val="ListParagraph"/>
              <w:numPr>
                <w:ilvl w:val="0"/>
                <w:numId w:val="25"/>
              </w:numPr>
              <w:spacing w:before="60" w:after="60"/>
              <w:rPr>
                <w:szCs w:val="24"/>
              </w:rPr>
            </w:pPr>
            <w:r w:rsidRPr="000C3876">
              <w:rPr>
                <w:szCs w:val="24"/>
              </w:rPr>
              <w:t xml:space="preserve">It is unclear how the </w:t>
            </w:r>
            <w:r w:rsidR="00E92C30">
              <w:rPr>
                <w:szCs w:val="24"/>
              </w:rPr>
              <w:t>E3S</w:t>
            </w:r>
            <w:r w:rsidRPr="000C3876">
              <w:rPr>
                <w:szCs w:val="24"/>
              </w:rPr>
              <w:t xml:space="preserve"> case will be managed to ensure </w:t>
            </w:r>
            <w:r w:rsidR="005062AD">
              <w:rPr>
                <w:szCs w:val="24"/>
              </w:rPr>
              <w:t xml:space="preserve">it </w:t>
            </w:r>
            <w:r w:rsidR="005B2A8D">
              <w:rPr>
                <w:szCs w:val="24"/>
              </w:rPr>
              <w:t>remains</w:t>
            </w:r>
            <w:r w:rsidR="005062AD">
              <w:rPr>
                <w:szCs w:val="24"/>
              </w:rPr>
              <w:t xml:space="preserve"> integrated with the </w:t>
            </w:r>
            <w:r w:rsidR="005B2A8D">
              <w:rPr>
                <w:szCs w:val="24"/>
              </w:rPr>
              <w:t xml:space="preserve">development of the </w:t>
            </w:r>
            <w:r w:rsidR="005062AD">
              <w:rPr>
                <w:szCs w:val="24"/>
              </w:rPr>
              <w:t>design</w:t>
            </w:r>
            <w:r w:rsidR="001C3B01">
              <w:rPr>
                <w:szCs w:val="24"/>
              </w:rPr>
              <w:t xml:space="preserve"> and other key milestones</w:t>
            </w:r>
            <w:r w:rsidR="005B2A8D">
              <w:rPr>
                <w:szCs w:val="24"/>
              </w:rPr>
              <w:t>;</w:t>
            </w:r>
            <w:r w:rsidR="006E215D">
              <w:rPr>
                <w:szCs w:val="24"/>
              </w:rPr>
              <w:t xml:space="preserve"> and</w:t>
            </w:r>
          </w:p>
          <w:p w14:paraId="1FA5E99A" w14:textId="3FBED60F" w:rsidR="00BA67E3" w:rsidRPr="000C3876" w:rsidRDefault="00BA67E3" w:rsidP="000C3876">
            <w:pPr>
              <w:pStyle w:val="ListParagraph"/>
              <w:numPr>
                <w:ilvl w:val="0"/>
                <w:numId w:val="25"/>
              </w:numPr>
              <w:spacing w:before="60" w:after="60"/>
              <w:rPr>
                <w:szCs w:val="24"/>
              </w:rPr>
            </w:pPr>
            <w:r w:rsidRPr="000C3876">
              <w:rPr>
                <w:szCs w:val="24"/>
              </w:rPr>
              <w:t>The</w:t>
            </w:r>
            <w:r w:rsidR="005B2A8D">
              <w:rPr>
                <w:szCs w:val="24"/>
              </w:rPr>
              <w:t xml:space="preserve"> organisational arrangements to control </w:t>
            </w:r>
            <w:r w:rsidR="001F39F3">
              <w:rPr>
                <w:szCs w:val="24"/>
              </w:rPr>
              <w:t>the development</w:t>
            </w:r>
            <w:r w:rsidR="00A25670">
              <w:rPr>
                <w:szCs w:val="24"/>
              </w:rPr>
              <w:t xml:space="preserve"> have not yet been fully embedded in the RP </w:t>
            </w:r>
            <w:r w:rsidR="006E215D">
              <w:rPr>
                <w:szCs w:val="24"/>
              </w:rPr>
              <w:t xml:space="preserve">and do </w:t>
            </w:r>
            <w:r w:rsidRPr="000C3876">
              <w:rPr>
                <w:szCs w:val="24"/>
              </w:rPr>
              <w:t>no</w:t>
            </w:r>
            <w:r w:rsidR="0020739F">
              <w:rPr>
                <w:szCs w:val="24"/>
              </w:rPr>
              <w:t>t</w:t>
            </w:r>
            <w:r w:rsidRPr="000C3876">
              <w:rPr>
                <w:szCs w:val="24"/>
              </w:rPr>
              <w:t xml:space="preserve"> </w:t>
            </w:r>
            <w:r w:rsidR="006E215D">
              <w:rPr>
                <w:szCs w:val="24"/>
              </w:rPr>
              <w:t>provide</w:t>
            </w:r>
            <w:r w:rsidRPr="000C3876">
              <w:rPr>
                <w:szCs w:val="24"/>
              </w:rPr>
              <w:t xml:space="preserve"> sufficient organisational control over the production and development of the </w:t>
            </w:r>
            <w:r w:rsidR="006E215D">
              <w:rPr>
                <w:szCs w:val="24"/>
              </w:rPr>
              <w:t>E3S</w:t>
            </w:r>
            <w:r w:rsidRPr="000C3876">
              <w:rPr>
                <w:szCs w:val="24"/>
              </w:rPr>
              <w:t xml:space="preserve"> case</w:t>
            </w:r>
            <w:r w:rsidR="006E215D">
              <w:rPr>
                <w:szCs w:val="24"/>
              </w:rPr>
              <w:t>.</w:t>
            </w:r>
          </w:p>
          <w:p w14:paraId="6C99741E" w14:textId="77777777" w:rsidR="002862E7" w:rsidRDefault="002862E7" w:rsidP="00BA67E3">
            <w:pPr>
              <w:spacing w:before="60" w:after="60"/>
              <w:rPr>
                <w:szCs w:val="24"/>
              </w:rPr>
            </w:pPr>
          </w:p>
          <w:p w14:paraId="35C9A4E8" w14:textId="0B8B1C14" w:rsidR="00A57466" w:rsidRDefault="00BA67E3" w:rsidP="0048438C">
            <w:pPr>
              <w:spacing w:before="60" w:after="60"/>
              <w:rPr>
                <w:szCs w:val="24"/>
              </w:rPr>
            </w:pPr>
            <w:r w:rsidRPr="00BA67E3">
              <w:rPr>
                <w:szCs w:val="24"/>
              </w:rPr>
              <w:t xml:space="preserve">In essence, </w:t>
            </w:r>
            <w:r w:rsidR="001C3B01">
              <w:rPr>
                <w:szCs w:val="24"/>
              </w:rPr>
              <w:t>we expect a</w:t>
            </w:r>
            <w:r w:rsidRPr="00BA67E3">
              <w:rPr>
                <w:szCs w:val="24"/>
              </w:rPr>
              <w:t xml:space="preserve"> more rigorous and considered level of planning and</w:t>
            </w:r>
            <w:r w:rsidR="002862E7">
              <w:rPr>
                <w:szCs w:val="24"/>
              </w:rPr>
              <w:t xml:space="preserve"> </w:t>
            </w:r>
            <w:r w:rsidRPr="00BA67E3">
              <w:rPr>
                <w:szCs w:val="24"/>
              </w:rPr>
              <w:t xml:space="preserve">control over development of the </w:t>
            </w:r>
            <w:r w:rsidR="001C3B01">
              <w:rPr>
                <w:szCs w:val="24"/>
              </w:rPr>
              <w:t>E3S</w:t>
            </w:r>
            <w:r w:rsidRPr="00BA67E3">
              <w:rPr>
                <w:szCs w:val="24"/>
              </w:rPr>
              <w:t xml:space="preserve"> case moving forward</w:t>
            </w:r>
            <w:r w:rsidR="001C3B01">
              <w:rPr>
                <w:szCs w:val="24"/>
              </w:rPr>
              <w:t xml:space="preserve">, to </w:t>
            </w:r>
            <w:r w:rsidR="00F959BA">
              <w:rPr>
                <w:szCs w:val="24"/>
              </w:rPr>
              <w:t xml:space="preserve">enable </w:t>
            </w:r>
            <w:r w:rsidR="00F2774B">
              <w:rPr>
                <w:szCs w:val="24"/>
              </w:rPr>
              <w:t>a more</w:t>
            </w:r>
            <w:r w:rsidR="00F959BA">
              <w:rPr>
                <w:szCs w:val="24"/>
              </w:rPr>
              <w:t xml:space="preserve"> </w:t>
            </w:r>
            <w:r w:rsidR="00E81E4D">
              <w:rPr>
                <w:szCs w:val="24"/>
              </w:rPr>
              <w:t>proactive rather than reactive</w:t>
            </w:r>
            <w:r w:rsidR="00F2774B">
              <w:rPr>
                <w:szCs w:val="24"/>
              </w:rPr>
              <w:t xml:space="preserve"> approach</w:t>
            </w:r>
            <w:r w:rsidR="00E81E4D">
              <w:rPr>
                <w:szCs w:val="24"/>
              </w:rPr>
              <w:t>.</w:t>
            </w:r>
            <w:r w:rsidRPr="00BA67E3">
              <w:rPr>
                <w:szCs w:val="24"/>
              </w:rPr>
              <w:t xml:space="preserve"> </w:t>
            </w:r>
            <w:r w:rsidR="003C1B61">
              <w:rPr>
                <w:szCs w:val="24"/>
              </w:rPr>
              <w:t>T</w:t>
            </w:r>
            <w:r w:rsidR="00B32131">
              <w:rPr>
                <w:szCs w:val="24"/>
              </w:rPr>
              <w:t xml:space="preserve">here are two main areas where we expect further work to be undertaken to strengthen the RP’s </w:t>
            </w:r>
            <w:r w:rsidR="00486BE3">
              <w:rPr>
                <w:szCs w:val="24"/>
              </w:rPr>
              <w:t>activities:</w:t>
            </w:r>
          </w:p>
          <w:p w14:paraId="4EA2950B" w14:textId="33E38E67" w:rsidR="00486BE3" w:rsidRPr="00486BE3" w:rsidRDefault="00486BE3" w:rsidP="00486BE3">
            <w:pPr>
              <w:numPr>
                <w:ilvl w:val="0"/>
                <w:numId w:val="29"/>
              </w:numPr>
              <w:spacing w:before="60" w:after="60"/>
              <w:rPr>
                <w:szCs w:val="24"/>
              </w:rPr>
            </w:pPr>
            <w:r>
              <w:rPr>
                <w:szCs w:val="24"/>
              </w:rPr>
              <w:t>Document</w:t>
            </w:r>
            <w:r w:rsidR="00BD005A">
              <w:rPr>
                <w:szCs w:val="24"/>
              </w:rPr>
              <w:t>ing</w:t>
            </w:r>
            <w:r>
              <w:rPr>
                <w:szCs w:val="24"/>
              </w:rPr>
              <w:t xml:space="preserve"> the</w:t>
            </w:r>
            <w:r w:rsidRPr="00486BE3">
              <w:rPr>
                <w:szCs w:val="24"/>
              </w:rPr>
              <w:t xml:space="preserve"> </w:t>
            </w:r>
            <w:r w:rsidR="00BD005A">
              <w:rPr>
                <w:szCs w:val="24"/>
              </w:rPr>
              <w:t xml:space="preserve">development of </w:t>
            </w:r>
            <w:r w:rsidRPr="00486BE3">
              <w:rPr>
                <w:szCs w:val="24"/>
              </w:rPr>
              <w:t>the E3S case</w:t>
            </w:r>
            <w:r w:rsidR="00B65056">
              <w:rPr>
                <w:szCs w:val="24"/>
              </w:rPr>
              <w:t xml:space="preserve"> in a clear an</w:t>
            </w:r>
            <w:r w:rsidR="001B74AB">
              <w:rPr>
                <w:szCs w:val="24"/>
              </w:rPr>
              <w:t>d</w:t>
            </w:r>
            <w:r w:rsidR="00B65056">
              <w:rPr>
                <w:szCs w:val="24"/>
              </w:rPr>
              <w:t xml:space="preserve"> unambiguous manner</w:t>
            </w:r>
            <w:r w:rsidRPr="00486BE3">
              <w:rPr>
                <w:szCs w:val="24"/>
              </w:rPr>
              <w:t xml:space="preserve">. In particular, </w:t>
            </w:r>
            <w:r w:rsidR="00AE0128">
              <w:rPr>
                <w:szCs w:val="24"/>
              </w:rPr>
              <w:t>a</w:t>
            </w:r>
            <w:r w:rsidR="00AE0128" w:rsidRPr="00486BE3">
              <w:rPr>
                <w:szCs w:val="24"/>
              </w:rPr>
              <w:t xml:space="preserve"> </w:t>
            </w:r>
            <w:r w:rsidR="005A2D74">
              <w:rPr>
                <w:szCs w:val="24"/>
              </w:rPr>
              <w:t xml:space="preserve">strategy </w:t>
            </w:r>
            <w:r w:rsidR="00AE0128">
              <w:rPr>
                <w:szCs w:val="24"/>
              </w:rPr>
              <w:t xml:space="preserve">that </w:t>
            </w:r>
            <w:r w:rsidR="00331C56">
              <w:rPr>
                <w:szCs w:val="24"/>
              </w:rPr>
              <w:t xml:space="preserve">includes the </w:t>
            </w:r>
            <w:r w:rsidRPr="00486BE3">
              <w:rPr>
                <w:szCs w:val="24"/>
              </w:rPr>
              <w:t xml:space="preserve">understanding of what still needs to be </w:t>
            </w:r>
            <w:r w:rsidR="007363DA">
              <w:rPr>
                <w:szCs w:val="24"/>
              </w:rPr>
              <w:t>completed</w:t>
            </w:r>
            <w:r w:rsidR="00B65056">
              <w:rPr>
                <w:szCs w:val="24"/>
              </w:rPr>
              <w:t>.</w:t>
            </w:r>
          </w:p>
          <w:p w14:paraId="4E3C9F7C" w14:textId="343ACDC3" w:rsidR="00486BE3" w:rsidRPr="00486BE3" w:rsidRDefault="007363DA" w:rsidP="00486BE3">
            <w:pPr>
              <w:numPr>
                <w:ilvl w:val="0"/>
                <w:numId w:val="29"/>
              </w:numPr>
              <w:spacing w:before="60" w:after="60"/>
              <w:rPr>
                <w:szCs w:val="24"/>
              </w:rPr>
            </w:pPr>
            <w:r>
              <w:rPr>
                <w:szCs w:val="24"/>
              </w:rPr>
              <w:t xml:space="preserve">Embedding the oversight, governance and control arrangements for the </w:t>
            </w:r>
            <w:r w:rsidR="00486BE3" w:rsidRPr="00486BE3">
              <w:rPr>
                <w:szCs w:val="24"/>
              </w:rPr>
              <w:t>E3S case</w:t>
            </w:r>
            <w:r w:rsidR="007064C1">
              <w:rPr>
                <w:szCs w:val="24"/>
              </w:rPr>
              <w:t xml:space="preserve"> including how </w:t>
            </w:r>
            <w:r>
              <w:rPr>
                <w:szCs w:val="24"/>
              </w:rPr>
              <w:t xml:space="preserve">this </w:t>
            </w:r>
            <w:r w:rsidR="00B9170E">
              <w:rPr>
                <w:szCs w:val="24"/>
              </w:rPr>
              <w:t xml:space="preserve">interacts with the </w:t>
            </w:r>
            <w:r w:rsidR="007064C1">
              <w:rPr>
                <w:szCs w:val="24"/>
              </w:rPr>
              <w:t xml:space="preserve">evolving </w:t>
            </w:r>
            <w:r w:rsidR="00B9170E">
              <w:rPr>
                <w:szCs w:val="24"/>
              </w:rPr>
              <w:t>design</w:t>
            </w:r>
            <w:r w:rsidR="00B65056">
              <w:rPr>
                <w:szCs w:val="24"/>
              </w:rPr>
              <w:t>.</w:t>
            </w:r>
          </w:p>
          <w:p w14:paraId="5E3577FF" w14:textId="77777777" w:rsidR="00486BE3" w:rsidRDefault="00486BE3" w:rsidP="0048438C">
            <w:pPr>
              <w:spacing w:before="60" w:after="60"/>
              <w:rPr>
                <w:szCs w:val="24"/>
              </w:rPr>
            </w:pPr>
          </w:p>
          <w:p w14:paraId="7CDEC26F" w14:textId="1574A716" w:rsidR="008848B1" w:rsidRDefault="00BA67E3" w:rsidP="0048438C">
            <w:pPr>
              <w:spacing w:before="60" w:after="60"/>
              <w:rPr>
                <w:szCs w:val="24"/>
              </w:rPr>
            </w:pPr>
            <w:r w:rsidRPr="00BA67E3">
              <w:rPr>
                <w:szCs w:val="24"/>
              </w:rPr>
              <w:t xml:space="preserve">In response to this RO, </w:t>
            </w:r>
            <w:r>
              <w:rPr>
                <w:szCs w:val="24"/>
              </w:rPr>
              <w:t>Rolls-Royce SMR Ltd</w:t>
            </w:r>
            <w:r w:rsidRPr="00BA67E3">
              <w:rPr>
                <w:szCs w:val="24"/>
              </w:rPr>
              <w:t xml:space="preserve"> is requested to provide responses to</w:t>
            </w:r>
            <w:r>
              <w:rPr>
                <w:szCs w:val="24"/>
              </w:rPr>
              <w:t xml:space="preserve"> </w:t>
            </w:r>
            <w:r w:rsidR="000760A0">
              <w:rPr>
                <w:szCs w:val="24"/>
              </w:rPr>
              <w:t>several</w:t>
            </w:r>
            <w:r w:rsidRPr="00BA67E3">
              <w:rPr>
                <w:szCs w:val="24"/>
              </w:rPr>
              <w:t xml:space="preserve"> interrelated </w:t>
            </w:r>
            <w:r>
              <w:rPr>
                <w:szCs w:val="24"/>
              </w:rPr>
              <w:t>A</w:t>
            </w:r>
            <w:r w:rsidRPr="00BA67E3">
              <w:rPr>
                <w:szCs w:val="24"/>
              </w:rPr>
              <w:t xml:space="preserve">ctions </w:t>
            </w:r>
            <w:r>
              <w:rPr>
                <w:szCs w:val="24"/>
              </w:rPr>
              <w:t>related to development of the</w:t>
            </w:r>
            <w:r w:rsidR="007064C1">
              <w:rPr>
                <w:szCs w:val="24"/>
              </w:rPr>
              <w:t>ir</w:t>
            </w:r>
            <w:r>
              <w:rPr>
                <w:szCs w:val="24"/>
              </w:rPr>
              <w:t xml:space="preserve"> E3S case.</w:t>
            </w:r>
            <w:r w:rsidR="00AE0128">
              <w:rPr>
                <w:szCs w:val="24"/>
              </w:rPr>
              <w:t xml:space="preserve"> The response to these Actions may be combined if considered appropriate by the RP.</w:t>
            </w:r>
          </w:p>
          <w:p w14:paraId="62CA3A96" w14:textId="77777777" w:rsidR="00B9170E" w:rsidRPr="0048438C" w:rsidRDefault="00B9170E" w:rsidP="0048438C">
            <w:pPr>
              <w:spacing w:before="60" w:after="60"/>
              <w:rPr>
                <w:szCs w:val="24"/>
              </w:rPr>
            </w:pPr>
          </w:p>
          <w:p w14:paraId="2993E5C2" w14:textId="77777777" w:rsidR="00EC409B" w:rsidRPr="0048438C" w:rsidRDefault="00EC409B" w:rsidP="0048438C">
            <w:pPr>
              <w:spacing w:before="60" w:after="60"/>
              <w:rPr>
                <w:b/>
                <w:szCs w:val="24"/>
                <w:u w:val="single"/>
              </w:rPr>
            </w:pPr>
            <w:r w:rsidRPr="0048438C">
              <w:rPr>
                <w:b/>
                <w:szCs w:val="24"/>
                <w:u w:val="single"/>
              </w:rPr>
              <w:t>References</w:t>
            </w:r>
          </w:p>
          <w:p w14:paraId="12FBBE0E" w14:textId="720CE776" w:rsidR="005B2309" w:rsidRDefault="00EC409B" w:rsidP="002D25F0">
            <w:pPr>
              <w:spacing w:before="60" w:after="60"/>
              <w:rPr>
                <w:szCs w:val="24"/>
              </w:rPr>
            </w:pPr>
            <w:r w:rsidRPr="0048438C">
              <w:rPr>
                <w:szCs w:val="24"/>
              </w:rPr>
              <w:t xml:space="preserve">[1] </w:t>
            </w:r>
            <w:r w:rsidR="002D25F0" w:rsidRPr="002D25F0">
              <w:rPr>
                <w:szCs w:val="24"/>
              </w:rPr>
              <w:t>Generic Design</w:t>
            </w:r>
            <w:r w:rsidR="002D25F0">
              <w:rPr>
                <w:szCs w:val="24"/>
              </w:rPr>
              <w:t xml:space="preserve"> </w:t>
            </w:r>
            <w:r w:rsidR="002D25F0" w:rsidRPr="002D25F0">
              <w:rPr>
                <w:szCs w:val="24"/>
              </w:rPr>
              <w:t>Assessment of the</w:t>
            </w:r>
            <w:r w:rsidR="002D25F0">
              <w:rPr>
                <w:szCs w:val="24"/>
              </w:rPr>
              <w:t xml:space="preserve"> </w:t>
            </w:r>
            <w:r w:rsidR="002D25F0" w:rsidRPr="002D25F0">
              <w:rPr>
                <w:szCs w:val="24"/>
              </w:rPr>
              <w:t>Rolls-Royce SMR – Step</w:t>
            </w:r>
            <w:r w:rsidR="002D25F0">
              <w:rPr>
                <w:szCs w:val="24"/>
              </w:rPr>
              <w:t xml:space="preserve"> </w:t>
            </w:r>
            <w:r w:rsidR="002D25F0" w:rsidRPr="002D25F0">
              <w:rPr>
                <w:szCs w:val="24"/>
              </w:rPr>
              <w:t>1 summary</w:t>
            </w:r>
            <w:r w:rsidR="00E1242E">
              <w:rPr>
                <w:szCs w:val="24"/>
              </w:rPr>
              <w:t xml:space="preserve">, </w:t>
            </w:r>
            <w:r w:rsidR="00E1242E" w:rsidRPr="00E1242E">
              <w:rPr>
                <w:szCs w:val="24"/>
              </w:rPr>
              <w:t>ONRW-2019369590-1908</w:t>
            </w:r>
            <w:r w:rsidR="00E1242E">
              <w:rPr>
                <w:szCs w:val="24"/>
              </w:rPr>
              <w:t>, Report Issue No. 0, April 2023</w:t>
            </w:r>
            <w:r w:rsidR="001A481D">
              <w:rPr>
                <w:szCs w:val="24"/>
              </w:rPr>
              <w:t xml:space="preserve">. </w:t>
            </w:r>
            <w:hyperlink r:id="rId12" w:history="1">
              <w:r w:rsidR="001A481D">
                <w:rPr>
                  <w:rStyle w:val="Hyperlink"/>
                  <w:szCs w:val="24"/>
                </w:rPr>
                <w:t>www.onr.org.uk/new-reactors/rolls-royce/reports/rolls-royce-smr-step-1-summary.docx</w:t>
              </w:r>
            </w:hyperlink>
            <w:r w:rsidR="001A481D">
              <w:rPr>
                <w:szCs w:val="24"/>
              </w:rPr>
              <w:t xml:space="preserve"> </w:t>
            </w:r>
          </w:p>
          <w:p w14:paraId="06C028A0" w14:textId="49983EBE" w:rsidR="009E45A2" w:rsidRPr="00080352" w:rsidRDefault="009E45A2" w:rsidP="009E45A2">
            <w:pPr>
              <w:spacing w:before="60" w:after="60"/>
              <w:rPr>
                <w:szCs w:val="24"/>
                <w:lang w:val="fr-FR"/>
              </w:rPr>
            </w:pPr>
            <w:r w:rsidRPr="0048438C">
              <w:rPr>
                <w:szCs w:val="24"/>
              </w:rPr>
              <w:t>[</w:t>
            </w:r>
            <w:r>
              <w:rPr>
                <w:szCs w:val="24"/>
              </w:rPr>
              <w:t>2</w:t>
            </w:r>
            <w:r w:rsidRPr="0048438C">
              <w:rPr>
                <w:szCs w:val="24"/>
              </w:rPr>
              <w:t xml:space="preserve">] </w:t>
            </w:r>
            <w:r w:rsidR="00DE3B7F">
              <w:rPr>
                <w:szCs w:val="24"/>
              </w:rPr>
              <w:t>Rolls-Royce SMR</w:t>
            </w:r>
            <w:r w:rsidR="00F973C1">
              <w:rPr>
                <w:szCs w:val="24"/>
              </w:rPr>
              <w:t xml:space="preserve"> Tier 1 E3S chapters</w:t>
            </w:r>
            <w:r>
              <w:rPr>
                <w:szCs w:val="24"/>
              </w:rPr>
              <w:t xml:space="preserve">, </w:t>
            </w:r>
            <w:r w:rsidR="00F973C1">
              <w:rPr>
                <w:szCs w:val="24"/>
              </w:rPr>
              <w:t xml:space="preserve">Issue 1, </w:t>
            </w:r>
            <w:r>
              <w:rPr>
                <w:szCs w:val="24"/>
              </w:rPr>
              <w:t>April 2023.</w:t>
            </w:r>
            <w:r w:rsidR="005207F6">
              <w:rPr>
                <w:szCs w:val="24"/>
              </w:rPr>
              <w:t xml:space="preserve"> </w:t>
            </w:r>
            <w:proofErr w:type="spellStart"/>
            <w:r w:rsidR="005207F6" w:rsidRPr="00080352">
              <w:rPr>
                <w:szCs w:val="24"/>
                <w:lang w:val="fr-FR"/>
              </w:rPr>
              <w:t>Available</w:t>
            </w:r>
            <w:proofErr w:type="spellEnd"/>
            <w:r w:rsidR="005207F6" w:rsidRPr="00080352">
              <w:rPr>
                <w:szCs w:val="24"/>
                <w:lang w:val="fr-FR"/>
              </w:rPr>
              <w:t xml:space="preserve"> via</w:t>
            </w:r>
            <w:r w:rsidRPr="00080352">
              <w:rPr>
                <w:szCs w:val="24"/>
                <w:lang w:val="fr-FR"/>
              </w:rPr>
              <w:t xml:space="preserve"> </w:t>
            </w:r>
            <w:r w:rsidR="00000000">
              <w:fldChar w:fldCharType="begin"/>
            </w:r>
            <w:r w:rsidR="00000000" w:rsidRPr="00E730DC">
              <w:rPr>
                <w:lang w:val="fr-FR"/>
              </w:rPr>
              <w:instrText>HYPERLINK "https://gda.rolls-royce-smr.com/documents"</w:instrText>
            </w:r>
            <w:r w:rsidR="00000000">
              <w:fldChar w:fldCharType="separate"/>
            </w:r>
            <w:r w:rsidR="00F973C1" w:rsidRPr="00080352">
              <w:rPr>
                <w:rStyle w:val="Hyperlink"/>
                <w:szCs w:val="24"/>
                <w:lang w:val="fr-FR"/>
              </w:rPr>
              <w:t>https://gda.rolls-royce-smr.com/documents</w:t>
            </w:r>
            <w:r w:rsidR="00000000">
              <w:rPr>
                <w:rStyle w:val="Hyperlink"/>
                <w:szCs w:val="24"/>
                <w:lang w:val="fr-FR"/>
              </w:rPr>
              <w:fldChar w:fldCharType="end"/>
            </w:r>
            <w:r w:rsidR="00F973C1" w:rsidRPr="00080352">
              <w:rPr>
                <w:szCs w:val="24"/>
                <w:lang w:val="fr-FR"/>
              </w:rPr>
              <w:t xml:space="preserve"> </w:t>
            </w:r>
          </w:p>
          <w:p w14:paraId="6B80027E" w14:textId="2E4C569D" w:rsidR="00DD3195" w:rsidRPr="00F03C8C" w:rsidRDefault="005207F6" w:rsidP="00DD3195">
            <w:pPr>
              <w:spacing w:before="60" w:after="60"/>
              <w:rPr>
                <w:szCs w:val="24"/>
              </w:rPr>
            </w:pPr>
            <w:r>
              <w:rPr>
                <w:szCs w:val="24"/>
              </w:rPr>
              <w:t xml:space="preserve">[3] </w:t>
            </w:r>
            <w:r w:rsidR="000E6A63">
              <w:rPr>
                <w:szCs w:val="24"/>
              </w:rPr>
              <w:t>ONR Technical Inspection Guide</w:t>
            </w:r>
            <w:r w:rsidR="003E6007">
              <w:rPr>
                <w:szCs w:val="24"/>
              </w:rPr>
              <w:t>,</w:t>
            </w:r>
            <w:r w:rsidR="000E6A63">
              <w:rPr>
                <w:szCs w:val="24"/>
              </w:rPr>
              <w:t xml:space="preserve"> </w:t>
            </w:r>
            <w:r w:rsidR="00626BBB">
              <w:rPr>
                <w:szCs w:val="24"/>
              </w:rPr>
              <w:t>LC 23 – Operating Rules</w:t>
            </w:r>
            <w:r w:rsidR="000E6A63">
              <w:rPr>
                <w:szCs w:val="24"/>
              </w:rPr>
              <w:t xml:space="preserve">, </w:t>
            </w:r>
            <w:r w:rsidR="00DD3195" w:rsidRPr="00F03C8C">
              <w:rPr>
                <w:szCs w:val="24"/>
              </w:rPr>
              <w:t>NS-INSP-GD-023</w:t>
            </w:r>
            <w:r w:rsidR="00A95C7E">
              <w:rPr>
                <w:szCs w:val="24"/>
              </w:rPr>
              <w:t xml:space="preserve">, Issue No 6.2, </w:t>
            </w:r>
            <w:r w:rsidR="00A42938">
              <w:rPr>
                <w:szCs w:val="24"/>
              </w:rPr>
              <w:t xml:space="preserve">April 2023. </w:t>
            </w:r>
            <w:hyperlink r:id="rId13" w:history="1">
              <w:r w:rsidR="00A42938">
                <w:rPr>
                  <w:rStyle w:val="Hyperlink"/>
                  <w:szCs w:val="24"/>
                </w:rPr>
                <w:t>www.onr.org.uk/operational/tech_insp_guides/ns-insp-gd-023.docx</w:t>
              </w:r>
            </w:hyperlink>
            <w:r w:rsidR="00A42938">
              <w:rPr>
                <w:szCs w:val="24"/>
              </w:rPr>
              <w:t xml:space="preserve"> </w:t>
            </w:r>
          </w:p>
          <w:p w14:paraId="27CB97BA" w14:textId="653B482A" w:rsidR="00DD3195" w:rsidRDefault="00DD3195" w:rsidP="00DD3195">
            <w:pPr>
              <w:spacing w:before="60" w:after="60"/>
              <w:rPr>
                <w:szCs w:val="24"/>
              </w:rPr>
            </w:pPr>
            <w:r w:rsidRPr="00F03C8C">
              <w:rPr>
                <w:szCs w:val="24"/>
              </w:rPr>
              <w:lastRenderedPageBreak/>
              <w:t>[</w:t>
            </w:r>
            <w:r>
              <w:rPr>
                <w:szCs w:val="24"/>
              </w:rPr>
              <w:t>4</w:t>
            </w:r>
            <w:r w:rsidRPr="00F03C8C">
              <w:rPr>
                <w:szCs w:val="24"/>
              </w:rPr>
              <w:t xml:space="preserve">] </w:t>
            </w:r>
            <w:r w:rsidR="00A42938" w:rsidRPr="00A42938">
              <w:rPr>
                <w:szCs w:val="24"/>
              </w:rPr>
              <w:t>ONR Technical Inspection Guide</w:t>
            </w:r>
            <w:r w:rsidR="003E6007">
              <w:rPr>
                <w:szCs w:val="24"/>
              </w:rPr>
              <w:t>,</w:t>
            </w:r>
            <w:r w:rsidR="00A42938" w:rsidRPr="00A42938">
              <w:rPr>
                <w:szCs w:val="24"/>
              </w:rPr>
              <w:t xml:space="preserve"> LC </w:t>
            </w:r>
            <w:r w:rsidR="002F6696">
              <w:rPr>
                <w:szCs w:val="24"/>
              </w:rPr>
              <w:t>14</w:t>
            </w:r>
            <w:r w:rsidR="00A42938" w:rsidRPr="00A42938">
              <w:rPr>
                <w:szCs w:val="24"/>
              </w:rPr>
              <w:t xml:space="preserve"> – </w:t>
            </w:r>
            <w:r w:rsidR="002F6696">
              <w:rPr>
                <w:szCs w:val="24"/>
              </w:rPr>
              <w:t>Safety Documentation</w:t>
            </w:r>
            <w:r w:rsidR="00A42938" w:rsidRPr="00A42938">
              <w:rPr>
                <w:szCs w:val="24"/>
              </w:rPr>
              <w:t>, NS-INSP-GD-0</w:t>
            </w:r>
            <w:r w:rsidR="002F6696">
              <w:rPr>
                <w:szCs w:val="24"/>
              </w:rPr>
              <w:t>14</w:t>
            </w:r>
            <w:r w:rsidR="00A42938" w:rsidRPr="00A42938">
              <w:rPr>
                <w:szCs w:val="24"/>
              </w:rPr>
              <w:t xml:space="preserve">, </w:t>
            </w:r>
            <w:r w:rsidR="002F6696">
              <w:rPr>
                <w:szCs w:val="24"/>
              </w:rPr>
              <w:t>Revision 5</w:t>
            </w:r>
            <w:r w:rsidR="00A42938" w:rsidRPr="00A42938">
              <w:rPr>
                <w:szCs w:val="24"/>
              </w:rPr>
              <w:t xml:space="preserve">, </w:t>
            </w:r>
            <w:r w:rsidR="002F6696">
              <w:rPr>
                <w:szCs w:val="24"/>
              </w:rPr>
              <w:t>July 2019</w:t>
            </w:r>
            <w:r w:rsidR="00A42938" w:rsidRPr="00A42938">
              <w:rPr>
                <w:szCs w:val="24"/>
              </w:rPr>
              <w:t xml:space="preserve">. </w:t>
            </w:r>
            <w:hyperlink r:id="rId14" w:history="1">
              <w:r w:rsidR="0059732A">
                <w:rPr>
                  <w:rStyle w:val="Hyperlink"/>
                  <w:szCs w:val="24"/>
                </w:rPr>
                <w:t>www.onr.org.uk/operational/tech_insp_guides/ns-insp-gd-014.pdf</w:t>
              </w:r>
            </w:hyperlink>
            <w:r w:rsidR="0059732A">
              <w:rPr>
                <w:szCs w:val="24"/>
              </w:rPr>
              <w:t xml:space="preserve"> </w:t>
            </w:r>
          </w:p>
          <w:p w14:paraId="6B9DA4BE" w14:textId="77777777" w:rsidR="004D3DEC" w:rsidRDefault="00DD3195" w:rsidP="00DD3195">
            <w:pPr>
              <w:spacing w:before="60" w:after="60"/>
              <w:rPr>
                <w:rStyle w:val="Hyperlink"/>
                <w:szCs w:val="24"/>
              </w:rPr>
            </w:pPr>
            <w:r>
              <w:rPr>
                <w:szCs w:val="24"/>
              </w:rPr>
              <w:t xml:space="preserve">[5] </w:t>
            </w:r>
            <w:r w:rsidR="008B3A0F" w:rsidRPr="00F03C8C">
              <w:rPr>
                <w:szCs w:val="24"/>
              </w:rPr>
              <w:t xml:space="preserve">IAEA </w:t>
            </w:r>
            <w:r w:rsidR="002D3B73">
              <w:rPr>
                <w:szCs w:val="24"/>
              </w:rPr>
              <w:t>Safety Standards</w:t>
            </w:r>
            <w:r w:rsidR="008B3A0F" w:rsidRPr="00F03C8C">
              <w:rPr>
                <w:szCs w:val="24"/>
              </w:rPr>
              <w:t>, Safety Assessment for Facilities and Activities</w:t>
            </w:r>
            <w:r w:rsidR="00D579A5">
              <w:rPr>
                <w:szCs w:val="24"/>
              </w:rPr>
              <w:t>, General Safety Requirements No. GSR Part 4 (Rev. 1)</w:t>
            </w:r>
            <w:r w:rsidR="00DB7A6C">
              <w:rPr>
                <w:szCs w:val="24"/>
              </w:rPr>
              <w:t xml:space="preserve">. </w:t>
            </w:r>
            <w:hyperlink r:id="rId15" w:history="1">
              <w:r w:rsidR="00DB7A6C" w:rsidRPr="00F91C14">
                <w:rPr>
                  <w:rStyle w:val="Hyperlink"/>
                  <w:szCs w:val="24"/>
                </w:rPr>
                <w:t>www.iaea.org</w:t>
              </w:r>
            </w:hyperlink>
          </w:p>
          <w:p w14:paraId="7AFA0F9F" w14:textId="50E42FA5" w:rsidR="00DD3195" w:rsidRPr="00F03C8C" w:rsidRDefault="004D3DEC" w:rsidP="00DD3195">
            <w:pPr>
              <w:spacing w:before="60" w:after="60"/>
              <w:rPr>
                <w:szCs w:val="24"/>
              </w:rPr>
            </w:pPr>
            <w:r w:rsidRPr="004D3DEC">
              <w:rPr>
                <w:szCs w:val="24"/>
              </w:rPr>
              <w:t>[</w:t>
            </w:r>
            <w:r>
              <w:rPr>
                <w:szCs w:val="24"/>
              </w:rPr>
              <w:t>6</w:t>
            </w:r>
            <w:r w:rsidRPr="004D3DEC">
              <w:rPr>
                <w:szCs w:val="24"/>
              </w:rPr>
              <w:t xml:space="preserve">] IAEA Safety Standards, Format and Content of the Safety Analysis Report for Nuclear Power Plants, </w:t>
            </w:r>
            <w:r>
              <w:rPr>
                <w:szCs w:val="24"/>
              </w:rPr>
              <w:t>Specific Safety Guide</w:t>
            </w:r>
            <w:r w:rsidRPr="004D3DEC">
              <w:rPr>
                <w:szCs w:val="24"/>
              </w:rPr>
              <w:t xml:space="preserve"> No. </w:t>
            </w:r>
            <w:r>
              <w:rPr>
                <w:szCs w:val="24"/>
              </w:rPr>
              <w:t>SSG-61</w:t>
            </w:r>
            <w:r w:rsidRPr="004D3DEC">
              <w:rPr>
                <w:szCs w:val="24"/>
              </w:rPr>
              <w:t>. www.iaea.org</w:t>
            </w:r>
          </w:p>
          <w:p w14:paraId="51A9D426" w14:textId="5D04BE15" w:rsidR="008B3A0F" w:rsidRPr="00F03C8C" w:rsidRDefault="008B3A0F" w:rsidP="008B3A0F">
            <w:pPr>
              <w:spacing w:before="60" w:after="60"/>
              <w:rPr>
                <w:szCs w:val="24"/>
              </w:rPr>
            </w:pPr>
            <w:r w:rsidRPr="00F03C8C">
              <w:rPr>
                <w:szCs w:val="24"/>
              </w:rPr>
              <w:t>[</w:t>
            </w:r>
            <w:r w:rsidR="004D3DEC">
              <w:rPr>
                <w:szCs w:val="24"/>
              </w:rPr>
              <w:t>7</w:t>
            </w:r>
            <w:r w:rsidRPr="00F03C8C">
              <w:rPr>
                <w:szCs w:val="24"/>
              </w:rPr>
              <w:t xml:space="preserve">] </w:t>
            </w:r>
            <w:r w:rsidR="002F33E6">
              <w:t xml:space="preserve">WENRA Safety Reference Levels for Existing Reactors 2020, February 2021. </w:t>
            </w:r>
            <w:hyperlink r:id="rId16" w:history="1">
              <w:r w:rsidR="00097B92" w:rsidRPr="00F91C14">
                <w:rPr>
                  <w:rStyle w:val="Hyperlink"/>
                  <w:szCs w:val="24"/>
                </w:rPr>
                <w:t>www.wenra.eu</w:t>
              </w:r>
            </w:hyperlink>
            <w:r w:rsidR="00097B92">
              <w:rPr>
                <w:szCs w:val="24"/>
              </w:rPr>
              <w:t xml:space="preserve"> </w:t>
            </w:r>
          </w:p>
          <w:p w14:paraId="1991138E" w14:textId="19FD101C" w:rsidR="00F03C8C" w:rsidRPr="00F03C8C" w:rsidRDefault="00F03C8C" w:rsidP="00F03C8C">
            <w:pPr>
              <w:spacing w:before="60" w:after="60"/>
              <w:rPr>
                <w:szCs w:val="24"/>
              </w:rPr>
            </w:pPr>
            <w:r w:rsidRPr="00F03C8C">
              <w:rPr>
                <w:szCs w:val="24"/>
              </w:rPr>
              <w:t>[</w:t>
            </w:r>
            <w:r w:rsidR="004D3DEC">
              <w:rPr>
                <w:szCs w:val="24"/>
              </w:rPr>
              <w:t>8</w:t>
            </w:r>
            <w:r w:rsidRPr="00F03C8C">
              <w:rPr>
                <w:szCs w:val="24"/>
              </w:rPr>
              <w:t xml:space="preserve">] Safety Assessment Principles for Nuclear Facilities, 2014 Edition, Revision </w:t>
            </w:r>
            <w:r w:rsidR="005871E7">
              <w:rPr>
                <w:szCs w:val="24"/>
              </w:rPr>
              <w:t>1</w:t>
            </w:r>
            <w:r w:rsidRPr="00F03C8C">
              <w:rPr>
                <w:szCs w:val="24"/>
              </w:rPr>
              <w:t xml:space="preserve">, ONR, </w:t>
            </w:r>
            <w:r w:rsidR="005871E7">
              <w:rPr>
                <w:szCs w:val="24"/>
              </w:rPr>
              <w:t xml:space="preserve">January 2020. </w:t>
            </w:r>
            <w:hyperlink r:id="rId17" w:history="1">
              <w:r w:rsidR="005871E7">
                <w:rPr>
                  <w:rStyle w:val="Hyperlink"/>
                  <w:szCs w:val="24"/>
                </w:rPr>
                <w:t>www.onr.org.uk/saps/saps2014.pdf</w:t>
              </w:r>
            </w:hyperlink>
            <w:r w:rsidR="005871E7">
              <w:rPr>
                <w:szCs w:val="24"/>
              </w:rPr>
              <w:t xml:space="preserve"> </w:t>
            </w:r>
          </w:p>
          <w:p w14:paraId="5A3506B0" w14:textId="1C5FCBE7" w:rsidR="00F03C8C" w:rsidRDefault="00185390" w:rsidP="00F03C8C">
            <w:pPr>
              <w:spacing w:before="60" w:after="60"/>
              <w:rPr>
                <w:szCs w:val="24"/>
              </w:rPr>
            </w:pPr>
            <w:r>
              <w:rPr>
                <w:szCs w:val="24"/>
              </w:rPr>
              <w:t>[</w:t>
            </w:r>
            <w:r w:rsidR="004D3DEC">
              <w:rPr>
                <w:szCs w:val="24"/>
              </w:rPr>
              <w:t>9</w:t>
            </w:r>
            <w:r w:rsidR="00F03C8C" w:rsidRPr="00F03C8C">
              <w:rPr>
                <w:szCs w:val="24"/>
              </w:rPr>
              <w:t xml:space="preserve">] </w:t>
            </w:r>
            <w:r w:rsidR="003E6007">
              <w:rPr>
                <w:szCs w:val="24"/>
              </w:rPr>
              <w:t xml:space="preserve">ONR Technical Assessment Guide, </w:t>
            </w:r>
            <w:r w:rsidR="00F03C8C" w:rsidRPr="00F03C8C">
              <w:rPr>
                <w:szCs w:val="24"/>
              </w:rPr>
              <w:t>The purpose, scope and content of nuclear safety cases</w:t>
            </w:r>
            <w:r w:rsidR="003E6007">
              <w:rPr>
                <w:szCs w:val="24"/>
              </w:rPr>
              <w:t>,</w:t>
            </w:r>
            <w:r w:rsidR="00F03C8C" w:rsidRPr="00F03C8C">
              <w:rPr>
                <w:szCs w:val="24"/>
              </w:rPr>
              <w:t xml:space="preserve"> </w:t>
            </w:r>
            <w:r w:rsidR="001850B3" w:rsidRPr="00F03C8C">
              <w:rPr>
                <w:szCs w:val="24"/>
              </w:rPr>
              <w:t>NS-TAST-GD-051</w:t>
            </w:r>
            <w:r w:rsidR="001850B3">
              <w:rPr>
                <w:szCs w:val="24"/>
              </w:rPr>
              <w:t>,</w:t>
            </w:r>
            <w:r w:rsidR="001850B3" w:rsidRPr="00F03C8C">
              <w:rPr>
                <w:szCs w:val="24"/>
              </w:rPr>
              <w:t xml:space="preserve"> </w:t>
            </w:r>
            <w:r w:rsidR="001850B3">
              <w:rPr>
                <w:szCs w:val="24"/>
              </w:rPr>
              <w:t xml:space="preserve">Issue 7.1, December 2022. </w:t>
            </w:r>
            <w:hyperlink r:id="rId18" w:history="1">
              <w:r w:rsidR="00A5496F">
                <w:rPr>
                  <w:rStyle w:val="Hyperlink"/>
                  <w:szCs w:val="24"/>
                </w:rPr>
                <w:t>www.onr.org.uk/operational/tech_asst_guides/ns-tast-gd-051.docx</w:t>
              </w:r>
            </w:hyperlink>
            <w:r w:rsidR="00A5496F">
              <w:rPr>
                <w:szCs w:val="24"/>
              </w:rPr>
              <w:t xml:space="preserve"> </w:t>
            </w:r>
          </w:p>
          <w:p w14:paraId="245A8BBD" w14:textId="221E2C92" w:rsidR="00E72582" w:rsidRDefault="00E72582" w:rsidP="00F03C8C">
            <w:pPr>
              <w:spacing w:before="60" w:after="60"/>
            </w:pPr>
            <w:r>
              <w:rPr>
                <w:szCs w:val="24"/>
              </w:rPr>
              <w:t>[</w:t>
            </w:r>
            <w:r w:rsidR="004D3DEC">
              <w:rPr>
                <w:szCs w:val="24"/>
              </w:rPr>
              <w:t>10</w:t>
            </w:r>
            <w:r>
              <w:rPr>
                <w:szCs w:val="24"/>
              </w:rPr>
              <w:t xml:space="preserve">] </w:t>
            </w:r>
            <w:r w:rsidR="00575351">
              <w:t>The Nuclear Industries Security Regulations - Statutory Instrument 2003 No. 403</w:t>
            </w:r>
            <w:r w:rsidR="003B7634">
              <w:t>.</w:t>
            </w:r>
            <w:r w:rsidR="00575351">
              <w:t xml:space="preserve"> </w:t>
            </w:r>
            <w:hyperlink r:id="rId19" w:history="1">
              <w:r w:rsidR="005D54D9">
                <w:rPr>
                  <w:rStyle w:val="Hyperlink"/>
                </w:rPr>
                <w:t>www.legislation.gov.uk/uksi/2003/403/pdfs/uksi_20030403_en.pdf</w:t>
              </w:r>
            </w:hyperlink>
            <w:r w:rsidR="00575351">
              <w:t xml:space="preserve"> </w:t>
            </w:r>
          </w:p>
          <w:p w14:paraId="55B91CEB" w14:textId="2666A6B9" w:rsidR="0004245E" w:rsidRDefault="0004245E" w:rsidP="0004245E">
            <w:pPr>
              <w:spacing w:before="60" w:after="60"/>
              <w:rPr>
                <w:rStyle w:val="Hyperlink"/>
                <w:szCs w:val="24"/>
              </w:rPr>
            </w:pPr>
            <w:r>
              <w:rPr>
                <w:szCs w:val="24"/>
              </w:rPr>
              <w:t xml:space="preserve">[11] </w:t>
            </w:r>
            <w:r w:rsidRPr="00F03C8C">
              <w:rPr>
                <w:szCs w:val="24"/>
              </w:rPr>
              <w:t xml:space="preserve">IAEA </w:t>
            </w:r>
            <w:r w:rsidRPr="0004245E">
              <w:rPr>
                <w:szCs w:val="24"/>
              </w:rPr>
              <w:t>Nuclear Security Fundamentals</w:t>
            </w:r>
            <w:r>
              <w:rPr>
                <w:szCs w:val="24"/>
              </w:rPr>
              <w:t xml:space="preserve"> series. </w:t>
            </w:r>
            <w:hyperlink r:id="rId20" w:history="1">
              <w:r w:rsidRPr="00F91C14">
                <w:rPr>
                  <w:rStyle w:val="Hyperlink"/>
                  <w:szCs w:val="24"/>
                </w:rPr>
                <w:t>www.iaea.org</w:t>
              </w:r>
            </w:hyperlink>
          </w:p>
          <w:p w14:paraId="65DBB74E" w14:textId="14E741E4" w:rsidR="00E72582" w:rsidRDefault="00E72582" w:rsidP="00F03C8C">
            <w:pPr>
              <w:spacing w:before="60" w:after="60"/>
              <w:rPr>
                <w:szCs w:val="24"/>
              </w:rPr>
            </w:pPr>
            <w:r>
              <w:rPr>
                <w:szCs w:val="24"/>
              </w:rPr>
              <w:t>[1</w:t>
            </w:r>
            <w:r w:rsidR="0004245E">
              <w:rPr>
                <w:szCs w:val="24"/>
              </w:rPr>
              <w:t>2</w:t>
            </w:r>
            <w:r>
              <w:rPr>
                <w:szCs w:val="24"/>
              </w:rPr>
              <w:t xml:space="preserve">] </w:t>
            </w:r>
            <w:r w:rsidR="000D4C57">
              <w:rPr>
                <w:szCs w:val="24"/>
              </w:rPr>
              <w:t>Security</w:t>
            </w:r>
            <w:r w:rsidR="000D4C57" w:rsidRPr="00F03C8C">
              <w:rPr>
                <w:szCs w:val="24"/>
              </w:rPr>
              <w:t xml:space="preserve"> Assessment Principles for </w:t>
            </w:r>
            <w:r w:rsidR="000D4C57">
              <w:rPr>
                <w:szCs w:val="24"/>
              </w:rPr>
              <w:t xml:space="preserve">the Civil </w:t>
            </w:r>
            <w:r w:rsidR="000D4C57" w:rsidRPr="00F03C8C">
              <w:rPr>
                <w:szCs w:val="24"/>
              </w:rPr>
              <w:t xml:space="preserve">Nuclear </w:t>
            </w:r>
            <w:r w:rsidR="000D4C57">
              <w:rPr>
                <w:szCs w:val="24"/>
              </w:rPr>
              <w:t>Industry,</w:t>
            </w:r>
            <w:r w:rsidR="000D4C57" w:rsidRPr="00F03C8C">
              <w:rPr>
                <w:szCs w:val="24"/>
              </w:rPr>
              <w:t xml:space="preserve"> </w:t>
            </w:r>
            <w:r w:rsidR="000D4C57">
              <w:rPr>
                <w:szCs w:val="24"/>
              </w:rPr>
              <w:t>2022</w:t>
            </w:r>
            <w:r w:rsidR="000D4C57" w:rsidRPr="00F03C8C">
              <w:rPr>
                <w:szCs w:val="24"/>
              </w:rPr>
              <w:t xml:space="preserve"> Edition, </w:t>
            </w:r>
            <w:r w:rsidR="000D4C57">
              <w:rPr>
                <w:szCs w:val="24"/>
              </w:rPr>
              <w:t>Version</w:t>
            </w:r>
            <w:r w:rsidR="000D4C57" w:rsidRPr="00F03C8C">
              <w:rPr>
                <w:szCs w:val="24"/>
              </w:rPr>
              <w:t xml:space="preserve"> </w:t>
            </w:r>
            <w:r w:rsidR="000D4C57">
              <w:rPr>
                <w:szCs w:val="24"/>
              </w:rPr>
              <w:t>1</w:t>
            </w:r>
            <w:r w:rsidR="000D4C57" w:rsidRPr="00F03C8C">
              <w:rPr>
                <w:szCs w:val="24"/>
              </w:rPr>
              <w:t xml:space="preserve">, ONR, </w:t>
            </w:r>
            <w:r w:rsidR="0002114E">
              <w:rPr>
                <w:szCs w:val="24"/>
              </w:rPr>
              <w:t>March</w:t>
            </w:r>
            <w:r w:rsidR="000D4C57">
              <w:rPr>
                <w:szCs w:val="24"/>
              </w:rPr>
              <w:t xml:space="preserve"> 202</w:t>
            </w:r>
            <w:r w:rsidR="0002114E">
              <w:rPr>
                <w:szCs w:val="24"/>
              </w:rPr>
              <w:t>2</w:t>
            </w:r>
            <w:r w:rsidR="000D4C57">
              <w:rPr>
                <w:szCs w:val="24"/>
              </w:rPr>
              <w:t xml:space="preserve">. </w:t>
            </w:r>
            <w:hyperlink r:id="rId21" w:history="1">
              <w:r w:rsidR="0002114E">
                <w:rPr>
                  <w:rStyle w:val="Hyperlink"/>
                  <w:szCs w:val="24"/>
                </w:rPr>
                <w:t>www.onr.org.uk/syaps/security-assessment-principles.pdf</w:t>
              </w:r>
            </w:hyperlink>
            <w:r w:rsidR="0002114E">
              <w:rPr>
                <w:szCs w:val="24"/>
              </w:rPr>
              <w:t xml:space="preserve"> </w:t>
            </w:r>
          </w:p>
          <w:p w14:paraId="1749D073" w14:textId="06D786D9" w:rsidR="00E72582" w:rsidRDefault="00E72582" w:rsidP="00F03C8C">
            <w:pPr>
              <w:spacing w:before="60" w:after="60"/>
              <w:rPr>
                <w:szCs w:val="24"/>
              </w:rPr>
            </w:pPr>
            <w:r>
              <w:rPr>
                <w:szCs w:val="24"/>
              </w:rPr>
              <w:t>[1</w:t>
            </w:r>
            <w:r w:rsidR="0004245E">
              <w:rPr>
                <w:szCs w:val="24"/>
              </w:rPr>
              <w:t>3</w:t>
            </w:r>
            <w:r>
              <w:rPr>
                <w:szCs w:val="24"/>
              </w:rPr>
              <w:t xml:space="preserve">] </w:t>
            </w:r>
            <w:r w:rsidR="00DE31A5">
              <w:rPr>
                <w:szCs w:val="24"/>
              </w:rPr>
              <w:t xml:space="preserve">ONR Technical Assessment Guides. </w:t>
            </w:r>
            <w:hyperlink r:id="rId22" w:history="1">
              <w:r w:rsidR="00032E39">
                <w:rPr>
                  <w:rStyle w:val="Hyperlink"/>
                  <w:szCs w:val="24"/>
                </w:rPr>
                <w:t>www.onr.org.uk/operational/tech_asst_guides/index.htm</w:t>
              </w:r>
            </w:hyperlink>
            <w:r w:rsidR="00032E39">
              <w:rPr>
                <w:szCs w:val="24"/>
              </w:rPr>
              <w:t xml:space="preserve"> </w:t>
            </w:r>
          </w:p>
          <w:p w14:paraId="1F306E51" w14:textId="155CDD18" w:rsidR="00E72582" w:rsidRDefault="00E72582" w:rsidP="00F03C8C">
            <w:pPr>
              <w:spacing w:before="60" w:after="60"/>
              <w:rPr>
                <w:szCs w:val="24"/>
              </w:rPr>
            </w:pPr>
            <w:r>
              <w:rPr>
                <w:szCs w:val="24"/>
              </w:rPr>
              <w:t>[1</w:t>
            </w:r>
            <w:r w:rsidR="0004245E">
              <w:rPr>
                <w:szCs w:val="24"/>
              </w:rPr>
              <w:t>4</w:t>
            </w:r>
            <w:r>
              <w:rPr>
                <w:szCs w:val="24"/>
              </w:rPr>
              <w:t xml:space="preserve">] </w:t>
            </w:r>
            <w:r w:rsidR="008237A3" w:rsidRPr="008237A3">
              <w:rPr>
                <w:szCs w:val="24"/>
              </w:rPr>
              <w:t xml:space="preserve">The </w:t>
            </w:r>
            <w:r w:rsidR="003B7634" w:rsidRPr="003B7634">
              <w:rPr>
                <w:szCs w:val="24"/>
              </w:rPr>
              <w:t xml:space="preserve">Nuclear Safeguards (EU Exit) Regulations 2019 </w:t>
            </w:r>
            <w:r w:rsidR="008237A3" w:rsidRPr="008237A3">
              <w:rPr>
                <w:szCs w:val="24"/>
              </w:rPr>
              <w:t>- Statutory Instrument 20</w:t>
            </w:r>
            <w:r w:rsidR="003B7634">
              <w:rPr>
                <w:szCs w:val="24"/>
              </w:rPr>
              <w:t>19</w:t>
            </w:r>
            <w:r w:rsidR="008237A3" w:rsidRPr="008237A3">
              <w:rPr>
                <w:szCs w:val="24"/>
              </w:rPr>
              <w:t xml:space="preserve"> No. </w:t>
            </w:r>
            <w:r w:rsidR="003B7634">
              <w:rPr>
                <w:szCs w:val="24"/>
              </w:rPr>
              <w:t>196.</w:t>
            </w:r>
            <w:r w:rsidR="008237A3" w:rsidRPr="008237A3">
              <w:rPr>
                <w:szCs w:val="24"/>
              </w:rPr>
              <w:t xml:space="preserve"> </w:t>
            </w:r>
            <w:hyperlink r:id="rId23" w:history="1">
              <w:r w:rsidR="005D54D9">
                <w:rPr>
                  <w:rStyle w:val="Hyperlink"/>
                  <w:szCs w:val="24"/>
                </w:rPr>
                <w:t>www.legislation.gov.uk/uksi/2019/196/made</w:t>
              </w:r>
            </w:hyperlink>
            <w:r w:rsidR="005D54D9">
              <w:rPr>
                <w:szCs w:val="24"/>
              </w:rPr>
              <w:t xml:space="preserve"> </w:t>
            </w:r>
          </w:p>
          <w:p w14:paraId="14EEF8CB" w14:textId="269AA648" w:rsidR="003B64F7" w:rsidRDefault="00E72582" w:rsidP="003B64F7">
            <w:pPr>
              <w:spacing w:before="60" w:after="60"/>
              <w:rPr>
                <w:szCs w:val="24"/>
              </w:rPr>
            </w:pPr>
            <w:r>
              <w:rPr>
                <w:szCs w:val="24"/>
              </w:rPr>
              <w:t>[1</w:t>
            </w:r>
            <w:r w:rsidR="0004245E">
              <w:rPr>
                <w:szCs w:val="24"/>
              </w:rPr>
              <w:t>5</w:t>
            </w:r>
            <w:r>
              <w:rPr>
                <w:szCs w:val="24"/>
              </w:rPr>
              <w:t xml:space="preserve">] </w:t>
            </w:r>
            <w:r w:rsidR="0098294C" w:rsidRPr="0098294C">
              <w:t>Radioactive substances regulation (RSR): objective and principles</w:t>
            </w:r>
            <w:r w:rsidR="0098294C">
              <w:t>, December 2021.</w:t>
            </w:r>
            <w:r w:rsidR="00D76FD3">
              <w:t xml:space="preserve"> </w:t>
            </w:r>
            <w:hyperlink r:id="rId24" w:history="1">
              <w:r w:rsidR="00D76FD3">
                <w:rPr>
                  <w:rStyle w:val="Hyperlink"/>
                </w:rPr>
                <w:t>www.gov.uk/government/publications/radioactive-substances-regulation-rsr-objective-and-principles/radioactive-substances-regulation-rsr-objective-and-principles</w:t>
              </w:r>
            </w:hyperlink>
            <w:r w:rsidR="00D76FD3">
              <w:t xml:space="preserve"> </w:t>
            </w:r>
          </w:p>
          <w:p w14:paraId="5C8FF656" w14:textId="15E9D35A" w:rsidR="00E72582" w:rsidRDefault="00E72582" w:rsidP="009351C2">
            <w:pPr>
              <w:spacing w:before="60" w:after="60"/>
              <w:rPr>
                <w:szCs w:val="24"/>
              </w:rPr>
            </w:pPr>
            <w:r>
              <w:rPr>
                <w:szCs w:val="24"/>
              </w:rPr>
              <w:t>[1</w:t>
            </w:r>
            <w:r w:rsidR="0004245E">
              <w:rPr>
                <w:szCs w:val="24"/>
              </w:rPr>
              <w:t>6</w:t>
            </w:r>
            <w:r>
              <w:rPr>
                <w:szCs w:val="24"/>
              </w:rPr>
              <w:t xml:space="preserve">] </w:t>
            </w:r>
            <w:r w:rsidR="009351C2" w:rsidRPr="009351C2">
              <w:rPr>
                <w:szCs w:val="24"/>
              </w:rPr>
              <w:t>New Nuclear Power Plants: Generic Design Assessment Guidance to Requesting Partie</w:t>
            </w:r>
            <w:r w:rsidR="001D4586">
              <w:rPr>
                <w:szCs w:val="24"/>
              </w:rPr>
              <w:t xml:space="preserve">s, </w:t>
            </w:r>
            <w:r w:rsidR="009351C2" w:rsidRPr="009351C2">
              <w:rPr>
                <w:szCs w:val="24"/>
              </w:rPr>
              <w:t>ONR-GDA-GD-006</w:t>
            </w:r>
            <w:r w:rsidR="001D4586">
              <w:rPr>
                <w:szCs w:val="24"/>
              </w:rPr>
              <w:t>,</w:t>
            </w:r>
            <w:r w:rsidR="009351C2" w:rsidRPr="009351C2">
              <w:rPr>
                <w:szCs w:val="24"/>
              </w:rPr>
              <w:t xml:space="preserve"> Revision 0, October 2019</w:t>
            </w:r>
            <w:r w:rsidR="001D4586">
              <w:rPr>
                <w:szCs w:val="24"/>
              </w:rPr>
              <w:t xml:space="preserve">. </w:t>
            </w:r>
            <w:hyperlink r:id="rId25" w:history="1">
              <w:r w:rsidR="00F92ECC">
                <w:rPr>
                  <w:rStyle w:val="Hyperlink"/>
                  <w:szCs w:val="24"/>
                </w:rPr>
                <w:t>www.onr.org.uk/new-reactors/onr-gda-gd-006.pdf</w:t>
              </w:r>
            </w:hyperlink>
            <w:r w:rsidR="00F92ECC">
              <w:rPr>
                <w:szCs w:val="24"/>
              </w:rPr>
              <w:t xml:space="preserve"> </w:t>
            </w:r>
          </w:p>
          <w:p w14:paraId="4573E048" w14:textId="465DEA34" w:rsidR="00F65462" w:rsidRPr="0048438C" w:rsidRDefault="00E72582" w:rsidP="0048438C">
            <w:pPr>
              <w:spacing w:before="60" w:after="60"/>
              <w:rPr>
                <w:szCs w:val="24"/>
              </w:rPr>
            </w:pPr>
            <w:r>
              <w:rPr>
                <w:szCs w:val="24"/>
              </w:rPr>
              <w:t>[1</w:t>
            </w:r>
            <w:r w:rsidR="0004245E">
              <w:rPr>
                <w:szCs w:val="24"/>
              </w:rPr>
              <w:t>7</w:t>
            </w:r>
            <w:r>
              <w:rPr>
                <w:szCs w:val="24"/>
              </w:rPr>
              <w:t xml:space="preserve">] </w:t>
            </w:r>
            <w:r w:rsidR="00AB17C6" w:rsidRPr="00AB17C6">
              <w:rPr>
                <w:szCs w:val="24"/>
              </w:rPr>
              <w:t>New nuclear power plants: Generic Design Assessment guidance for Requesting Parties</w:t>
            </w:r>
            <w:r w:rsidR="00AB17C6">
              <w:rPr>
                <w:szCs w:val="24"/>
              </w:rPr>
              <w:t>.</w:t>
            </w:r>
            <w:r w:rsidR="00AB17C6" w:rsidRPr="00AB17C6">
              <w:rPr>
                <w:szCs w:val="24"/>
              </w:rPr>
              <w:t xml:space="preserve"> </w:t>
            </w:r>
            <w:hyperlink r:id="rId26" w:history="1">
              <w:r w:rsidR="008662A4">
                <w:rPr>
                  <w:rStyle w:val="Hyperlink"/>
                  <w:szCs w:val="24"/>
                </w:rPr>
                <w:t>www.gov.uk/government/publications/new-nuclear-power-plants-generic-design-assessment-guidance-for-requesting-parties</w:t>
              </w:r>
            </w:hyperlink>
            <w:r w:rsidR="008662A4">
              <w:rPr>
                <w:szCs w:val="24"/>
              </w:rPr>
              <w:t xml:space="preserve"> </w:t>
            </w:r>
          </w:p>
        </w:tc>
      </w:tr>
      <w:tr w:rsidR="00850471" w:rsidRPr="00581D5B" w14:paraId="4573E04B" w14:textId="77777777" w:rsidTr="1FB060AA">
        <w:tc>
          <w:tcPr>
            <w:tcW w:w="9897" w:type="dxa"/>
            <w:gridSpan w:val="2"/>
            <w:shd w:val="clear" w:color="auto" w:fill="D9D9D9" w:themeFill="background1" w:themeFillShade="D9"/>
          </w:tcPr>
          <w:p w14:paraId="4573E04A" w14:textId="6BD52BAF" w:rsidR="00850471" w:rsidRPr="00581D5B" w:rsidRDefault="00581D5B" w:rsidP="0048438C">
            <w:pPr>
              <w:spacing w:before="60" w:after="60"/>
              <w:rPr>
                <w:b/>
                <w:iCs/>
                <w:szCs w:val="24"/>
              </w:rPr>
            </w:pPr>
            <w:r w:rsidRPr="00581D5B">
              <w:rPr>
                <w:b/>
                <w:iCs/>
                <w:szCs w:val="24"/>
              </w:rPr>
              <w:lastRenderedPageBreak/>
              <w:t>REGULATORY OBSERVATION ACTIONS</w:t>
            </w:r>
          </w:p>
        </w:tc>
      </w:tr>
      <w:tr w:rsidR="00850471" w:rsidRPr="0048438C" w14:paraId="4573E04E" w14:textId="77777777" w:rsidTr="1FB060AA">
        <w:trPr>
          <w:trHeight w:val="242"/>
        </w:trPr>
        <w:tc>
          <w:tcPr>
            <w:tcW w:w="9897" w:type="dxa"/>
            <w:gridSpan w:val="2"/>
            <w:shd w:val="clear" w:color="auto" w:fill="auto"/>
          </w:tcPr>
          <w:p w14:paraId="4573E04C" w14:textId="33552ECC" w:rsidR="00850471" w:rsidRPr="0048438C" w:rsidRDefault="00850471" w:rsidP="0048438C">
            <w:pPr>
              <w:spacing w:before="60" w:after="60"/>
              <w:rPr>
                <w:b/>
                <w:noProof/>
                <w:szCs w:val="24"/>
              </w:rPr>
            </w:pPr>
            <w:r w:rsidRPr="0048438C">
              <w:rPr>
                <w:b/>
                <w:noProof/>
                <w:szCs w:val="24"/>
              </w:rPr>
              <w:t>RO-</w:t>
            </w:r>
            <w:r w:rsidR="00581D5B">
              <w:rPr>
                <w:b/>
                <w:noProof/>
                <w:szCs w:val="24"/>
              </w:rPr>
              <w:t>RRSMR</w:t>
            </w:r>
            <w:r w:rsidRPr="0048438C">
              <w:rPr>
                <w:b/>
                <w:noProof/>
                <w:szCs w:val="24"/>
              </w:rPr>
              <w:t>-</w:t>
            </w:r>
            <w:r w:rsidR="00E72582">
              <w:rPr>
                <w:b/>
                <w:noProof/>
                <w:szCs w:val="24"/>
              </w:rPr>
              <w:t>001</w:t>
            </w:r>
            <w:r w:rsidRPr="0048438C">
              <w:rPr>
                <w:b/>
                <w:noProof/>
                <w:szCs w:val="24"/>
              </w:rPr>
              <w:t>.A1</w:t>
            </w:r>
            <w:r w:rsidR="000977CC" w:rsidRPr="0048438C">
              <w:rPr>
                <w:b/>
                <w:noProof/>
                <w:szCs w:val="24"/>
              </w:rPr>
              <w:t xml:space="preserve"> – </w:t>
            </w:r>
            <w:r w:rsidR="00E530B0">
              <w:rPr>
                <w:b/>
                <w:noProof/>
                <w:szCs w:val="24"/>
              </w:rPr>
              <w:t>E3S case strategy</w:t>
            </w:r>
            <w:r w:rsidR="00A876C3">
              <w:rPr>
                <w:b/>
                <w:noProof/>
                <w:szCs w:val="24"/>
              </w:rPr>
              <w:t xml:space="preserve"> and forward plans</w:t>
            </w:r>
          </w:p>
          <w:p w14:paraId="7BE7FFFB" w14:textId="77777777" w:rsidR="00CC67B6" w:rsidRPr="0048438C" w:rsidRDefault="00CC67B6" w:rsidP="0048438C">
            <w:pPr>
              <w:spacing w:before="60" w:after="60"/>
              <w:rPr>
                <w:noProof/>
                <w:szCs w:val="24"/>
              </w:rPr>
            </w:pPr>
          </w:p>
          <w:p w14:paraId="2DCB501B" w14:textId="66F51DE6" w:rsidR="00875755" w:rsidRDefault="00875755" w:rsidP="0048438C">
            <w:pPr>
              <w:spacing w:before="60" w:after="60"/>
              <w:rPr>
                <w:noProof/>
                <w:szCs w:val="24"/>
              </w:rPr>
            </w:pPr>
            <w:r w:rsidRPr="0048438C">
              <w:rPr>
                <w:noProof/>
                <w:szCs w:val="24"/>
              </w:rPr>
              <w:t xml:space="preserve">In response to this Regulatory Observation Action, </w:t>
            </w:r>
            <w:r w:rsidR="00581D5B">
              <w:rPr>
                <w:noProof/>
                <w:szCs w:val="24"/>
              </w:rPr>
              <w:t xml:space="preserve">Rolls-Royce SMR </w:t>
            </w:r>
            <w:r w:rsidR="007A5ECD">
              <w:rPr>
                <w:noProof/>
                <w:szCs w:val="24"/>
              </w:rPr>
              <w:t>Ltd</w:t>
            </w:r>
            <w:r w:rsidRPr="0048438C">
              <w:rPr>
                <w:noProof/>
                <w:szCs w:val="24"/>
              </w:rPr>
              <w:t xml:space="preserve"> should:</w:t>
            </w:r>
          </w:p>
          <w:p w14:paraId="6488ECD3" w14:textId="73F2468C" w:rsidR="00E530B0" w:rsidRDefault="00E530B0" w:rsidP="0048438C">
            <w:pPr>
              <w:spacing w:before="60" w:after="60"/>
              <w:rPr>
                <w:noProof/>
                <w:szCs w:val="24"/>
              </w:rPr>
            </w:pPr>
          </w:p>
          <w:p w14:paraId="1A785237" w14:textId="3F3C43B2" w:rsidR="00BD1A39" w:rsidRPr="008A22A5" w:rsidRDefault="00C82D00" w:rsidP="00331C56">
            <w:pPr>
              <w:spacing w:before="60" w:after="60"/>
              <w:rPr>
                <w:noProof/>
                <w:szCs w:val="24"/>
              </w:rPr>
            </w:pPr>
            <w:r w:rsidRPr="008A22A5">
              <w:rPr>
                <w:noProof/>
                <w:szCs w:val="24"/>
              </w:rPr>
              <w:t xml:space="preserve">Document </w:t>
            </w:r>
            <w:r w:rsidR="00A876C3" w:rsidRPr="008A22A5">
              <w:rPr>
                <w:noProof/>
                <w:szCs w:val="24"/>
              </w:rPr>
              <w:t xml:space="preserve">the on-going development of the E3S case </w:t>
            </w:r>
            <w:r w:rsidR="008A22A5" w:rsidRPr="008A22A5">
              <w:rPr>
                <w:noProof/>
                <w:szCs w:val="24"/>
              </w:rPr>
              <w:t xml:space="preserve">in a defined development </w:t>
            </w:r>
            <w:r w:rsidR="00EB20BF">
              <w:rPr>
                <w:noProof/>
                <w:szCs w:val="24"/>
              </w:rPr>
              <w:t>strategy</w:t>
            </w:r>
            <w:r w:rsidR="00EB20BF" w:rsidRPr="008A22A5">
              <w:rPr>
                <w:noProof/>
                <w:szCs w:val="24"/>
              </w:rPr>
              <w:t xml:space="preserve"> </w:t>
            </w:r>
            <w:r w:rsidR="008A22A5" w:rsidRPr="008A22A5">
              <w:rPr>
                <w:noProof/>
                <w:szCs w:val="24"/>
              </w:rPr>
              <w:t>that has a clear an</w:t>
            </w:r>
            <w:r w:rsidR="00542DF1">
              <w:rPr>
                <w:noProof/>
                <w:szCs w:val="24"/>
              </w:rPr>
              <w:t>d</w:t>
            </w:r>
            <w:r w:rsidR="008A22A5" w:rsidRPr="008A22A5">
              <w:rPr>
                <w:noProof/>
                <w:szCs w:val="24"/>
              </w:rPr>
              <w:t xml:space="preserve"> unambiguous definition of the scope, content and development of the E3S case aligned to the various </w:t>
            </w:r>
            <w:r w:rsidR="00CA3BB5">
              <w:rPr>
                <w:noProof/>
                <w:szCs w:val="24"/>
              </w:rPr>
              <w:t xml:space="preserve">project </w:t>
            </w:r>
            <w:r w:rsidR="008A22A5" w:rsidRPr="008A22A5">
              <w:rPr>
                <w:noProof/>
                <w:szCs w:val="24"/>
              </w:rPr>
              <w:t xml:space="preserve">milestones </w:t>
            </w:r>
            <w:r w:rsidR="008A7F06">
              <w:rPr>
                <w:noProof/>
                <w:szCs w:val="24"/>
              </w:rPr>
              <w:t xml:space="preserve">(design and GDA related) </w:t>
            </w:r>
            <w:r w:rsidR="008A22A5" w:rsidRPr="008A22A5">
              <w:rPr>
                <w:noProof/>
                <w:szCs w:val="24"/>
              </w:rPr>
              <w:t>as it matures throughout GDA, with defined forward plans for aspects which require further development.</w:t>
            </w:r>
            <w:r w:rsidR="00450B67" w:rsidRPr="008A22A5">
              <w:rPr>
                <w:noProof/>
                <w:szCs w:val="24"/>
              </w:rPr>
              <w:t xml:space="preserve"> </w:t>
            </w:r>
          </w:p>
          <w:p w14:paraId="5203B4B9" w14:textId="77777777" w:rsidR="003A271D" w:rsidRPr="003A271D" w:rsidRDefault="003A271D" w:rsidP="003A271D">
            <w:pPr>
              <w:pStyle w:val="ListParagraph"/>
              <w:spacing w:before="60" w:after="60"/>
              <w:rPr>
                <w:noProof/>
                <w:szCs w:val="24"/>
              </w:rPr>
            </w:pPr>
          </w:p>
          <w:p w14:paraId="5C2F9A18" w14:textId="7295DF03" w:rsidR="00331C56" w:rsidRPr="00331C56" w:rsidRDefault="00331C56" w:rsidP="00331C56">
            <w:pPr>
              <w:spacing w:before="60" w:after="60"/>
              <w:rPr>
                <w:b/>
                <w:bCs/>
                <w:u w:val="single"/>
              </w:rPr>
            </w:pPr>
            <w:r w:rsidRPr="00331C56">
              <w:rPr>
                <w:b/>
                <w:bCs/>
                <w:u w:val="single"/>
              </w:rPr>
              <w:lastRenderedPageBreak/>
              <w:t>Regulatory Expectations</w:t>
            </w:r>
          </w:p>
          <w:p w14:paraId="7F876DD7" w14:textId="5C79CF0C" w:rsidR="00CA3BB5" w:rsidRDefault="003A271D" w:rsidP="00331C56">
            <w:pPr>
              <w:spacing w:before="60" w:after="60"/>
            </w:pPr>
            <w:r>
              <w:t xml:space="preserve">In responding to this Action, </w:t>
            </w:r>
            <w:r w:rsidR="00501A2F">
              <w:t>we</w:t>
            </w:r>
            <w:r>
              <w:t xml:space="preserve"> are seeking </w:t>
            </w:r>
            <w:r w:rsidR="00E530B0" w:rsidRPr="00E530B0">
              <w:t xml:space="preserve">a demonstration of the adequacy of the </w:t>
            </w:r>
            <w:r w:rsidR="009A5C51">
              <w:t xml:space="preserve">strategy and forward plans </w:t>
            </w:r>
            <w:r w:rsidR="00E530B0" w:rsidRPr="00E530B0">
              <w:t xml:space="preserve">that </w:t>
            </w:r>
            <w:r w:rsidR="00B9397B">
              <w:t xml:space="preserve">are needed to </w:t>
            </w:r>
            <w:r w:rsidR="00E530B0" w:rsidRPr="00E530B0">
              <w:t xml:space="preserve">develop the </w:t>
            </w:r>
            <w:r w:rsidR="00E55FEC">
              <w:t>E3S case</w:t>
            </w:r>
            <w:r w:rsidR="00E530B0" w:rsidRPr="00E530B0">
              <w:t xml:space="preserve"> throughout GDA</w:t>
            </w:r>
            <w:r w:rsidR="00C04D34">
              <w:t>, as enablers to development of the final consolidated E3S case produced at the end of Step 3</w:t>
            </w:r>
            <w:r w:rsidR="00E530B0" w:rsidRPr="00E530B0">
              <w:t xml:space="preserve">. </w:t>
            </w:r>
          </w:p>
          <w:p w14:paraId="21784BE1" w14:textId="77777777" w:rsidR="00CA3BB5" w:rsidRDefault="00CA3BB5" w:rsidP="00331C56">
            <w:pPr>
              <w:spacing w:before="60" w:after="60"/>
            </w:pPr>
          </w:p>
          <w:p w14:paraId="3E610304" w14:textId="27F782F5" w:rsidR="00E530B0" w:rsidRPr="00331C56" w:rsidRDefault="00E530B0" w:rsidP="00331C56">
            <w:pPr>
              <w:spacing w:before="60" w:after="60"/>
              <w:rPr>
                <w:noProof/>
                <w:szCs w:val="24"/>
              </w:rPr>
            </w:pPr>
            <w:r w:rsidRPr="00E530B0">
              <w:t>This should provide an adequate description of what the case is expected to contain and the approach that is being taken to manage and produce this</w:t>
            </w:r>
            <w:r w:rsidR="004537D5">
              <w:t>, including links to other related processes</w:t>
            </w:r>
            <w:r w:rsidRPr="00E530B0">
              <w:t xml:space="preserve">. The information provided should </w:t>
            </w:r>
            <w:r w:rsidR="005A333A">
              <w:t>clearly demonstrate that</w:t>
            </w:r>
            <w:r w:rsidRPr="00E530B0">
              <w:t xml:space="preserve"> a suitable and sufficient </w:t>
            </w:r>
            <w:r w:rsidR="00826D04">
              <w:t>E3S</w:t>
            </w:r>
            <w:r w:rsidRPr="00E530B0">
              <w:t xml:space="preserve"> case will be produced and continually developed throughout GDA, which is likely to meet UK regulatory expectations and facilitates the production of a subsequent site-specific </w:t>
            </w:r>
            <w:r>
              <w:t>E3S</w:t>
            </w:r>
            <w:r w:rsidRPr="00E530B0">
              <w:t xml:space="preserve"> case by the future licensee</w:t>
            </w:r>
            <w:r w:rsidR="001D5B61">
              <w:t xml:space="preserve"> post GDA</w:t>
            </w:r>
            <w:r w:rsidRPr="00E530B0">
              <w:t>.</w:t>
            </w:r>
          </w:p>
          <w:p w14:paraId="61F5E520" w14:textId="77777777" w:rsidR="00E34C1D" w:rsidRDefault="00E34C1D" w:rsidP="00E34C1D">
            <w:pPr>
              <w:spacing w:before="60" w:after="60"/>
            </w:pPr>
          </w:p>
          <w:p w14:paraId="6AF44753" w14:textId="500AD700" w:rsidR="00C72142" w:rsidRPr="00E34C1D" w:rsidRDefault="00383B8C" w:rsidP="00E34C1D">
            <w:pPr>
              <w:spacing w:before="60" w:after="60"/>
              <w:rPr>
                <w:noProof/>
                <w:szCs w:val="24"/>
              </w:rPr>
            </w:pPr>
            <w:r>
              <w:t>We</w:t>
            </w:r>
            <w:r w:rsidR="00F71FBD">
              <w:t xml:space="preserve"> expect that the </w:t>
            </w:r>
            <w:r w:rsidR="00E530B0" w:rsidRPr="00E530B0">
              <w:t>response to this Action should include information on</w:t>
            </w:r>
            <w:r w:rsidR="00C72142">
              <w:t>, amongst other matters</w:t>
            </w:r>
            <w:r w:rsidR="0004636F">
              <w:t xml:space="preserve"> considered relevant by the RP</w:t>
            </w:r>
            <w:r w:rsidR="00C72142">
              <w:t>:</w:t>
            </w:r>
          </w:p>
          <w:p w14:paraId="44108655" w14:textId="51608218" w:rsidR="00E530B0" w:rsidRPr="00E530B0" w:rsidRDefault="00E530B0" w:rsidP="00E34C1D">
            <w:pPr>
              <w:pStyle w:val="ListParagraph"/>
              <w:numPr>
                <w:ilvl w:val="0"/>
                <w:numId w:val="26"/>
              </w:numPr>
              <w:spacing w:before="60" w:after="60"/>
              <w:rPr>
                <w:noProof/>
                <w:szCs w:val="24"/>
              </w:rPr>
            </w:pPr>
            <w:r w:rsidRPr="00E530B0">
              <w:t xml:space="preserve">The documented </w:t>
            </w:r>
            <w:r w:rsidR="00D55AD4">
              <w:t>E3S</w:t>
            </w:r>
            <w:r w:rsidRPr="00E530B0">
              <w:t xml:space="preserve"> strategy, </w:t>
            </w:r>
            <w:r w:rsidR="003E0BF8">
              <w:t>including how th</w:t>
            </w:r>
            <w:r w:rsidR="00F706EE">
              <w:t>is is</w:t>
            </w:r>
            <w:r w:rsidR="003E0BF8">
              <w:t xml:space="preserve"> supported by </w:t>
            </w:r>
            <w:r w:rsidRPr="00E530B0">
              <w:t>associated processes and approach</w:t>
            </w:r>
            <w:r w:rsidR="005D453D">
              <w:t>. Collectively this</w:t>
            </w:r>
            <w:r w:rsidRPr="00E530B0">
              <w:t xml:space="preserve"> </w:t>
            </w:r>
            <w:r w:rsidR="0066074A">
              <w:t xml:space="preserve">should </w:t>
            </w:r>
            <w:r w:rsidRPr="00E530B0">
              <w:t xml:space="preserve">provide information on the objectives, scope and purpose for the overall </w:t>
            </w:r>
            <w:r>
              <w:t>E3S</w:t>
            </w:r>
            <w:r w:rsidRPr="00E530B0">
              <w:t xml:space="preserve"> case and how this will be cascaded into individual documents</w:t>
            </w:r>
            <w:r w:rsidR="00B9397B">
              <w:t xml:space="preserve"> at all levels of the E3S hierarchy</w:t>
            </w:r>
            <w:r w:rsidRPr="00E530B0">
              <w:t xml:space="preserve">; </w:t>
            </w:r>
          </w:p>
          <w:p w14:paraId="6C91EF86" w14:textId="5D5392E1" w:rsidR="00E530B0" w:rsidRPr="00E530B0" w:rsidRDefault="00E530B0" w:rsidP="00E34C1D">
            <w:pPr>
              <w:pStyle w:val="ListParagraph"/>
              <w:numPr>
                <w:ilvl w:val="0"/>
                <w:numId w:val="26"/>
              </w:numPr>
              <w:spacing w:before="60" w:after="60"/>
              <w:rPr>
                <w:noProof/>
                <w:szCs w:val="24"/>
              </w:rPr>
            </w:pPr>
            <w:r w:rsidRPr="00E530B0">
              <w:t xml:space="preserve">The integration of the overall strategy with any secondary strategies, such as those which may be produced at a topic, system or process level; </w:t>
            </w:r>
          </w:p>
          <w:p w14:paraId="22A2CD0E" w14:textId="74DF7819" w:rsidR="00E530B0" w:rsidRPr="00147B59" w:rsidRDefault="00E530B0" w:rsidP="00E34C1D">
            <w:pPr>
              <w:pStyle w:val="ListParagraph"/>
              <w:numPr>
                <w:ilvl w:val="0"/>
                <w:numId w:val="26"/>
              </w:numPr>
              <w:spacing w:before="60" w:after="60"/>
              <w:rPr>
                <w:noProof/>
                <w:szCs w:val="24"/>
              </w:rPr>
            </w:pPr>
            <w:r w:rsidRPr="00147B59">
              <w:t>Clear identification and definition of technical</w:t>
            </w:r>
            <w:r w:rsidR="00BC7ABA" w:rsidRPr="00147B59">
              <w:t>, design</w:t>
            </w:r>
            <w:r w:rsidRPr="00147B59">
              <w:t xml:space="preserve"> and </w:t>
            </w:r>
            <w:r w:rsidR="00421DD7" w:rsidRPr="00147B59">
              <w:t>E3S</w:t>
            </w:r>
            <w:r w:rsidRPr="00147B59">
              <w:t xml:space="preserve"> interfaces, and a description of how they are being </w:t>
            </w:r>
            <w:r w:rsidR="006C2ADF" w:rsidRPr="00147B59">
              <w:t xml:space="preserve">effectively </w:t>
            </w:r>
            <w:r w:rsidRPr="00147B59">
              <w:t xml:space="preserve">managed; </w:t>
            </w:r>
          </w:p>
          <w:p w14:paraId="35294766" w14:textId="517D35FE" w:rsidR="00E530B0" w:rsidRPr="00147B59" w:rsidRDefault="00E530B0" w:rsidP="00E34C1D">
            <w:pPr>
              <w:pStyle w:val="ListParagraph"/>
              <w:numPr>
                <w:ilvl w:val="0"/>
                <w:numId w:val="26"/>
              </w:numPr>
              <w:spacing w:before="60" w:after="60"/>
              <w:rPr>
                <w:noProof/>
                <w:szCs w:val="24"/>
              </w:rPr>
            </w:pPr>
            <w:r w:rsidRPr="00147B59">
              <w:t>The definition of the architecture of safety case documentation, demonstrating how the different levels and types of documentation</w:t>
            </w:r>
            <w:r w:rsidR="006C2ADF" w:rsidRPr="00147B59">
              <w:t>,</w:t>
            </w:r>
            <w:r w:rsidRPr="00147B59">
              <w:t xml:space="preserve"> and the arguments and evidence contained therein, will be produced and linked together to cover the full scope, interactions and content of the </w:t>
            </w:r>
            <w:r w:rsidR="008A7A1A" w:rsidRPr="00147B59">
              <w:t>E3S</w:t>
            </w:r>
            <w:r w:rsidRPr="00147B59">
              <w:t xml:space="preserve"> case; </w:t>
            </w:r>
          </w:p>
          <w:p w14:paraId="504243EC" w14:textId="2C817EB0" w:rsidR="008A7A1A" w:rsidRPr="00147B59" w:rsidRDefault="008A7A1A" w:rsidP="00E34C1D">
            <w:pPr>
              <w:pStyle w:val="ListParagraph"/>
              <w:numPr>
                <w:ilvl w:val="0"/>
                <w:numId w:val="26"/>
              </w:numPr>
              <w:spacing w:before="60" w:after="60"/>
              <w:rPr>
                <w:noProof/>
                <w:szCs w:val="24"/>
              </w:rPr>
            </w:pPr>
            <w:r w:rsidRPr="00147B59">
              <w:rPr>
                <w:noProof/>
                <w:szCs w:val="24"/>
              </w:rPr>
              <w:t xml:space="preserve">How the </w:t>
            </w:r>
            <w:r w:rsidR="007113F4" w:rsidRPr="00147B59">
              <w:rPr>
                <w:noProof/>
                <w:szCs w:val="24"/>
              </w:rPr>
              <w:t xml:space="preserve">E3S case is used to </w:t>
            </w:r>
            <w:r w:rsidRPr="00147B59">
              <w:rPr>
                <w:noProof/>
                <w:szCs w:val="24"/>
              </w:rPr>
              <w:t>inform and influence the design</w:t>
            </w:r>
            <w:r w:rsidR="007113F4" w:rsidRPr="00147B59">
              <w:rPr>
                <w:noProof/>
                <w:szCs w:val="24"/>
              </w:rPr>
              <w:t>, and vice versa;</w:t>
            </w:r>
          </w:p>
          <w:p w14:paraId="193481FD" w14:textId="6B97D72D" w:rsidR="008A7A1A" w:rsidRPr="00147B59" w:rsidRDefault="007113F4" w:rsidP="00E34C1D">
            <w:pPr>
              <w:pStyle w:val="ListParagraph"/>
              <w:numPr>
                <w:ilvl w:val="0"/>
                <w:numId w:val="26"/>
              </w:numPr>
              <w:spacing w:before="60" w:after="60"/>
              <w:rPr>
                <w:noProof/>
                <w:szCs w:val="24"/>
              </w:rPr>
            </w:pPr>
            <w:r w:rsidRPr="00147B59">
              <w:rPr>
                <w:noProof/>
                <w:szCs w:val="24"/>
              </w:rPr>
              <w:t xml:space="preserve">The </w:t>
            </w:r>
            <w:r w:rsidR="00EE4622" w:rsidRPr="00147B59">
              <w:rPr>
                <w:noProof/>
                <w:szCs w:val="24"/>
              </w:rPr>
              <w:t xml:space="preserve">means to ensure that the E3S case remains </w:t>
            </w:r>
            <w:r w:rsidR="008A7A1A" w:rsidRPr="00147B59">
              <w:rPr>
                <w:noProof/>
                <w:szCs w:val="24"/>
              </w:rPr>
              <w:t>consistent with, and comprehensively addresses the agreed GDA Scope</w:t>
            </w:r>
            <w:r w:rsidR="00324516" w:rsidRPr="00147B59">
              <w:rPr>
                <w:noProof/>
                <w:szCs w:val="24"/>
              </w:rPr>
              <w:t>;</w:t>
            </w:r>
          </w:p>
          <w:p w14:paraId="0E6B84CE" w14:textId="6A1022C2" w:rsidR="008A7A1A" w:rsidRPr="00147B59" w:rsidRDefault="00BC7ABA" w:rsidP="00E34C1D">
            <w:pPr>
              <w:pStyle w:val="ListParagraph"/>
              <w:numPr>
                <w:ilvl w:val="0"/>
                <w:numId w:val="26"/>
              </w:numPr>
              <w:spacing w:before="60" w:after="60"/>
              <w:rPr>
                <w:noProof/>
                <w:szCs w:val="24"/>
              </w:rPr>
            </w:pPr>
            <w:r w:rsidRPr="00147B59">
              <w:rPr>
                <w:noProof/>
                <w:szCs w:val="24"/>
              </w:rPr>
              <w:t xml:space="preserve">How the E3S case </w:t>
            </w:r>
            <w:r w:rsidR="00A03A72" w:rsidRPr="00147B59">
              <w:rPr>
                <w:noProof/>
                <w:szCs w:val="24"/>
              </w:rPr>
              <w:t xml:space="preserve">maintains alignment with the developing design, including the arrangements for </w:t>
            </w:r>
            <w:r w:rsidR="00324516" w:rsidRPr="00147B59">
              <w:rPr>
                <w:noProof/>
                <w:szCs w:val="24"/>
              </w:rPr>
              <w:t xml:space="preserve">definition and </w:t>
            </w:r>
            <w:r w:rsidR="00A03A72" w:rsidRPr="00147B59">
              <w:rPr>
                <w:noProof/>
                <w:szCs w:val="24"/>
              </w:rPr>
              <w:t>control of the Design Reference</w:t>
            </w:r>
            <w:r w:rsidR="00324516" w:rsidRPr="00147B59">
              <w:rPr>
                <w:noProof/>
                <w:szCs w:val="24"/>
              </w:rPr>
              <w:t>;</w:t>
            </w:r>
          </w:p>
          <w:p w14:paraId="00E432E9" w14:textId="7A62519F" w:rsidR="008A7A1A" w:rsidRPr="00147B59" w:rsidRDefault="009E62E9" w:rsidP="00E34C1D">
            <w:pPr>
              <w:pStyle w:val="ListParagraph"/>
              <w:numPr>
                <w:ilvl w:val="0"/>
                <w:numId w:val="26"/>
              </w:numPr>
              <w:spacing w:before="60" w:after="60"/>
              <w:rPr>
                <w:noProof/>
                <w:szCs w:val="24"/>
              </w:rPr>
            </w:pPr>
            <w:r w:rsidRPr="00147B59">
              <w:rPr>
                <w:noProof/>
                <w:szCs w:val="24"/>
              </w:rPr>
              <w:t>The definition of w</w:t>
            </w:r>
            <w:r w:rsidR="00324516" w:rsidRPr="00147B59">
              <w:rPr>
                <w:noProof/>
                <w:szCs w:val="24"/>
              </w:rPr>
              <w:t>hat w</w:t>
            </w:r>
            <w:r w:rsidR="008A7A1A" w:rsidRPr="00147B59">
              <w:rPr>
                <w:noProof/>
                <w:szCs w:val="24"/>
              </w:rPr>
              <w:t xml:space="preserve">ork still </w:t>
            </w:r>
            <w:r w:rsidRPr="00147B59">
              <w:rPr>
                <w:noProof/>
                <w:szCs w:val="24"/>
              </w:rPr>
              <w:t>remains</w:t>
            </w:r>
            <w:r w:rsidR="008A7A1A" w:rsidRPr="00147B59">
              <w:rPr>
                <w:noProof/>
                <w:szCs w:val="24"/>
              </w:rPr>
              <w:t xml:space="preserve"> to be done, either in design or E3S case justifications</w:t>
            </w:r>
            <w:r w:rsidR="00324516" w:rsidRPr="00147B59">
              <w:rPr>
                <w:noProof/>
                <w:szCs w:val="24"/>
              </w:rPr>
              <w:t xml:space="preserve">, and the documentation of this into </w:t>
            </w:r>
            <w:r w:rsidR="00403A15" w:rsidRPr="00147B59">
              <w:rPr>
                <w:noProof/>
                <w:szCs w:val="24"/>
              </w:rPr>
              <w:t xml:space="preserve">clear </w:t>
            </w:r>
            <w:r w:rsidR="00324516" w:rsidRPr="00147B59">
              <w:rPr>
                <w:noProof/>
                <w:szCs w:val="24"/>
              </w:rPr>
              <w:t>forward action plans</w:t>
            </w:r>
            <w:r w:rsidR="00825F6D" w:rsidRPr="00147B59">
              <w:rPr>
                <w:noProof/>
                <w:szCs w:val="24"/>
              </w:rPr>
              <w:t>;</w:t>
            </w:r>
          </w:p>
          <w:p w14:paraId="5346C70E" w14:textId="0E990450" w:rsidR="00A81CEE" w:rsidRPr="00147B59" w:rsidRDefault="00A81CEE" w:rsidP="00E34C1D">
            <w:pPr>
              <w:pStyle w:val="ListParagraph"/>
              <w:numPr>
                <w:ilvl w:val="0"/>
                <w:numId w:val="26"/>
              </w:numPr>
              <w:spacing w:before="60" w:after="60"/>
              <w:rPr>
                <w:noProof/>
                <w:szCs w:val="24"/>
              </w:rPr>
            </w:pPr>
            <w:r w:rsidRPr="00147B59">
              <w:rPr>
                <w:noProof/>
                <w:szCs w:val="24"/>
              </w:rPr>
              <w:t xml:space="preserve">How the development of the E3S case </w:t>
            </w:r>
            <w:r w:rsidR="00B23593" w:rsidRPr="00147B59">
              <w:rPr>
                <w:noProof/>
                <w:szCs w:val="24"/>
              </w:rPr>
              <w:t xml:space="preserve">is linked to other </w:t>
            </w:r>
            <w:r w:rsidR="00BE2B43" w:rsidRPr="00147B59">
              <w:rPr>
                <w:noProof/>
                <w:szCs w:val="24"/>
              </w:rPr>
              <w:t xml:space="preserve">key </w:t>
            </w:r>
            <w:r w:rsidR="00B23593" w:rsidRPr="00147B59">
              <w:rPr>
                <w:noProof/>
                <w:szCs w:val="24"/>
              </w:rPr>
              <w:t>Rolls-Royce SMR engineering processes, such as requirements management and the gated definition reviews;</w:t>
            </w:r>
          </w:p>
          <w:p w14:paraId="2F0477A0" w14:textId="4C80BE87" w:rsidR="00B23593" w:rsidRPr="00147B59" w:rsidRDefault="00B23593" w:rsidP="00E34C1D">
            <w:pPr>
              <w:pStyle w:val="ListParagraph"/>
              <w:numPr>
                <w:ilvl w:val="0"/>
                <w:numId w:val="26"/>
              </w:numPr>
              <w:spacing w:before="60" w:after="60"/>
              <w:rPr>
                <w:noProof/>
                <w:szCs w:val="24"/>
              </w:rPr>
            </w:pPr>
            <w:r w:rsidRPr="00147B59">
              <w:rPr>
                <w:noProof/>
                <w:szCs w:val="24"/>
              </w:rPr>
              <w:t xml:space="preserve">The integration of </w:t>
            </w:r>
            <w:r w:rsidR="00785DCF" w:rsidRPr="00147B59">
              <w:rPr>
                <w:noProof/>
                <w:szCs w:val="24"/>
              </w:rPr>
              <w:t>digital tools</w:t>
            </w:r>
            <w:r w:rsidR="007030CA" w:rsidRPr="00147B59">
              <w:rPr>
                <w:noProof/>
                <w:szCs w:val="24"/>
              </w:rPr>
              <w:t>,</w:t>
            </w:r>
            <w:r w:rsidR="00785DCF" w:rsidRPr="00147B59">
              <w:rPr>
                <w:noProof/>
                <w:szCs w:val="24"/>
              </w:rPr>
              <w:t xml:space="preserve"> </w:t>
            </w:r>
            <w:r w:rsidR="002640EA" w:rsidRPr="00147B59">
              <w:rPr>
                <w:noProof/>
                <w:szCs w:val="24"/>
              </w:rPr>
              <w:t xml:space="preserve">used to aid </w:t>
            </w:r>
            <w:r w:rsidR="007030CA" w:rsidRPr="00147B59">
              <w:rPr>
                <w:noProof/>
                <w:szCs w:val="24"/>
              </w:rPr>
              <w:t xml:space="preserve">the </w:t>
            </w:r>
            <w:r w:rsidR="002640EA" w:rsidRPr="00147B59">
              <w:rPr>
                <w:noProof/>
                <w:szCs w:val="24"/>
              </w:rPr>
              <w:t>production of the case and design</w:t>
            </w:r>
            <w:r w:rsidR="007030CA" w:rsidRPr="00147B59">
              <w:rPr>
                <w:noProof/>
                <w:szCs w:val="24"/>
              </w:rPr>
              <w:t>,</w:t>
            </w:r>
            <w:r w:rsidR="002640EA" w:rsidRPr="00147B59">
              <w:rPr>
                <w:noProof/>
                <w:szCs w:val="24"/>
              </w:rPr>
              <w:t xml:space="preserve"> </w:t>
            </w:r>
            <w:r w:rsidR="00785DCF" w:rsidRPr="00147B59">
              <w:rPr>
                <w:noProof/>
                <w:szCs w:val="24"/>
              </w:rPr>
              <w:t xml:space="preserve">into the </w:t>
            </w:r>
            <w:r w:rsidR="00BE2B43" w:rsidRPr="00147B59">
              <w:rPr>
                <w:noProof/>
                <w:szCs w:val="24"/>
              </w:rPr>
              <w:t xml:space="preserve">strategy and </w:t>
            </w:r>
            <w:r w:rsidR="00785DCF" w:rsidRPr="00147B59">
              <w:rPr>
                <w:noProof/>
                <w:szCs w:val="24"/>
              </w:rPr>
              <w:t>development;</w:t>
            </w:r>
          </w:p>
          <w:p w14:paraId="7B810DE1" w14:textId="264701B5" w:rsidR="00E530B0" w:rsidRPr="00147B59" w:rsidRDefault="00E530B0" w:rsidP="00E34C1D">
            <w:pPr>
              <w:pStyle w:val="ListParagraph"/>
              <w:numPr>
                <w:ilvl w:val="0"/>
                <w:numId w:val="26"/>
              </w:numPr>
              <w:spacing w:before="60" w:after="60"/>
              <w:rPr>
                <w:noProof/>
                <w:szCs w:val="24"/>
              </w:rPr>
            </w:pPr>
            <w:r w:rsidRPr="00147B59">
              <w:t>How learning from previous safety case experience</w:t>
            </w:r>
            <w:r w:rsidR="00284CA0" w:rsidRPr="00147B59">
              <w:t>, and relevant national and international guidance,</w:t>
            </w:r>
            <w:r w:rsidRPr="00147B59">
              <w:t xml:space="preserve"> has been incorporated in</w:t>
            </w:r>
            <w:r w:rsidR="00CB7640" w:rsidRPr="00147B59">
              <w:t>to</w:t>
            </w:r>
            <w:r w:rsidRPr="00147B59">
              <w:t xml:space="preserve"> the above strategy; and </w:t>
            </w:r>
          </w:p>
          <w:p w14:paraId="30895847" w14:textId="4E3D78BC" w:rsidR="00E530B0" w:rsidRPr="00147B59" w:rsidRDefault="00E530B0" w:rsidP="00E34C1D">
            <w:pPr>
              <w:pStyle w:val="ListParagraph"/>
              <w:numPr>
                <w:ilvl w:val="0"/>
                <w:numId w:val="26"/>
              </w:numPr>
              <w:spacing w:before="60" w:after="60"/>
              <w:rPr>
                <w:noProof/>
                <w:szCs w:val="24"/>
              </w:rPr>
            </w:pPr>
            <w:r w:rsidRPr="00147B59">
              <w:t xml:space="preserve">How progress will be measured, reviewed and controlled and how the success </w:t>
            </w:r>
            <w:r w:rsidR="007030CA" w:rsidRPr="00147B59">
              <w:t>(in terms of adequacy, quality, suitability</w:t>
            </w:r>
            <w:r w:rsidR="005578AD" w:rsidRPr="00147B59">
              <w:t xml:space="preserve"> etc.) </w:t>
            </w:r>
            <w:r w:rsidRPr="00147B59">
              <w:t>of the outputs will be measured.</w:t>
            </w:r>
          </w:p>
          <w:p w14:paraId="20AA25FA" w14:textId="50D3C8FA" w:rsidR="003C7579" w:rsidRPr="00E530B0" w:rsidRDefault="003C7579" w:rsidP="0048438C">
            <w:pPr>
              <w:spacing w:before="60" w:after="60"/>
              <w:rPr>
                <w:noProof/>
                <w:szCs w:val="24"/>
              </w:rPr>
            </w:pPr>
          </w:p>
          <w:p w14:paraId="4573E04D" w14:textId="0F921E3A" w:rsidR="00850471" w:rsidRPr="00A44F4F" w:rsidRDefault="00E530B0" w:rsidP="0048438C">
            <w:pPr>
              <w:spacing w:before="60" w:after="60"/>
              <w:rPr>
                <w:bCs/>
                <w:noProof/>
                <w:szCs w:val="24"/>
              </w:rPr>
            </w:pPr>
            <w:r w:rsidRPr="00FD0CB5">
              <w:rPr>
                <w:bCs/>
                <w:noProof/>
                <w:szCs w:val="24"/>
              </w:rPr>
              <w:t>Resolution required by '</w:t>
            </w:r>
            <w:r w:rsidRPr="00FD0CB5">
              <w:rPr>
                <w:bCs/>
                <w:i/>
                <w:noProof/>
                <w:szCs w:val="24"/>
              </w:rPr>
              <w:t xml:space="preserve">to be determined by </w:t>
            </w:r>
            <w:r>
              <w:rPr>
                <w:bCs/>
                <w:i/>
                <w:noProof/>
                <w:szCs w:val="24"/>
              </w:rPr>
              <w:t>Rolls-Royce SMR Limited</w:t>
            </w:r>
            <w:r w:rsidRPr="00FD0CB5">
              <w:rPr>
                <w:bCs/>
                <w:i/>
                <w:noProof/>
                <w:szCs w:val="24"/>
              </w:rPr>
              <w:t xml:space="preserve"> Resolution Plan</w:t>
            </w:r>
            <w:r w:rsidRPr="00FD0CB5">
              <w:rPr>
                <w:bCs/>
                <w:noProof/>
                <w:szCs w:val="24"/>
              </w:rPr>
              <w:t>'</w:t>
            </w:r>
          </w:p>
        </w:tc>
      </w:tr>
      <w:tr w:rsidR="003A271D" w:rsidRPr="0048438C" w14:paraId="2F3CF379" w14:textId="77777777" w:rsidTr="1FB060AA">
        <w:trPr>
          <w:trHeight w:val="242"/>
        </w:trPr>
        <w:tc>
          <w:tcPr>
            <w:tcW w:w="9897" w:type="dxa"/>
            <w:gridSpan w:val="2"/>
            <w:shd w:val="clear" w:color="auto" w:fill="auto"/>
          </w:tcPr>
          <w:p w14:paraId="474BE940" w14:textId="45694CB8" w:rsidR="003A271D" w:rsidRPr="0048438C" w:rsidRDefault="003A271D" w:rsidP="003A271D">
            <w:pPr>
              <w:spacing w:before="60" w:after="60"/>
              <w:rPr>
                <w:b/>
                <w:noProof/>
                <w:szCs w:val="24"/>
              </w:rPr>
            </w:pPr>
            <w:r w:rsidRPr="0048438C">
              <w:rPr>
                <w:b/>
                <w:noProof/>
                <w:szCs w:val="24"/>
              </w:rPr>
              <w:lastRenderedPageBreak/>
              <w:t>RO-</w:t>
            </w:r>
            <w:r>
              <w:rPr>
                <w:b/>
                <w:noProof/>
                <w:szCs w:val="24"/>
              </w:rPr>
              <w:t>RRSMR</w:t>
            </w:r>
            <w:r w:rsidRPr="0048438C">
              <w:rPr>
                <w:b/>
                <w:noProof/>
                <w:szCs w:val="24"/>
              </w:rPr>
              <w:t>-</w:t>
            </w:r>
            <w:r w:rsidR="00E72582">
              <w:rPr>
                <w:b/>
                <w:noProof/>
                <w:szCs w:val="24"/>
              </w:rPr>
              <w:t>001</w:t>
            </w:r>
            <w:r w:rsidRPr="0048438C">
              <w:rPr>
                <w:b/>
                <w:noProof/>
                <w:szCs w:val="24"/>
              </w:rPr>
              <w:t>.A</w:t>
            </w:r>
            <w:r w:rsidR="00E72582">
              <w:rPr>
                <w:b/>
                <w:noProof/>
                <w:szCs w:val="24"/>
              </w:rPr>
              <w:t>2</w:t>
            </w:r>
            <w:r w:rsidRPr="0048438C">
              <w:rPr>
                <w:b/>
                <w:noProof/>
                <w:szCs w:val="24"/>
              </w:rPr>
              <w:t xml:space="preserve"> – </w:t>
            </w:r>
            <w:r>
              <w:rPr>
                <w:b/>
                <w:noProof/>
                <w:szCs w:val="24"/>
              </w:rPr>
              <w:t xml:space="preserve">E3S </w:t>
            </w:r>
            <w:r w:rsidR="005D1406">
              <w:rPr>
                <w:b/>
                <w:noProof/>
                <w:szCs w:val="24"/>
              </w:rPr>
              <w:t>proces</w:t>
            </w:r>
            <w:r w:rsidR="00ED09CF">
              <w:rPr>
                <w:b/>
                <w:noProof/>
                <w:szCs w:val="24"/>
              </w:rPr>
              <w:t>s</w:t>
            </w:r>
            <w:r w:rsidR="005D1406">
              <w:rPr>
                <w:b/>
                <w:noProof/>
                <w:szCs w:val="24"/>
              </w:rPr>
              <w:t>es, governance and oversight</w:t>
            </w:r>
          </w:p>
          <w:p w14:paraId="3077F663" w14:textId="77777777" w:rsidR="00CC3F2F" w:rsidRDefault="00CC3F2F" w:rsidP="00CC3F2F">
            <w:pPr>
              <w:spacing w:before="60" w:after="60"/>
              <w:rPr>
                <w:noProof/>
                <w:szCs w:val="24"/>
              </w:rPr>
            </w:pPr>
          </w:p>
          <w:p w14:paraId="45AAB6A3" w14:textId="2BB09605" w:rsidR="00CC3F2F" w:rsidRDefault="00CC3F2F" w:rsidP="00CC3F2F">
            <w:pPr>
              <w:spacing w:before="60" w:after="60"/>
              <w:rPr>
                <w:noProof/>
                <w:szCs w:val="24"/>
              </w:rPr>
            </w:pPr>
            <w:r w:rsidRPr="0048438C">
              <w:rPr>
                <w:noProof/>
                <w:szCs w:val="24"/>
              </w:rPr>
              <w:t xml:space="preserve">In response to this Regulatory Observation Action, </w:t>
            </w:r>
            <w:r>
              <w:rPr>
                <w:noProof/>
                <w:szCs w:val="24"/>
              </w:rPr>
              <w:t>Rolls-Royce SMR Ltd</w:t>
            </w:r>
            <w:r w:rsidRPr="0048438C">
              <w:rPr>
                <w:noProof/>
                <w:szCs w:val="24"/>
              </w:rPr>
              <w:t xml:space="preserve"> should:</w:t>
            </w:r>
          </w:p>
          <w:p w14:paraId="412D6B20" w14:textId="77777777" w:rsidR="00CC3F2F" w:rsidRDefault="00CC3F2F" w:rsidP="00CC3F2F">
            <w:pPr>
              <w:spacing w:before="60" w:after="60"/>
              <w:rPr>
                <w:noProof/>
                <w:szCs w:val="24"/>
              </w:rPr>
            </w:pPr>
          </w:p>
          <w:p w14:paraId="5D1D3C9A" w14:textId="48CAFE86" w:rsidR="00CC3F2F" w:rsidRPr="0004636F" w:rsidRDefault="0004636F" w:rsidP="0004636F">
            <w:pPr>
              <w:spacing w:before="60" w:after="60"/>
              <w:rPr>
                <w:noProof/>
                <w:szCs w:val="24"/>
              </w:rPr>
            </w:pPr>
            <w:r>
              <w:rPr>
                <w:noProof/>
                <w:szCs w:val="24"/>
              </w:rPr>
              <w:t>Demonstrate the adequacy of the</w:t>
            </w:r>
            <w:r w:rsidR="0038429B">
              <w:rPr>
                <w:noProof/>
                <w:szCs w:val="24"/>
              </w:rPr>
              <w:t>ir</w:t>
            </w:r>
            <w:r>
              <w:rPr>
                <w:noProof/>
                <w:szCs w:val="24"/>
              </w:rPr>
              <w:t xml:space="preserve"> o</w:t>
            </w:r>
            <w:r w:rsidR="00647041" w:rsidRPr="0004636F">
              <w:rPr>
                <w:noProof/>
                <w:szCs w:val="24"/>
              </w:rPr>
              <w:t>rganisation</w:t>
            </w:r>
            <w:r w:rsidR="004B13E3" w:rsidRPr="0004636F">
              <w:rPr>
                <w:noProof/>
                <w:szCs w:val="24"/>
              </w:rPr>
              <w:t>al arrangements</w:t>
            </w:r>
            <w:r w:rsidR="00647041" w:rsidRPr="0004636F">
              <w:rPr>
                <w:noProof/>
                <w:szCs w:val="24"/>
              </w:rPr>
              <w:t xml:space="preserve"> to support the development of the E3S case for GDA.</w:t>
            </w:r>
            <w:r w:rsidR="006D0F2B" w:rsidRPr="0004636F">
              <w:rPr>
                <w:noProof/>
                <w:szCs w:val="24"/>
              </w:rPr>
              <w:t xml:space="preserve"> </w:t>
            </w:r>
            <w:r w:rsidR="00E6066E" w:rsidRPr="0004636F">
              <w:rPr>
                <w:noProof/>
                <w:szCs w:val="24"/>
              </w:rPr>
              <w:t>T</w:t>
            </w:r>
            <w:r w:rsidR="006D0F2B" w:rsidRPr="0004636F">
              <w:rPr>
                <w:noProof/>
                <w:szCs w:val="24"/>
              </w:rPr>
              <w:t xml:space="preserve">his </w:t>
            </w:r>
            <w:r w:rsidR="001D4A7C" w:rsidRPr="0004636F">
              <w:rPr>
                <w:noProof/>
                <w:szCs w:val="24"/>
              </w:rPr>
              <w:t>should include</w:t>
            </w:r>
            <w:r w:rsidR="004B13E3" w:rsidRPr="0004636F">
              <w:rPr>
                <w:noProof/>
                <w:szCs w:val="24"/>
              </w:rPr>
              <w:t xml:space="preserve"> </w:t>
            </w:r>
            <w:r w:rsidR="00E6066E" w:rsidRPr="0004636F">
              <w:rPr>
                <w:noProof/>
                <w:szCs w:val="24"/>
              </w:rPr>
              <w:t xml:space="preserve">roles and responsibilities, </w:t>
            </w:r>
            <w:r w:rsidR="00647041" w:rsidRPr="0004636F">
              <w:rPr>
                <w:noProof/>
                <w:szCs w:val="24"/>
              </w:rPr>
              <w:t xml:space="preserve">relevent </w:t>
            </w:r>
            <w:r w:rsidR="004B13E3" w:rsidRPr="0004636F">
              <w:rPr>
                <w:noProof/>
                <w:szCs w:val="24"/>
              </w:rPr>
              <w:t>processes, governance and oversight of the case.</w:t>
            </w:r>
          </w:p>
          <w:p w14:paraId="23D158BB" w14:textId="77777777" w:rsidR="0004636F" w:rsidRDefault="0004636F" w:rsidP="0004636F">
            <w:pPr>
              <w:spacing w:before="60" w:after="60"/>
              <w:rPr>
                <w:noProof/>
                <w:szCs w:val="24"/>
              </w:rPr>
            </w:pPr>
          </w:p>
          <w:p w14:paraId="3426C8EF" w14:textId="77777777" w:rsidR="0004636F" w:rsidRPr="0004636F" w:rsidRDefault="0004636F" w:rsidP="0004636F">
            <w:pPr>
              <w:spacing w:before="60" w:after="60"/>
              <w:rPr>
                <w:b/>
                <w:bCs/>
                <w:noProof/>
                <w:szCs w:val="24"/>
                <w:u w:val="single"/>
              </w:rPr>
            </w:pPr>
            <w:r w:rsidRPr="0004636F">
              <w:rPr>
                <w:b/>
                <w:bCs/>
                <w:noProof/>
                <w:szCs w:val="24"/>
                <w:u w:val="single"/>
              </w:rPr>
              <w:t>Regulatory Expectations</w:t>
            </w:r>
          </w:p>
          <w:p w14:paraId="00D6C6E7" w14:textId="79AE54B9" w:rsidR="003A271D" w:rsidRPr="003A271D" w:rsidRDefault="00D30BB1" w:rsidP="0004636F">
            <w:pPr>
              <w:spacing w:before="60" w:after="60"/>
              <w:rPr>
                <w:noProof/>
                <w:szCs w:val="24"/>
              </w:rPr>
            </w:pPr>
            <w:r>
              <w:t xml:space="preserve">In response to this Action, we are seeking </w:t>
            </w:r>
            <w:r w:rsidR="00EB4472">
              <w:t xml:space="preserve">clarity over the </w:t>
            </w:r>
            <w:r w:rsidR="0038429B">
              <w:t>ownership and direction</w:t>
            </w:r>
            <w:r w:rsidR="00EB4472" w:rsidRPr="00EB4472">
              <w:t xml:space="preserve"> for the </w:t>
            </w:r>
            <w:r w:rsidR="00EB4472">
              <w:t xml:space="preserve">E3S </w:t>
            </w:r>
            <w:r w:rsidR="00EB4472" w:rsidRPr="00EB4472">
              <w:t>case</w:t>
            </w:r>
            <w:r w:rsidR="0038429B">
              <w:t xml:space="preserve"> (the “controlling mind”)</w:t>
            </w:r>
            <w:r w:rsidR="001C4D46">
              <w:t>, how this interacts with the ongoing design work</w:t>
            </w:r>
            <w:r w:rsidR="00EB4472" w:rsidRPr="00EB4472">
              <w:t xml:space="preserve"> </w:t>
            </w:r>
            <w:r w:rsidR="001D0866">
              <w:t xml:space="preserve">and confidence that the development </w:t>
            </w:r>
            <w:r w:rsidR="00645A2F">
              <w:t xml:space="preserve">approach </w:t>
            </w:r>
            <w:r w:rsidR="001D0866">
              <w:t xml:space="preserve">is suitably </w:t>
            </w:r>
            <w:r w:rsidR="00EB4472" w:rsidRPr="00EB4472">
              <w:t xml:space="preserve">embedded </w:t>
            </w:r>
            <w:r w:rsidR="001D0866">
              <w:t>throughout Rolls-Royce SMR Ltd.</w:t>
            </w:r>
          </w:p>
          <w:p w14:paraId="7113FA8A" w14:textId="77777777" w:rsidR="003A271D" w:rsidRPr="003A271D" w:rsidRDefault="003A271D" w:rsidP="003A271D">
            <w:pPr>
              <w:pStyle w:val="ListParagraph"/>
              <w:spacing w:before="60" w:after="60"/>
              <w:rPr>
                <w:noProof/>
                <w:szCs w:val="24"/>
              </w:rPr>
            </w:pPr>
          </w:p>
          <w:p w14:paraId="7BA16561" w14:textId="77777777" w:rsidR="0004636F" w:rsidRPr="0004636F" w:rsidRDefault="0004636F" w:rsidP="0004636F">
            <w:pPr>
              <w:spacing w:before="60" w:after="60"/>
              <w:rPr>
                <w:noProof/>
                <w:szCs w:val="24"/>
              </w:rPr>
            </w:pPr>
            <w:r w:rsidRPr="0004636F">
              <w:t>We expect that the response to this Action should include information on, amongst other matters considered relevant by the RP:</w:t>
            </w:r>
          </w:p>
          <w:p w14:paraId="4B4377E1" w14:textId="3C2F3F6F" w:rsidR="003A271D" w:rsidRPr="003A271D" w:rsidRDefault="003A271D" w:rsidP="0004636F">
            <w:pPr>
              <w:pStyle w:val="ListParagraph"/>
              <w:numPr>
                <w:ilvl w:val="0"/>
                <w:numId w:val="27"/>
              </w:numPr>
              <w:spacing w:before="60" w:after="60"/>
              <w:rPr>
                <w:noProof/>
                <w:szCs w:val="24"/>
              </w:rPr>
            </w:pPr>
            <w:r>
              <w:t>The organisational arrangement</w:t>
            </w:r>
            <w:r w:rsidR="00A23487">
              <w:t>s</w:t>
            </w:r>
            <w:r>
              <w:t xml:space="preserve">, roles and associated responsibilities and authorities related with the </w:t>
            </w:r>
            <w:r w:rsidR="00E10DBC">
              <w:t>development</w:t>
            </w:r>
            <w:r>
              <w:t xml:space="preserve"> of the </w:t>
            </w:r>
            <w:r w:rsidR="002B41B4">
              <w:t>E3S</w:t>
            </w:r>
            <w:r>
              <w:t xml:space="preserve"> case;</w:t>
            </w:r>
          </w:p>
          <w:p w14:paraId="6B31C171" w14:textId="6C683AD8" w:rsidR="003A271D" w:rsidRPr="003A271D" w:rsidRDefault="003A271D" w:rsidP="0004636F">
            <w:pPr>
              <w:pStyle w:val="ListParagraph"/>
              <w:numPr>
                <w:ilvl w:val="0"/>
                <w:numId w:val="27"/>
              </w:numPr>
              <w:spacing w:before="60" w:after="60"/>
              <w:rPr>
                <w:noProof/>
                <w:szCs w:val="24"/>
              </w:rPr>
            </w:pPr>
            <w:r>
              <w:t xml:space="preserve">The arrangements for ensuring management oversight of the development of the </w:t>
            </w:r>
            <w:r w:rsidR="002B41B4">
              <w:t>E3S</w:t>
            </w:r>
            <w:r>
              <w:t xml:space="preserve"> </w:t>
            </w:r>
            <w:r w:rsidR="00147B59">
              <w:t xml:space="preserve">case </w:t>
            </w:r>
            <w:r>
              <w:t>by individuals with authority and influence to ensure the effective implementation of the strategy</w:t>
            </w:r>
            <w:r w:rsidR="002B41B4">
              <w:t>;</w:t>
            </w:r>
          </w:p>
          <w:p w14:paraId="317F95D2" w14:textId="633D2478" w:rsidR="003A271D" w:rsidRPr="003A271D" w:rsidRDefault="003A271D" w:rsidP="0004636F">
            <w:pPr>
              <w:pStyle w:val="ListParagraph"/>
              <w:numPr>
                <w:ilvl w:val="0"/>
                <w:numId w:val="27"/>
              </w:numPr>
              <w:spacing w:before="60" w:after="60"/>
              <w:rPr>
                <w:noProof/>
                <w:szCs w:val="24"/>
              </w:rPr>
            </w:pPr>
            <w:r>
              <w:t xml:space="preserve">The arrangements to ensure that suitably qualified and experienced </w:t>
            </w:r>
            <w:r w:rsidR="00C3538A">
              <w:t xml:space="preserve">environment, </w:t>
            </w:r>
            <w:r>
              <w:t>safety</w:t>
            </w:r>
            <w:r w:rsidR="00C3538A">
              <w:t xml:space="preserve">, security and safeguard case </w:t>
            </w:r>
            <w:r>
              <w:t xml:space="preserve">professionals are used to provide advice on and support </w:t>
            </w:r>
            <w:r w:rsidR="00C3538A">
              <w:t>development of the E3S</w:t>
            </w:r>
            <w:r>
              <w:t xml:space="preserve"> case</w:t>
            </w:r>
            <w:r w:rsidR="005D0C6E">
              <w:t xml:space="preserve"> at all levels within the RP</w:t>
            </w:r>
            <w:r>
              <w:t>;</w:t>
            </w:r>
          </w:p>
          <w:p w14:paraId="57DC8C78" w14:textId="42207136" w:rsidR="00F86AFE" w:rsidRDefault="00B768EC" w:rsidP="0004636F">
            <w:pPr>
              <w:pStyle w:val="ListParagraph"/>
              <w:numPr>
                <w:ilvl w:val="0"/>
                <w:numId w:val="27"/>
              </w:numPr>
              <w:spacing w:before="60" w:after="60"/>
              <w:rPr>
                <w:noProof/>
                <w:szCs w:val="24"/>
              </w:rPr>
            </w:pPr>
            <w:r>
              <w:rPr>
                <w:noProof/>
                <w:szCs w:val="24"/>
              </w:rPr>
              <w:t xml:space="preserve">Those </w:t>
            </w:r>
            <w:r w:rsidR="0062570C">
              <w:rPr>
                <w:noProof/>
                <w:szCs w:val="24"/>
              </w:rPr>
              <w:t xml:space="preserve">arrangements which provide governance of the E3S case outputs, including how they are </w:t>
            </w:r>
            <w:r w:rsidR="00F86AFE">
              <w:rPr>
                <w:noProof/>
                <w:szCs w:val="24"/>
              </w:rPr>
              <w:t xml:space="preserve">planned and </w:t>
            </w:r>
            <w:r w:rsidR="00220446">
              <w:rPr>
                <w:noProof/>
                <w:szCs w:val="24"/>
              </w:rPr>
              <w:t>undertaken</w:t>
            </w:r>
            <w:r w:rsidR="00F86AFE">
              <w:rPr>
                <w:noProof/>
                <w:szCs w:val="24"/>
              </w:rPr>
              <w:t xml:space="preserve"> to ensure they deliver appropriate E3S outcomes;</w:t>
            </w:r>
          </w:p>
          <w:p w14:paraId="4FDF1A73" w14:textId="3634CBD5" w:rsidR="000A0C09" w:rsidRPr="000A0C09" w:rsidRDefault="00F86AFE" w:rsidP="0004636F">
            <w:pPr>
              <w:pStyle w:val="ListParagraph"/>
              <w:numPr>
                <w:ilvl w:val="0"/>
                <w:numId w:val="27"/>
              </w:numPr>
              <w:spacing w:before="60" w:after="60"/>
              <w:rPr>
                <w:noProof/>
                <w:szCs w:val="24"/>
              </w:rPr>
            </w:pPr>
            <w:r>
              <w:rPr>
                <w:noProof/>
                <w:szCs w:val="24"/>
              </w:rPr>
              <w:t xml:space="preserve">How </w:t>
            </w:r>
            <w:r w:rsidR="00656958">
              <w:rPr>
                <w:noProof/>
                <w:szCs w:val="24"/>
              </w:rPr>
              <w:t>E3S processes are linked to assoc</w:t>
            </w:r>
            <w:r w:rsidR="00E23F6D">
              <w:rPr>
                <w:noProof/>
                <w:szCs w:val="24"/>
              </w:rPr>
              <w:t>iate</w:t>
            </w:r>
            <w:r w:rsidR="00656958">
              <w:rPr>
                <w:noProof/>
                <w:szCs w:val="24"/>
              </w:rPr>
              <w:t>d engineering activities, including the defined gated review process;</w:t>
            </w:r>
            <w:r w:rsidR="000A0C09">
              <w:rPr>
                <w:noProof/>
                <w:szCs w:val="24"/>
              </w:rPr>
              <w:t xml:space="preserve"> </w:t>
            </w:r>
          </w:p>
          <w:p w14:paraId="26FDAF12" w14:textId="716F24AE" w:rsidR="003A271D" w:rsidRPr="003A271D" w:rsidRDefault="003A271D" w:rsidP="0004636F">
            <w:pPr>
              <w:pStyle w:val="ListParagraph"/>
              <w:numPr>
                <w:ilvl w:val="0"/>
                <w:numId w:val="27"/>
              </w:numPr>
              <w:spacing w:before="60" w:after="60"/>
              <w:rPr>
                <w:noProof/>
                <w:szCs w:val="24"/>
              </w:rPr>
            </w:pPr>
            <w:r>
              <w:t xml:space="preserve">Any training undertaken / planned to authors or other individuals who have a role in producing the </w:t>
            </w:r>
            <w:r w:rsidR="00C3538A">
              <w:t>E3S</w:t>
            </w:r>
            <w:r>
              <w:t xml:space="preserve"> case;</w:t>
            </w:r>
          </w:p>
          <w:p w14:paraId="31A11871" w14:textId="7BC87818" w:rsidR="003A271D" w:rsidRPr="003A271D" w:rsidRDefault="003A271D" w:rsidP="0004636F">
            <w:pPr>
              <w:pStyle w:val="ListParagraph"/>
              <w:numPr>
                <w:ilvl w:val="0"/>
                <w:numId w:val="27"/>
              </w:numPr>
              <w:spacing w:before="60" w:after="60"/>
              <w:rPr>
                <w:noProof/>
                <w:szCs w:val="24"/>
              </w:rPr>
            </w:pPr>
            <w:r>
              <w:t>Any independent or peer review activities and processes that may be employed;</w:t>
            </w:r>
            <w:r w:rsidR="00777A0F">
              <w:t xml:space="preserve"> and</w:t>
            </w:r>
          </w:p>
          <w:p w14:paraId="57260D14" w14:textId="78C438D3" w:rsidR="003A271D" w:rsidRPr="00777A0F" w:rsidRDefault="003A271D" w:rsidP="0004636F">
            <w:pPr>
              <w:pStyle w:val="ListParagraph"/>
              <w:numPr>
                <w:ilvl w:val="0"/>
                <w:numId w:val="27"/>
              </w:numPr>
              <w:spacing w:before="60" w:after="60"/>
              <w:rPr>
                <w:noProof/>
                <w:szCs w:val="24"/>
              </w:rPr>
            </w:pPr>
            <w:r>
              <w:t xml:space="preserve">How any </w:t>
            </w:r>
            <w:r w:rsidR="00C3538A">
              <w:t>third-party</w:t>
            </w:r>
            <w:r>
              <w:t xml:space="preserve"> inputs </w:t>
            </w:r>
            <w:r w:rsidR="00015A70">
              <w:t xml:space="preserve">for the E3S case </w:t>
            </w:r>
            <w:r>
              <w:t xml:space="preserve">will be specified, controlled, managed and </w:t>
            </w:r>
            <w:r w:rsidR="00777A0F">
              <w:t>integrated.</w:t>
            </w:r>
          </w:p>
          <w:p w14:paraId="1E9CD1FE" w14:textId="77777777" w:rsidR="00777A0F" w:rsidRPr="00777A0F" w:rsidRDefault="00777A0F" w:rsidP="00777A0F">
            <w:pPr>
              <w:spacing w:before="60" w:after="60"/>
              <w:rPr>
                <w:noProof/>
                <w:szCs w:val="24"/>
              </w:rPr>
            </w:pPr>
          </w:p>
          <w:p w14:paraId="7D688ED8" w14:textId="514A5529" w:rsidR="003A271D" w:rsidRPr="00CB1C94" w:rsidRDefault="003A271D" w:rsidP="003A271D">
            <w:pPr>
              <w:spacing w:before="60" w:after="60"/>
              <w:rPr>
                <w:bCs/>
                <w:noProof/>
                <w:szCs w:val="24"/>
              </w:rPr>
            </w:pPr>
            <w:r w:rsidRPr="00FD0CB5">
              <w:rPr>
                <w:bCs/>
                <w:noProof/>
                <w:szCs w:val="24"/>
              </w:rPr>
              <w:t>Resolution required by '</w:t>
            </w:r>
            <w:r w:rsidRPr="00FD0CB5">
              <w:rPr>
                <w:bCs/>
                <w:i/>
                <w:noProof/>
                <w:szCs w:val="24"/>
              </w:rPr>
              <w:t xml:space="preserve">to be determined by </w:t>
            </w:r>
            <w:r>
              <w:rPr>
                <w:bCs/>
                <w:i/>
                <w:noProof/>
                <w:szCs w:val="24"/>
              </w:rPr>
              <w:t>Rolls-Royce SMR Limited</w:t>
            </w:r>
            <w:r w:rsidRPr="00FD0CB5">
              <w:rPr>
                <w:bCs/>
                <w:i/>
                <w:noProof/>
                <w:szCs w:val="24"/>
              </w:rPr>
              <w:t xml:space="preserve"> Resolution Plan</w:t>
            </w:r>
            <w:r w:rsidRPr="00FD0CB5">
              <w:rPr>
                <w:bCs/>
                <w:noProof/>
                <w:szCs w:val="24"/>
              </w:rPr>
              <w:t>'</w:t>
            </w:r>
          </w:p>
        </w:tc>
      </w:tr>
    </w:tbl>
    <w:p w14:paraId="6E129088" w14:textId="77777777" w:rsidR="00D837C8" w:rsidRDefault="00D837C8"/>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6436"/>
        <w:gridCol w:w="3461"/>
      </w:tblGrid>
      <w:tr w:rsidR="00850471" w:rsidRPr="0048438C" w14:paraId="4573E050" w14:textId="77777777" w:rsidTr="00D837C8">
        <w:trPr>
          <w:trHeight w:val="316"/>
        </w:trPr>
        <w:tc>
          <w:tcPr>
            <w:tcW w:w="9897" w:type="dxa"/>
            <w:gridSpan w:val="2"/>
            <w:shd w:val="clear" w:color="auto" w:fill="D9D9D9" w:themeFill="background1" w:themeFillShade="D9"/>
          </w:tcPr>
          <w:p w14:paraId="4573E04F" w14:textId="77777777" w:rsidR="00850471" w:rsidRPr="0048438C" w:rsidRDefault="00850471" w:rsidP="0048438C">
            <w:pPr>
              <w:spacing w:before="60" w:after="60"/>
              <w:jc w:val="center"/>
              <w:rPr>
                <w:szCs w:val="24"/>
              </w:rPr>
            </w:pPr>
            <w:r w:rsidRPr="0048438C">
              <w:rPr>
                <w:b/>
                <w:szCs w:val="24"/>
              </w:rPr>
              <w:t>REQUESTING PARTY TO COMPLETE</w:t>
            </w:r>
          </w:p>
        </w:tc>
      </w:tr>
      <w:tr w:rsidR="00850471" w:rsidRPr="0048438C" w14:paraId="4573E053" w14:textId="77777777" w:rsidTr="009459D7">
        <w:trPr>
          <w:trHeight w:val="204"/>
        </w:trPr>
        <w:tc>
          <w:tcPr>
            <w:tcW w:w="6436" w:type="dxa"/>
            <w:shd w:val="clear" w:color="auto" w:fill="auto"/>
          </w:tcPr>
          <w:p w14:paraId="4573E051" w14:textId="4EF38771" w:rsidR="00850471" w:rsidRPr="0048438C" w:rsidRDefault="00850471" w:rsidP="0048438C">
            <w:pPr>
              <w:spacing w:before="60" w:after="60"/>
              <w:rPr>
                <w:b/>
                <w:szCs w:val="24"/>
              </w:rPr>
            </w:pPr>
            <w:r w:rsidRPr="0048438C">
              <w:rPr>
                <w:b/>
                <w:szCs w:val="24"/>
              </w:rPr>
              <w:t>Actual Acknowledgement date</w:t>
            </w:r>
            <w:r w:rsidR="00367C32">
              <w:rPr>
                <w:b/>
                <w:szCs w:val="24"/>
              </w:rPr>
              <w:t xml:space="preserve"> </w:t>
            </w:r>
            <w:r w:rsidR="00367C32" w:rsidRPr="009459D7">
              <w:rPr>
                <w:bCs/>
                <w:szCs w:val="24"/>
              </w:rPr>
              <w:t>(dd/mm/</w:t>
            </w:r>
            <w:proofErr w:type="spellStart"/>
            <w:r w:rsidR="00367C32" w:rsidRPr="009459D7">
              <w:rPr>
                <w:bCs/>
                <w:szCs w:val="24"/>
              </w:rPr>
              <w:t>yy</w:t>
            </w:r>
            <w:proofErr w:type="spellEnd"/>
            <w:r w:rsidR="00367C32" w:rsidRPr="009459D7">
              <w:rPr>
                <w:bCs/>
                <w:szCs w:val="24"/>
              </w:rPr>
              <w:t>)</w:t>
            </w:r>
            <w:r w:rsidRPr="0048438C">
              <w:rPr>
                <w:b/>
                <w:szCs w:val="24"/>
              </w:rPr>
              <w:t>:</w:t>
            </w:r>
          </w:p>
        </w:tc>
        <w:tc>
          <w:tcPr>
            <w:tcW w:w="3461" w:type="dxa"/>
            <w:shd w:val="clear" w:color="auto" w:fill="auto"/>
          </w:tcPr>
          <w:p w14:paraId="4573E052" w14:textId="77777777" w:rsidR="00850471" w:rsidRPr="0048438C" w:rsidRDefault="00850471" w:rsidP="0048438C">
            <w:pPr>
              <w:spacing w:before="60" w:after="60"/>
              <w:jc w:val="center"/>
              <w:rPr>
                <w:b/>
                <w:szCs w:val="24"/>
              </w:rPr>
            </w:pPr>
          </w:p>
        </w:tc>
      </w:tr>
      <w:tr w:rsidR="00850471" w:rsidRPr="0048438C" w14:paraId="4573E056" w14:textId="77777777" w:rsidTr="009459D7">
        <w:trPr>
          <w:trHeight w:val="204"/>
        </w:trPr>
        <w:tc>
          <w:tcPr>
            <w:tcW w:w="6436" w:type="dxa"/>
            <w:shd w:val="clear" w:color="auto" w:fill="auto"/>
          </w:tcPr>
          <w:p w14:paraId="4573E054" w14:textId="2C1E1120" w:rsidR="00850471" w:rsidRPr="0048438C" w:rsidRDefault="00850471" w:rsidP="0048438C">
            <w:pPr>
              <w:spacing w:before="60" w:after="60"/>
              <w:rPr>
                <w:b/>
                <w:szCs w:val="24"/>
              </w:rPr>
            </w:pPr>
            <w:r w:rsidRPr="0048438C">
              <w:rPr>
                <w:b/>
                <w:szCs w:val="24"/>
              </w:rPr>
              <w:t>RP stated Resolution Plan agreement date</w:t>
            </w:r>
            <w:r w:rsidR="009459D7">
              <w:rPr>
                <w:b/>
                <w:szCs w:val="24"/>
              </w:rPr>
              <w:t xml:space="preserve"> </w:t>
            </w:r>
            <w:r w:rsidR="009459D7" w:rsidRPr="009459D7">
              <w:rPr>
                <w:bCs/>
                <w:szCs w:val="24"/>
              </w:rPr>
              <w:t>(dd/mm/</w:t>
            </w:r>
            <w:proofErr w:type="spellStart"/>
            <w:r w:rsidR="009459D7" w:rsidRPr="009459D7">
              <w:rPr>
                <w:bCs/>
                <w:szCs w:val="24"/>
              </w:rPr>
              <w:t>yy</w:t>
            </w:r>
            <w:proofErr w:type="spellEnd"/>
            <w:r w:rsidR="009459D7" w:rsidRPr="009459D7">
              <w:rPr>
                <w:bCs/>
                <w:szCs w:val="24"/>
              </w:rPr>
              <w:t>)</w:t>
            </w:r>
            <w:r w:rsidRPr="0048438C">
              <w:rPr>
                <w:b/>
                <w:szCs w:val="24"/>
              </w:rPr>
              <w:t>:</w:t>
            </w:r>
          </w:p>
        </w:tc>
        <w:tc>
          <w:tcPr>
            <w:tcW w:w="3461" w:type="dxa"/>
            <w:shd w:val="clear" w:color="auto" w:fill="auto"/>
          </w:tcPr>
          <w:p w14:paraId="4573E055" w14:textId="77777777" w:rsidR="00850471" w:rsidRPr="0048438C" w:rsidRDefault="00850471" w:rsidP="0048438C">
            <w:pPr>
              <w:spacing w:before="60" w:after="60"/>
              <w:jc w:val="center"/>
              <w:rPr>
                <w:b/>
                <w:szCs w:val="24"/>
              </w:rPr>
            </w:pPr>
          </w:p>
        </w:tc>
      </w:tr>
    </w:tbl>
    <w:p w14:paraId="4573E057" w14:textId="0F4061B4" w:rsidR="00ED1ADA" w:rsidRPr="0048438C" w:rsidRDefault="00ED1ADA" w:rsidP="0048438C">
      <w:pPr>
        <w:spacing w:before="60" w:after="60"/>
        <w:rPr>
          <w:szCs w:val="24"/>
        </w:rPr>
      </w:pPr>
    </w:p>
    <w:sectPr w:rsidR="00ED1ADA" w:rsidRPr="0048438C">
      <w:headerReference w:type="default" r:id="rId27"/>
      <w:footerReference w:type="even" r:id="rId28"/>
      <w:footerReference w:type="default" r:id="rId29"/>
      <w:pgSz w:w="11906" w:h="16838" w:code="9"/>
      <w:pgMar w:top="1134" w:right="1134" w:bottom="102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4F70" w14:textId="77777777" w:rsidR="00BE6015" w:rsidRDefault="00BE6015">
      <w:r>
        <w:separator/>
      </w:r>
    </w:p>
  </w:endnote>
  <w:endnote w:type="continuationSeparator" w:id="0">
    <w:p w14:paraId="32279169" w14:textId="77777777" w:rsidR="00BE6015" w:rsidRDefault="00BE6015">
      <w:r>
        <w:continuationSeparator/>
      </w:r>
    </w:p>
  </w:endnote>
  <w:endnote w:type="continuationNotice" w:id="1">
    <w:p w14:paraId="76B9E745" w14:textId="77777777" w:rsidR="00BE6015" w:rsidRDefault="00BE6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E05D" w14:textId="77777777" w:rsidR="00C15B6D" w:rsidRDefault="00C1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73E05E" w14:textId="77777777" w:rsidR="00C15B6D" w:rsidRDefault="00C15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E05F" w14:textId="43155AC4" w:rsidR="00C15B6D" w:rsidRDefault="00C15B6D" w:rsidP="00080352">
    <w:pPr>
      <w:pStyle w:val="Footer"/>
      <w:tabs>
        <w:tab w:val="clear" w:pos="8306"/>
        <w:tab w:val="right" w:pos="9840"/>
      </w:tabs>
      <w:spacing w:before="120"/>
      <w:ind w:right="-285"/>
      <w:rPr>
        <w:lang w:val="en-US"/>
      </w:rPr>
    </w:pPr>
    <w:r>
      <w:rPr>
        <w:lang w:val="en-US"/>
      </w:rPr>
      <w:tab/>
    </w:r>
    <w:r w:rsidR="006300E5">
      <w:rPr>
        <w:lang w:val="en-US"/>
      </w:rPr>
      <w:t xml:space="preserve">                           </w:t>
    </w:r>
    <w:r>
      <w:rPr>
        <w:lang w:val="en-US"/>
      </w:rPr>
      <w:tab/>
    </w:r>
    <w:r w:rsidR="005A547C" w:rsidRPr="009D128E">
      <w:rPr>
        <w:sz w:val="22"/>
        <w:szCs w:val="22"/>
        <w:lang w:val="en-US"/>
      </w:rPr>
      <w:t xml:space="preserve">Page </w:t>
    </w:r>
    <w:r w:rsidR="005A547C" w:rsidRPr="009D128E">
      <w:rPr>
        <w:sz w:val="22"/>
        <w:szCs w:val="22"/>
        <w:lang w:val="en-US"/>
      </w:rPr>
      <w:fldChar w:fldCharType="begin"/>
    </w:r>
    <w:r w:rsidR="005A547C" w:rsidRPr="009D128E">
      <w:rPr>
        <w:sz w:val="22"/>
        <w:szCs w:val="22"/>
        <w:lang w:val="en-US"/>
      </w:rPr>
      <w:instrText xml:space="preserve"> PAGE </w:instrText>
    </w:r>
    <w:r w:rsidR="005A547C" w:rsidRPr="009D128E">
      <w:rPr>
        <w:sz w:val="22"/>
        <w:szCs w:val="22"/>
        <w:lang w:val="en-US"/>
      </w:rPr>
      <w:fldChar w:fldCharType="separate"/>
    </w:r>
    <w:r w:rsidR="005A547C">
      <w:rPr>
        <w:sz w:val="22"/>
        <w:lang w:val="en-US"/>
      </w:rPr>
      <w:t>1</w:t>
    </w:r>
    <w:r w:rsidR="005A547C" w:rsidRPr="009D128E">
      <w:rPr>
        <w:sz w:val="22"/>
        <w:szCs w:val="22"/>
        <w:lang w:val="en-US"/>
      </w:rPr>
      <w:fldChar w:fldCharType="end"/>
    </w:r>
    <w:r w:rsidR="005A547C" w:rsidRPr="009D128E">
      <w:rPr>
        <w:sz w:val="22"/>
        <w:szCs w:val="22"/>
        <w:lang w:val="en-US"/>
      </w:rPr>
      <w:t xml:space="preserve"> of </w:t>
    </w:r>
    <w:r w:rsidR="005A547C" w:rsidRPr="009D128E">
      <w:rPr>
        <w:sz w:val="22"/>
        <w:szCs w:val="22"/>
        <w:lang w:val="en-US"/>
      </w:rPr>
      <w:fldChar w:fldCharType="begin"/>
    </w:r>
    <w:r w:rsidR="005A547C" w:rsidRPr="009D128E">
      <w:rPr>
        <w:sz w:val="22"/>
        <w:szCs w:val="22"/>
        <w:lang w:val="en-US"/>
      </w:rPr>
      <w:instrText xml:space="preserve"> NUMPAGES </w:instrText>
    </w:r>
    <w:r w:rsidR="005A547C" w:rsidRPr="009D128E">
      <w:rPr>
        <w:sz w:val="22"/>
        <w:szCs w:val="22"/>
        <w:lang w:val="en-US"/>
      </w:rPr>
      <w:fldChar w:fldCharType="separate"/>
    </w:r>
    <w:r w:rsidR="005A547C">
      <w:rPr>
        <w:sz w:val="22"/>
        <w:lang w:val="en-US"/>
      </w:rPr>
      <w:t>3</w:t>
    </w:r>
    <w:r w:rsidR="005A547C" w:rsidRPr="009D128E">
      <w:rPr>
        <w:sz w:val="22"/>
        <w:szCs w:val="22"/>
        <w:lang w:val="en-US"/>
      </w:rPr>
      <w:fldChar w:fldCharType="end"/>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EF11" w14:textId="77777777" w:rsidR="00BE6015" w:rsidRDefault="00BE6015">
      <w:r>
        <w:separator/>
      </w:r>
    </w:p>
  </w:footnote>
  <w:footnote w:type="continuationSeparator" w:id="0">
    <w:p w14:paraId="41E44CC8" w14:textId="77777777" w:rsidR="00BE6015" w:rsidRDefault="00BE6015">
      <w:r>
        <w:continuationSeparator/>
      </w:r>
    </w:p>
  </w:footnote>
  <w:footnote w:type="continuationNotice" w:id="1">
    <w:p w14:paraId="532CD92D" w14:textId="77777777" w:rsidR="00BE6015" w:rsidRDefault="00BE6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241"/>
      <w:gridCol w:w="3686"/>
    </w:tblGrid>
    <w:tr w:rsidR="003B6ACD" w:rsidRPr="00A851E9" w14:paraId="2513218A" w14:textId="77777777">
      <w:tc>
        <w:tcPr>
          <w:tcW w:w="3996" w:type="dxa"/>
        </w:tcPr>
        <w:p w14:paraId="6BEF3B11" w14:textId="77777777" w:rsidR="003B6ACD" w:rsidRPr="00A851E9" w:rsidRDefault="003B6ACD" w:rsidP="003B6ACD">
          <w:pPr>
            <w:tabs>
              <w:tab w:val="center" w:pos="4513"/>
              <w:tab w:val="right" w:pos="9026"/>
            </w:tabs>
            <w:spacing w:before="240"/>
            <w:rPr>
              <w:bCs/>
              <w:iCs/>
              <w:kern w:val="36"/>
              <w:sz w:val="18"/>
              <w:szCs w:val="18"/>
            </w:rPr>
          </w:pPr>
          <w:r w:rsidRPr="00A851E9">
            <w:rPr>
              <w:bCs/>
              <w:iCs/>
              <w:noProof/>
              <w:kern w:val="36"/>
              <w:sz w:val="18"/>
              <w:szCs w:val="18"/>
            </w:rPr>
            <w:drawing>
              <wp:inline distT="0" distB="0" distL="0" distR="0" wp14:anchorId="69FA83EC" wp14:editId="28B07F0E">
                <wp:extent cx="2395537" cy="509240"/>
                <wp:effectExtent l="0" t="0" r="5080" b="571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29" cy="515509"/>
                        </a:xfrm>
                        <a:prstGeom prst="rect">
                          <a:avLst/>
                        </a:prstGeom>
                        <a:noFill/>
                      </pic:spPr>
                    </pic:pic>
                  </a:graphicData>
                </a:graphic>
              </wp:inline>
            </w:drawing>
          </w:r>
        </w:p>
      </w:tc>
      <w:tc>
        <w:tcPr>
          <w:tcW w:w="2241" w:type="dxa"/>
        </w:tcPr>
        <w:p w14:paraId="53B9E679" w14:textId="77777777" w:rsidR="003B6ACD" w:rsidRPr="00A851E9" w:rsidRDefault="003B6ACD" w:rsidP="003B6ACD">
          <w:pPr>
            <w:tabs>
              <w:tab w:val="center" w:pos="4513"/>
              <w:tab w:val="right" w:pos="9026"/>
            </w:tabs>
            <w:jc w:val="center"/>
            <w:rPr>
              <w:bCs/>
              <w:iCs/>
              <w:kern w:val="36"/>
              <w:sz w:val="18"/>
              <w:szCs w:val="18"/>
            </w:rPr>
          </w:pPr>
          <w:r w:rsidRPr="00A851E9">
            <w:rPr>
              <w:rFonts w:cs="Times New Roman"/>
              <w:noProof/>
              <w:szCs w:val="24"/>
            </w:rPr>
            <w:drawing>
              <wp:inline distT="0" distB="0" distL="0" distR="0" wp14:anchorId="0A9FFEE9" wp14:editId="16070CF0">
                <wp:extent cx="1116703" cy="790575"/>
                <wp:effectExtent l="0" t="0" r="762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361" cy="834934"/>
                        </a:xfrm>
                        <a:prstGeom prst="rect">
                          <a:avLst/>
                        </a:prstGeom>
                        <a:noFill/>
                        <a:ln>
                          <a:noFill/>
                        </a:ln>
                      </pic:spPr>
                    </pic:pic>
                  </a:graphicData>
                </a:graphic>
              </wp:inline>
            </w:drawing>
          </w:r>
        </w:p>
      </w:tc>
      <w:tc>
        <w:tcPr>
          <w:tcW w:w="3686" w:type="dxa"/>
        </w:tcPr>
        <w:p w14:paraId="1DCB8DFF" w14:textId="77777777" w:rsidR="003B6ACD" w:rsidRPr="00A851E9" w:rsidRDefault="003B6ACD" w:rsidP="003B6ACD">
          <w:pPr>
            <w:tabs>
              <w:tab w:val="center" w:pos="4513"/>
              <w:tab w:val="right" w:pos="9026"/>
            </w:tabs>
            <w:jc w:val="right"/>
            <w:rPr>
              <w:bCs/>
              <w:iCs/>
              <w:kern w:val="36"/>
              <w:sz w:val="18"/>
              <w:szCs w:val="18"/>
            </w:rPr>
          </w:pPr>
          <w:r w:rsidRPr="00A851E9">
            <w:rPr>
              <w:rFonts w:cs="Times New Roman"/>
              <w:noProof/>
              <w:szCs w:val="24"/>
            </w:rPr>
            <w:drawing>
              <wp:inline distT="0" distB="0" distL="0" distR="0" wp14:anchorId="082F45D2" wp14:editId="2788064A">
                <wp:extent cx="1938003" cy="7905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021" cy="810163"/>
                        </a:xfrm>
                        <a:prstGeom prst="rect">
                          <a:avLst/>
                        </a:prstGeom>
                        <a:noFill/>
                        <a:ln>
                          <a:noFill/>
                        </a:ln>
                      </pic:spPr>
                    </pic:pic>
                  </a:graphicData>
                </a:graphic>
              </wp:inline>
            </w:drawing>
          </w:r>
        </w:p>
      </w:tc>
    </w:tr>
  </w:tbl>
  <w:p w14:paraId="0B85A8CA" w14:textId="77777777" w:rsidR="00C14744" w:rsidRPr="00C14744" w:rsidRDefault="00C14744" w:rsidP="0092073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748921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C1D71"/>
    <w:multiLevelType w:val="multilevel"/>
    <w:tmpl w:val="3948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850EC5"/>
    <w:multiLevelType w:val="hybridMultilevel"/>
    <w:tmpl w:val="5A5C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96F95"/>
    <w:multiLevelType w:val="hybridMultilevel"/>
    <w:tmpl w:val="5A5C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26B01"/>
    <w:multiLevelType w:val="hybridMultilevel"/>
    <w:tmpl w:val="C5C6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62D0F"/>
    <w:multiLevelType w:val="hybridMultilevel"/>
    <w:tmpl w:val="B7584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E7A4C"/>
    <w:multiLevelType w:val="hybridMultilevel"/>
    <w:tmpl w:val="F88CC07C"/>
    <w:lvl w:ilvl="0" w:tplc="1D165186">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15:restartNumberingAfterBreak="0">
    <w:nsid w:val="37156349"/>
    <w:multiLevelType w:val="multilevel"/>
    <w:tmpl w:val="3948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61048"/>
    <w:multiLevelType w:val="hybridMultilevel"/>
    <w:tmpl w:val="7F765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B28D9"/>
    <w:multiLevelType w:val="hybridMultilevel"/>
    <w:tmpl w:val="918A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B7294"/>
    <w:multiLevelType w:val="hybridMultilevel"/>
    <w:tmpl w:val="0680C2AC"/>
    <w:lvl w:ilvl="0" w:tplc="9D7AF4A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C56390B"/>
    <w:multiLevelType w:val="hybridMultilevel"/>
    <w:tmpl w:val="2E54C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A06AA"/>
    <w:multiLevelType w:val="hybridMultilevel"/>
    <w:tmpl w:val="B7722F82"/>
    <w:lvl w:ilvl="0" w:tplc="18EEE02E">
      <w:start w:val="1"/>
      <w:numFmt w:val="bullet"/>
      <w:lvlText w:val=""/>
      <w:lvlJc w:val="left"/>
      <w:pPr>
        <w:tabs>
          <w:tab w:val="num" w:pos="720"/>
        </w:tabs>
        <w:ind w:left="720" w:hanging="360"/>
      </w:pPr>
      <w:rPr>
        <w:rFonts w:ascii="Symbol" w:hAnsi="Symbol" w:hint="default"/>
      </w:rPr>
    </w:lvl>
    <w:lvl w:ilvl="1" w:tplc="D6C00450" w:tentative="1">
      <w:start w:val="1"/>
      <w:numFmt w:val="bullet"/>
      <w:lvlText w:val=""/>
      <w:lvlJc w:val="left"/>
      <w:pPr>
        <w:tabs>
          <w:tab w:val="num" w:pos="1440"/>
        </w:tabs>
        <w:ind w:left="1440" w:hanging="360"/>
      </w:pPr>
      <w:rPr>
        <w:rFonts w:ascii="Symbol" w:hAnsi="Symbol" w:hint="default"/>
      </w:rPr>
    </w:lvl>
    <w:lvl w:ilvl="2" w:tplc="B49A0264" w:tentative="1">
      <w:start w:val="1"/>
      <w:numFmt w:val="bullet"/>
      <w:lvlText w:val=""/>
      <w:lvlJc w:val="left"/>
      <w:pPr>
        <w:tabs>
          <w:tab w:val="num" w:pos="2160"/>
        </w:tabs>
        <w:ind w:left="2160" w:hanging="360"/>
      </w:pPr>
      <w:rPr>
        <w:rFonts w:ascii="Symbol" w:hAnsi="Symbol" w:hint="default"/>
      </w:rPr>
    </w:lvl>
    <w:lvl w:ilvl="3" w:tplc="263C4964" w:tentative="1">
      <w:start w:val="1"/>
      <w:numFmt w:val="bullet"/>
      <w:lvlText w:val=""/>
      <w:lvlJc w:val="left"/>
      <w:pPr>
        <w:tabs>
          <w:tab w:val="num" w:pos="2880"/>
        </w:tabs>
        <w:ind w:left="2880" w:hanging="360"/>
      </w:pPr>
      <w:rPr>
        <w:rFonts w:ascii="Symbol" w:hAnsi="Symbol" w:hint="default"/>
      </w:rPr>
    </w:lvl>
    <w:lvl w:ilvl="4" w:tplc="DD082372" w:tentative="1">
      <w:start w:val="1"/>
      <w:numFmt w:val="bullet"/>
      <w:lvlText w:val=""/>
      <w:lvlJc w:val="left"/>
      <w:pPr>
        <w:tabs>
          <w:tab w:val="num" w:pos="3600"/>
        </w:tabs>
        <w:ind w:left="3600" w:hanging="360"/>
      </w:pPr>
      <w:rPr>
        <w:rFonts w:ascii="Symbol" w:hAnsi="Symbol" w:hint="default"/>
      </w:rPr>
    </w:lvl>
    <w:lvl w:ilvl="5" w:tplc="51C42422" w:tentative="1">
      <w:start w:val="1"/>
      <w:numFmt w:val="bullet"/>
      <w:lvlText w:val=""/>
      <w:lvlJc w:val="left"/>
      <w:pPr>
        <w:tabs>
          <w:tab w:val="num" w:pos="4320"/>
        </w:tabs>
        <w:ind w:left="4320" w:hanging="360"/>
      </w:pPr>
      <w:rPr>
        <w:rFonts w:ascii="Symbol" w:hAnsi="Symbol" w:hint="default"/>
      </w:rPr>
    </w:lvl>
    <w:lvl w:ilvl="6" w:tplc="B73E7048" w:tentative="1">
      <w:start w:val="1"/>
      <w:numFmt w:val="bullet"/>
      <w:lvlText w:val=""/>
      <w:lvlJc w:val="left"/>
      <w:pPr>
        <w:tabs>
          <w:tab w:val="num" w:pos="5040"/>
        </w:tabs>
        <w:ind w:left="5040" w:hanging="360"/>
      </w:pPr>
      <w:rPr>
        <w:rFonts w:ascii="Symbol" w:hAnsi="Symbol" w:hint="default"/>
      </w:rPr>
    </w:lvl>
    <w:lvl w:ilvl="7" w:tplc="110695EA" w:tentative="1">
      <w:start w:val="1"/>
      <w:numFmt w:val="bullet"/>
      <w:lvlText w:val=""/>
      <w:lvlJc w:val="left"/>
      <w:pPr>
        <w:tabs>
          <w:tab w:val="num" w:pos="5760"/>
        </w:tabs>
        <w:ind w:left="5760" w:hanging="360"/>
      </w:pPr>
      <w:rPr>
        <w:rFonts w:ascii="Symbol" w:hAnsi="Symbol" w:hint="default"/>
      </w:rPr>
    </w:lvl>
    <w:lvl w:ilvl="8" w:tplc="B1D271A6" w:tentative="1">
      <w:start w:val="1"/>
      <w:numFmt w:val="bullet"/>
      <w:lvlText w:val=""/>
      <w:lvlJc w:val="left"/>
      <w:pPr>
        <w:tabs>
          <w:tab w:val="num" w:pos="6480"/>
        </w:tabs>
        <w:ind w:left="6480" w:hanging="360"/>
      </w:pPr>
      <w:rPr>
        <w:rFonts w:ascii="Symbol" w:hAnsi="Symbol" w:hint="default"/>
      </w:rPr>
    </w:lvl>
  </w:abstractNum>
  <w:num w:numId="1" w16cid:durableId="984241629">
    <w:abstractNumId w:val="19"/>
  </w:num>
  <w:num w:numId="2" w16cid:durableId="1613587416">
    <w:abstractNumId w:val="19"/>
  </w:num>
  <w:num w:numId="3" w16cid:durableId="1394889571">
    <w:abstractNumId w:val="19"/>
  </w:num>
  <w:num w:numId="4" w16cid:durableId="1594318718">
    <w:abstractNumId w:val="18"/>
  </w:num>
  <w:num w:numId="5" w16cid:durableId="2081751634">
    <w:abstractNumId w:val="14"/>
  </w:num>
  <w:num w:numId="6" w16cid:durableId="879128925">
    <w:abstractNumId w:val="19"/>
  </w:num>
  <w:num w:numId="7" w16cid:durableId="7677184">
    <w:abstractNumId w:val="19"/>
  </w:num>
  <w:num w:numId="8" w16cid:durableId="2102333600">
    <w:abstractNumId w:val="19"/>
  </w:num>
  <w:num w:numId="9" w16cid:durableId="128136990">
    <w:abstractNumId w:val="19"/>
  </w:num>
  <w:num w:numId="10" w16cid:durableId="722632125">
    <w:abstractNumId w:val="19"/>
  </w:num>
  <w:num w:numId="11" w16cid:durableId="227544308">
    <w:abstractNumId w:val="19"/>
  </w:num>
  <w:num w:numId="12" w16cid:durableId="292754421">
    <w:abstractNumId w:val="4"/>
  </w:num>
  <w:num w:numId="13" w16cid:durableId="613366476">
    <w:abstractNumId w:val="3"/>
  </w:num>
  <w:num w:numId="14" w16cid:durableId="807938140">
    <w:abstractNumId w:val="2"/>
  </w:num>
  <w:num w:numId="15" w16cid:durableId="540869724">
    <w:abstractNumId w:val="1"/>
  </w:num>
  <w:num w:numId="16" w16cid:durableId="2076390522">
    <w:abstractNumId w:val="0"/>
  </w:num>
  <w:num w:numId="17" w16cid:durableId="1126966236">
    <w:abstractNumId w:val="9"/>
  </w:num>
  <w:num w:numId="18" w16cid:durableId="1468007708">
    <w:abstractNumId w:val="8"/>
  </w:num>
  <w:num w:numId="19" w16cid:durableId="1586264184">
    <w:abstractNumId w:val="17"/>
  </w:num>
  <w:num w:numId="20" w16cid:durableId="1565876254">
    <w:abstractNumId w:val="12"/>
  </w:num>
  <w:num w:numId="21" w16cid:durableId="300773951">
    <w:abstractNumId w:val="6"/>
  </w:num>
  <w:num w:numId="22" w16cid:durableId="8147836">
    <w:abstractNumId w:val="7"/>
  </w:num>
  <w:num w:numId="23" w16cid:durableId="1323653682">
    <w:abstractNumId w:val="5"/>
  </w:num>
  <w:num w:numId="24" w16cid:durableId="611014595">
    <w:abstractNumId w:val="13"/>
  </w:num>
  <w:num w:numId="25" w16cid:durableId="1456756708">
    <w:abstractNumId w:val="20"/>
  </w:num>
  <w:num w:numId="26" w16cid:durableId="1559898342">
    <w:abstractNumId w:val="11"/>
  </w:num>
  <w:num w:numId="27" w16cid:durableId="1153525111">
    <w:abstractNumId w:val="15"/>
  </w:num>
  <w:num w:numId="28" w16cid:durableId="726029585">
    <w:abstractNumId w:val="10"/>
  </w:num>
  <w:num w:numId="29" w16cid:durableId="409690990">
    <w:abstractNumId w:val="21"/>
  </w:num>
  <w:num w:numId="30" w16cid:durableId="530924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en-GB"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65"/>
    <w:rsid w:val="0000781D"/>
    <w:rsid w:val="00015A70"/>
    <w:rsid w:val="0002114E"/>
    <w:rsid w:val="00032E39"/>
    <w:rsid w:val="000336E6"/>
    <w:rsid w:val="0004245E"/>
    <w:rsid w:val="0004636F"/>
    <w:rsid w:val="00047346"/>
    <w:rsid w:val="00053443"/>
    <w:rsid w:val="000564B2"/>
    <w:rsid w:val="000758E9"/>
    <w:rsid w:val="000760A0"/>
    <w:rsid w:val="00080352"/>
    <w:rsid w:val="0009763E"/>
    <w:rsid w:val="000977CC"/>
    <w:rsid w:val="00097B92"/>
    <w:rsid w:val="000A0604"/>
    <w:rsid w:val="000A0C09"/>
    <w:rsid w:val="000A7542"/>
    <w:rsid w:val="000B5330"/>
    <w:rsid w:val="000C035C"/>
    <w:rsid w:val="000C0ABB"/>
    <w:rsid w:val="000C3876"/>
    <w:rsid w:val="000D4C57"/>
    <w:rsid w:val="000E3B6C"/>
    <w:rsid w:val="000E6A63"/>
    <w:rsid w:val="000F7EDF"/>
    <w:rsid w:val="001047CA"/>
    <w:rsid w:val="001178D5"/>
    <w:rsid w:val="00130CFD"/>
    <w:rsid w:val="00133420"/>
    <w:rsid w:val="00141E00"/>
    <w:rsid w:val="001438BC"/>
    <w:rsid w:val="00147B59"/>
    <w:rsid w:val="00160525"/>
    <w:rsid w:val="00170A05"/>
    <w:rsid w:val="00171AA2"/>
    <w:rsid w:val="001826F6"/>
    <w:rsid w:val="001850B3"/>
    <w:rsid w:val="00185390"/>
    <w:rsid w:val="00185D10"/>
    <w:rsid w:val="00194C8A"/>
    <w:rsid w:val="001A0683"/>
    <w:rsid w:val="001A481D"/>
    <w:rsid w:val="001A5EEC"/>
    <w:rsid w:val="001B5D6A"/>
    <w:rsid w:val="001B74AB"/>
    <w:rsid w:val="001C3B01"/>
    <w:rsid w:val="001C3F17"/>
    <w:rsid w:val="001C4D46"/>
    <w:rsid w:val="001C5D09"/>
    <w:rsid w:val="001D0866"/>
    <w:rsid w:val="001D4586"/>
    <w:rsid w:val="001D4A7C"/>
    <w:rsid w:val="001D5B61"/>
    <w:rsid w:val="001F39F3"/>
    <w:rsid w:val="001F685B"/>
    <w:rsid w:val="0020150E"/>
    <w:rsid w:val="0020739F"/>
    <w:rsid w:val="00212157"/>
    <w:rsid w:val="00220446"/>
    <w:rsid w:val="00220466"/>
    <w:rsid w:val="00220F43"/>
    <w:rsid w:val="00221347"/>
    <w:rsid w:val="002378B0"/>
    <w:rsid w:val="00240806"/>
    <w:rsid w:val="00247A3D"/>
    <w:rsid w:val="00252EF1"/>
    <w:rsid w:val="002537E6"/>
    <w:rsid w:val="002640EA"/>
    <w:rsid w:val="0028107D"/>
    <w:rsid w:val="00284CA0"/>
    <w:rsid w:val="002860FC"/>
    <w:rsid w:val="002862E7"/>
    <w:rsid w:val="00292358"/>
    <w:rsid w:val="002A068A"/>
    <w:rsid w:val="002A7969"/>
    <w:rsid w:val="002B2009"/>
    <w:rsid w:val="002B41B4"/>
    <w:rsid w:val="002C0193"/>
    <w:rsid w:val="002C0396"/>
    <w:rsid w:val="002C0E4C"/>
    <w:rsid w:val="002D25F0"/>
    <w:rsid w:val="002D2E8A"/>
    <w:rsid w:val="002D3B73"/>
    <w:rsid w:val="002E05DA"/>
    <w:rsid w:val="002F33E6"/>
    <w:rsid w:val="002F6696"/>
    <w:rsid w:val="00324516"/>
    <w:rsid w:val="00331C56"/>
    <w:rsid w:val="00345FC0"/>
    <w:rsid w:val="00347213"/>
    <w:rsid w:val="00366AEB"/>
    <w:rsid w:val="00367C32"/>
    <w:rsid w:val="00383B8C"/>
    <w:rsid w:val="0038429B"/>
    <w:rsid w:val="003A271D"/>
    <w:rsid w:val="003A6935"/>
    <w:rsid w:val="003B64F7"/>
    <w:rsid w:val="003B6ACD"/>
    <w:rsid w:val="003B7634"/>
    <w:rsid w:val="003C1B61"/>
    <w:rsid w:val="003C755D"/>
    <w:rsid w:val="003C7579"/>
    <w:rsid w:val="003D2D8D"/>
    <w:rsid w:val="003E0BF8"/>
    <w:rsid w:val="003E6007"/>
    <w:rsid w:val="003F7FE7"/>
    <w:rsid w:val="004019BD"/>
    <w:rsid w:val="00403A15"/>
    <w:rsid w:val="00403C63"/>
    <w:rsid w:val="0040443F"/>
    <w:rsid w:val="0040500F"/>
    <w:rsid w:val="004214AE"/>
    <w:rsid w:val="00421DD7"/>
    <w:rsid w:val="00425058"/>
    <w:rsid w:val="00441E02"/>
    <w:rsid w:val="00444C41"/>
    <w:rsid w:val="00446DEE"/>
    <w:rsid w:val="00450B67"/>
    <w:rsid w:val="004537D5"/>
    <w:rsid w:val="00473CEE"/>
    <w:rsid w:val="0048438C"/>
    <w:rsid w:val="00486BE3"/>
    <w:rsid w:val="00494EE4"/>
    <w:rsid w:val="004B13E3"/>
    <w:rsid w:val="004D3DEC"/>
    <w:rsid w:val="004E5017"/>
    <w:rsid w:val="00501A2F"/>
    <w:rsid w:val="005051DB"/>
    <w:rsid w:val="005062AD"/>
    <w:rsid w:val="00507ADE"/>
    <w:rsid w:val="0051038C"/>
    <w:rsid w:val="005207F6"/>
    <w:rsid w:val="00535BA9"/>
    <w:rsid w:val="00536854"/>
    <w:rsid w:val="00542966"/>
    <w:rsid w:val="00542CA2"/>
    <w:rsid w:val="00542DF1"/>
    <w:rsid w:val="005576A4"/>
    <w:rsid w:val="005578AD"/>
    <w:rsid w:val="00574779"/>
    <w:rsid w:val="00575351"/>
    <w:rsid w:val="00581D5B"/>
    <w:rsid w:val="00584B45"/>
    <w:rsid w:val="005871E7"/>
    <w:rsid w:val="0059732A"/>
    <w:rsid w:val="005A2D74"/>
    <w:rsid w:val="005A333A"/>
    <w:rsid w:val="005A547C"/>
    <w:rsid w:val="005B2309"/>
    <w:rsid w:val="005B2A8D"/>
    <w:rsid w:val="005C4812"/>
    <w:rsid w:val="005C74A1"/>
    <w:rsid w:val="005D0C6E"/>
    <w:rsid w:val="005D1406"/>
    <w:rsid w:val="005D453D"/>
    <w:rsid w:val="005D54D9"/>
    <w:rsid w:val="005F4CBD"/>
    <w:rsid w:val="005F56D3"/>
    <w:rsid w:val="006006BE"/>
    <w:rsid w:val="006037E8"/>
    <w:rsid w:val="0061631E"/>
    <w:rsid w:val="00620F35"/>
    <w:rsid w:val="0062570C"/>
    <w:rsid w:val="00626BBB"/>
    <w:rsid w:val="00627D12"/>
    <w:rsid w:val="006300E5"/>
    <w:rsid w:val="00644CE7"/>
    <w:rsid w:val="00645A2F"/>
    <w:rsid w:val="00647041"/>
    <w:rsid w:val="00656958"/>
    <w:rsid w:val="0066074A"/>
    <w:rsid w:val="00675477"/>
    <w:rsid w:val="00677E84"/>
    <w:rsid w:val="00684E8C"/>
    <w:rsid w:val="00694D7F"/>
    <w:rsid w:val="006A171F"/>
    <w:rsid w:val="006A4FB0"/>
    <w:rsid w:val="006A72B3"/>
    <w:rsid w:val="006B5F31"/>
    <w:rsid w:val="006B647B"/>
    <w:rsid w:val="006C2ADF"/>
    <w:rsid w:val="006D0F2B"/>
    <w:rsid w:val="006D32DC"/>
    <w:rsid w:val="006E215D"/>
    <w:rsid w:val="006E5E3C"/>
    <w:rsid w:val="007030CA"/>
    <w:rsid w:val="007064C1"/>
    <w:rsid w:val="00706C65"/>
    <w:rsid w:val="007102C7"/>
    <w:rsid w:val="007113F4"/>
    <w:rsid w:val="00731F9D"/>
    <w:rsid w:val="007363DA"/>
    <w:rsid w:val="00744AA9"/>
    <w:rsid w:val="00745C0B"/>
    <w:rsid w:val="007603DD"/>
    <w:rsid w:val="0076237B"/>
    <w:rsid w:val="00775E2F"/>
    <w:rsid w:val="00777A0F"/>
    <w:rsid w:val="007816F1"/>
    <w:rsid w:val="00785DCF"/>
    <w:rsid w:val="007A1B32"/>
    <w:rsid w:val="007A5ECD"/>
    <w:rsid w:val="007B08E3"/>
    <w:rsid w:val="007B4B69"/>
    <w:rsid w:val="007B5D49"/>
    <w:rsid w:val="007B66BD"/>
    <w:rsid w:val="007C53C5"/>
    <w:rsid w:val="007C7AA0"/>
    <w:rsid w:val="007E2814"/>
    <w:rsid w:val="00805723"/>
    <w:rsid w:val="008165A1"/>
    <w:rsid w:val="0082304C"/>
    <w:rsid w:val="008237A3"/>
    <w:rsid w:val="00825F6D"/>
    <w:rsid w:val="00826D04"/>
    <w:rsid w:val="00831470"/>
    <w:rsid w:val="00832411"/>
    <w:rsid w:val="008420DB"/>
    <w:rsid w:val="00842950"/>
    <w:rsid w:val="00842D0B"/>
    <w:rsid w:val="00850471"/>
    <w:rsid w:val="00851AE9"/>
    <w:rsid w:val="00854437"/>
    <w:rsid w:val="008634D8"/>
    <w:rsid w:val="008662A4"/>
    <w:rsid w:val="00867341"/>
    <w:rsid w:val="00871E61"/>
    <w:rsid w:val="00873BFD"/>
    <w:rsid w:val="00875755"/>
    <w:rsid w:val="0087645C"/>
    <w:rsid w:val="0088022D"/>
    <w:rsid w:val="008832A1"/>
    <w:rsid w:val="008848B1"/>
    <w:rsid w:val="008868EB"/>
    <w:rsid w:val="0089701F"/>
    <w:rsid w:val="008A22A5"/>
    <w:rsid w:val="008A7A1A"/>
    <w:rsid w:val="008A7F06"/>
    <w:rsid w:val="008B3A0F"/>
    <w:rsid w:val="008B4F65"/>
    <w:rsid w:val="008B7C2C"/>
    <w:rsid w:val="008C00B9"/>
    <w:rsid w:val="008C03F9"/>
    <w:rsid w:val="008C5FA3"/>
    <w:rsid w:val="008E14AD"/>
    <w:rsid w:val="008E3BB3"/>
    <w:rsid w:val="008E6CE5"/>
    <w:rsid w:val="008F0136"/>
    <w:rsid w:val="008F2048"/>
    <w:rsid w:val="00902B4D"/>
    <w:rsid w:val="009073A7"/>
    <w:rsid w:val="0092073F"/>
    <w:rsid w:val="00923647"/>
    <w:rsid w:val="009351C2"/>
    <w:rsid w:val="0094025D"/>
    <w:rsid w:val="009459D7"/>
    <w:rsid w:val="00951EE7"/>
    <w:rsid w:val="00982275"/>
    <w:rsid w:val="0098294C"/>
    <w:rsid w:val="009A270D"/>
    <w:rsid w:val="009A5C51"/>
    <w:rsid w:val="009A61FB"/>
    <w:rsid w:val="009B0415"/>
    <w:rsid w:val="009B2AB0"/>
    <w:rsid w:val="009B44DE"/>
    <w:rsid w:val="009B5A9C"/>
    <w:rsid w:val="009D0952"/>
    <w:rsid w:val="009E2035"/>
    <w:rsid w:val="009E45A2"/>
    <w:rsid w:val="009E62E9"/>
    <w:rsid w:val="009E6D65"/>
    <w:rsid w:val="009F01A5"/>
    <w:rsid w:val="009F06F5"/>
    <w:rsid w:val="00A03A72"/>
    <w:rsid w:val="00A153F6"/>
    <w:rsid w:val="00A23487"/>
    <w:rsid w:val="00A25670"/>
    <w:rsid w:val="00A37F61"/>
    <w:rsid w:val="00A42938"/>
    <w:rsid w:val="00A43F56"/>
    <w:rsid w:val="00A44F4F"/>
    <w:rsid w:val="00A47D37"/>
    <w:rsid w:val="00A5496F"/>
    <w:rsid w:val="00A57466"/>
    <w:rsid w:val="00A70B8C"/>
    <w:rsid w:val="00A71D0F"/>
    <w:rsid w:val="00A80B4A"/>
    <w:rsid w:val="00A81CEE"/>
    <w:rsid w:val="00A83FA2"/>
    <w:rsid w:val="00A849B2"/>
    <w:rsid w:val="00A876C3"/>
    <w:rsid w:val="00A95C7E"/>
    <w:rsid w:val="00AA5365"/>
    <w:rsid w:val="00AB17C6"/>
    <w:rsid w:val="00AB17DC"/>
    <w:rsid w:val="00AC72A8"/>
    <w:rsid w:val="00AE0128"/>
    <w:rsid w:val="00B13ED0"/>
    <w:rsid w:val="00B200AA"/>
    <w:rsid w:val="00B23593"/>
    <w:rsid w:val="00B32131"/>
    <w:rsid w:val="00B639C6"/>
    <w:rsid w:val="00B65056"/>
    <w:rsid w:val="00B71824"/>
    <w:rsid w:val="00B768EC"/>
    <w:rsid w:val="00B847C0"/>
    <w:rsid w:val="00B85D99"/>
    <w:rsid w:val="00B9170E"/>
    <w:rsid w:val="00B9397B"/>
    <w:rsid w:val="00B94D16"/>
    <w:rsid w:val="00BA1B78"/>
    <w:rsid w:val="00BA67E3"/>
    <w:rsid w:val="00BB2D8B"/>
    <w:rsid w:val="00BC49A6"/>
    <w:rsid w:val="00BC5550"/>
    <w:rsid w:val="00BC7ABA"/>
    <w:rsid w:val="00BD005A"/>
    <w:rsid w:val="00BD08B9"/>
    <w:rsid w:val="00BD1A39"/>
    <w:rsid w:val="00BE2B43"/>
    <w:rsid w:val="00BE3547"/>
    <w:rsid w:val="00BE5FA8"/>
    <w:rsid w:val="00BE6015"/>
    <w:rsid w:val="00C001A0"/>
    <w:rsid w:val="00C01DA3"/>
    <w:rsid w:val="00C04D34"/>
    <w:rsid w:val="00C14744"/>
    <w:rsid w:val="00C15B6D"/>
    <w:rsid w:val="00C17155"/>
    <w:rsid w:val="00C22D9C"/>
    <w:rsid w:val="00C34CBC"/>
    <w:rsid w:val="00C3538A"/>
    <w:rsid w:val="00C43B41"/>
    <w:rsid w:val="00C4709D"/>
    <w:rsid w:val="00C478F8"/>
    <w:rsid w:val="00C63396"/>
    <w:rsid w:val="00C72142"/>
    <w:rsid w:val="00C73242"/>
    <w:rsid w:val="00C77E57"/>
    <w:rsid w:val="00C82D00"/>
    <w:rsid w:val="00CA3BB5"/>
    <w:rsid w:val="00CB1C94"/>
    <w:rsid w:val="00CB7640"/>
    <w:rsid w:val="00CC345A"/>
    <w:rsid w:val="00CC3F2F"/>
    <w:rsid w:val="00CC67B6"/>
    <w:rsid w:val="00CD03DE"/>
    <w:rsid w:val="00CF0957"/>
    <w:rsid w:val="00D2193B"/>
    <w:rsid w:val="00D266E9"/>
    <w:rsid w:val="00D30BB1"/>
    <w:rsid w:val="00D30D2C"/>
    <w:rsid w:val="00D43CF5"/>
    <w:rsid w:val="00D51DB0"/>
    <w:rsid w:val="00D55AD4"/>
    <w:rsid w:val="00D55DE9"/>
    <w:rsid w:val="00D579A5"/>
    <w:rsid w:val="00D67882"/>
    <w:rsid w:val="00D74369"/>
    <w:rsid w:val="00D76FD3"/>
    <w:rsid w:val="00D77FC0"/>
    <w:rsid w:val="00D837C8"/>
    <w:rsid w:val="00D87F0E"/>
    <w:rsid w:val="00D969F0"/>
    <w:rsid w:val="00DA6782"/>
    <w:rsid w:val="00DB340F"/>
    <w:rsid w:val="00DB7A6C"/>
    <w:rsid w:val="00DC7F75"/>
    <w:rsid w:val="00DD3195"/>
    <w:rsid w:val="00DD4EA3"/>
    <w:rsid w:val="00DD6372"/>
    <w:rsid w:val="00DE31A5"/>
    <w:rsid w:val="00DE3B7F"/>
    <w:rsid w:val="00DF19BD"/>
    <w:rsid w:val="00E10DBC"/>
    <w:rsid w:val="00E120AE"/>
    <w:rsid w:val="00E1242E"/>
    <w:rsid w:val="00E15C77"/>
    <w:rsid w:val="00E23F6D"/>
    <w:rsid w:val="00E34C1D"/>
    <w:rsid w:val="00E530B0"/>
    <w:rsid w:val="00E541AE"/>
    <w:rsid w:val="00E55FEC"/>
    <w:rsid w:val="00E562BD"/>
    <w:rsid w:val="00E57FF7"/>
    <w:rsid w:val="00E6066E"/>
    <w:rsid w:val="00E62613"/>
    <w:rsid w:val="00E62DDC"/>
    <w:rsid w:val="00E65E47"/>
    <w:rsid w:val="00E72582"/>
    <w:rsid w:val="00E730DC"/>
    <w:rsid w:val="00E81E4D"/>
    <w:rsid w:val="00E90544"/>
    <w:rsid w:val="00E92C30"/>
    <w:rsid w:val="00EB20BF"/>
    <w:rsid w:val="00EB4472"/>
    <w:rsid w:val="00EB7D33"/>
    <w:rsid w:val="00EC409B"/>
    <w:rsid w:val="00EC7F6C"/>
    <w:rsid w:val="00ED09CF"/>
    <w:rsid w:val="00ED1ADA"/>
    <w:rsid w:val="00ED27CF"/>
    <w:rsid w:val="00ED5984"/>
    <w:rsid w:val="00ED7F2E"/>
    <w:rsid w:val="00EE2260"/>
    <w:rsid w:val="00EE4622"/>
    <w:rsid w:val="00EE7506"/>
    <w:rsid w:val="00EF42B4"/>
    <w:rsid w:val="00EF5D13"/>
    <w:rsid w:val="00F03C8C"/>
    <w:rsid w:val="00F109E9"/>
    <w:rsid w:val="00F14BA3"/>
    <w:rsid w:val="00F16EB2"/>
    <w:rsid w:val="00F2774B"/>
    <w:rsid w:val="00F3084E"/>
    <w:rsid w:val="00F47314"/>
    <w:rsid w:val="00F65462"/>
    <w:rsid w:val="00F706EE"/>
    <w:rsid w:val="00F71FBD"/>
    <w:rsid w:val="00F82D1B"/>
    <w:rsid w:val="00F8618C"/>
    <w:rsid w:val="00F86AFE"/>
    <w:rsid w:val="00F87E0A"/>
    <w:rsid w:val="00F92756"/>
    <w:rsid w:val="00F92ECC"/>
    <w:rsid w:val="00F93C48"/>
    <w:rsid w:val="00F959BA"/>
    <w:rsid w:val="00F973C1"/>
    <w:rsid w:val="00FA62B5"/>
    <w:rsid w:val="00FB59B9"/>
    <w:rsid w:val="00FD0CB5"/>
    <w:rsid w:val="1FB060AA"/>
    <w:rsid w:val="4895A5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3E01D"/>
  <w15:docId w15:val="{981CE874-F93B-40AF-9C02-621D6740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2"/>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b/>
      <w:iCs/>
      <w:szCs w:val="28"/>
    </w:rPr>
  </w:style>
  <w:style w:type="paragraph" w:styleId="Heading3">
    <w:name w:val="heading 3"/>
    <w:basedOn w:val="Normal"/>
    <w:next w:val="Normal"/>
    <w:qFormat/>
    <w:pPr>
      <w:keepNext/>
      <w:numPr>
        <w:ilvl w:val="2"/>
        <w:numId w:val="11"/>
      </w:numPr>
      <w:outlineLvl w:val="2"/>
    </w:pPr>
    <w:rPr>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basedOn w:val="Normal"/>
    <w:pPr>
      <w:overflowPunct w:val="0"/>
      <w:autoSpaceDE w:val="0"/>
      <w:autoSpaceDN w:val="0"/>
      <w:adjustRightInd w:val="0"/>
      <w:textAlignment w:val="baseline"/>
    </w:pPr>
    <w:rPr>
      <w:rFonts w:cs="Times New Roman"/>
      <w:szCs w:val="20"/>
      <w:lang w:val="en-US"/>
    </w:rPr>
  </w:style>
  <w:style w:type="paragraph" w:customStyle="1" w:styleId="Normal1">
    <w:name w:val="Normal1"/>
    <w:basedOn w:val="Normal"/>
    <w:pPr>
      <w:spacing w:before="120" w:after="100" w:afterAutospacing="1"/>
    </w:pPr>
    <w:rPr>
      <w:rFonts w:cs="Times New Roman"/>
      <w:iCs/>
      <w:szCs w:val="24"/>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Paragraph">
    <w:name w:val="List Paragraph"/>
    <w:basedOn w:val="Normal"/>
    <w:uiPriority w:val="34"/>
    <w:qFormat/>
    <w:rsid w:val="00684E8C"/>
    <w:pPr>
      <w:ind w:left="720"/>
      <w:contextualSpacing/>
    </w:pPr>
  </w:style>
  <w:style w:type="character" w:customStyle="1" w:styleId="HeaderChar">
    <w:name w:val="Header Char"/>
    <w:link w:val="Header"/>
    <w:uiPriority w:val="99"/>
    <w:rsid w:val="0092073F"/>
    <w:rPr>
      <w:rFonts w:ascii="Arial" w:hAnsi="Arial" w:cs="Arial"/>
      <w:sz w:val="24"/>
      <w:szCs w:val="22"/>
      <w:lang w:eastAsia="en-US"/>
    </w:rPr>
  </w:style>
  <w:style w:type="character" w:styleId="PlaceholderText">
    <w:name w:val="Placeholder Text"/>
    <w:uiPriority w:val="99"/>
    <w:semiHidden/>
    <w:rsid w:val="00B639C6"/>
    <w:rPr>
      <w:color w:val="808080"/>
    </w:rPr>
  </w:style>
  <w:style w:type="paragraph" w:styleId="FootnoteText">
    <w:name w:val="footnote text"/>
    <w:basedOn w:val="Normal"/>
    <w:link w:val="FootnoteTextChar"/>
    <w:semiHidden/>
    <w:unhideWhenUsed/>
    <w:rsid w:val="00B639C6"/>
    <w:rPr>
      <w:sz w:val="20"/>
      <w:szCs w:val="20"/>
    </w:rPr>
  </w:style>
  <w:style w:type="character" w:customStyle="1" w:styleId="FootnoteTextChar">
    <w:name w:val="Footnote Text Char"/>
    <w:link w:val="FootnoteText"/>
    <w:semiHidden/>
    <w:rsid w:val="00B639C6"/>
    <w:rPr>
      <w:rFonts w:ascii="Arial" w:hAnsi="Arial" w:cs="Arial"/>
      <w:lang w:eastAsia="en-US"/>
    </w:rPr>
  </w:style>
  <w:style w:type="character" w:styleId="FootnoteReference">
    <w:name w:val="footnote reference"/>
    <w:semiHidden/>
    <w:unhideWhenUsed/>
    <w:rsid w:val="00B639C6"/>
    <w:rPr>
      <w:vertAlign w:val="superscript"/>
    </w:rPr>
  </w:style>
  <w:style w:type="paragraph" w:styleId="BalloonText">
    <w:name w:val="Balloon Text"/>
    <w:basedOn w:val="Normal"/>
    <w:link w:val="BalloonTextChar"/>
    <w:rsid w:val="00A153F6"/>
    <w:rPr>
      <w:rFonts w:ascii="Tahoma" w:hAnsi="Tahoma" w:cs="Tahoma"/>
      <w:sz w:val="16"/>
      <w:szCs w:val="16"/>
    </w:rPr>
  </w:style>
  <w:style w:type="character" w:customStyle="1" w:styleId="BalloonTextChar">
    <w:name w:val="Balloon Text Char"/>
    <w:basedOn w:val="DefaultParagraphFont"/>
    <w:link w:val="BalloonText"/>
    <w:rsid w:val="00A153F6"/>
    <w:rPr>
      <w:rFonts w:ascii="Tahoma" w:hAnsi="Tahoma" w:cs="Tahoma"/>
      <w:sz w:val="16"/>
      <w:szCs w:val="16"/>
      <w:lang w:eastAsia="en-US"/>
    </w:rPr>
  </w:style>
  <w:style w:type="table" w:customStyle="1" w:styleId="TableGrid2">
    <w:name w:val="Table Grid2"/>
    <w:basedOn w:val="TableNormal"/>
    <w:next w:val="TableGrid"/>
    <w:rsid w:val="00F87E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A481D"/>
    <w:rPr>
      <w:color w:val="0000FF" w:themeColor="hyperlink"/>
      <w:u w:val="single"/>
    </w:rPr>
  </w:style>
  <w:style w:type="character" w:styleId="UnresolvedMention">
    <w:name w:val="Unresolved Mention"/>
    <w:basedOn w:val="DefaultParagraphFont"/>
    <w:uiPriority w:val="99"/>
    <w:semiHidden/>
    <w:unhideWhenUsed/>
    <w:rsid w:val="001A481D"/>
    <w:rPr>
      <w:color w:val="605E5C"/>
      <w:shd w:val="clear" w:color="auto" w:fill="E1DFDD"/>
    </w:rPr>
  </w:style>
  <w:style w:type="character" w:styleId="FollowedHyperlink">
    <w:name w:val="FollowedHyperlink"/>
    <w:basedOn w:val="DefaultParagraphFont"/>
    <w:semiHidden/>
    <w:unhideWhenUsed/>
    <w:rsid w:val="003E6007"/>
    <w:rPr>
      <w:color w:val="800080" w:themeColor="followedHyperlink"/>
      <w:u w:val="single"/>
    </w:rPr>
  </w:style>
  <w:style w:type="paragraph" w:styleId="Revision">
    <w:name w:val="Revision"/>
    <w:hidden/>
    <w:uiPriority w:val="99"/>
    <w:semiHidden/>
    <w:rsid w:val="00EC7F6C"/>
    <w:rPr>
      <w:rFonts w:ascii="Arial" w:hAnsi="Arial" w:cs="Arial"/>
      <w:sz w:val="24"/>
      <w:szCs w:val="22"/>
      <w:lang w:eastAsia="en-US"/>
    </w:rPr>
  </w:style>
  <w:style w:type="character" w:styleId="CommentReference">
    <w:name w:val="annotation reference"/>
    <w:basedOn w:val="DefaultParagraphFont"/>
    <w:semiHidden/>
    <w:unhideWhenUsed/>
    <w:rsid w:val="00EC7F6C"/>
    <w:rPr>
      <w:sz w:val="16"/>
      <w:szCs w:val="16"/>
    </w:rPr>
  </w:style>
  <w:style w:type="paragraph" w:styleId="CommentText">
    <w:name w:val="annotation text"/>
    <w:basedOn w:val="Normal"/>
    <w:link w:val="CommentTextChar"/>
    <w:unhideWhenUsed/>
    <w:rsid w:val="00EC7F6C"/>
    <w:rPr>
      <w:sz w:val="20"/>
      <w:szCs w:val="20"/>
    </w:rPr>
  </w:style>
  <w:style w:type="character" w:customStyle="1" w:styleId="CommentTextChar">
    <w:name w:val="Comment Text Char"/>
    <w:basedOn w:val="DefaultParagraphFont"/>
    <w:link w:val="CommentText"/>
    <w:rsid w:val="00EC7F6C"/>
    <w:rPr>
      <w:rFonts w:ascii="Arial" w:hAnsi="Arial" w:cs="Arial"/>
      <w:lang w:eastAsia="en-US"/>
    </w:rPr>
  </w:style>
  <w:style w:type="paragraph" w:styleId="CommentSubject">
    <w:name w:val="annotation subject"/>
    <w:basedOn w:val="CommentText"/>
    <w:next w:val="CommentText"/>
    <w:link w:val="CommentSubjectChar"/>
    <w:semiHidden/>
    <w:unhideWhenUsed/>
    <w:rsid w:val="00EC7F6C"/>
    <w:rPr>
      <w:b/>
      <w:bCs/>
    </w:rPr>
  </w:style>
  <w:style w:type="character" w:customStyle="1" w:styleId="CommentSubjectChar">
    <w:name w:val="Comment Subject Char"/>
    <w:basedOn w:val="CommentTextChar"/>
    <w:link w:val="CommentSubject"/>
    <w:semiHidden/>
    <w:rsid w:val="00EC7F6C"/>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03284">
      <w:bodyDiv w:val="1"/>
      <w:marLeft w:val="0"/>
      <w:marRight w:val="0"/>
      <w:marTop w:val="0"/>
      <w:marBottom w:val="0"/>
      <w:divBdr>
        <w:top w:val="none" w:sz="0" w:space="0" w:color="auto"/>
        <w:left w:val="none" w:sz="0" w:space="0" w:color="auto"/>
        <w:bottom w:val="none" w:sz="0" w:space="0" w:color="auto"/>
        <w:right w:val="none" w:sz="0" w:space="0" w:color="auto"/>
      </w:divBdr>
    </w:div>
    <w:div w:id="486823511">
      <w:bodyDiv w:val="1"/>
      <w:marLeft w:val="0"/>
      <w:marRight w:val="0"/>
      <w:marTop w:val="0"/>
      <w:marBottom w:val="0"/>
      <w:divBdr>
        <w:top w:val="none" w:sz="0" w:space="0" w:color="auto"/>
        <w:left w:val="none" w:sz="0" w:space="0" w:color="auto"/>
        <w:bottom w:val="none" w:sz="0" w:space="0" w:color="auto"/>
        <w:right w:val="none" w:sz="0" w:space="0" w:color="auto"/>
      </w:divBdr>
      <w:divsChild>
        <w:div w:id="665015236">
          <w:marLeft w:val="547"/>
          <w:marRight w:val="0"/>
          <w:marTop w:val="134"/>
          <w:marBottom w:val="0"/>
          <w:divBdr>
            <w:top w:val="none" w:sz="0" w:space="0" w:color="auto"/>
            <w:left w:val="none" w:sz="0" w:space="0" w:color="auto"/>
            <w:bottom w:val="none" w:sz="0" w:space="0" w:color="auto"/>
            <w:right w:val="none" w:sz="0" w:space="0" w:color="auto"/>
          </w:divBdr>
        </w:div>
        <w:div w:id="811941082">
          <w:marLeft w:val="547"/>
          <w:marRight w:val="0"/>
          <w:marTop w:val="134"/>
          <w:marBottom w:val="0"/>
          <w:divBdr>
            <w:top w:val="none" w:sz="0" w:space="0" w:color="auto"/>
            <w:left w:val="none" w:sz="0" w:space="0" w:color="auto"/>
            <w:bottom w:val="none" w:sz="0" w:space="0" w:color="auto"/>
            <w:right w:val="none" w:sz="0" w:space="0" w:color="auto"/>
          </w:divBdr>
        </w:div>
      </w:divsChild>
    </w:div>
    <w:div w:id="1278684305">
      <w:bodyDiv w:val="1"/>
      <w:marLeft w:val="0"/>
      <w:marRight w:val="0"/>
      <w:marTop w:val="0"/>
      <w:marBottom w:val="0"/>
      <w:divBdr>
        <w:top w:val="none" w:sz="0" w:space="0" w:color="auto"/>
        <w:left w:val="none" w:sz="0" w:space="0" w:color="auto"/>
        <w:bottom w:val="none" w:sz="0" w:space="0" w:color="auto"/>
        <w:right w:val="none" w:sz="0" w:space="0" w:color="auto"/>
      </w:divBdr>
    </w:div>
    <w:div w:id="1356006396">
      <w:bodyDiv w:val="1"/>
      <w:marLeft w:val="0"/>
      <w:marRight w:val="0"/>
      <w:marTop w:val="0"/>
      <w:marBottom w:val="0"/>
      <w:divBdr>
        <w:top w:val="none" w:sz="0" w:space="0" w:color="auto"/>
        <w:left w:val="none" w:sz="0" w:space="0" w:color="auto"/>
        <w:bottom w:val="none" w:sz="0" w:space="0" w:color="auto"/>
        <w:right w:val="none" w:sz="0" w:space="0" w:color="auto"/>
      </w:divBdr>
    </w:div>
    <w:div w:id="174425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nr.org.uk/operational/tech_insp_guides/ns-insp-gd-023.docx" TargetMode="External"/><Relationship Id="rId18" Type="http://schemas.openxmlformats.org/officeDocument/2006/relationships/hyperlink" Target="https://www.onr.org.uk/operational/tech_asst_guides/ns-tast-gd-051.docx" TargetMode="External"/><Relationship Id="rId26" Type="http://schemas.openxmlformats.org/officeDocument/2006/relationships/hyperlink" Target="https://www.gov.uk/government/publications/new-nuclear-power-plants-generic-design-assessment-guidance-for-requesting-parties" TargetMode="External"/><Relationship Id="rId3" Type="http://schemas.openxmlformats.org/officeDocument/2006/relationships/customXml" Target="../customXml/item3.xml"/><Relationship Id="rId21" Type="http://schemas.openxmlformats.org/officeDocument/2006/relationships/hyperlink" Target="https://www.onr.org.uk/syaps/security-assessment-principles.pdf" TargetMode="External"/><Relationship Id="rId7" Type="http://schemas.openxmlformats.org/officeDocument/2006/relationships/styles" Target="styles.xml"/><Relationship Id="rId12" Type="http://schemas.openxmlformats.org/officeDocument/2006/relationships/hyperlink" Target="https://www.onr.org.uk/new-reactors/rolls-royce/reports/rolls-royce-smr-step-1-summary.docx" TargetMode="External"/><Relationship Id="rId17" Type="http://schemas.openxmlformats.org/officeDocument/2006/relationships/hyperlink" Target="https://www.onr.org.uk/saps/saps2014.pdf" TargetMode="External"/><Relationship Id="rId25" Type="http://schemas.openxmlformats.org/officeDocument/2006/relationships/hyperlink" Target="https://www.onr.org.uk/new-reactors/onr-gda-gd-006.pdf" TargetMode="External"/><Relationship Id="rId2" Type="http://schemas.openxmlformats.org/officeDocument/2006/relationships/customXml" Target="../customXml/item2.xml"/><Relationship Id="rId16" Type="http://schemas.openxmlformats.org/officeDocument/2006/relationships/hyperlink" Target="http://www.wenra.eu" TargetMode="External"/><Relationship Id="rId20" Type="http://schemas.openxmlformats.org/officeDocument/2006/relationships/hyperlink" Target="http://www.iaea.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radioactive-substances-regulation-rsr-objective-and-principles/radioactive-substances-regulation-rsr-objective-and-principles" TargetMode="External"/><Relationship Id="rId5" Type="http://schemas.openxmlformats.org/officeDocument/2006/relationships/customXml" Target="../customXml/item5.xml"/><Relationship Id="rId15" Type="http://schemas.openxmlformats.org/officeDocument/2006/relationships/hyperlink" Target="http://www.iaea.org" TargetMode="External"/><Relationship Id="rId23" Type="http://schemas.openxmlformats.org/officeDocument/2006/relationships/hyperlink" Target="https://www.legislation.gov.uk/uksi/2019/196/mad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legislation.gov.uk/uksi/2003/403/pdfs/uksi_20030403_en.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nr.org.uk/operational/tech_insp_guides/ns-insp-gd-014.pdf" TargetMode="External"/><Relationship Id="rId22" Type="http://schemas.openxmlformats.org/officeDocument/2006/relationships/hyperlink" Target="https://www.onr.org.uk/operational/tech_asst_guides/index.htm"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6cfbbfa-3ea0-4d8e-acde-632e83cd9c55" xsi:nil="true"/>
    <_dlc_DocId xmlns="f6cfbbfa-3ea0-4d8e-acde-632e83cd9c55">ONRW-2126615823-1136</_dlc_DocId>
    <_dlc_DocIdUrl xmlns="f6cfbbfa-3ea0-4d8e-acde-632e83cd9c55">
      <Url>https://prodonrgov.sharepoint.com/_layouts/15/DocIdRedir.aspx?ID=ONRW-2126615823-1136</Url>
      <Description>ONRW-2126615823-1136</Description>
    </_dlc_DocIdUrl>
    <Document_x0020_Type xmlns="f6cfbbfa-3ea0-4d8e-acde-632e83cd9c55">Other</Document_x0020_Type>
    <External_x0020_Reference xmlns="f6cfbbfa-3ea0-4d8e-acde-632e83cd9c55">null</External_x0020_Reference>
    <Site xmlns="f6cfbbfa-3ea0-4d8e-acde-632e83cd9c55" xsi:nil="true"/>
    <_Flow_SignoffStatus xmlns="6ee01a08-9bb3-4510-887c-4508c532eb2e" xsi:nil="true"/>
    <GDA_x0020_Tier xmlns="f6cfbbfa-3ea0-4d8e-acde-632e83cd9c55" xsi:nil="true"/>
    <External_x0020_Revision xmlns="f6cfbbfa-3ea0-4d8e-acde-632e83cd9c55" xsi:nil="true"/>
    <Record_x0020_Number xmlns="f6cfbbfa-3ea0-4d8e-acde-632e83cd9c55">AR-01240</Record_x0020_Number>
    <GDA_x0020_RP_x0020_Assigned_x0020_Export_x0020_Control xmlns="f6cfbbfa-3ea0-4d8e-acde-632e83cd9c55" xsi:nil="true"/>
    <GDA_x0020_Topic xmlns="f6cfbbfa-3ea0-4d8e-acde-632e83cd9c55" xsi:nil="true"/>
    <Division xmlns="f6cfbbfa-3ea0-4d8e-acde-632e83cd9c55" xsi:nil="true"/>
    <GDA_x0020_Purpose xmlns="f6cfbbfa-3ea0-4d8e-acde-632e83cd9c55" xsi:nil="true"/>
    <Subdivision xmlns="f6cfbbfa-3ea0-4d8e-acde-632e83cd9c55" xsi:nil="true"/>
    <Dutyholder xmlns="f6cfbbfa-3ea0-4d8e-acde-632e83cd9c55">Rolls-Royce SMR Limited</Dutyholder>
    <lcf76f155ced4ddcb4097134ff3c332f xmlns="6ee01a08-9bb3-4510-887c-4508c532eb2e">
      <Terms xmlns="http://schemas.microsoft.com/office/infopath/2007/PartnerControls"/>
    </lcf76f155ced4ddcb4097134ff3c332f>
    <_dlc_DocIdPersistId xmlns="f6cfbbfa-3ea0-4d8e-acde-632e83cd9c55" xsi:nil="true"/>
    <Versioncontrol xmlns="6ee01a08-9bb3-4510-887c-4508c532eb2e" xsi:nil="true"/>
    <Category xmlns="6ee01a08-9bb3-4510-887c-4508c532eb2e" xsi:nil="true"/>
    <Wherereferenced xmlns="6ee01a08-9bb3-4510-887c-4508c532eb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FD813B9BA5F84C8E4BDD131736DF68" ma:contentTypeVersion="29" ma:contentTypeDescription="Create a new document." ma:contentTypeScope="" ma:versionID="b3cc26d31e5eb3121cb1ce68bd8a26ea">
  <xsd:schema xmlns:xsd="http://www.w3.org/2001/XMLSchema" xmlns:xs="http://www.w3.org/2001/XMLSchema" xmlns:p="http://schemas.microsoft.com/office/2006/metadata/properties" xmlns:ns2="f6cfbbfa-3ea0-4d8e-acde-632e83cd9c55" xmlns:ns3="6ee01a08-9bb3-4510-887c-4508c532eb2e" targetNamespace="http://schemas.microsoft.com/office/2006/metadata/properties" ma:root="true" ma:fieldsID="4867ae9564d5b2f6417c4008889c5eb6" ns2:_="" ns3:_="">
    <xsd:import namespace="f6cfbbfa-3ea0-4d8e-acde-632e83cd9c55"/>
    <xsd:import namespace="6ee01a08-9bb3-4510-887c-4508c532eb2e"/>
    <xsd:element name="properties">
      <xsd:complexType>
        <xsd:sequence>
          <xsd:element name="documentManagement">
            <xsd:complexType>
              <xsd:all>
                <xsd:element ref="ns2:_dlc_DocIdUrl" minOccurs="0"/>
                <xsd:element ref="ns2:Document_x0020_Type" minOccurs="0"/>
                <xsd:element ref="ns2:Dutyholder" minOccurs="0"/>
                <xsd:element ref="ns2:External_x0020_Reference" minOccurs="0"/>
                <xsd:element ref="ns2:Record_x0020_Number" minOccurs="0"/>
                <xsd:element ref="ns2:Site" minOccurs="0"/>
                <xsd:element ref="ns3:_Flow_SignoffStatus" minOccurs="0"/>
                <xsd:element ref="ns2:Division" minOccurs="0"/>
                <xsd:element ref="ns2:External_x0020_Revision" minOccurs="0"/>
                <xsd:element ref="ns2:Subdivision" minOccurs="0"/>
                <xsd:element ref="ns2:_dlc_Doc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_dlc_DocIdPersistId" minOccurs="0"/>
                <xsd:element ref="ns2:SharedWithUsers" minOccurs="0"/>
                <xsd:element ref="ns2:SharedWithDetails" minOccurs="0"/>
                <xsd:element ref="ns2:GDA_x0020_Purpose" minOccurs="0"/>
                <xsd:element ref="ns2:GDA_x0020_RP_x0020_Assigned_x0020_Export_x0020_Control" minOccurs="0"/>
                <xsd:element ref="ns2:GDA_x0020_Tier" minOccurs="0"/>
                <xsd:element ref="ns2:GDA_x0020_Topic" minOccurs="0"/>
                <xsd:element ref="ns3:MediaServiceObjectDetectorVersions" minOccurs="0"/>
                <xsd:element ref="ns3:Versioncontrol" minOccurs="0"/>
                <xsd:element ref="ns3:Category" minOccurs="0"/>
                <xsd:element ref="ns3:Wherereferen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3" nillable="true" ma:displayName="Document Type" ma:format="Dropdown" ma:internalName="Document_x0020_Type">
      <xsd:simpleType>
        <xsd:restriction base="dms:Choice">
          <xsd:enumeration value="Assessment Report"/>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Other"/>
        </xsd:restriction>
      </xsd:simpleType>
    </xsd:element>
    <xsd:element name="Dutyholder" ma:index="4" nillable="true" ma:displayName="Dutyholder" ma:default="" ma:internalName="Dutyholder" ma:readOnly="false">
      <xsd:simpleType>
        <xsd:restriction base="dms:Text">
          <xsd:maxLength value="255"/>
        </xsd:restriction>
      </xsd:simpleType>
    </xsd:element>
    <xsd:element name="External_x0020_Reference" ma:index="5" nillable="true" ma:displayName="External Reference" ma:default="" ma:internalName="External_x0020_Referenc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Site" ma:index="7" nillable="true" ma:displayName="Site" ma:default="" ma:internalName="Site" ma:readOnly="false">
      <xsd:simpleType>
        <xsd:restriction base="dms:Text">
          <xsd:maxLength value="255"/>
        </xsd:restriction>
      </xsd:simpleType>
    </xsd:element>
    <xsd:element name="Division" ma:index="11" nillable="true" ma:displayName="Division" ma:default="" ma:internalName="Division" ma:readOnly="false">
      <xsd:simpleType>
        <xsd:restriction base="dms:Text">
          <xsd:maxLength value="255"/>
        </xsd:restriction>
      </xsd:simpleType>
    </xsd:element>
    <xsd:element name="External_x0020_Revision" ma:index="12" nillable="true" ma:displayName="External Revision" ma:default="" ma:internalName="External_x0020_Revision" ma:readOnly="false">
      <xsd:simpleType>
        <xsd:restriction base="dms:Text">
          <xsd:maxLength value="255"/>
        </xsd:restriction>
      </xsd:simpleType>
    </xsd:element>
    <xsd:element name="Subdivision" ma:index="13" nillable="true" ma:displayName="Subdivision" ma:default="" ma:internalName="Subdivision" ma:readOnly="false">
      <xsd:simpleType>
        <xsd:restriction base="dms:Text">
          <xsd:maxLength value="255"/>
        </xsd:restriction>
      </xsd:simpleType>
    </xsd:element>
    <xsd:element name="_dlc_DocId" ma:index="16" nillable="true" ma:displayName="Document ID Value" ma:description="The value of the document ID assigned to this item." ma:hidden="true" ma:indexed="true" ma:internalName="_dlc_DocId" ma:readOnly="false">
      <xsd:simpleType>
        <xsd:restriction base="dms:Text"/>
      </xsd:simpleType>
    </xsd:element>
    <xsd:element name="TaxCatchAll" ma:index="21"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GDA_x0020_Purpose" ma:index="28" nillable="true" ma:displayName="GDA Purpose" ma:format="Dropdown" ma:hidden="true" ma:internalName="GDA_x0020_Purpose" ma:readOnly="false">
      <xsd:simpleType>
        <xsd:restriction base="dms:Choice">
          <xsd:enumeration value="Project"/>
          <xsd:enumeration value="Safety"/>
          <xsd:enumeration value="Security"/>
          <xsd:enumeration value="Safeguards"/>
          <xsd:enumeration value="Environment or General"/>
        </xsd:restriction>
      </xsd:simpleType>
    </xsd:element>
    <xsd:element name="GDA_x0020_RP_x0020_Assigned_x0020_Export_x0020_Control" ma:index="29" nillable="true" ma:displayName="GDA RP Assigned Export Control" ma:default="" ma:hidden="true" ma:internalName="GDA_x0020_RP_x0020_Assigned_x0020_Export_x0020_Control" ma:readOnly="false">
      <xsd:simpleType>
        <xsd:restriction base="dms:Text">
          <xsd:maxLength value="255"/>
        </xsd:restriction>
      </xsd:simpleType>
    </xsd:element>
    <xsd:element name="GDA_x0020_Tier" ma:index="30" nillable="true" ma:displayName="GDA Tier" ma:default="" ma:format="Dropdown" ma:hidden="true" ma:internalName="GDA_x0020_Tier" ma:readOnly="false">
      <xsd:simpleType>
        <xsd:restriction base="dms:Choice">
          <xsd:enumeration value="1"/>
          <xsd:enumeration value="2"/>
          <xsd:enumeration value="3"/>
          <xsd:enumeration value="4"/>
        </xsd:restriction>
      </xsd:simpleType>
    </xsd:element>
    <xsd:element name="GDA_x0020_Topic" ma:index="31" nillable="true" ma:displayName="GDA Topic" ma:format="Dropdown" ma:hidden="true" ma:internalName="GDA_x0020_Topic" ma:readOnly="false">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restriction>
      </xsd:simpleType>
    </xsd:element>
  </xsd:schema>
  <xsd:schema xmlns:xsd="http://www.w3.org/2001/XMLSchema" xmlns:xs="http://www.w3.org/2001/XMLSchema" xmlns:dms="http://schemas.microsoft.com/office/2006/documentManagement/types" xmlns:pc="http://schemas.microsoft.com/office/infopath/2007/PartnerControls" targetNamespace="6ee01a08-9bb3-4510-887c-4508c532eb2e" elementFormDefault="qualified">
    <xsd:import namespace="http://schemas.microsoft.com/office/2006/documentManagement/types"/>
    <xsd:import namespace="http://schemas.microsoft.com/office/infopath/2007/PartnerControls"/>
    <xsd:element name="_Flow_SignoffStatus" ma:index="10"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Versioncontrol" ma:index="36" nillable="true" ma:displayName="Version control" ma:format="Dropdown" ma:internalName="Versioncontrol">
      <xsd:simpleType>
        <xsd:restriction base="dms:Text">
          <xsd:maxLength value="255"/>
        </xsd:restriction>
      </xsd:simpleType>
    </xsd:element>
    <xsd:element name="Category" ma:index="37" nillable="true" ma:displayName="Category" ma:format="Dropdown" ma:internalName="Category">
      <xsd:simpleType>
        <xsd:restriction base="dms:Text">
          <xsd:maxLength value="255"/>
        </xsd:restriction>
      </xsd:simpleType>
    </xsd:element>
    <xsd:element name="Wherereferenced" ma:index="38" nillable="true" ma:displayName="Where referenced" ma:format="Dropdown" ma:internalName="Wherereferenc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249D3-5E4B-465F-93AF-46D391F33B5B}">
  <ds:schemaRefs>
    <ds:schemaRef ds:uri="http://schemas.microsoft.com/sharepoint/events"/>
  </ds:schemaRefs>
</ds:datastoreItem>
</file>

<file path=customXml/itemProps2.xml><?xml version="1.0" encoding="utf-8"?>
<ds:datastoreItem xmlns:ds="http://schemas.openxmlformats.org/officeDocument/2006/customXml" ds:itemID="{79E0A575-9853-41D7-8BCA-572C9CA63D97}">
  <ds:schemaRefs>
    <ds:schemaRef ds:uri="http://schemas.openxmlformats.org/officeDocument/2006/bibliography"/>
  </ds:schemaRefs>
</ds:datastoreItem>
</file>

<file path=customXml/itemProps3.xml><?xml version="1.0" encoding="utf-8"?>
<ds:datastoreItem xmlns:ds="http://schemas.openxmlformats.org/officeDocument/2006/customXml" ds:itemID="{B6C5780F-2889-4DD7-8F85-E0FC5CD85289}">
  <ds:schemaRefs>
    <ds:schemaRef ds:uri="http://schemas.microsoft.com/office/2006/metadata/properties"/>
    <ds:schemaRef ds:uri="http://schemas.microsoft.com/office/infopath/2007/PartnerControls"/>
    <ds:schemaRef ds:uri="f6cfbbfa-3ea0-4d8e-acde-632e83cd9c55"/>
    <ds:schemaRef ds:uri="6ee01a08-9bb3-4510-887c-4508c532eb2e"/>
  </ds:schemaRefs>
</ds:datastoreItem>
</file>

<file path=customXml/itemProps4.xml><?xml version="1.0" encoding="utf-8"?>
<ds:datastoreItem xmlns:ds="http://schemas.openxmlformats.org/officeDocument/2006/customXml" ds:itemID="{59EEB132-B072-43C0-AF11-F154C5732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6ee01a08-9bb3-4510-887c-4508c532e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FC80CF-4684-40D0-8E8F-1216B2034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2729</Words>
  <Characters>15558</Characters>
  <Application>Microsoft Office Word</Application>
  <DocSecurity>0</DocSecurity>
  <Lines>129</Lines>
  <Paragraphs>36</Paragraphs>
  <ScaleCrop>false</ScaleCrop>
  <Company>Health and Safety Executive</Company>
  <LinksUpToDate>false</LinksUpToDate>
  <CharactersWithSpaces>18251</CharactersWithSpaces>
  <SharedDoc>false</SharedDoc>
  <HLinks>
    <vt:vector size="96" baseType="variant">
      <vt:variant>
        <vt:i4>4653139</vt:i4>
      </vt:variant>
      <vt:variant>
        <vt:i4>47</vt:i4>
      </vt:variant>
      <vt:variant>
        <vt:i4>0</vt:i4>
      </vt:variant>
      <vt:variant>
        <vt:i4>5</vt:i4>
      </vt:variant>
      <vt:variant>
        <vt:lpwstr>https://www.gov.uk/government/publications/new-nuclear-power-plants-generic-design-assessment-guidance-for-requesting-parties</vt:lpwstr>
      </vt:variant>
      <vt:variant>
        <vt:lpwstr/>
      </vt:variant>
      <vt:variant>
        <vt:i4>6422646</vt:i4>
      </vt:variant>
      <vt:variant>
        <vt:i4>44</vt:i4>
      </vt:variant>
      <vt:variant>
        <vt:i4>0</vt:i4>
      </vt:variant>
      <vt:variant>
        <vt:i4>5</vt:i4>
      </vt:variant>
      <vt:variant>
        <vt:lpwstr>https://www.onr.org.uk/new-reactors/onr-gda-gd-006.pdf</vt:lpwstr>
      </vt:variant>
      <vt:variant>
        <vt:lpwstr/>
      </vt:variant>
      <vt:variant>
        <vt:i4>1179726</vt:i4>
      </vt:variant>
      <vt:variant>
        <vt:i4>41</vt:i4>
      </vt:variant>
      <vt:variant>
        <vt:i4>0</vt:i4>
      </vt:variant>
      <vt:variant>
        <vt:i4>5</vt:i4>
      </vt:variant>
      <vt:variant>
        <vt:lpwstr>https://www.gov.uk/government/publications/radioactive-substances-regulation-rsr-objective-and-principles/radioactive-substances-regulation-rsr-objective-and-principles</vt:lpwstr>
      </vt:variant>
      <vt:variant>
        <vt:lpwstr/>
      </vt:variant>
      <vt:variant>
        <vt:i4>1638476</vt:i4>
      </vt:variant>
      <vt:variant>
        <vt:i4>38</vt:i4>
      </vt:variant>
      <vt:variant>
        <vt:i4>0</vt:i4>
      </vt:variant>
      <vt:variant>
        <vt:i4>5</vt:i4>
      </vt:variant>
      <vt:variant>
        <vt:lpwstr>https://www.legislation.gov.uk/uksi/2019/196/made</vt:lpwstr>
      </vt:variant>
      <vt:variant>
        <vt:lpwstr/>
      </vt:variant>
      <vt:variant>
        <vt:i4>6619239</vt:i4>
      </vt:variant>
      <vt:variant>
        <vt:i4>35</vt:i4>
      </vt:variant>
      <vt:variant>
        <vt:i4>0</vt:i4>
      </vt:variant>
      <vt:variant>
        <vt:i4>5</vt:i4>
      </vt:variant>
      <vt:variant>
        <vt:lpwstr>https://www.onr.org.uk/operational/tech_asst_guides/index.htm</vt:lpwstr>
      </vt:variant>
      <vt:variant>
        <vt:lpwstr/>
      </vt:variant>
      <vt:variant>
        <vt:i4>3407996</vt:i4>
      </vt:variant>
      <vt:variant>
        <vt:i4>32</vt:i4>
      </vt:variant>
      <vt:variant>
        <vt:i4>0</vt:i4>
      </vt:variant>
      <vt:variant>
        <vt:i4>5</vt:i4>
      </vt:variant>
      <vt:variant>
        <vt:lpwstr>https://www.onr.org.uk/syaps/security-assessment-principles.pdf</vt:lpwstr>
      </vt:variant>
      <vt:variant>
        <vt:lpwstr/>
      </vt:variant>
      <vt:variant>
        <vt:i4>5505112</vt:i4>
      </vt:variant>
      <vt:variant>
        <vt:i4>29</vt:i4>
      </vt:variant>
      <vt:variant>
        <vt:i4>0</vt:i4>
      </vt:variant>
      <vt:variant>
        <vt:i4>5</vt:i4>
      </vt:variant>
      <vt:variant>
        <vt:lpwstr>http://www.iaea.org/</vt:lpwstr>
      </vt:variant>
      <vt:variant>
        <vt:lpwstr/>
      </vt:variant>
      <vt:variant>
        <vt:i4>2818170</vt:i4>
      </vt:variant>
      <vt:variant>
        <vt:i4>26</vt:i4>
      </vt:variant>
      <vt:variant>
        <vt:i4>0</vt:i4>
      </vt:variant>
      <vt:variant>
        <vt:i4>5</vt:i4>
      </vt:variant>
      <vt:variant>
        <vt:lpwstr>http://www.legislation.gov.uk/uksi/2003/403/pdfs/uksi_20030403_en.pdf</vt:lpwstr>
      </vt:variant>
      <vt:variant>
        <vt:lpwstr/>
      </vt:variant>
      <vt:variant>
        <vt:i4>983058</vt:i4>
      </vt:variant>
      <vt:variant>
        <vt:i4>23</vt:i4>
      </vt:variant>
      <vt:variant>
        <vt:i4>0</vt:i4>
      </vt:variant>
      <vt:variant>
        <vt:i4>5</vt:i4>
      </vt:variant>
      <vt:variant>
        <vt:lpwstr>https://www.onr.org.uk/operational/tech_asst_guides/ns-tast-gd-051.docx</vt:lpwstr>
      </vt:variant>
      <vt:variant>
        <vt:lpwstr/>
      </vt:variant>
      <vt:variant>
        <vt:i4>1245271</vt:i4>
      </vt:variant>
      <vt:variant>
        <vt:i4>20</vt:i4>
      </vt:variant>
      <vt:variant>
        <vt:i4>0</vt:i4>
      </vt:variant>
      <vt:variant>
        <vt:i4>5</vt:i4>
      </vt:variant>
      <vt:variant>
        <vt:lpwstr>https://www.onr.org.uk/saps/saps2014.pdf</vt:lpwstr>
      </vt:variant>
      <vt:variant>
        <vt:lpwstr/>
      </vt:variant>
      <vt:variant>
        <vt:i4>1638428</vt:i4>
      </vt:variant>
      <vt:variant>
        <vt:i4>17</vt:i4>
      </vt:variant>
      <vt:variant>
        <vt:i4>0</vt:i4>
      </vt:variant>
      <vt:variant>
        <vt:i4>5</vt:i4>
      </vt:variant>
      <vt:variant>
        <vt:lpwstr>http://www.wenra.eu/</vt:lpwstr>
      </vt:variant>
      <vt:variant>
        <vt:lpwstr/>
      </vt:variant>
      <vt:variant>
        <vt:i4>5505112</vt:i4>
      </vt:variant>
      <vt:variant>
        <vt:i4>14</vt:i4>
      </vt:variant>
      <vt:variant>
        <vt:i4>0</vt:i4>
      </vt:variant>
      <vt:variant>
        <vt:i4>5</vt:i4>
      </vt:variant>
      <vt:variant>
        <vt:lpwstr>http://www.iaea.org/</vt:lpwstr>
      </vt:variant>
      <vt:variant>
        <vt:lpwstr/>
      </vt:variant>
      <vt:variant>
        <vt:i4>2031646</vt:i4>
      </vt:variant>
      <vt:variant>
        <vt:i4>11</vt:i4>
      </vt:variant>
      <vt:variant>
        <vt:i4>0</vt:i4>
      </vt:variant>
      <vt:variant>
        <vt:i4>5</vt:i4>
      </vt:variant>
      <vt:variant>
        <vt:lpwstr>https://www.onr.org.uk/operational/tech_insp_guides/ns-insp-gd-014.pdf</vt:lpwstr>
      </vt:variant>
      <vt:variant>
        <vt:lpwstr/>
      </vt:variant>
      <vt:variant>
        <vt:i4>589846</vt:i4>
      </vt:variant>
      <vt:variant>
        <vt:i4>8</vt:i4>
      </vt:variant>
      <vt:variant>
        <vt:i4>0</vt:i4>
      </vt:variant>
      <vt:variant>
        <vt:i4>5</vt:i4>
      </vt:variant>
      <vt:variant>
        <vt:lpwstr>https://www.onr.org.uk/operational/tech_insp_guides/ns-insp-gd-023.docx</vt:lpwstr>
      </vt:variant>
      <vt:variant>
        <vt:lpwstr/>
      </vt:variant>
      <vt:variant>
        <vt:i4>6029390</vt:i4>
      </vt:variant>
      <vt:variant>
        <vt:i4>5</vt:i4>
      </vt:variant>
      <vt:variant>
        <vt:i4>0</vt:i4>
      </vt:variant>
      <vt:variant>
        <vt:i4>5</vt:i4>
      </vt:variant>
      <vt:variant>
        <vt:lpwstr>https://gda.rolls-royce-smr.com/documents</vt:lpwstr>
      </vt:variant>
      <vt:variant>
        <vt:lpwstr/>
      </vt:variant>
      <vt:variant>
        <vt:i4>3866722</vt:i4>
      </vt:variant>
      <vt:variant>
        <vt:i4>2</vt:i4>
      </vt:variant>
      <vt:variant>
        <vt:i4>0</vt:i4>
      </vt:variant>
      <vt:variant>
        <vt:i4>5</vt:i4>
      </vt:variant>
      <vt:variant>
        <vt:lpwstr>https://www.onr.org.uk/new-reactors/rolls-royce/reports/rolls-royce-smr-step-1-summary.docx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 Regulatory Observation</dc:title>
  <dc:subject/>
  <cp:keywords/>
  <dc:description/>
  <cp:lastPrinted>2017-10-03T18:43:00Z</cp:lastPrinted>
  <dcterms:created xsi:type="dcterms:W3CDTF">2023-10-20T12:49:00Z</dcterms:created>
  <dcterms:modified xsi:type="dcterms:W3CDTF">2023-11-08T17:33:00Z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0x0101002BFD813B9BA5F84C8E4BDD131736DF68</vt:lpwstr>
  </property>
  <property fmtid="{D5CDD505-2E9C-101B-9397-08002B2CF9AE}" pid="4" name="_dlc_DocIdItemGuid">
    <vt:lpwstr>5cf4365f-274c-493e-a20f-24a0e6b48d12</vt:lpwstr>
  </property>
  <property fmtid="{D5CDD505-2E9C-101B-9397-08002B2CF9AE}" pid="5" name="BCS1">
    <vt:lpwstr>10;#4.4.1 Safety Reports/Cases: Assessment|7500dff8-3c6d-475f-a6b6-75de36a7fde4</vt:lpwstr>
  </property>
  <property fmtid="{D5CDD505-2E9C-101B-9397-08002B2CF9AE}" pid="6" name="MSIP_Label_9e5e003a-90eb-47c9-a506-ad47e7a0b281_Enabled">
    <vt:lpwstr>true</vt:lpwstr>
  </property>
  <property fmtid="{D5CDD505-2E9C-101B-9397-08002B2CF9AE}" pid="7" name="MSIP_Label_9e5e003a-90eb-47c9-a506-ad47e7a0b281_SetDate">
    <vt:lpwstr>2022-07-01T09:29:12Z</vt:lpwstr>
  </property>
  <property fmtid="{D5CDD505-2E9C-101B-9397-08002B2CF9AE}" pid="8" name="MSIP_Label_9e5e003a-90eb-47c9-a506-ad47e7a0b281_Method">
    <vt:lpwstr>Privileged</vt:lpwstr>
  </property>
  <property fmtid="{D5CDD505-2E9C-101B-9397-08002B2CF9AE}" pid="9" name="MSIP_Label_9e5e003a-90eb-47c9-a506-ad47e7a0b281_Name">
    <vt:lpwstr>OFFICIAL</vt:lpwstr>
  </property>
  <property fmtid="{D5CDD505-2E9C-101B-9397-08002B2CF9AE}" pid="10" name="MSIP_Label_9e5e003a-90eb-47c9-a506-ad47e7a0b281_SiteId">
    <vt:lpwstr>742775df-8077-48d6-81d0-1e82a1f52cb8</vt:lpwstr>
  </property>
  <property fmtid="{D5CDD505-2E9C-101B-9397-08002B2CF9AE}" pid="11" name="MSIP_Label_9e5e003a-90eb-47c9-a506-ad47e7a0b281_ActionId">
    <vt:lpwstr>23638b36-612a-40f8-bb73-956cbf377e51</vt:lpwstr>
  </property>
  <property fmtid="{D5CDD505-2E9C-101B-9397-08002B2CF9AE}" pid="12" name="MSIP_Label_9e5e003a-90eb-47c9-a506-ad47e7a0b281_ContentBits">
    <vt:lpwstr>0</vt:lpwstr>
  </property>
  <property fmtid="{D5CDD505-2E9C-101B-9397-08002B2CF9AE}" pid="13" name="MediaServiceImageTags">
    <vt:lpwstr/>
  </property>
</Properties>
</file>