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4" w:type="dxa"/>
        <w:tblInd w:w="-57" w:type="dxa"/>
        <w:tblCellMar>
          <w:top w:w="58" w:type="dxa"/>
          <w:left w:w="58" w:type="dxa"/>
          <w:bottom w:w="58" w:type="dxa"/>
          <w:right w:w="58" w:type="dxa"/>
        </w:tblCellMar>
        <w:tblLook w:val="01E0" w:firstRow="1" w:lastRow="1" w:firstColumn="1" w:lastColumn="1" w:noHBand="0" w:noVBand="0"/>
      </w:tblPr>
      <w:tblGrid>
        <w:gridCol w:w="6538"/>
        <w:gridCol w:w="2876"/>
      </w:tblGrid>
      <w:tr w:rsidR="00E00E2B" w:rsidRPr="00FE2DDA" w14:paraId="783F4636" w14:textId="77777777" w:rsidTr="00F822BB">
        <w:trPr>
          <w:trHeight w:val="20"/>
        </w:trPr>
        <w:tc>
          <w:tcPr>
            <w:tcW w:w="6538" w:type="dxa"/>
            <w:shd w:val="clear" w:color="auto" w:fill="auto"/>
          </w:tcPr>
          <w:p w14:paraId="12468476" w14:textId="56868411" w:rsidR="00E00E2B" w:rsidRDefault="00E00E2B" w:rsidP="00FE2DDA">
            <w:pPr>
              <w:rPr>
                <w:sz w:val="24"/>
              </w:rPr>
            </w:pPr>
            <w:r w:rsidRPr="00FE2DDA">
              <w:rPr>
                <w:sz w:val="24"/>
              </w:rPr>
              <w:t xml:space="preserve">Business Planning </w:t>
            </w:r>
            <w:r w:rsidRPr="00FE2DDA">
              <w:rPr>
                <w:sz w:val="24"/>
              </w:rPr>
              <w:br/>
              <w:t xml:space="preserve">Nuclear Decommissioning Authority </w:t>
            </w:r>
            <w:r w:rsidRPr="00FE2DDA">
              <w:rPr>
                <w:sz w:val="24"/>
              </w:rPr>
              <w:br/>
              <w:t xml:space="preserve">Herdus House </w:t>
            </w:r>
            <w:r w:rsidRPr="00FE2DDA">
              <w:rPr>
                <w:sz w:val="24"/>
              </w:rPr>
              <w:br/>
              <w:t xml:space="preserve">Westlakes Science and Technology Park </w:t>
            </w:r>
            <w:r w:rsidRPr="00FE2DDA">
              <w:rPr>
                <w:sz w:val="24"/>
              </w:rPr>
              <w:br/>
              <w:t xml:space="preserve">Moor Row </w:t>
            </w:r>
            <w:r w:rsidRPr="00FE2DDA">
              <w:rPr>
                <w:sz w:val="24"/>
              </w:rPr>
              <w:br/>
              <w:t xml:space="preserve">Cumbria </w:t>
            </w:r>
            <w:r w:rsidRPr="00FE2DDA">
              <w:rPr>
                <w:sz w:val="24"/>
              </w:rPr>
              <w:br/>
              <w:t xml:space="preserve">CA24 3HU </w:t>
            </w:r>
          </w:p>
          <w:p w14:paraId="36544E8D" w14:textId="77777777" w:rsidR="00E00E2B" w:rsidRPr="00ED6023" w:rsidRDefault="00E00E2B" w:rsidP="00FE2DDA">
            <w:pPr>
              <w:rPr>
                <w:color w:val="006D69"/>
                <w:sz w:val="24"/>
              </w:rPr>
            </w:pPr>
          </w:p>
          <w:p w14:paraId="5B564D17" w14:textId="77777777" w:rsidR="00E00E2B" w:rsidRPr="00ED6023" w:rsidRDefault="000A0438" w:rsidP="00FE2DDA">
            <w:pPr>
              <w:rPr>
                <w:color w:val="006D69"/>
                <w:sz w:val="24"/>
              </w:rPr>
            </w:pPr>
            <w:hyperlink r:id="rId8" w:history="1">
              <w:r w:rsidR="00E00E2B" w:rsidRPr="00ED6023">
                <w:rPr>
                  <w:rStyle w:val="Hyperlink"/>
                  <w:color w:val="006D69"/>
                  <w:sz w:val="24"/>
                </w:rPr>
                <w:t>businessplanning@nda.gov.uk</w:t>
              </w:r>
            </w:hyperlink>
          </w:p>
          <w:p w14:paraId="18D84B57" w14:textId="77777777" w:rsidR="00E00E2B" w:rsidRPr="00ED6023" w:rsidRDefault="00E00E2B" w:rsidP="00FE2DDA">
            <w:pPr>
              <w:rPr>
                <w:color w:val="006D69"/>
                <w:sz w:val="24"/>
              </w:rPr>
            </w:pPr>
          </w:p>
          <w:p w14:paraId="783F462E" w14:textId="6A19D529" w:rsidR="00E00E2B" w:rsidRPr="00FE2DDA" w:rsidRDefault="00F902CE" w:rsidP="00FE2DDA">
            <w:pPr>
              <w:rPr>
                <w:sz w:val="24"/>
              </w:rPr>
            </w:pPr>
            <w:r w:rsidRPr="00F0757E">
              <w:rPr>
                <w:sz w:val="24"/>
              </w:rPr>
              <w:t>29</w:t>
            </w:r>
            <w:r w:rsidR="00E00E2B" w:rsidRPr="00FE2DDA">
              <w:rPr>
                <w:sz w:val="24"/>
              </w:rPr>
              <w:t xml:space="preserve"> </w:t>
            </w:r>
            <w:r w:rsidR="00E3103A">
              <w:rPr>
                <w:sz w:val="24"/>
              </w:rPr>
              <w:t>January</w:t>
            </w:r>
            <w:r w:rsidR="00E00E2B" w:rsidRPr="00FE2DDA">
              <w:rPr>
                <w:sz w:val="24"/>
              </w:rPr>
              <w:t xml:space="preserve"> 20</w:t>
            </w:r>
            <w:r w:rsidR="00E00E2B">
              <w:rPr>
                <w:sz w:val="24"/>
              </w:rPr>
              <w:t>2</w:t>
            </w:r>
            <w:r w:rsidR="00F14B99">
              <w:rPr>
                <w:sz w:val="24"/>
              </w:rPr>
              <w:t>4</w:t>
            </w:r>
          </w:p>
        </w:tc>
        <w:tc>
          <w:tcPr>
            <w:tcW w:w="2876" w:type="dxa"/>
            <w:shd w:val="clear" w:color="auto" w:fill="auto"/>
          </w:tcPr>
          <w:p w14:paraId="783F462F" w14:textId="77777777" w:rsidR="00E00E2B" w:rsidRPr="00FE2DDA" w:rsidRDefault="00E00E2B" w:rsidP="007036BB">
            <w:pPr>
              <w:ind w:left="170" w:hanging="86"/>
              <w:rPr>
                <w:rFonts w:cs="Arial"/>
                <w:sz w:val="24"/>
              </w:rPr>
            </w:pPr>
            <w:r w:rsidRPr="00FE2DDA">
              <w:rPr>
                <w:rFonts w:cs="Arial"/>
                <w:sz w:val="24"/>
              </w:rPr>
              <w:t>Redgrave Court</w:t>
            </w:r>
          </w:p>
          <w:p w14:paraId="783F4630" w14:textId="77777777" w:rsidR="00E00E2B" w:rsidRPr="00FE2DDA" w:rsidRDefault="00E00E2B" w:rsidP="007036BB">
            <w:pPr>
              <w:ind w:left="170" w:hanging="86"/>
              <w:rPr>
                <w:rFonts w:cs="Arial"/>
                <w:sz w:val="24"/>
              </w:rPr>
            </w:pPr>
            <w:r w:rsidRPr="00FE2DDA">
              <w:rPr>
                <w:rFonts w:cs="Arial"/>
                <w:sz w:val="24"/>
              </w:rPr>
              <w:t xml:space="preserve">Merton Road </w:t>
            </w:r>
          </w:p>
          <w:p w14:paraId="783F4631" w14:textId="77777777" w:rsidR="00E00E2B" w:rsidRPr="00FE2DDA" w:rsidRDefault="00E00E2B" w:rsidP="007036BB">
            <w:pPr>
              <w:ind w:left="170" w:hanging="86"/>
              <w:rPr>
                <w:rFonts w:cs="Arial"/>
                <w:sz w:val="24"/>
              </w:rPr>
            </w:pPr>
            <w:r w:rsidRPr="00FE2DDA">
              <w:rPr>
                <w:rFonts w:cs="Arial"/>
                <w:sz w:val="24"/>
              </w:rPr>
              <w:t xml:space="preserve">Bootle </w:t>
            </w:r>
          </w:p>
          <w:p w14:paraId="783F4632" w14:textId="77777777" w:rsidR="00E00E2B" w:rsidRPr="00FE2DDA" w:rsidRDefault="00E00E2B" w:rsidP="007036BB">
            <w:pPr>
              <w:ind w:left="170" w:hanging="86"/>
              <w:rPr>
                <w:rFonts w:cs="Arial"/>
                <w:sz w:val="24"/>
              </w:rPr>
            </w:pPr>
            <w:r w:rsidRPr="00FE2DDA">
              <w:rPr>
                <w:rFonts w:cs="Arial"/>
                <w:sz w:val="24"/>
              </w:rPr>
              <w:t xml:space="preserve">Merseyside </w:t>
            </w:r>
          </w:p>
          <w:p w14:paraId="783F4633" w14:textId="77777777" w:rsidR="00E00E2B" w:rsidRPr="00FE2DDA" w:rsidRDefault="00E00E2B" w:rsidP="007036BB">
            <w:pPr>
              <w:ind w:left="170" w:hanging="86"/>
              <w:rPr>
                <w:rFonts w:cs="Arial"/>
                <w:sz w:val="24"/>
              </w:rPr>
            </w:pPr>
            <w:r w:rsidRPr="00FE2DDA">
              <w:rPr>
                <w:rFonts w:cs="Arial"/>
                <w:sz w:val="24"/>
              </w:rPr>
              <w:t xml:space="preserve">L20 7HS </w:t>
            </w:r>
          </w:p>
          <w:p w14:paraId="783F4634" w14:textId="77777777" w:rsidR="00E00E2B" w:rsidRPr="00FE2DDA" w:rsidRDefault="00E00E2B" w:rsidP="007036BB">
            <w:pPr>
              <w:ind w:left="170" w:hanging="86"/>
              <w:rPr>
                <w:rFonts w:cs="Arial"/>
                <w:sz w:val="24"/>
              </w:rPr>
            </w:pPr>
          </w:p>
          <w:p w14:paraId="0BA9B178" w14:textId="23B838EA" w:rsidR="00E00E2B" w:rsidRDefault="000A0438" w:rsidP="007036BB">
            <w:pPr>
              <w:ind w:left="170" w:hanging="86"/>
              <w:rPr>
                <w:rStyle w:val="Hyperlink"/>
                <w:rFonts w:cs="Arial"/>
                <w:color w:val="006D69"/>
                <w:sz w:val="24"/>
              </w:rPr>
            </w:pPr>
            <w:hyperlink r:id="rId9" w:history="1">
              <w:r w:rsidR="00E00E2B" w:rsidRPr="00FE2DDA">
                <w:rPr>
                  <w:rStyle w:val="Hyperlink"/>
                  <w:rFonts w:cs="Arial"/>
                  <w:color w:val="006D69"/>
                  <w:sz w:val="24"/>
                </w:rPr>
                <w:t>Contact@onr.gov.uk</w:t>
              </w:r>
            </w:hyperlink>
          </w:p>
          <w:p w14:paraId="0AE8C34A" w14:textId="1E989CF1" w:rsidR="00B2162D" w:rsidRDefault="00B2162D" w:rsidP="007036BB">
            <w:pPr>
              <w:ind w:left="170" w:hanging="86"/>
              <w:rPr>
                <w:rStyle w:val="Hyperlink"/>
                <w:color w:val="006D69"/>
              </w:rPr>
            </w:pPr>
          </w:p>
          <w:p w14:paraId="3975C66F" w14:textId="4D7F79E3" w:rsidR="00B2162D" w:rsidRDefault="00D56ABC" w:rsidP="007036BB">
            <w:pPr>
              <w:ind w:left="170" w:hanging="86"/>
              <w:rPr>
                <w:rStyle w:val="Hyperlink"/>
                <w:rFonts w:cs="Arial"/>
                <w:color w:val="006D69"/>
                <w:sz w:val="24"/>
              </w:rPr>
            </w:pPr>
            <w:r w:rsidRPr="00D26543">
              <w:rPr>
                <w:rFonts w:cs="Arial"/>
                <w:sz w:val="24"/>
              </w:rPr>
              <w:t>Unique ref:</w:t>
            </w:r>
            <w:r>
              <w:rPr>
                <w:rFonts w:cs="Arial"/>
                <w:sz w:val="24"/>
              </w:rPr>
              <w:t xml:space="preserve"> 202</w:t>
            </w:r>
            <w:r w:rsidR="007036BB">
              <w:rPr>
                <w:rFonts w:cs="Arial"/>
                <w:sz w:val="24"/>
              </w:rPr>
              <w:t>4</w:t>
            </w:r>
            <w:r>
              <w:rPr>
                <w:rFonts w:cs="Arial"/>
                <w:sz w:val="24"/>
              </w:rPr>
              <w:t>/</w:t>
            </w:r>
            <w:r w:rsidR="00F902CE">
              <w:rPr>
                <w:rFonts w:cs="Arial"/>
                <w:sz w:val="24"/>
              </w:rPr>
              <w:t>3923</w:t>
            </w:r>
          </w:p>
          <w:p w14:paraId="6A448837" w14:textId="77777777" w:rsidR="00E00E2B" w:rsidRDefault="00E00E2B" w:rsidP="007036BB">
            <w:pPr>
              <w:ind w:left="170" w:hanging="86"/>
              <w:rPr>
                <w:rStyle w:val="Hyperlink"/>
                <w:color w:val="006D69"/>
              </w:rPr>
            </w:pPr>
          </w:p>
          <w:p w14:paraId="00887B70" w14:textId="77777777" w:rsidR="00E00E2B" w:rsidRDefault="00E00E2B" w:rsidP="007036BB">
            <w:pPr>
              <w:ind w:left="170" w:hanging="86"/>
              <w:rPr>
                <w:rStyle w:val="Hyperlink"/>
                <w:color w:val="006D69"/>
              </w:rPr>
            </w:pPr>
          </w:p>
          <w:p w14:paraId="783F4635" w14:textId="3C360C73" w:rsidR="00E00E2B" w:rsidRPr="00FE2DDA" w:rsidRDefault="00E00E2B" w:rsidP="007036BB">
            <w:pPr>
              <w:ind w:left="170" w:hanging="86"/>
              <w:rPr>
                <w:sz w:val="24"/>
              </w:rPr>
            </w:pPr>
          </w:p>
        </w:tc>
      </w:tr>
    </w:tbl>
    <w:p w14:paraId="783F4642" w14:textId="1A7B3539" w:rsidR="00ED6023" w:rsidRDefault="00ED6023" w:rsidP="00ED6023">
      <w:pPr>
        <w:rPr>
          <w:rFonts w:cs="Arial"/>
          <w:sz w:val="24"/>
        </w:rPr>
      </w:pPr>
    </w:p>
    <w:p w14:paraId="783F4643" w14:textId="5839DCE7" w:rsidR="007B2B0F" w:rsidRPr="00ED6023" w:rsidRDefault="00601220" w:rsidP="00ED6023">
      <w:pPr>
        <w:rPr>
          <w:rFonts w:cs="Arial"/>
          <w:sz w:val="24"/>
        </w:rPr>
      </w:pPr>
      <w:r>
        <w:rPr>
          <w:rFonts w:cs="Arial"/>
          <w:sz w:val="24"/>
        </w:rPr>
        <w:t>To whom it may concern</w:t>
      </w:r>
    </w:p>
    <w:p w14:paraId="783F4644" w14:textId="77777777" w:rsidR="00055CD8" w:rsidRPr="00ED6023" w:rsidRDefault="00055CD8" w:rsidP="00ED6023">
      <w:pPr>
        <w:pStyle w:val="ONRNormal"/>
        <w:spacing w:after="0"/>
        <w:rPr>
          <w:b/>
          <w:sz w:val="24"/>
          <w:szCs w:val="24"/>
        </w:rPr>
      </w:pPr>
    </w:p>
    <w:p w14:paraId="783F4645" w14:textId="37F19724" w:rsidR="00ED6023" w:rsidRDefault="004701AF" w:rsidP="00ED6023">
      <w:pPr>
        <w:pStyle w:val="ONRNormal"/>
        <w:spacing w:after="0"/>
        <w:rPr>
          <w:b/>
          <w:sz w:val="24"/>
          <w:szCs w:val="24"/>
        </w:rPr>
      </w:pPr>
      <w:r w:rsidRPr="00ED6023">
        <w:rPr>
          <w:b/>
          <w:sz w:val="24"/>
          <w:szCs w:val="24"/>
          <w:lang w:val="en"/>
        </w:rPr>
        <w:t xml:space="preserve">Consultation Response - </w:t>
      </w:r>
      <w:r w:rsidR="00D86671" w:rsidRPr="00D86671">
        <w:rPr>
          <w:b/>
          <w:bCs/>
          <w:sz w:val="24"/>
        </w:rPr>
        <w:t>Nuclear Decommissioning Authority (</w:t>
      </w:r>
      <w:r w:rsidRPr="00D86671">
        <w:rPr>
          <w:b/>
          <w:bCs/>
          <w:sz w:val="24"/>
          <w:szCs w:val="24"/>
          <w:lang w:val="en"/>
        </w:rPr>
        <w:t>NDA</w:t>
      </w:r>
      <w:r w:rsidR="00D86671" w:rsidRPr="00D86671">
        <w:rPr>
          <w:b/>
          <w:bCs/>
          <w:sz w:val="24"/>
          <w:szCs w:val="24"/>
          <w:lang w:val="en"/>
        </w:rPr>
        <w:t>)</w:t>
      </w:r>
      <w:r w:rsidRPr="00ED6023">
        <w:rPr>
          <w:b/>
          <w:sz w:val="24"/>
          <w:szCs w:val="24"/>
          <w:lang w:val="en"/>
        </w:rPr>
        <w:t xml:space="preserve"> Draft Business Plan </w:t>
      </w:r>
      <w:r w:rsidR="00813A87">
        <w:rPr>
          <w:b/>
          <w:sz w:val="24"/>
          <w:szCs w:val="24"/>
          <w:lang w:val="en"/>
        </w:rPr>
        <w:t xml:space="preserve">1 </w:t>
      </w:r>
      <w:r w:rsidRPr="00ED6023">
        <w:rPr>
          <w:b/>
          <w:sz w:val="24"/>
          <w:szCs w:val="24"/>
          <w:lang w:val="en"/>
        </w:rPr>
        <w:t>April 20</w:t>
      </w:r>
      <w:r w:rsidR="00813A87">
        <w:rPr>
          <w:b/>
          <w:sz w:val="24"/>
          <w:szCs w:val="24"/>
          <w:lang w:val="en"/>
        </w:rPr>
        <w:t>2</w:t>
      </w:r>
      <w:r w:rsidR="00E3103A">
        <w:rPr>
          <w:b/>
          <w:sz w:val="24"/>
          <w:szCs w:val="24"/>
          <w:lang w:val="en"/>
        </w:rPr>
        <w:t>4</w:t>
      </w:r>
      <w:r w:rsidR="00FE2DDA" w:rsidRPr="00ED6023">
        <w:rPr>
          <w:b/>
          <w:sz w:val="24"/>
          <w:szCs w:val="24"/>
          <w:lang w:val="en"/>
        </w:rPr>
        <w:t xml:space="preserve"> to </w:t>
      </w:r>
      <w:r w:rsidR="00813A87">
        <w:rPr>
          <w:b/>
          <w:sz w:val="24"/>
          <w:szCs w:val="24"/>
          <w:lang w:val="en"/>
        </w:rPr>
        <w:t xml:space="preserve">31 </w:t>
      </w:r>
      <w:r w:rsidR="00FE2DDA" w:rsidRPr="00ED6023">
        <w:rPr>
          <w:b/>
          <w:sz w:val="24"/>
          <w:szCs w:val="24"/>
          <w:lang w:val="en"/>
        </w:rPr>
        <w:t>March 202</w:t>
      </w:r>
      <w:r w:rsidR="00E3103A">
        <w:rPr>
          <w:b/>
          <w:sz w:val="24"/>
          <w:szCs w:val="24"/>
          <w:lang w:val="en"/>
        </w:rPr>
        <w:t>7</w:t>
      </w:r>
    </w:p>
    <w:p w14:paraId="783F4646" w14:textId="77777777" w:rsidR="00ED6023" w:rsidRPr="00EC6828" w:rsidRDefault="00ED6023" w:rsidP="00ED6023">
      <w:pPr>
        <w:pStyle w:val="ONRNormal"/>
        <w:spacing w:after="0"/>
        <w:rPr>
          <w:b/>
          <w:sz w:val="24"/>
          <w:szCs w:val="24"/>
        </w:rPr>
      </w:pPr>
    </w:p>
    <w:p w14:paraId="783F4647" w14:textId="1DA3498A" w:rsidR="00ED6023" w:rsidRPr="00EC6828" w:rsidRDefault="00601220" w:rsidP="009F5A43">
      <w:pPr>
        <w:pStyle w:val="ONRNormal"/>
        <w:spacing w:after="0"/>
        <w:rPr>
          <w:b/>
          <w:sz w:val="24"/>
          <w:szCs w:val="24"/>
        </w:rPr>
      </w:pPr>
      <w:r w:rsidRPr="00EC6828">
        <w:rPr>
          <w:sz w:val="24"/>
          <w:szCs w:val="24"/>
        </w:rPr>
        <w:t>The Office for Nuclear Regulation (</w:t>
      </w:r>
      <w:r w:rsidR="00ED6023" w:rsidRPr="00EC6828">
        <w:rPr>
          <w:sz w:val="24"/>
          <w:szCs w:val="24"/>
        </w:rPr>
        <w:t>ONR</w:t>
      </w:r>
      <w:r w:rsidRPr="00EC6828">
        <w:rPr>
          <w:sz w:val="24"/>
          <w:szCs w:val="24"/>
        </w:rPr>
        <w:t>)</w:t>
      </w:r>
      <w:r w:rsidR="00ED6023" w:rsidRPr="00EC6828">
        <w:rPr>
          <w:sz w:val="24"/>
          <w:szCs w:val="24"/>
        </w:rPr>
        <w:t xml:space="preserve"> has a strong interest in the successful delivery of </w:t>
      </w:r>
      <w:r w:rsidRPr="00EC6828">
        <w:rPr>
          <w:sz w:val="24"/>
          <w:szCs w:val="24"/>
        </w:rPr>
        <w:t xml:space="preserve">the </w:t>
      </w:r>
      <w:r w:rsidR="00ED6023" w:rsidRPr="00EC6828">
        <w:rPr>
          <w:sz w:val="24"/>
          <w:szCs w:val="24"/>
        </w:rPr>
        <w:t>NDA’s mission</w:t>
      </w:r>
      <w:r w:rsidRPr="00EC6828">
        <w:rPr>
          <w:sz w:val="24"/>
          <w:szCs w:val="24"/>
        </w:rPr>
        <w:t xml:space="preserve">. This includes </w:t>
      </w:r>
      <w:r w:rsidR="00ED6023" w:rsidRPr="00EC6828">
        <w:rPr>
          <w:sz w:val="24"/>
          <w:szCs w:val="24"/>
        </w:rPr>
        <w:t xml:space="preserve">the activities of </w:t>
      </w:r>
      <w:r w:rsidRPr="00EC6828">
        <w:rPr>
          <w:sz w:val="24"/>
          <w:szCs w:val="24"/>
        </w:rPr>
        <w:t xml:space="preserve">the </w:t>
      </w:r>
      <w:r w:rsidR="00ED6023" w:rsidRPr="00EC6828">
        <w:rPr>
          <w:sz w:val="24"/>
          <w:szCs w:val="24"/>
        </w:rPr>
        <w:t xml:space="preserve">NDA </w:t>
      </w:r>
      <w:r w:rsidRPr="00EC6828">
        <w:rPr>
          <w:sz w:val="24"/>
          <w:szCs w:val="24"/>
        </w:rPr>
        <w:t>(</w:t>
      </w:r>
      <w:r w:rsidR="00ED6023" w:rsidRPr="00EC6828">
        <w:rPr>
          <w:sz w:val="24"/>
          <w:szCs w:val="24"/>
        </w:rPr>
        <w:t xml:space="preserve">its site licence companies and </w:t>
      </w:r>
      <w:r w:rsidRPr="00EC6828">
        <w:rPr>
          <w:sz w:val="24"/>
          <w:szCs w:val="24"/>
        </w:rPr>
        <w:t xml:space="preserve">supply chain) which </w:t>
      </w:r>
      <w:r w:rsidR="00ED6023" w:rsidRPr="00EC6828">
        <w:rPr>
          <w:sz w:val="24"/>
          <w:szCs w:val="24"/>
        </w:rPr>
        <w:t xml:space="preserve">contribute to significant hazard </w:t>
      </w:r>
      <w:r w:rsidR="001A0B74" w:rsidRPr="00EC6828">
        <w:rPr>
          <w:sz w:val="24"/>
          <w:szCs w:val="24"/>
        </w:rPr>
        <w:t>a</w:t>
      </w:r>
      <w:r w:rsidR="00971E6D" w:rsidRPr="00EC6828">
        <w:rPr>
          <w:sz w:val="24"/>
          <w:szCs w:val="24"/>
        </w:rPr>
        <w:t>n</w:t>
      </w:r>
      <w:r w:rsidR="001A0B74" w:rsidRPr="00EC6828">
        <w:rPr>
          <w:sz w:val="24"/>
          <w:szCs w:val="24"/>
        </w:rPr>
        <w:t>d</w:t>
      </w:r>
      <w:r w:rsidR="00ED6023" w:rsidRPr="00EC6828">
        <w:rPr>
          <w:sz w:val="24"/>
          <w:szCs w:val="24"/>
        </w:rPr>
        <w:t xml:space="preserve"> risk reductions, and to the achievement of important safety</w:t>
      </w:r>
      <w:r w:rsidR="008F3CED">
        <w:rPr>
          <w:sz w:val="24"/>
          <w:szCs w:val="24"/>
        </w:rPr>
        <w:t>,</w:t>
      </w:r>
      <w:r w:rsidR="00ED6023" w:rsidRPr="00EC6828">
        <w:rPr>
          <w:sz w:val="24"/>
          <w:szCs w:val="24"/>
        </w:rPr>
        <w:t xml:space="preserve"> security</w:t>
      </w:r>
      <w:r w:rsidR="006468B2">
        <w:rPr>
          <w:sz w:val="24"/>
          <w:szCs w:val="24"/>
        </w:rPr>
        <w:t xml:space="preserve"> and nuclear safeguards</w:t>
      </w:r>
      <w:r w:rsidR="00ED6023" w:rsidRPr="00EC6828">
        <w:rPr>
          <w:sz w:val="24"/>
          <w:szCs w:val="24"/>
        </w:rPr>
        <w:t xml:space="preserve"> improvements across</w:t>
      </w:r>
      <w:r w:rsidRPr="00EC6828">
        <w:rPr>
          <w:sz w:val="24"/>
          <w:szCs w:val="24"/>
        </w:rPr>
        <w:t xml:space="preserve"> the</w:t>
      </w:r>
      <w:r w:rsidR="00ED6023" w:rsidRPr="00EC6828">
        <w:rPr>
          <w:sz w:val="24"/>
          <w:szCs w:val="24"/>
        </w:rPr>
        <w:t xml:space="preserve"> NDA’s estate. It is therefore important to ONR that </w:t>
      </w:r>
      <w:r w:rsidRPr="00EC6828">
        <w:rPr>
          <w:sz w:val="24"/>
          <w:szCs w:val="24"/>
        </w:rPr>
        <w:t xml:space="preserve">the </w:t>
      </w:r>
      <w:r w:rsidR="00ED6023" w:rsidRPr="00EC6828">
        <w:rPr>
          <w:sz w:val="24"/>
          <w:szCs w:val="24"/>
        </w:rPr>
        <w:t>NDA’s work is well planned, resourced and delivered</w:t>
      </w:r>
      <w:r w:rsidRPr="00EC6828">
        <w:rPr>
          <w:sz w:val="24"/>
          <w:szCs w:val="24"/>
        </w:rPr>
        <w:t>. A</w:t>
      </w:r>
      <w:r w:rsidR="00ED6023" w:rsidRPr="00EC6828">
        <w:rPr>
          <w:sz w:val="24"/>
          <w:szCs w:val="24"/>
        </w:rPr>
        <w:t>s a statutory consultee under Schedule 3 to the Energy Act 2004, we are provid</w:t>
      </w:r>
      <w:r w:rsidR="00734C0E">
        <w:rPr>
          <w:sz w:val="24"/>
          <w:szCs w:val="24"/>
        </w:rPr>
        <w:t>ing</w:t>
      </w:r>
      <w:r w:rsidR="00ED6023" w:rsidRPr="00EC6828">
        <w:rPr>
          <w:sz w:val="24"/>
          <w:szCs w:val="24"/>
        </w:rPr>
        <w:t xml:space="preserve"> comments on </w:t>
      </w:r>
      <w:r w:rsidRPr="00EC6828">
        <w:rPr>
          <w:sz w:val="24"/>
          <w:szCs w:val="24"/>
        </w:rPr>
        <w:t xml:space="preserve">the </w:t>
      </w:r>
      <w:r w:rsidR="00ED6023" w:rsidRPr="00EC6828">
        <w:rPr>
          <w:sz w:val="24"/>
          <w:szCs w:val="24"/>
        </w:rPr>
        <w:t>NDA’s Draft Business Plan covering the period 1 April 20</w:t>
      </w:r>
      <w:r w:rsidR="0082756F" w:rsidRPr="00EC6828">
        <w:rPr>
          <w:sz w:val="24"/>
          <w:szCs w:val="24"/>
        </w:rPr>
        <w:t>2</w:t>
      </w:r>
      <w:r w:rsidR="00BC0EAF">
        <w:rPr>
          <w:sz w:val="24"/>
          <w:szCs w:val="24"/>
        </w:rPr>
        <w:t>4</w:t>
      </w:r>
      <w:r w:rsidR="00ED6023" w:rsidRPr="00EC6828">
        <w:rPr>
          <w:sz w:val="24"/>
          <w:szCs w:val="24"/>
        </w:rPr>
        <w:t xml:space="preserve"> to 31 March 20</w:t>
      </w:r>
      <w:r w:rsidR="0082756F" w:rsidRPr="00EC6828">
        <w:rPr>
          <w:sz w:val="24"/>
          <w:szCs w:val="24"/>
        </w:rPr>
        <w:t>2</w:t>
      </w:r>
      <w:r w:rsidR="00BC0EAF">
        <w:rPr>
          <w:sz w:val="24"/>
          <w:szCs w:val="24"/>
        </w:rPr>
        <w:t>7</w:t>
      </w:r>
      <w:r w:rsidR="00401633">
        <w:rPr>
          <w:sz w:val="24"/>
          <w:szCs w:val="24"/>
        </w:rPr>
        <w:t>.</w:t>
      </w:r>
    </w:p>
    <w:p w14:paraId="783F4656" w14:textId="56705B03" w:rsidR="00ED6023" w:rsidRDefault="00ED6023" w:rsidP="00483692">
      <w:pPr>
        <w:rPr>
          <w:rFonts w:cs="Arial"/>
          <w:sz w:val="24"/>
        </w:rPr>
      </w:pPr>
    </w:p>
    <w:p w14:paraId="2F607375" w14:textId="63D2199D" w:rsidR="00DD1B11" w:rsidRDefault="00DD1B11" w:rsidP="00483692">
      <w:pPr>
        <w:rPr>
          <w:rFonts w:cs="Arial"/>
          <w:sz w:val="24"/>
        </w:rPr>
      </w:pPr>
      <w:r>
        <w:rPr>
          <w:rFonts w:cs="Arial"/>
          <w:sz w:val="24"/>
        </w:rPr>
        <w:t xml:space="preserve">The </w:t>
      </w:r>
      <w:r w:rsidR="00713C0F">
        <w:rPr>
          <w:rFonts w:cs="Arial"/>
          <w:sz w:val="24"/>
        </w:rPr>
        <w:t>three</w:t>
      </w:r>
      <w:r>
        <w:rPr>
          <w:rFonts w:cs="Arial"/>
          <w:sz w:val="24"/>
        </w:rPr>
        <w:t xml:space="preserve">-year Business Plan provides a reminder of the significant amount of important work that is being carried out by the NDA and its subsidiaries to deliver the NDA’s mission. This document provides a good summary of both the breadth and depth of the technical work and challenges for the next </w:t>
      </w:r>
      <w:r w:rsidR="00713C0F">
        <w:rPr>
          <w:rFonts w:cs="Arial"/>
          <w:sz w:val="24"/>
        </w:rPr>
        <w:t>three</w:t>
      </w:r>
      <w:r>
        <w:rPr>
          <w:rFonts w:cs="Arial"/>
          <w:sz w:val="24"/>
        </w:rPr>
        <w:t xml:space="preserve"> years and beyond, and of the enablers that are crucial to</w:t>
      </w:r>
      <w:r w:rsidR="00184521" w:rsidRPr="00184521">
        <w:rPr>
          <w:rFonts w:cs="Arial"/>
          <w:sz w:val="24"/>
        </w:rPr>
        <w:t xml:space="preserve"> </w:t>
      </w:r>
      <w:r w:rsidR="00184521">
        <w:rPr>
          <w:rFonts w:cs="Arial"/>
          <w:sz w:val="24"/>
        </w:rPr>
        <w:t>delivering the technical work.  </w:t>
      </w:r>
    </w:p>
    <w:p w14:paraId="790447DD" w14:textId="77777777" w:rsidR="00DD1B11" w:rsidRPr="00EC6828" w:rsidRDefault="00DD1B11" w:rsidP="00483692">
      <w:pPr>
        <w:rPr>
          <w:rFonts w:cs="Arial"/>
          <w:sz w:val="24"/>
        </w:rPr>
      </w:pPr>
    </w:p>
    <w:p w14:paraId="3CC95A6E" w14:textId="4B34575C" w:rsidR="00124A9C" w:rsidRDefault="00734C0E" w:rsidP="00ED6023">
      <w:pPr>
        <w:rPr>
          <w:sz w:val="24"/>
        </w:rPr>
      </w:pPr>
      <w:r>
        <w:rPr>
          <w:sz w:val="24"/>
        </w:rPr>
        <w:t xml:space="preserve">In comparing our response to that of last year, we note that there are some very similar themes emerging which we would urge NDA to consider. </w:t>
      </w:r>
      <w:r w:rsidR="00124A9C">
        <w:rPr>
          <w:sz w:val="24"/>
        </w:rPr>
        <w:t>A recurring theme that we have noticed in written and verbal exchanges with NDA and its Operating Companies in the recent past is a tendency toward optimism bias in timescales and performance. We fully support the ambitions of NDA but it would be helpful to ensure there is the right balance between the drive to deliver and a realistic and pragmatic assessment of what can be delivered and when.</w:t>
      </w:r>
    </w:p>
    <w:p w14:paraId="4B939FA8" w14:textId="77777777" w:rsidR="00124A9C" w:rsidRDefault="00124A9C" w:rsidP="00ED6023">
      <w:pPr>
        <w:rPr>
          <w:sz w:val="24"/>
        </w:rPr>
      </w:pPr>
    </w:p>
    <w:p w14:paraId="783F4657" w14:textId="5043B3B6" w:rsidR="00B376B8" w:rsidRPr="00EC6828" w:rsidRDefault="00734C0E" w:rsidP="00ED6023">
      <w:pPr>
        <w:rPr>
          <w:rFonts w:cs="Arial"/>
          <w:sz w:val="24"/>
        </w:rPr>
      </w:pPr>
      <w:r>
        <w:rPr>
          <w:sz w:val="24"/>
        </w:rPr>
        <w:t xml:space="preserve">Please note that </w:t>
      </w:r>
      <w:r w:rsidR="00483692" w:rsidRPr="00EC6828">
        <w:rPr>
          <w:sz w:val="24"/>
        </w:rPr>
        <w:t xml:space="preserve">ONR’s comments </w:t>
      </w:r>
      <w:r>
        <w:rPr>
          <w:sz w:val="24"/>
        </w:rPr>
        <w:t>reflect</w:t>
      </w:r>
      <w:r w:rsidR="00483692" w:rsidRPr="00EC6828">
        <w:rPr>
          <w:sz w:val="24"/>
        </w:rPr>
        <w:t xml:space="preserve"> our positive interactions with the NDA and</w:t>
      </w:r>
      <w:r>
        <w:rPr>
          <w:sz w:val="24"/>
        </w:rPr>
        <w:t>,</w:t>
      </w:r>
      <w:r w:rsidR="00483692" w:rsidRPr="00EC6828">
        <w:rPr>
          <w:sz w:val="24"/>
        </w:rPr>
        <w:t xml:space="preserve"> in broad terms, </w:t>
      </w:r>
      <w:r w:rsidR="00EC6828" w:rsidRPr="00EC6828">
        <w:rPr>
          <w:sz w:val="24"/>
        </w:rPr>
        <w:t xml:space="preserve">we </w:t>
      </w:r>
      <w:r w:rsidR="00483692" w:rsidRPr="00EC6828">
        <w:rPr>
          <w:sz w:val="24"/>
        </w:rPr>
        <w:t>suppor</w:t>
      </w:r>
      <w:r w:rsidR="00EC6828" w:rsidRPr="00EC6828">
        <w:rPr>
          <w:sz w:val="24"/>
        </w:rPr>
        <w:t>t</w:t>
      </w:r>
      <w:r w:rsidR="00483692" w:rsidRPr="00EC6828">
        <w:rPr>
          <w:sz w:val="24"/>
        </w:rPr>
        <w:t xml:space="preserve"> the proposals. </w:t>
      </w:r>
      <w:r w:rsidR="00ED6023" w:rsidRPr="00EC6828">
        <w:rPr>
          <w:rFonts w:cs="Arial"/>
          <w:sz w:val="24"/>
        </w:rPr>
        <w:t xml:space="preserve">We hope these comments are </w:t>
      </w:r>
      <w:r w:rsidR="00E5202D">
        <w:rPr>
          <w:rFonts w:cs="Arial"/>
          <w:sz w:val="24"/>
        </w:rPr>
        <w:t xml:space="preserve">constructive and </w:t>
      </w:r>
      <w:r w:rsidR="00ED6023" w:rsidRPr="00EC6828">
        <w:rPr>
          <w:rFonts w:cs="Arial"/>
          <w:sz w:val="24"/>
        </w:rPr>
        <w:t xml:space="preserve">helpful, and we will be very pleased to discuss them with </w:t>
      </w:r>
      <w:r w:rsidR="001A65AA" w:rsidRPr="00EC6828">
        <w:rPr>
          <w:rFonts w:cs="Arial"/>
          <w:sz w:val="24"/>
        </w:rPr>
        <w:t xml:space="preserve">the </w:t>
      </w:r>
      <w:r w:rsidR="00ED6023" w:rsidRPr="00EC6828">
        <w:rPr>
          <w:rFonts w:cs="Arial"/>
          <w:sz w:val="24"/>
        </w:rPr>
        <w:t>NDA in more detail as necessary.</w:t>
      </w:r>
    </w:p>
    <w:p w14:paraId="45B265AA" w14:textId="77777777" w:rsidR="009F5A43" w:rsidRDefault="009F5A43" w:rsidP="009F5A43">
      <w:pPr>
        <w:pStyle w:val="ONRNormal"/>
        <w:spacing w:after="0"/>
        <w:rPr>
          <w:sz w:val="24"/>
          <w:szCs w:val="24"/>
        </w:rPr>
      </w:pPr>
    </w:p>
    <w:p w14:paraId="783F4659" w14:textId="61B707C8" w:rsidR="00FE2DDA" w:rsidRPr="00EC6828" w:rsidRDefault="00FE2DDA" w:rsidP="00FE2DDA">
      <w:pPr>
        <w:pStyle w:val="ONRNormal"/>
        <w:rPr>
          <w:sz w:val="24"/>
          <w:szCs w:val="24"/>
        </w:rPr>
      </w:pPr>
      <w:r w:rsidRPr="00EC6828">
        <w:rPr>
          <w:sz w:val="24"/>
          <w:szCs w:val="24"/>
        </w:rPr>
        <w:t>Yours sincerely</w:t>
      </w:r>
    </w:p>
    <w:p w14:paraId="6C5E5B51" w14:textId="77777777" w:rsidR="000A0438" w:rsidRDefault="000A0438" w:rsidP="00FE2DDA">
      <w:pPr>
        <w:pStyle w:val="ONRNormal"/>
        <w:spacing w:after="0"/>
        <w:rPr>
          <w:b/>
          <w:sz w:val="24"/>
          <w:szCs w:val="24"/>
        </w:rPr>
      </w:pPr>
    </w:p>
    <w:p w14:paraId="783F465D" w14:textId="271BB0E7" w:rsidR="00FE2DDA" w:rsidRPr="00ED6023" w:rsidRDefault="008B01C7" w:rsidP="00FE2DDA">
      <w:pPr>
        <w:pStyle w:val="ONRNormal"/>
        <w:spacing w:after="0"/>
        <w:rPr>
          <w:b/>
          <w:sz w:val="24"/>
          <w:szCs w:val="24"/>
        </w:rPr>
      </w:pPr>
      <w:r>
        <w:rPr>
          <w:b/>
          <w:sz w:val="24"/>
          <w:szCs w:val="24"/>
        </w:rPr>
        <w:t>Paul Dicks</w:t>
      </w:r>
    </w:p>
    <w:p w14:paraId="783F465F" w14:textId="5CA0E24F" w:rsidR="00FE2DDA" w:rsidRPr="009F5A43" w:rsidRDefault="00FE2DDA" w:rsidP="00FE2DDA">
      <w:pPr>
        <w:pStyle w:val="ONRNormal"/>
        <w:spacing w:after="0"/>
        <w:rPr>
          <w:b/>
          <w:bCs/>
          <w:sz w:val="24"/>
          <w:szCs w:val="24"/>
        </w:rPr>
      </w:pPr>
      <w:r w:rsidRPr="009F5A43">
        <w:rPr>
          <w:b/>
          <w:bCs/>
          <w:sz w:val="24"/>
          <w:szCs w:val="24"/>
        </w:rPr>
        <w:t>Director of</w:t>
      </w:r>
      <w:r w:rsidR="00321BEF" w:rsidRPr="009F5A43">
        <w:rPr>
          <w:b/>
          <w:bCs/>
          <w:sz w:val="24"/>
          <w:szCs w:val="24"/>
        </w:rPr>
        <w:t xml:space="preserve"> Regulation </w:t>
      </w:r>
      <w:r w:rsidR="001138A5" w:rsidRPr="009F5A43">
        <w:rPr>
          <w:b/>
          <w:bCs/>
          <w:sz w:val="24"/>
          <w:szCs w:val="24"/>
        </w:rPr>
        <w:t>–</w:t>
      </w:r>
      <w:r w:rsidR="00321BEF" w:rsidRPr="009F5A43">
        <w:rPr>
          <w:b/>
          <w:bCs/>
          <w:sz w:val="24"/>
          <w:szCs w:val="24"/>
        </w:rPr>
        <w:t xml:space="preserve"> </w:t>
      </w:r>
      <w:r w:rsidR="001138A5" w:rsidRPr="009F5A43">
        <w:rPr>
          <w:b/>
          <w:bCs/>
          <w:sz w:val="24"/>
          <w:szCs w:val="24"/>
        </w:rPr>
        <w:t xml:space="preserve">Sellafield, Decommissioning, Fuel and Waste </w:t>
      </w:r>
      <w:r w:rsidRPr="009F5A43">
        <w:rPr>
          <w:b/>
          <w:bCs/>
          <w:sz w:val="24"/>
          <w:szCs w:val="24"/>
        </w:rPr>
        <w:t xml:space="preserve">Division </w:t>
      </w:r>
    </w:p>
    <w:p w14:paraId="678DEA49" w14:textId="77777777" w:rsidR="000A0438" w:rsidRDefault="000A0438" w:rsidP="00977C62">
      <w:pPr>
        <w:pStyle w:val="ONRNormal"/>
        <w:spacing w:after="0"/>
        <w:rPr>
          <w:b/>
          <w:sz w:val="24"/>
          <w:szCs w:val="24"/>
          <w:lang w:val="en"/>
        </w:rPr>
      </w:pPr>
    </w:p>
    <w:p w14:paraId="27C6B61E" w14:textId="77777777" w:rsidR="000A0438" w:rsidRDefault="000A0438" w:rsidP="00977C62">
      <w:pPr>
        <w:pStyle w:val="ONRNormal"/>
        <w:spacing w:after="0"/>
        <w:rPr>
          <w:b/>
          <w:sz w:val="24"/>
          <w:szCs w:val="24"/>
          <w:lang w:val="en"/>
        </w:rPr>
      </w:pPr>
    </w:p>
    <w:p w14:paraId="0F86FE34" w14:textId="0D45673B" w:rsidR="00A053F4" w:rsidRDefault="001138A5" w:rsidP="00977C62">
      <w:pPr>
        <w:pStyle w:val="ONRNormal"/>
        <w:spacing w:after="0"/>
        <w:rPr>
          <w:b/>
          <w:sz w:val="24"/>
          <w:szCs w:val="24"/>
          <w:lang w:val="en"/>
        </w:rPr>
      </w:pPr>
      <w:r>
        <w:rPr>
          <w:b/>
          <w:sz w:val="24"/>
          <w:szCs w:val="24"/>
          <w:lang w:val="en"/>
        </w:rPr>
        <w:lastRenderedPageBreak/>
        <w:t>ONR</w:t>
      </w:r>
      <w:r w:rsidR="00B51DD4">
        <w:rPr>
          <w:b/>
          <w:sz w:val="24"/>
          <w:szCs w:val="24"/>
          <w:lang w:val="en"/>
        </w:rPr>
        <w:t>’</w:t>
      </w:r>
      <w:r>
        <w:rPr>
          <w:b/>
          <w:sz w:val="24"/>
          <w:szCs w:val="24"/>
          <w:lang w:val="en"/>
        </w:rPr>
        <w:t xml:space="preserve">s </w:t>
      </w:r>
      <w:r w:rsidR="00B51DD4">
        <w:rPr>
          <w:b/>
          <w:sz w:val="24"/>
          <w:szCs w:val="24"/>
          <w:lang w:val="en"/>
        </w:rPr>
        <w:t>c</w:t>
      </w:r>
      <w:r w:rsidR="00977C62" w:rsidRPr="00ED6023">
        <w:rPr>
          <w:b/>
          <w:sz w:val="24"/>
          <w:szCs w:val="24"/>
          <w:lang w:val="en"/>
        </w:rPr>
        <w:t xml:space="preserve">onsultation </w:t>
      </w:r>
      <w:r w:rsidR="00B51DD4">
        <w:rPr>
          <w:b/>
          <w:sz w:val="24"/>
          <w:szCs w:val="24"/>
          <w:lang w:val="en"/>
        </w:rPr>
        <w:t>r</w:t>
      </w:r>
      <w:r w:rsidR="00977C62" w:rsidRPr="00ED6023">
        <w:rPr>
          <w:b/>
          <w:sz w:val="24"/>
          <w:szCs w:val="24"/>
          <w:lang w:val="en"/>
        </w:rPr>
        <w:t xml:space="preserve">esponse - NDA Draft Business Plan </w:t>
      </w:r>
      <w:r w:rsidR="00A053F4">
        <w:rPr>
          <w:b/>
          <w:sz w:val="24"/>
          <w:szCs w:val="24"/>
          <w:lang w:val="en"/>
        </w:rPr>
        <w:t xml:space="preserve"> </w:t>
      </w:r>
    </w:p>
    <w:p w14:paraId="092EBB4B" w14:textId="69418DDB" w:rsidR="00977C62" w:rsidRPr="00A053F4" w:rsidRDefault="00977C62" w:rsidP="00977C62">
      <w:pPr>
        <w:pStyle w:val="ONRNormal"/>
        <w:spacing w:after="0"/>
        <w:rPr>
          <w:b/>
          <w:sz w:val="24"/>
          <w:szCs w:val="24"/>
          <w:lang w:val="en"/>
        </w:rPr>
      </w:pPr>
      <w:r>
        <w:rPr>
          <w:b/>
          <w:sz w:val="24"/>
          <w:szCs w:val="24"/>
          <w:lang w:val="en"/>
        </w:rPr>
        <w:t xml:space="preserve">1 </w:t>
      </w:r>
      <w:r w:rsidRPr="00ED6023">
        <w:rPr>
          <w:b/>
          <w:sz w:val="24"/>
          <w:szCs w:val="24"/>
          <w:lang w:val="en"/>
        </w:rPr>
        <w:t>April 20</w:t>
      </w:r>
      <w:r>
        <w:rPr>
          <w:b/>
          <w:sz w:val="24"/>
          <w:szCs w:val="24"/>
          <w:lang w:val="en"/>
        </w:rPr>
        <w:t>2</w:t>
      </w:r>
      <w:r w:rsidR="00EA5D84">
        <w:rPr>
          <w:b/>
          <w:sz w:val="24"/>
          <w:szCs w:val="24"/>
          <w:lang w:val="en"/>
        </w:rPr>
        <w:t>4</w:t>
      </w:r>
      <w:r w:rsidRPr="00ED6023">
        <w:rPr>
          <w:b/>
          <w:sz w:val="24"/>
          <w:szCs w:val="24"/>
          <w:lang w:val="en"/>
        </w:rPr>
        <w:t xml:space="preserve"> to </w:t>
      </w:r>
      <w:r>
        <w:rPr>
          <w:b/>
          <w:sz w:val="24"/>
          <w:szCs w:val="24"/>
          <w:lang w:val="en"/>
        </w:rPr>
        <w:t xml:space="preserve">31 </w:t>
      </w:r>
      <w:r w:rsidRPr="00ED6023">
        <w:rPr>
          <w:b/>
          <w:sz w:val="24"/>
          <w:szCs w:val="24"/>
          <w:lang w:val="en"/>
        </w:rPr>
        <w:t>March 202</w:t>
      </w:r>
      <w:r w:rsidR="00EA5D84">
        <w:rPr>
          <w:b/>
          <w:sz w:val="24"/>
          <w:szCs w:val="24"/>
          <w:lang w:val="en"/>
        </w:rPr>
        <w:t>7</w:t>
      </w:r>
    </w:p>
    <w:p w14:paraId="5CE64695" w14:textId="3F5C5DB0" w:rsidR="001C53E6" w:rsidRDefault="001C53E6">
      <w:pPr>
        <w:rPr>
          <w:rFonts w:cs="Arial"/>
          <w:sz w:val="24"/>
        </w:rPr>
      </w:pPr>
    </w:p>
    <w:tbl>
      <w:tblPr>
        <w:tblStyle w:val="TableGrid"/>
        <w:tblW w:w="8695" w:type="dxa"/>
        <w:tblLook w:val="04A0" w:firstRow="1" w:lastRow="0" w:firstColumn="1" w:lastColumn="0" w:noHBand="0" w:noVBand="1"/>
      </w:tblPr>
      <w:tblGrid>
        <w:gridCol w:w="1271"/>
        <w:gridCol w:w="7424"/>
      </w:tblGrid>
      <w:tr w:rsidR="00A053F4" w:rsidRPr="00221129" w14:paraId="6533B43E" w14:textId="77777777" w:rsidTr="00395268">
        <w:trPr>
          <w:trHeight w:val="376"/>
        </w:trPr>
        <w:tc>
          <w:tcPr>
            <w:tcW w:w="8695" w:type="dxa"/>
            <w:gridSpan w:val="2"/>
            <w:shd w:val="clear" w:color="auto" w:fill="006D68"/>
          </w:tcPr>
          <w:p w14:paraId="5C4457C4" w14:textId="77777777" w:rsidR="00A053F4" w:rsidRDefault="00A053F4" w:rsidP="008B687F">
            <w:pPr>
              <w:rPr>
                <w:rFonts w:cs="Arial"/>
                <w:b/>
                <w:bCs/>
                <w:color w:val="FFFFFF" w:themeColor="background1"/>
                <w:sz w:val="24"/>
              </w:rPr>
            </w:pPr>
            <w:r>
              <w:rPr>
                <w:rFonts w:cs="Arial"/>
                <w:b/>
                <w:bCs/>
                <w:color w:val="FFFFFF" w:themeColor="background1"/>
                <w:sz w:val="24"/>
              </w:rPr>
              <w:t>ONR’s general comments</w:t>
            </w:r>
          </w:p>
          <w:p w14:paraId="458D9FAE" w14:textId="5E6ED092" w:rsidR="00A053F4" w:rsidRPr="00221129" w:rsidRDefault="00A053F4" w:rsidP="008B687F">
            <w:pPr>
              <w:rPr>
                <w:rFonts w:cs="Arial"/>
                <w:b/>
                <w:bCs/>
                <w:color w:val="FFFFFF" w:themeColor="background1"/>
                <w:sz w:val="24"/>
              </w:rPr>
            </w:pPr>
          </w:p>
        </w:tc>
      </w:tr>
      <w:tr w:rsidR="00A053F4" w:rsidRPr="00221129" w14:paraId="4FB41FCD" w14:textId="77777777" w:rsidTr="00691D7C">
        <w:trPr>
          <w:trHeight w:val="1176"/>
        </w:trPr>
        <w:tc>
          <w:tcPr>
            <w:tcW w:w="8695" w:type="dxa"/>
            <w:gridSpan w:val="2"/>
          </w:tcPr>
          <w:p w14:paraId="2D662A2D" w14:textId="68448BAE" w:rsidR="00974C33" w:rsidRPr="00051814" w:rsidRDefault="003B6AA0" w:rsidP="00D73AFA">
            <w:pPr>
              <w:pStyle w:val="ListParagraph"/>
              <w:numPr>
                <w:ilvl w:val="0"/>
                <w:numId w:val="30"/>
              </w:numPr>
              <w:rPr>
                <w:rFonts w:ascii="Arial" w:hAnsi="Arial" w:cs="Arial"/>
                <w:sz w:val="24"/>
              </w:rPr>
            </w:pPr>
            <w:r w:rsidRPr="00051814">
              <w:rPr>
                <w:rFonts w:ascii="Arial" w:hAnsi="Arial" w:cs="Arial"/>
                <w:sz w:val="24"/>
              </w:rPr>
              <w:t>We</w:t>
            </w:r>
            <w:r w:rsidR="00974C33" w:rsidRPr="00051814">
              <w:rPr>
                <w:rFonts w:ascii="Arial" w:hAnsi="Arial" w:cs="Arial"/>
                <w:sz w:val="24"/>
              </w:rPr>
              <w:t xml:space="preserve"> welcome </w:t>
            </w:r>
            <w:r w:rsidRPr="00051814">
              <w:rPr>
                <w:rFonts w:ascii="Arial" w:hAnsi="Arial" w:cs="Arial"/>
                <w:sz w:val="24"/>
              </w:rPr>
              <w:t>the emphasis on</w:t>
            </w:r>
            <w:r w:rsidR="009F6CCC" w:rsidRPr="00051814">
              <w:rPr>
                <w:rFonts w:ascii="Arial" w:hAnsi="Arial" w:cs="Arial"/>
                <w:sz w:val="24"/>
              </w:rPr>
              <w:t xml:space="preserve"> achieving</w:t>
            </w:r>
            <w:r w:rsidRPr="00051814">
              <w:rPr>
                <w:rFonts w:ascii="Arial" w:hAnsi="Arial" w:cs="Arial"/>
                <w:sz w:val="24"/>
              </w:rPr>
              <w:t xml:space="preserve"> </w:t>
            </w:r>
            <w:r w:rsidR="009F6CCC" w:rsidRPr="00051814">
              <w:rPr>
                <w:rFonts w:ascii="Arial" w:hAnsi="Arial" w:cs="Arial"/>
                <w:sz w:val="24"/>
              </w:rPr>
              <w:t>mission progress on a broad number of fronts, reducing hazards at your sites</w:t>
            </w:r>
            <w:r w:rsidR="008F3A78" w:rsidRPr="00051814">
              <w:rPr>
                <w:rFonts w:ascii="Arial" w:hAnsi="Arial" w:cs="Arial"/>
                <w:sz w:val="24"/>
              </w:rPr>
              <w:t xml:space="preserve">, and the opportunities that may be gained from the </w:t>
            </w:r>
            <w:r w:rsidR="00051814" w:rsidRPr="00051814">
              <w:rPr>
                <w:rFonts w:ascii="Arial" w:hAnsi="Arial" w:cs="Arial"/>
                <w:sz w:val="24"/>
              </w:rPr>
              <w:t xml:space="preserve">recent group restructuring. </w:t>
            </w:r>
            <w:r w:rsidR="005A4C6E" w:rsidRPr="00051814">
              <w:rPr>
                <w:rFonts w:ascii="Arial" w:hAnsi="Arial" w:cs="Arial"/>
                <w:sz w:val="24"/>
              </w:rPr>
              <w:t>However, we note that many of our comments are sim</w:t>
            </w:r>
            <w:r w:rsidR="005876BA" w:rsidRPr="00051814">
              <w:rPr>
                <w:rFonts w:ascii="Arial" w:hAnsi="Arial" w:cs="Arial"/>
                <w:sz w:val="24"/>
              </w:rPr>
              <w:t>ilar to those we made on NDA’s Business Plan 2023-2026.</w:t>
            </w:r>
          </w:p>
          <w:p w14:paraId="29006E0F" w14:textId="77777777" w:rsidR="008B2097" w:rsidRPr="008B2097" w:rsidRDefault="008B2097" w:rsidP="008B2097">
            <w:pPr>
              <w:pStyle w:val="ListParagraph"/>
              <w:rPr>
                <w:rFonts w:ascii="Arial" w:hAnsi="Arial" w:cs="Arial"/>
                <w:sz w:val="24"/>
              </w:rPr>
            </w:pPr>
          </w:p>
          <w:p w14:paraId="21495BF5" w14:textId="22A1486B" w:rsidR="004E15BB" w:rsidRPr="00784A70" w:rsidRDefault="004E15BB" w:rsidP="008173A3">
            <w:pPr>
              <w:pStyle w:val="ListParagraph"/>
              <w:numPr>
                <w:ilvl w:val="0"/>
                <w:numId w:val="30"/>
              </w:numPr>
              <w:rPr>
                <w:rFonts w:ascii="Arial" w:hAnsi="Arial" w:cs="Arial"/>
                <w:sz w:val="24"/>
              </w:rPr>
            </w:pPr>
            <w:r w:rsidRPr="00784A70">
              <w:rPr>
                <w:rFonts w:ascii="Arial" w:eastAsia="Times New Roman" w:hAnsi="Arial" w:cs="Arial"/>
                <w:sz w:val="24"/>
                <w:szCs w:val="24"/>
              </w:rPr>
              <w:t>We advise you to consider the balance in the report</w:t>
            </w:r>
            <w:r w:rsidR="00584D67" w:rsidRPr="00784A70">
              <w:rPr>
                <w:rFonts w:ascii="Arial" w:eastAsia="Times New Roman" w:hAnsi="Arial" w:cs="Arial"/>
                <w:sz w:val="24"/>
                <w:szCs w:val="24"/>
              </w:rPr>
              <w:t>.</w:t>
            </w:r>
            <w:r w:rsidR="003661A5" w:rsidRPr="00784A70">
              <w:rPr>
                <w:rFonts w:ascii="Arial" w:eastAsia="Times New Roman" w:hAnsi="Arial" w:cs="Arial"/>
                <w:sz w:val="24"/>
                <w:szCs w:val="24"/>
              </w:rPr>
              <w:t xml:space="preserve"> The CEO’s </w:t>
            </w:r>
            <w:r w:rsidR="00434909">
              <w:rPr>
                <w:rFonts w:ascii="Arial" w:eastAsia="Times New Roman" w:hAnsi="Arial" w:cs="Arial"/>
                <w:sz w:val="24"/>
                <w:szCs w:val="24"/>
              </w:rPr>
              <w:t>introduction</w:t>
            </w:r>
            <w:r w:rsidR="003661A5" w:rsidRPr="00784A70">
              <w:rPr>
                <w:rFonts w:ascii="Arial" w:eastAsia="Times New Roman" w:hAnsi="Arial" w:cs="Arial"/>
                <w:sz w:val="24"/>
                <w:szCs w:val="24"/>
              </w:rPr>
              <w:t xml:space="preserve"> recognises on notable achievements from the previous year</w:t>
            </w:r>
            <w:r w:rsidR="00A55FDD" w:rsidRPr="00784A70">
              <w:rPr>
                <w:rFonts w:ascii="Arial" w:eastAsia="Times New Roman" w:hAnsi="Arial" w:cs="Arial"/>
                <w:sz w:val="24"/>
                <w:szCs w:val="24"/>
              </w:rPr>
              <w:t xml:space="preserve"> </w:t>
            </w:r>
            <w:r w:rsidR="00784A70">
              <w:rPr>
                <w:rFonts w:ascii="Arial" w:eastAsia="Times New Roman" w:hAnsi="Arial" w:cs="Arial"/>
                <w:sz w:val="24"/>
                <w:szCs w:val="24"/>
              </w:rPr>
              <w:t>but</w:t>
            </w:r>
            <w:r w:rsidRPr="00784A70">
              <w:rPr>
                <w:rFonts w:ascii="Arial" w:eastAsia="Times New Roman" w:hAnsi="Arial" w:cs="Arial"/>
                <w:sz w:val="24"/>
                <w:szCs w:val="24"/>
              </w:rPr>
              <w:t xml:space="preserve"> there is a tendency towards optimism bias</w:t>
            </w:r>
            <w:r w:rsidR="00784A70">
              <w:rPr>
                <w:rFonts w:ascii="Arial" w:eastAsia="Times New Roman" w:hAnsi="Arial" w:cs="Arial"/>
                <w:sz w:val="24"/>
                <w:szCs w:val="24"/>
              </w:rPr>
              <w:t xml:space="preserve"> throughout the report</w:t>
            </w:r>
            <w:r w:rsidRPr="00784A70">
              <w:rPr>
                <w:rFonts w:ascii="Arial" w:eastAsia="Times New Roman" w:hAnsi="Arial" w:cs="Arial"/>
                <w:sz w:val="24"/>
                <w:szCs w:val="24"/>
              </w:rPr>
              <w:t>. For example, on page 23 there is mention of the success of the first retrievals from the Pile Fuel Cladding Silo meaning retrievals have commenced in all four legacy ponds and silos without reference to the challenges of continued retrievals and associated lengthy timescales.</w:t>
            </w:r>
            <w:r w:rsidR="00784A70">
              <w:rPr>
                <w:rFonts w:ascii="Arial" w:eastAsia="Times New Roman" w:hAnsi="Arial" w:cs="Arial"/>
                <w:sz w:val="24"/>
                <w:szCs w:val="24"/>
              </w:rPr>
              <w:t xml:space="preserve"> Noting you </w:t>
            </w:r>
            <w:r w:rsidR="00784A70" w:rsidRPr="0094287F">
              <w:rPr>
                <w:rFonts w:ascii="Arial" w:eastAsia="Times New Roman" w:hAnsi="Arial" w:cs="Arial"/>
                <w:sz w:val="24"/>
                <w:szCs w:val="24"/>
              </w:rPr>
              <w:t>publish details on progress in other annual reports</w:t>
            </w:r>
            <w:r w:rsidR="00784A70">
              <w:rPr>
                <w:rFonts w:ascii="Arial" w:eastAsia="Times New Roman" w:hAnsi="Arial" w:cs="Arial"/>
                <w:sz w:val="24"/>
                <w:szCs w:val="24"/>
              </w:rPr>
              <w:t xml:space="preserve">, it would be helpful to include </w:t>
            </w:r>
            <w:r w:rsidR="00477AD5">
              <w:rPr>
                <w:rFonts w:ascii="Arial" w:eastAsia="Times New Roman" w:hAnsi="Arial" w:cs="Arial"/>
                <w:sz w:val="24"/>
                <w:szCs w:val="24"/>
              </w:rPr>
              <w:t xml:space="preserve">any significant </w:t>
            </w:r>
            <w:r w:rsidR="00784A70" w:rsidRPr="0094287F">
              <w:rPr>
                <w:rFonts w:ascii="Arial" w:eastAsia="Times New Roman" w:hAnsi="Arial" w:cs="Arial"/>
                <w:sz w:val="24"/>
                <w:szCs w:val="24"/>
              </w:rPr>
              <w:t xml:space="preserve">non-delivery </w:t>
            </w:r>
            <w:r w:rsidR="00C97EBE">
              <w:rPr>
                <w:rFonts w:ascii="Arial" w:eastAsia="Times New Roman" w:hAnsi="Arial" w:cs="Arial"/>
                <w:sz w:val="24"/>
                <w:szCs w:val="24"/>
              </w:rPr>
              <w:t>or</w:t>
            </w:r>
            <w:r w:rsidR="00C97EBE" w:rsidRPr="0094287F">
              <w:rPr>
                <w:rFonts w:ascii="Arial" w:eastAsia="Times New Roman" w:hAnsi="Arial" w:cs="Arial"/>
                <w:sz w:val="24"/>
                <w:szCs w:val="24"/>
              </w:rPr>
              <w:t xml:space="preserve"> changes that had to be made </w:t>
            </w:r>
            <w:r w:rsidR="00784A70" w:rsidRPr="0094287F">
              <w:rPr>
                <w:rFonts w:ascii="Arial" w:eastAsia="Times New Roman" w:hAnsi="Arial" w:cs="Arial"/>
                <w:sz w:val="24"/>
                <w:szCs w:val="24"/>
              </w:rPr>
              <w:t>against the objectives set out in last year’s NDA Business Plan</w:t>
            </w:r>
            <w:r w:rsidR="00477AD5">
              <w:rPr>
                <w:rFonts w:ascii="Arial" w:eastAsia="Times New Roman" w:hAnsi="Arial" w:cs="Arial"/>
                <w:sz w:val="24"/>
                <w:szCs w:val="24"/>
              </w:rPr>
              <w:t>.</w:t>
            </w:r>
          </w:p>
          <w:p w14:paraId="24A922E5" w14:textId="77777777" w:rsidR="004E15BB" w:rsidRPr="004E15BB" w:rsidRDefault="004E15BB" w:rsidP="004E15BB">
            <w:pPr>
              <w:rPr>
                <w:rFonts w:cs="Arial"/>
                <w:sz w:val="24"/>
              </w:rPr>
            </w:pPr>
          </w:p>
          <w:p w14:paraId="1D7A5F1B" w14:textId="48F7B335" w:rsidR="00AF0F31" w:rsidRPr="009720E0" w:rsidRDefault="00A5105A" w:rsidP="008B2097">
            <w:pPr>
              <w:pStyle w:val="ListParagraph"/>
              <w:numPr>
                <w:ilvl w:val="0"/>
                <w:numId w:val="30"/>
              </w:numPr>
              <w:rPr>
                <w:rFonts w:ascii="Arial" w:eastAsia="Times New Roman" w:hAnsi="Arial" w:cs="Arial"/>
                <w:sz w:val="24"/>
                <w:szCs w:val="24"/>
              </w:rPr>
            </w:pPr>
            <w:r w:rsidRPr="009720E0">
              <w:rPr>
                <w:rFonts w:ascii="Arial" w:hAnsi="Arial" w:cs="Arial"/>
                <w:sz w:val="24"/>
              </w:rPr>
              <w:t>There is a lack of detail around the AGR transfer preparations. Although it is referenced in the CEO intro</w:t>
            </w:r>
            <w:r w:rsidR="00965416" w:rsidRPr="009720E0">
              <w:rPr>
                <w:rFonts w:ascii="Arial" w:hAnsi="Arial" w:cs="Arial"/>
                <w:sz w:val="24"/>
              </w:rPr>
              <w:t>duction</w:t>
            </w:r>
            <w:r w:rsidRPr="009720E0">
              <w:rPr>
                <w:rFonts w:ascii="Arial" w:hAnsi="Arial" w:cs="Arial"/>
                <w:sz w:val="24"/>
              </w:rPr>
              <w:t xml:space="preserve"> and represents the single biggest increase in NDA’s site portfolio, further references are scattered throughout the report</w:t>
            </w:r>
            <w:r w:rsidR="007C196F" w:rsidRPr="009720E0">
              <w:rPr>
                <w:rFonts w:ascii="Arial" w:hAnsi="Arial" w:cs="Arial"/>
                <w:sz w:val="24"/>
              </w:rPr>
              <w:t>;</w:t>
            </w:r>
            <w:r w:rsidRPr="009720E0">
              <w:rPr>
                <w:rFonts w:ascii="Arial" w:hAnsi="Arial" w:cs="Arial"/>
                <w:sz w:val="24"/>
              </w:rPr>
              <w:t xml:space="preserve"> </w:t>
            </w:r>
            <w:r w:rsidR="0050689A" w:rsidRPr="009720E0">
              <w:rPr>
                <w:rFonts w:ascii="Arial" w:hAnsi="Arial" w:cs="Arial"/>
                <w:sz w:val="24"/>
              </w:rPr>
              <w:t>however it is not clear</w:t>
            </w:r>
            <w:r w:rsidRPr="009720E0">
              <w:rPr>
                <w:rFonts w:ascii="Arial" w:hAnsi="Arial" w:cs="Arial"/>
                <w:sz w:val="24"/>
              </w:rPr>
              <w:t xml:space="preserve"> how the milestones will be achieved</w:t>
            </w:r>
            <w:r w:rsidR="0050689A" w:rsidRPr="009720E0">
              <w:rPr>
                <w:rFonts w:ascii="Arial" w:hAnsi="Arial" w:cs="Arial"/>
                <w:sz w:val="24"/>
              </w:rPr>
              <w:t>.</w:t>
            </w:r>
            <w:r w:rsidR="00AF0F31" w:rsidRPr="009720E0">
              <w:rPr>
                <w:rFonts w:ascii="Arial" w:hAnsi="Arial" w:cs="Arial"/>
                <w:sz w:val="24"/>
              </w:rPr>
              <w:t xml:space="preserve"> There is no mention of regulatory approval as a key enabler in the planned transfers</w:t>
            </w:r>
            <w:r w:rsidR="00094502" w:rsidRPr="009720E0">
              <w:rPr>
                <w:rFonts w:ascii="Arial" w:hAnsi="Arial" w:cs="Arial"/>
                <w:sz w:val="24"/>
              </w:rPr>
              <w:t>.</w:t>
            </w:r>
          </w:p>
          <w:p w14:paraId="66CEC5E4" w14:textId="77777777" w:rsidR="008B2097" w:rsidRDefault="008B2097" w:rsidP="008B2097">
            <w:pPr>
              <w:pStyle w:val="ListParagraph"/>
              <w:rPr>
                <w:rFonts w:ascii="Arial" w:eastAsia="Times New Roman" w:hAnsi="Arial" w:cs="Arial"/>
                <w:sz w:val="24"/>
                <w:szCs w:val="24"/>
              </w:rPr>
            </w:pPr>
          </w:p>
          <w:p w14:paraId="4C63416A" w14:textId="7F2CCE9D" w:rsidR="000C0041" w:rsidRDefault="008E0BA8" w:rsidP="008B2097">
            <w:pPr>
              <w:pStyle w:val="ListParagraph"/>
              <w:numPr>
                <w:ilvl w:val="0"/>
                <w:numId w:val="30"/>
              </w:numPr>
              <w:rPr>
                <w:rFonts w:ascii="Arial" w:eastAsia="Times New Roman" w:hAnsi="Arial" w:cs="Arial"/>
                <w:sz w:val="24"/>
                <w:szCs w:val="24"/>
              </w:rPr>
            </w:pPr>
            <w:r>
              <w:rPr>
                <w:rFonts w:ascii="Arial" w:eastAsia="Times New Roman" w:hAnsi="Arial" w:cs="Arial"/>
                <w:sz w:val="24"/>
                <w:szCs w:val="24"/>
              </w:rPr>
              <w:t>W</w:t>
            </w:r>
            <w:r w:rsidR="00E916FE" w:rsidRPr="008B2097">
              <w:rPr>
                <w:rFonts w:ascii="Arial" w:eastAsia="Times New Roman" w:hAnsi="Arial" w:cs="Arial"/>
                <w:sz w:val="24"/>
                <w:szCs w:val="24"/>
              </w:rPr>
              <w:t xml:space="preserve">here end dates for workstreams </w:t>
            </w:r>
            <w:r w:rsidR="00434909">
              <w:rPr>
                <w:rFonts w:ascii="Arial" w:eastAsia="Times New Roman" w:hAnsi="Arial" w:cs="Arial"/>
                <w:sz w:val="24"/>
                <w:szCs w:val="24"/>
              </w:rPr>
              <w:t xml:space="preserve">to achieve the strategic objectives </w:t>
            </w:r>
            <w:r w:rsidR="00E916FE" w:rsidRPr="008B2097">
              <w:rPr>
                <w:rFonts w:ascii="Arial" w:eastAsia="Times New Roman" w:hAnsi="Arial" w:cs="Arial"/>
                <w:sz w:val="24"/>
                <w:szCs w:val="24"/>
              </w:rPr>
              <w:t xml:space="preserve">are in the </w:t>
            </w:r>
            <w:r w:rsidR="003463A6">
              <w:rPr>
                <w:rFonts w:ascii="Arial" w:eastAsia="Times New Roman" w:hAnsi="Arial" w:cs="Arial"/>
                <w:sz w:val="24"/>
                <w:szCs w:val="24"/>
              </w:rPr>
              <w:t xml:space="preserve">very </w:t>
            </w:r>
            <w:r w:rsidR="00E916FE" w:rsidRPr="008B2097">
              <w:rPr>
                <w:rFonts w:ascii="Arial" w:eastAsia="Times New Roman" w:hAnsi="Arial" w:cs="Arial"/>
                <w:sz w:val="24"/>
                <w:szCs w:val="24"/>
              </w:rPr>
              <w:t>long</w:t>
            </w:r>
            <w:r w:rsidR="00AC19B1">
              <w:rPr>
                <w:rFonts w:ascii="Arial" w:eastAsia="Times New Roman" w:hAnsi="Arial" w:cs="Arial"/>
                <w:sz w:val="24"/>
                <w:szCs w:val="24"/>
              </w:rPr>
              <w:t>-</w:t>
            </w:r>
            <w:r w:rsidR="00E916FE" w:rsidRPr="008B2097">
              <w:rPr>
                <w:rFonts w:ascii="Arial" w:eastAsia="Times New Roman" w:hAnsi="Arial" w:cs="Arial"/>
                <w:sz w:val="24"/>
                <w:szCs w:val="24"/>
              </w:rPr>
              <w:t>term, consider adding interim targets</w:t>
            </w:r>
            <w:r w:rsidR="004074D6">
              <w:rPr>
                <w:rFonts w:ascii="Arial" w:eastAsia="Times New Roman" w:hAnsi="Arial" w:cs="Arial"/>
                <w:sz w:val="24"/>
                <w:szCs w:val="24"/>
              </w:rPr>
              <w:t xml:space="preserve"> to better enable measurement of progress</w:t>
            </w:r>
            <w:r w:rsidR="00E916FE" w:rsidRPr="008B2097">
              <w:rPr>
                <w:rFonts w:ascii="Arial" w:eastAsia="Times New Roman" w:hAnsi="Arial" w:cs="Arial"/>
                <w:sz w:val="24"/>
                <w:szCs w:val="24"/>
              </w:rPr>
              <w:t>.</w:t>
            </w:r>
            <w:r w:rsidR="002A69D1">
              <w:rPr>
                <w:rFonts w:ascii="Arial" w:eastAsia="Times New Roman" w:hAnsi="Arial" w:cs="Arial"/>
                <w:sz w:val="24"/>
                <w:szCs w:val="24"/>
              </w:rPr>
              <w:t xml:space="preserve"> </w:t>
            </w:r>
          </w:p>
          <w:p w14:paraId="55A0F19D" w14:textId="77777777" w:rsidR="00E70A0E" w:rsidRPr="00E70A0E" w:rsidRDefault="00E70A0E" w:rsidP="00E70A0E">
            <w:pPr>
              <w:pStyle w:val="ListParagraph"/>
              <w:rPr>
                <w:rFonts w:ascii="Arial" w:eastAsia="Times New Roman" w:hAnsi="Arial" w:cs="Arial"/>
                <w:sz w:val="24"/>
                <w:szCs w:val="24"/>
              </w:rPr>
            </w:pPr>
          </w:p>
          <w:p w14:paraId="13D66A91" w14:textId="3B10D9B0" w:rsidR="008B2097" w:rsidRPr="008B2097" w:rsidRDefault="000C0041" w:rsidP="008B2097">
            <w:pPr>
              <w:pStyle w:val="ListParagraph"/>
              <w:numPr>
                <w:ilvl w:val="0"/>
                <w:numId w:val="30"/>
              </w:numPr>
              <w:rPr>
                <w:rFonts w:ascii="Arial" w:eastAsia="Times New Roman" w:hAnsi="Arial" w:cs="Arial"/>
                <w:sz w:val="24"/>
                <w:szCs w:val="24"/>
              </w:rPr>
            </w:pPr>
            <w:r w:rsidRPr="008B2097">
              <w:rPr>
                <w:rFonts w:ascii="Arial" w:hAnsi="Arial" w:cs="Arial"/>
                <w:sz w:val="24"/>
              </w:rPr>
              <w:t xml:space="preserve">Timescales are very vague, with </w:t>
            </w:r>
            <w:r w:rsidR="005133F7">
              <w:rPr>
                <w:rFonts w:ascii="Arial" w:hAnsi="Arial" w:cs="Arial"/>
                <w:sz w:val="24"/>
              </w:rPr>
              <w:t xml:space="preserve">the majority of the group key activities </w:t>
            </w:r>
            <w:r w:rsidR="003B7397">
              <w:rPr>
                <w:rFonts w:ascii="Arial" w:hAnsi="Arial" w:cs="Arial"/>
                <w:sz w:val="24"/>
              </w:rPr>
              <w:t>having</w:t>
            </w:r>
            <w:r w:rsidR="005D5144">
              <w:rPr>
                <w:rFonts w:ascii="Arial" w:hAnsi="Arial" w:cs="Arial"/>
                <w:sz w:val="24"/>
              </w:rPr>
              <w:t xml:space="preserve"> timescales </w:t>
            </w:r>
            <w:r w:rsidR="003B7397">
              <w:rPr>
                <w:rFonts w:ascii="Arial" w:hAnsi="Arial" w:cs="Arial"/>
                <w:sz w:val="24"/>
              </w:rPr>
              <w:t xml:space="preserve">stated </w:t>
            </w:r>
            <w:r w:rsidR="005D5144">
              <w:rPr>
                <w:rFonts w:ascii="Arial" w:hAnsi="Arial" w:cs="Arial"/>
                <w:sz w:val="24"/>
              </w:rPr>
              <w:t>as 2024-2027</w:t>
            </w:r>
            <w:r w:rsidR="003B7397">
              <w:rPr>
                <w:rFonts w:ascii="Arial" w:hAnsi="Arial" w:cs="Arial"/>
                <w:sz w:val="24"/>
              </w:rPr>
              <w:t>.</w:t>
            </w:r>
            <w:r w:rsidR="00DB7987">
              <w:rPr>
                <w:rFonts w:ascii="Arial" w:hAnsi="Arial" w:cs="Arial"/>
                <w:sz w:val="24"/>
              </w:rPr>
              <w:t xml:space="preserve"> </w:t>
            </w:r>
            <w:r w:rsidR="003B7397">
              <w:rPr>
                <w:rFonts w:ascii="Arial" w:hAnsi="Arial" w:cs="Arial"/>
                <w:sz w:val="24"/>
              </w:rPr>
              <w:t xml:space="preserve">This </w:t>
            </w:r>
            <w:r w:rsidR="00DB7987">
              <w:rPr>
                <w:rFonts w:ascii="Arial" w:eastAsia="Times New Roman" w:hAnsi="Arial" w:cs="Arial"/>
                <w:sz w:val="24"/>
                <w:szCs w:val="24"/>
              </w:rPr>
              <w:t>presumably indicat</w:t>
            </w:r>
            <w:r w:rsidR="003B7397">
              <w:rPr>
                <w:rFonts w:ascii="Arial" w:eastAsia="Times New Roman" w:hAnsi="Arial" w:cs="Arial"/>
                <w:sz w:val="24"/>
                <w:szCs w:val="24"/>
              </w:rPr>
              <w:t>es</w:t>
            </w:r>
            <w:r w:rsidR="00DB7987">
              <w:rPr>
                <w:rFonts w:ascii="Arial" w:eastAsia="Times New Roman" w:hAnsi="Arial" w:cs="Arial"/>
                <w:sz w:val="24"/>
                <w:szCs w:val="24"/>
              </w:rPr>
              <w:t xml:space="preserve"> these are long-term activities which continue throughout the period, as opposed to defined activities which will be completed within the period.</w:t>
            </w:r>
            <w:r w:rsidR="005D5144">
              <w:rPr>
                <w:rFonts w:ascii="Arial" w:hAnsi="Arial" w:cs="Arial"/>
                <w:sz w:val="24"/>
              </w:rPr>
              <w:t xml:space="preserve"> Consider highlighting </w:t>
            </w:r>
            <w:r w:rsidR="00410E96">
              <w:rPr>
                <w:rFonts w:ascii="Arial" w:hAnsi="Arial" w:cs="Arial"/>
                <w:sz w:val="24"/>
              </w:rPr>
              <w:t xml:space="preserve">specific activities that will occur within the business plan period </w:t>
            </w:r>
            <w:r w:rsidR="000B6F79">
              <w:rPr>
                <w:rFonts w:ascii="Arial" w:hAnsi="Arial" w:cs="Arial"/>
                <w:sz w:val="24"/>
              </w:rPr>
              <w:t xml:space="preserve">rather than </w:t>
            </w:r>
            <w:r w:rsidR="008A6C86">
              <w:rPr>
                <w:rFonts w:ascii="Arial" w:hAnsi="Arial" w:cs="Arial"/>
                <w:sz w:val="24"/>
              </w:rPr>
              <w:t xml:space="preserve">simply </w:t>
            </w:r>
            <w:r w:rsidR="000B6F79">
              <w:rPr>
                <w:rFonts w:ascii="Arial" w:hAnsi="Arial" w:cs="Arial"/>
                <w:sz w:val="24"/>
              </w:rPr>
              <w:t>identifying ongoing workstreams.</w:t>
            </w:r>
          </w:p>
          <w:p w14:paraId="58D1191E" w14:textId="77777777" w:rsidR="008B2097" w:rsidRPr="008B2097" w:rsidRDefault="008B2097" w:rsidP="008B2097">
            <w:pPr>
              <w:pStyle w:val="ListParagraph"/>
              <w:rPr>
                <w:rFonts w:ascii="Arial" w:eastAsia="Times New Roman" w:hAnsi="Arial" w:cs="Arial"/>
                <w:sz w:val="24"/>
                <w:szCs w:val="24"/>
              </w:rPr>
            </w:pPr>
          </w:p>
          <w:p w14:paraId="11BEF917" w14:textId="73A8148F" w:rsidR="008B2097" w:rsidRPr="008B2097" w:rsidRDefault="008B2097" w:rsidP="008B2097">
            <w:pPr>
              <w:pStyle w:val="ListParagraph"/>
              <w:numPr>
                <w:ilvl w:val="0"/>
                <w:numId w:val="30"/>
              </w:numPr>
              <w:rPr>
                <w:rFonts w:ascii="Arial" w:eastAsia="Times New Roman" w:hAnsi="Arial" w:cs="Arial"/>
                <w:sz w:val="24"/>
                <w:szCs w:val="24"/>
              </w:rPr>
            </w:pPr>
            <w:r w:rsidRPr="008B2097">
              <w:rPr>
                <w:rFonts w:ascii="Arial" w:hAnsi="Arial" w:cs="Arial"/>
                <w:sz w:val="24"/>
              </w:rPr>
              <w:t xml:space="preserve">Individual </w:t>
            </w:r>
            <w:r w:rsidR="005B4251">
              <w:rPr>
                <w:rFonts w:ascii="Arial" w:hAnsi="Arial" w:cs="Arial"/>
                <w:sz w:val="24"/>
              </w:rPr>
              <w:t>NRS</w:t>
            </w:r>
            <w:r w:rsidRPr="008B2097">
              <w:rPr>
                <w:rFonts w:ascii="Arial" w:hAnsi="Arial" w:cs="Arial"/>
                <w:sz w:val="24"/>
              </w:rPr>
              <w:t xml:space="preserve"> sites’ plans are short on detail, with vague timescales and ‘TBD’ used </w:t>
            </w:r>
            <w:r w:rsidR="006468B2">
              <w:rPr>
                <w:rFonts w:ascii="Arial" w:hAnsi="Arial" w:cs="Arial"/>
                <w:sz w:val="24"/>
              </w:rPr>
              <w:t>frequently</w:t>
            </w:r>
            <w:r w:rsidR="00130BDB">
              <w:rPr>
                <w:rFonts w:ascii="Arial" w:hAnsi="Arial" w:cs="Arial"/>
                <w:sz w:val="24"/>
              </w:rPr>
              <w:t xml:space="preserve"> </w:t>
            </w:r>
            <w:r w:rsidR="002A69D1">
              <w:rPr>
                <w:rFonts w:ascii="Arial" w:hAnsi="Arial" w:cs="Arial"/>
                <w:sz w:val="24"/>
              </w:rPr>
              <w:t>for site progress milestone dates.</w:t>
            </w:r>
            <w:r w:rsidR="008A6C86">
              <w:rPr>
                <w:rFonts w:ascii="Arial" w:hAnsi="Arial" w:cs="Arial"/>
                <w:sz w:val="24"/>
              </w:rPr>
              <w:t xml:space="preserve"> Where dates are necessarily uncertain owing to other factors</w:t>
            </w:r>
            <w:r w:rsidR="0079751E">
              <w:rPr>
                <w:rFonts w:ascii="Arial" w:hAnsi="Arial" w:cs="Arial"/>
                <w:sz w:val="24"/>
              </w:rPr>
              <w:t xml:space="preserve"> then it would be useful to identify when NDA expects greater clarity to be achieved to enable identification of </w:t>
            </w:r>
            <w:r w:rsidR="006832E0">
              <w:rPr>
                <w:rFonts w:ascii="Arial" w:hAnsi="Arial" w:cs="Arial"/>
                <w:sz w:val="24"/>
              </w:rPr>
              <w:t xml:space="preserve">SMART </w:t>
            </w:r>
            <w:r w:rsidR="008E0BA8">
              <w:rPr>
                <w:rFonts w:ascii="Arial" w:hAnsi="Arial" w:cs="Arial"/>
                <w:sz w:val="24"/>
              </w:rPr>
              <w:t>objectives</w:t>
            </w:r>
            <w:r w:rsidR="006832E0">
              <w:rPr>
                <w:rFonts w:ascii="Arial" w:hAnsi="Arial" w:cs="Arial"/>
                <w:sz w:val="24"/>
              </w:rPr>
              <w:t xml:space="preserve">. </w:t>
            </w:r>
          </w:p>
          <w:p w14:paraId="4A71CBEE" w14:textId="77777777" w:rsidR="008B2097" w:rsidRPr="008B2097" w:rsidRDefault="008B2097" w:rsidP="008B2097">
            <w:pPr>
              <w:pStyle w:val="ListParagraph"/>
              <w:rPr>
                <w:rFonts w:ascii="Arial" w:hAnsi="Arial" w:cs="Arial"/>
                <w:sz w:val="24"/>
              </w:rPr>
            </w:pPr>
          </w:p>
          <w:p w14:paraId="750193C8" w14:textId="77777777" w:rsidR="00435A16" w:rsidRPr="00435A16" w:rsidRDefault="00536370" w:rsidP="00435A16">
            <w:pPr>
              <w:pStyle w:val="ListParagraph"/>
              <w:numPr>
                <w:ilvl w:val="0"/>
                <w:numId w:val="30"/>
              </w:numPr>
              <w:rPr>
                <w:rFonts w:ascii="Arial" w:hAnsi="Arial" w:cs="Arial"/>
                <w:sz w:val="24"/>
              </w:rPr>
            </w:pPr>
            <w:r w:rsidRPr="008B2097">
              <w:rPr>
                <w:rFonts w:ascii="Arial" w:eastAsia="Times New Roman" w:hAnsi="Arial" w:cs="Arial"/>
                <w:sz w:val="24"/>
                <w:szCs w:val="24"/>
              </w:rPr>
              <w:t xml:space="preserve">Consider listing the NDA’s important business cases planned in the next </w:t>
            </w:r>
            <w:r w:rsidR="00445728">
              <w:rPr>
                <w:rFonts w:ascii="Arial" w:eastAsia="Times New Roman" w:hAnsi="Arial" w:cs="Arial"/>
                <w:sz w:val="24"/>
                <w:szCs w:val="24"/>
              </w:rPr>
              <w:t>three</w:t>
            </w:r>
            <w:r w:rsidRPr="008B2097">
              <w:rPr>
                <w:rFonts w:ascii="Arial" w:eastAsia="Times New Roman" w:hAnsi="Arial" w:cs="Arial"/>
                <w:sz w:val="24"/>
                <w:szCs w:val="24"/>
              </w:rPr>
              <w:t xml:space="preserve"> years which support the business plan. </w:t>
            </w:r>
          </w:p>
          <w:p w14:paraId="588F61F5" w14:textId="77777777" w:rsidR="00435A16" w:rsidRPr="00435A16" w:rsidRDefault="00435A16" w:rsidP="00435A16">
            <w:pPr>
              <w:pStyle w:val="ListParagraph"/>
              <w:rPr>
                <w:rFonts w:ascii="Arial" w:hAnsi="Arial" w:cs="Arial"/>
                <w:sz w:val="24"/>
              </w:rPr>
            </w:pPr>
          </w:p>
          <w:p w14:paraId="3EAB60FA" w14:textId="4E5D7642" w:rsidR="008B2097" w:rsidRPr="008B2097" w:rsidRDefault="00435A16" w:rsidP="00435A16">
            <w:pPr>
              <w:pStyle w:val="ListParagraph"/>
              <w:numPr>
                <w:ilvl w:val="0"/>
                <w:numId w:val="30"/>
              </w:numPr>
              <w:rPr>
                <w:rFonts w:cs="Arial"/>
                <w:sz w:val="24"/>
              </w:rPr>
            </w:pPr>
            <w:r w:rsidRPr="00435A16">
              <w:rPr>
                <w:rFonts w:ascii="Arial" w:hAnsi="Arial" w:cs="Arial"/>
                <w:sz w:val="24"/>
              </w:rPr>
              <w:t>The NDA’s role in development of guidance and promoting relevant good practice could be given more prominence in the plan.</w:t>
            </w:r>
          </w:p>
        </w:tc>
      </w:tr>
      <w:tr w:rsidR="00A053F4" w:rsidRPr="00221129" w14:paraId="3CA51FDA" w14:textId="77777777" w:rsidTr="00794657">
        <w:trPr>
          <w:trHeight w:val="376"/>
        </w:trPr>
        <w:tc>
          <w:tcPr>
            <w:tcW w:w="8695" w:type="dxa"/>
            <w:gridSpan w:val="2"/>
            <w:shd w:val="clear" w:color="auto" w:fill="006D68"/>
          </w:tcPr>
          <w:p w14:paraId="5EC67D54" w14:textId="7337A415" w:rsidR="00A053F4" w:rsidRPr="00221129" w:rsidRDefault="00A053F4" w:rsidP="008B687F">
            <w:pPr>
              <w:rPr>
                <w:rFonts w:cs="Arial"/>
                <w:b/>
                <w:bCs/>
                <w:color w:val="FFFFFF" w:themeColor="background1"/>
                <w:sz w:val="24"/>
              </w:rPr>
            </w:pPr>
            <w:r>
              <w:rPr>
                <w:rFonts w:cs="Arial"/>
                <w:b/>
                <w:bCs/>
                <w:color w:val="FFFFFF" w:themeColor="background1"/>
                <w:sz w:val="24"/>
              </w:rPr>
              <w:lastRenderedPageBreak/>
              <w:t xml:space="preserve">ONR’s page specific comments </w:t>
            </w:r>
          </w:p>
          <w:p w14:paraId="46D6E1E6" w14:textId="7FFB1558" w:rsidR="00A053F4" w:rsidRPr="00221129" w:rsidRDefault="00A053F4" w:rsidP="008B687F">
            <w:pPr>
              <w:rPr>
                <w:rFonts w:cs="Arial"/>
                <w:b/>
                <w:bCs/>
                <w:color w:val="FFFFFF" w:themeColor="background1"/>
                <w:sz w:val="24"/>
              </w:rPr>
            </w:pPr>
          </w:p>
        </w:tc>
      </w:tr>
      <w:tr w:rsidR="00766FFB" w:rsidRPr="00221129" w14:paraId="51FBA47E" w14:textId="77777777" w:rsidTr="004206E4">
        <w:trPr>
          <w:trHeight w:val="567"/>
        </w:trPr>
        <w:tc>
          <w:tcPr>
            <w:tcW w:w="1271" w:type="dxa"/>
          </w:tcPr>
          <w:p w14:paraId="5A3CBA01" w14:textId="695CF3E4" w:rsidR="00766FFB" w:rsidRDefault="00766FFB" w:rsidP="008B687F">
            <w:pPr>
              <w:rPr>
                <w:rFonts w:cs="Arial"/>
                <w:sz w:val="24"/>
              </w:rPr>
            </w:pPr>
            <w:r>
              <w:rPr>
                <w:rFonts w:cs="Arial"/>
                <w:sz w:val="24"/>
              </w:rPr>
              <w:t>Page 11</w:t>
            </w:r>
          </w:p>
        </w:tc>
        <w:tc>
          <w:tcPr>
            <w:tcW w:w="7424" w:type="dxa"/>
          </w:tcPr>
          <w:p w14:paraId="66B89366" w14:textId="61B1AB4A" w:rsidR="00237653" w:rsidRDefault="00766FFB" w:rsidP="00E15C2E">
            <w:pPr>
              <w:rPr>
                <w:rFonts w:cs="Arial"/>
                <w:sz w:val="24"/>
              </w:rPr>
            </w:pPr>
            <w:r>
              <w:rPr>
                <w:rFonts w:cs="Arial"/>
                <w:sz w:val="24"/>
              </w:rPr>
              <w:t xml:space="preserve">Consider identifying the locations of the </w:t>
            </w:r>
            <w:r w:rsidR="00411B63">
              <w:rPr>
                <w:rFonts w:cs="Arial"/>
                <w:sz w:val="24"/>
              </w:rPr>
              <w:t>seven AGR stations</w:t>
            </w:r>
            <w:r w:rsidR="000B26D6">
              <w:rPr>
                <w:rFonts w:cs="Arial"/>
                <w:sz w:val="24"/>
              </w:rPr>
              <w:t>, particularly given Hunterston B is expected to transfer into NDA ow</w:t>
            </w:r>
            <w:r w:rsidR="00237653">
              <w:rPr>
                <w:rFonts w:cs="Arial"/>
                <w:sz w:val="24"/>
              </w:rPr>
              <w:t>nership during the business plan period.</w:t>
            </w:r>
          </w:p>
        </w:tc>
      </w:tr>
      <w:tr w:rsidR="00731E6C" w:rsidRPr="00221129" w14:paraId="72CEE223" w14:textId="77777777" w:rsidTr="004206E4">
        <w:trPr>
          <w:trHeight w:val="567"/>
        </w:trPr>
        <w:tc>
          <w:tcPr>
            <w:tcW w:w="1271" w:type="dxa"/>
          </w:tcPr>
          <w:p w14:paraId="3629C50C" w14:textId="20D4F447" w:rsidR="00731E6C" w:rsidRDefault="00CE756D" w:rsidP="008B687F">
            <w:pPr>
              <w:rPr>
                <w:rFonts w:cs="Arial"/>
                <w:sz w:val="24"/>
              </w:rPr>
            </w:pPr>
            <w:r>
              <w:rPr>
                <w:rFonts w:cs="Arial"/>
                <w:sz w:val="24"/>
              </w:rPr>
              <w:t>Page 14</w:t>
            </w:r>
          </w:p>
        </w:tc>
        <w:tc>
          <w:tcPr>
            <w:tcW w:w="7424" w:type="dxa"/>
          </w:tcPr>
          <w:p w14:paraId="7B792D61" w14:textId="7AC05164" w:rsidR="00731E6C" w:rsidRDefault="00CE756D" w:rsidP="00192D67">
            <w:pPr>
              <w:rPr>
                <w:rFonts w:cs="Arial"/>
                <w:sz w:val="24"/>
              </w:rPr>
            </w:pPr>
            <w:r>
              <w:rPr>
                <w:rFonts w:cs="Arial"/>
                <w:sz w:val="24"/>
              </w:rPr>
              <w:t>C</w:t>
            </w:r>
            <w:r w:rsidRPr="00353FAC">
              <w:rPr>
                <w:rFonts w:cs="Arial"/>
                <w:sz w:val="24"/>
              </w:rPr>
              <w:t>onsider highlighting that some of the biggest overall cost savings are likely to come from earlier hazard and risk reduction activities.</w:t>
            </w:r>
          </w:p>
        </w:tc>
      </w:tr>
      <w:tr w:rsidR="008742C8" w:rsidRPr="00221129" w14:paraId="2879896B" w14:textId="77777777" w:rsidTr="004206E4">
        <w:trPr>
          <w:trHeight w:val="567"/>
        </w:trPr>
        <w:tc>
          <w:tcPr>
            <w:tcW w:w="1271" w:type="dxa"/>
          </w:tcPr>
          <w:p w14:paraId="4EA2CD6C" w14:textId="0D476C33" w:rsidR="008742C8" w:rsidRDefault="008742C8" w:rsidP="008B687F">
            <w:pPr>
              <w:rPr>
                <w:rFonts w:cs="Arial"/>
                <w:sz w:val="24"/>
              </w:rPr>
            </w:pPr>
            <w:r>
              <w:rPr>
                <w:rFonts w:cs="Arial"/>
                <w:sz w:val="24"/>
              </w:rPr>
              <w:t>Page 15</w:t>
            </w:r>
          </w:p>
        </w:tc>
        <w:tc>
          <w:tcPr>
            <w:tcW w:w="7424" w:type="dxa"/>
          </w:tcPr>
          <w:p w14:paraId="56AF91CF" w14:textId="3686B6D3" w:rsidR="008742C8" w:rsidRDefault="008742C8" w:rsidP="00192D67">
            <w:pPr>
              <w:rPr>
                <w:rFonts w:cs="Arial"/>
                <w:sz w:val="24"/>
              </w:rPr>
            </w:pPr>
            <w:r>
              <w:rPr>
                <w:rFonts w:cs="Arial"/>
                <w:sz w:val="24"/>
              </w:rPr>
              <w:t>C</w:t>
            </w:r>
            <w:r w:rsidRPr="007E3DEA">
              <w:rPr>
                <w:rFonts w:cs="Arial"/>
                <w:sz w:val="24"/>
              </w:rPr>
              <w:t>onsider adding a note to explain what the various costs relate to; for example, why ha</w:t>
            </w:r>
            <w:r w:rsidR="007B29AF">
              <w:rPr>
                <w:rFonts w:cs="Arial"/>
                <w:sz w:val="24"/>
              </w:rPr>
              <w:t>ve</w:t>
            </w:r>
            <w:r w:rsidRPr="007E3DEA">
              <w:rPr>
                <w:rFonts w:cs="Arial"/>
                <w:sz w:val="24"/>
              </w:rPr>
              <w:t xml:space="preserve"> </w:t>
            </w:r>
            <w:r w:rsidR="007B29AF">
              <w:rPr>
                <w:rFonts w:cs="Arial"/>
                <w:sz w:val="24"/>
              </w:rPr>
              <w:t xml:space="preserve">NRS </w:t>
            </w:r>
            <w:r w:rsidR="00615759">
              <w:rPr>
                <w:rFonts w:cs="Arial"/>
                <w:sz w:val="24"/>
              </w:rPr>
              <w:t>not been</w:t>
            </w:r>
            <w:r w:rsidRPr="007E3DEA">
              <w:rPr>
                <w:rFonts w:cs="Arial"/>
                <w:sz w:val="24"/>
              </w:rPr>
              <w:t xml:space="preserve"> assigned </w:t>
            </w:r>
            <w:r w:rsidR="00615759">
              <w:rPr>
                <w:rFonts w:cs="Arial"/>
                <w:sz w:val="24"/>
              </w:rPr>
              <w:t xml:space="preserve">any </w:t>
            </w:r>
            <w:r w:rsidRPr="007E3DEA">
              <w:rPr>
                <w:rFonts w:cs="Arial"/>
                <w:sz w:val="24"/>
              </w:rPr>
              <w:t>“total operations costs</w:t>
            </w:r>
            <w:r w:rsidR="00615759">
              <w:rPr>
                <w:rFonts w:cs="Arial"/>
                <w:sz w:val="24"/>
              </w:rPr>
              <w:t>”</w:t>
            </w:r>
            <w:r w:rsidRPr="007E3DEA">
              <w:rPr>
                <w:rFonts w:cs="Arial"/>
                <w:sz w:val="24"/>
              </w:rPr>
              <w:t>?</w:t>
            </w:r>
          </w:p>
        </w:tc>
      </w:tr>
      <w:tr w:rsidR="0058299B" w:rsidRPr="00221129" w14:paraId="4AF3FEEA" w14:textId="77777777" w:rsidTr="004206E4">
        <w:trPr>
          <w:trHeight w:val="567"/>
        </w:trPr>
        <w:tc>
          <w:tcPr>
            <w:tcW w:w="1271" w:type="dxa"/>
          </w:tcPr>
          <w:p w14:paraId="667344A3" w14:textId="279839C7" w:rsidR="0058299B" w:rsidRDefault="0058299B" w:rsidP="008B687F">
            <w:pPr>
              <w:rPr>
                <w:rFonts w:cs="Arial"/>
                <w:sz w:val="24"/>
              </w:rPr>
            </w:pPr>
            <w:r>
              <w:rPr>
                <w:rFonts w:cs="Arial"/>
                <w:sz w:val="24"/>
              </w:rPr>
              <w:t>Page 19</w:t>
            </w:r>
          </w:p>
        </w:tc>
        <w:tc>
          <w:tcPr>
            <w:tcW w:w="7424" w:type="dxa"/>
          </w:tcPr>
          <w:p w14:paraId="6F1D1D25" w14:textId="609651FF" w:rsidR="0058299B" w:rsidRDefault="0058299B" w:rsidP="0058299B">
            <w:pPr>
              <w:rPr>
                <w:rFonts w:cs="Arial"/>
                <w:sz w:val="24"/>
              </w:rPr>
            </w:pPr>
            <w:r>
              <w:rPr>
                <w:rFonts w:cs="Arial"/>
                <w:sz w:val="24"/>
              </w:rPr>
              <w:t xml:space="preserve">Consider defining ‘exotic fuels’ for </w:t>
            </w:r>
            <w:r w:rsidR="00C961FD">
              <w:rPr>
                <w:rFonts w:cs="Arial"/>
                <w:sz w:val="24"/>
              </w:rPr>
              <w:t>non-technical</w:t>
            </w:r>
            <w:r>
              <w:rPr>
                <w:rFonts w:cs="Arial"/>
                <w:sz w:val="24"/>
              </w:rPr>
              <w:t xml:space="preserve"> readers.</w:t>
            </w:r>
          </w:p>
        </w:tc>
      </w:tr>
      <w:tr w:rsidR="003D342E" w:rsidRPr="00221129" w14:paraId="7FB95AC5" w14:textId="77777777" w:rsidTr="003D342E">
        <w:trPr>
          <w:trHeight w:val="567"/>
        </w:trPr>
        <w:tc>
          <w:tcPr>
            <w:tcW w:w="1271" w:type="dxa"/>
          </w:tcPr>
          <w:p w14:paraId="50708113" w14:textId="77777777" w:rsidR="003D342E" w:rsidRDefault="003D342E" w:rsidP="00500092">
            <w:pPr>
              <w:rPr>
                <w:rFonts w:cs="Arial"/>
                <w:sz w:val="24"/>
              </w:rPr>
            </w:pPr>
            <w:r>
              <w:rPr>
                <w:rFonts w:cs="Arial"/>
                <w:sz w:val="24"/>
              </w:rPr>
              <w:t>Page 19</w:t>
            </w:r>
          </w:p>
        </w:tc>
        <w:tc>
          <w:tcPr>
            <w:tcW w:w="7424" w:type="dxa"/>
          </w:tcPr>
          <w:p w14:paraId="7B978AEB" w14:textId="77777777" w:rsidR="003D342E" w:rsidRPr="005A28C7" w:rsidRDefault="003D342E" w:rsidP="00500092">
            <w:pPr>
              <w:rPr>
                <w:rFonts w:cs="Arial"/>
                <w:sz w:val="24"/>
              </w:rPr>
            </w:pPr>
            <w:r w:rsidRPr="00C62CB3">
              <w:rPr>
                <w:rFonts w:cs="Arial"/>
                <w:sz w:val="24"/>
              </w:rPr>
              <w:t>Although the ultimate strategic aim</w:t>
            </w:r>
            <w:r>
              <w:rPr>
                <w:rFonts w:cs="Arial"/>
                <w:sz w:val="24"/>
              </w:rPr>
              <w:t xml:space="preserve"> of the Site Decommissioning and Remediation (SDR) theme </w:t>
            </w:r>
            <w:r w:rsidRPr="00C62CB3">
              <w:rPr>
                <w:rFonts w:cs="Arial"/>
                <w:sz w:val="24"/>
              </w:rPr>
              <w:t>is to release land for other uses</w:t>
            </w:r>
            <w:r>
              <w:rPr>
                <w:rFonts w:cs="Arial"/>
                <w:sz w:val="24"/>
              </w:rPr>
              <w:t xml:space="preserve">, the near- and mid-term activities (especially those in the business plan period) will focus on </w:t>
            </w:r>
            <w:r w:rsidRPr="00C62CB3">
              <w:rPr>
                <w:rFonts w:cs="Arial"/>
                <w:sz w:val="24"/>
              </w:rPr>
              <w:t xml:space="preserve">continuing reduction of risk and hazards from plants, facilities, and buildings; that is, </w:t>
            </w:r>
            <w:r>
              <w:rPr>
                <w:rFonts w:cs="Arial"/>
                <w:sz w:val="24"/>
              </w:rPr>
              <w:t xml:space="preserve">post-operational </w:t>
            </w:r>
            <w:r w:rsidRPr="00C62CB3">
              <w:rPr>
                <w:rFonts w:cs="Arial"/>
                <w:sz w:val="24"/>
              </w:rPr>
              <w:t>clean-</w:t>
            </w:r>
            <w:r>
              <w:rPr>
                <w:rFonts w:cs="Arial"/>
                <w:sz w:val="24"/>
              </w:rPr>
              <w:t>out</w:t>
            </w:r>
            <w:r w:rsidRPr="00C62CB3">
              <w:rPr>
                <w:rFonts w:cs="Arial"/>
                <w:sz w:val="24"/>
              </w:rPr>
              <w:t xml:space="preserve"> and decommissioning</w:t>
            </w:r>
            <w:r>
              <w:rPr>
                <w:rFonts w:cs="Arial"/>
                <w:sz w:val="24"/>
              </w:rPr>
              <w:t>.</w:t>
            </w:r>
            <w:r w:rsidRPr="00C62CB3">
              <w:rPr>
                <w:rFonts w:cs="Arial"/>
                <w:sz w:val="24"/>
              </w:rPr>
              <w:t xml:space="preserve"> </w:t>
            </w:r>
            <w:r>
              <w:rPr>
                <w:rFonts w:cs="Arial"/>
                <w:sz w:val="24"/>
              </w:rPr>
              <w:t>Consider expanding the narrative on the SDR theme more fully reflect these elements of its scope.</w:t>
            </w:r>
          </w:p>
        </w:tc>
      </w:tr>
      <w:tr w:rsidR="00ED49ED" w:rsidRPr="00221129" w14:paraId="0B7559B6" w14:textId="77777777" w:rsidTr="004206E4">
        <w:trPr>
          <w:trHeight w:val="567"/>
        </w:trPr>
        <w:tc>
          <w:tcPr>
            <w:tcW w:w="1271" w:type="dxa"/>
          </w:tcPr>
          <w:p w14:paraId="12596AD2" w14:textId="50704424" w:rsidR="00ED49ED" w:rsidRPr="00221129" w:rsidRDefault="00F64F82" w:rsidP="008B687F">
            <w:pPr>
              <w:rPr>
                <w:rFonts w:cs="Arial"/>
                <w:sz w:val="24"/>
              </w:rPr>
            </w:pPr>
            <w:r>
              <w:rPr>
                <w:rFonts w:cs="Arial"/>
                <w:sz w:val="24"/>
              </w:rPr>
              <w:t>Page 21</w:t>
            </w:r>
          </w:p>
        </w:tc>
        <w:tc>
          <w:tcPr>
            <w:tcW w:w="7424" w:type="dxa"/>
          </w:tcPr>
          <w:p w14:paraId="0B63B722" w14:textId="77D3E41C" w:rsidR="00ED49ED" w:rsidRPr="00192D67" w:rsidRDefault="00271D6D" w:rsidP="00192D67">
            <w:pPr>
              <w:rPr>
                <w:rFonts w:cs="Arial"/>
                <w:sz w:val="24"/>
              </w:rPr>
            </w:pPr>
            <w:r>
              <w:rPr>
                <w:rFonts w:cs="Arial"/>
                <w:sz w:val="24"/>
              </w:rPr>
              <w:t xml:space="preserve">There appears to be a discrepancy between </w:t>
            </w:r>
            <w:r w:rsidR="00897207">
              <w:rPr>
                <w:rFonts w:cs="Arial"/>
                <w:sz w:val="24"/>
              </w:rPr>
              <w:t xml:space="preserve">objective 3 </w:t>
            </w:r>
            <w:r w:rsidR="007F1791">
              <w:rPr>
                <w:rFonts w:cs="Arial"/>
                <w:sz w:val="24"/>
              </w:rPr>
              <w:t xml:space="preserve">which </w:t>
            </w:r>
            <w:r w:rsidR="0006264E">
              <w:rPr>
                <w:rFonts w:cs="Arial"/>
                <w:sz w:val="24"/>
              </w:rPr>
              <w:t>state</w:t>
            </w:r>
            <w:r w:rsidR="007F1791">
              <w:rPr>
                <w:rFonts w:cs="Arial"/>
                <w:sz w:val="24"/>
              </w:rPr>
              <w:t>s</w:t>
            </w:r>
            <w:r w:rsidR="001B7EF4">
              <w:rPr>
                <w:rFonts w:cs="Arial"/>
                <w:sz w:val="24"/>
              </w:rPr>
              <w:t xml:space="preserve"> all Magnox fue</w:t>
            </w:r>
            <w:r w:rsidR="0006264E">
              <w:rPr>
                <w:rFonts w:cs="Arial"/>
                <w:sz w:val="24"/>
              </w:rPr>
              <w:t xml:space="preserve">l reprocessing is complete </w:t>
            </w:r>
            <w:r w:rsidR="00CB2C19">
              <w:rPr>
                <w:rFonts w:cs="Arial"/>
                <w:sz w:val="24"/>
              </w:rPr>
              <w:t>and</w:t>
            </w:r>
            <w:r w:rsidR="0006264E">
              <w:rPr>
                <w:rFonts w:cs="Arial"/>
                <w:sz w:val="24"/>
              </w:rPr>
              <w:t xml:space="preserve"> </w:t>
            </w:r>
            <w:r w:rsidR="007F1791">
              <w:rPr>
                <w:rFonts w:cs="Arial"/>
                <w:sz w:val="24"/>
              </w:rPr>
              <w:t>objective</w:t>
            </w:r>
            <w:r w:rsidR="00CB2C19">
              <w:rPr>
                <w:rFonts w:cs="Arial"/>
                <w:sz w:val="24"/>
              </w:rPr>
              <w:t>s</w:t>
            </w:r>
            <w:r w:rsidR="007F1791">
              <w:rPr>
                <w:rFonts w:cs="Arial"/>
                <w:sz w:val="24"/>
              </w:rPr>
              <w:t xml:space="preserve"> 4</w:t>
            </w:r>
            <w:r w:rsidR="00CB2C19">
              <w:rPr>
                <w:rFonts w:cs="Arial"/>
                <w:sz w:val="24"/>
              </w:rPr>
              <w:t xml:space="preserve"> and 5</w:t>
            </w:r>
            <w:r w:rsidR="007F1791">
              <w:rPr>
                <w:rFonts w:cs="Arial"/>
                <w:sz w:val="24"/>
              </w:rPr>
              <w:t xml:space="preserve"> </w:t>
            </w:r>
            <w:r w:rsidR="00CB2C19">
              <w:rPr>
                <w:rFonts w:cs="Arial"/>
                <w:sz w:val="24"/>
              </w:rPr>
              <w:t xml:space="preserve">which </w:t>
            </w:r>
            <w:r w:rsidR="007F1791">
              <w:rPr>
                <w:rFonts w:cs="Arial"/>
                <w:sz w:val="24"/>
              </w:rPr>
              <w:t>mak</w:t>
            </w:r>
            <w:r w:rsidR="00CB2C19">
              <w:rPr>
                <w:rFonts w:cs="Arial"/>
                <w:sz w:val="24"/>
              </w:rPr>
              <w:t>e it</w:t>
            </w:r>
            <w:r w:rsidR="007F1791">
              <w:rPr>
                <w:rFonts w:cs="Arial"/>
                <w:sz w:val="24"/>
              </w:rPr>
              <w:t xml:space="preserve"> clear </w:t>
            </w:r>
            <w:r w:rsidR="00B31C93">
              <w:rPr>
                <w:rFonts w:cs="Arial"/>
                <w:sz w:val="24"/>
              </w:rPr>
              <w:t>not all Magnox fuel has been reprocessed.</w:t>
            </w:r>
          </w:p>
        </w:tc>
      </w:tr>
      <w:tr w:rsidR="00503272" w:rsidRPr="00221129" w14:paraId="7937ECE3" w14:textId="77777777" w:rsidTr="004206E4">
        <w:trPr>
          <w:trHeight w:val="567"/>
        </w:trPr>
        <w:tc>
          <w:tcPr>
            <w:tcW w:w="1271" w:type="dxa"/>
          </w:tcPr>
          <w:p w14:paraId="03F19CA9" w14:textId="2FD43766" w:rsidR="00503272" w:rsidRDefault="00293D87" w:rsidP="008B687F">
            <w:pPr>
              <w:rPr>
                <w:rFonts w:cs="Arial"/>
                <w:sz w:val="24"/>
              </w:rPr>
            </w:pPr>
            <w:r>
              <w:rPr>
                <w:rFonts w:cs="Arial"/>
                <w:sz w:val="24"/>
              </w:rPr>
              <w:t>Page 21</w:t>
            </w:r>
          </w:p>
        </w:tc>
        <w:tc>
          <w:tcPr>
            <w:tcW w:w="7424" w:type="dxa"/>
          </w:tcPr>
          <w:p w14:paraId="6713AF46" w14:textId="668D926B" w:rsidR="00503272" w:rsidRPr="00192D67" w:rsidRDefault="00293D87" w:rsidP="00192D67">
            <w:pPr>
              <w:rPr>
                <w:rFonts w:cs="Arial"/>
                <w:sz w:val="24"/>
              </w:rPr>
            </w:pPr>
            <w:r>
              <w:rPr>
                <w:rFonts w:cs="Arial"/>
                <w:sz w:val="24"/>
              </w:rPr>
              <w:t xml:space="preserve">Suggest amending the text </w:t>
            </w:r>
            <w:r w:rsidR="00B8448B">
              <w:rPr>
                <w:rFonts w:cs="Arial"/>
                <w:sz w:val="24"/>
              </w:rPr>
              <w:t xml:space="preserve">under AGR defueling </w:t>
            </w:r>
            <w:r>
              <w:rPr>
                <w:rFonts w:cs="Arial"/>
                <w:sz w:val="24"/>
              </w:rPr>
              <w:t>to read “</w:t>
            </w:r>
            <w:r w:rsidR="009401E9">
              <w:rPr>
                <w:rFonts w:cs="Arial"/>
                <w:sz w:val="24"/>
              </w:rPr>
              <w:t>NRS will manage the decommissioning of all seven AGRs</w:t>
            </w:r>
            <w:r w:rsidR="00084A16">
              <w:rPr>
                <w:rFonts w:cs="Arial"/>
                <w:sz w:val="24"/>
              </w:rPr>
              <w:t xml:space="preserve"> after they have stopped generating electricity</w:t>
            </w:r>
            <w:r w:rsidR="00B8448B">
              <w:rPr>
                <w:rFonts w:cs="Arial"/>
                <w:sz w:val="24"/>
              </w:rPr>
              <w:t xml:space="preserve"> and progressively move to the NDA group over the next ten years.”</w:t>
            </w:r>
          </w:p>
        </w:tc>
      </w:tr>
      <w:tr w:rsidR="003D342E" w:rsidRPr="00221129" w14:paraId="2ED5F882" w14:textId="77777777" w:rsidTr="003D342E">
        <w:trPr>
          <w:trHeight w:val="567"/>
        </w:trPr>
        <w:tc>
          <w:tcPr>
            <w:tcW w:w="1271" w:type="dxa"/>
          </w:tcPr>
          <w:p w14:paraId="3E837277" w14:textId="77777777" w:rsidR="003D342E" w:rsidRDefault="003D342E" w:rsidP="00500092">
            <w:pPr>
              <w:rPr>
                <w:rFonts w:cs="Arial"/>
                <w:sz w:val="24"/>
              </w:rPr>
            </w:pPr>
            <w:r>
              <w:rPr>
                <w:rFonts w:cs="Arial"/>
                <w:sz w:val="24"/>
              </w:rPr>
              <w:t>Page 23</w:t>
            </w:r>
          </w:p>
        </w:tc>
        <w:tc>
          <w:tcPr>
            <w:tcW w:w="7424" w:type="dxa"/>
          </w:tcPr>
          <w:p w14:paraId="53CB06F0" w14:textId="77777777" w:rsidR="003D342E" w:rsidRDefault="003D342E" w:rsidP="00500092">
            <w:pPr>
              <w:rPr>
                <w:rFonts w:cs="Arial"/>
                <w:sz w:val="24"/>
              </w:rPr>
            </w:pPr>
            <w:r>
              <w:rPr>
                <w:rFonts w:cs="Arial"/>
                <w:sz w:val="24"/>
              </w:rPr>
              <w:t>I</w:t>
            </w:r>
            <w:r w:rsidRPr="00BB00AA">
              <w:rPr>
                <w:rFonts w:cs="Arial"/>
                <w:sz w:val="24"/>
              </w:rPr>
              <w:t>t is not clear what is meant by “All HLW produced by 2030” given that reprocessing has now ceased. We would also exercise caution on dates quoted for “All HLW treated” and “All HLW waste in interim storage” since based on our current understanding, these dates appear unlikely to be met</w:t>
            </w:r>
          </w:p>
        </w:tc>
      </w:tr>
      <w:tr w:rsidR="00254CA6" w:rsidRPr="00221129" w14:paraId="11067061" w14:textId="77777777" w:rsidTr="004206E4">
        <w:trPr>
          <w:trHeight w:val="567"/>
        </w:trPr>
        <w:tc>
          <w:tcPr>
            <w:tcW w:w="1271" w:type="dxa"/>
          </w:tcPr>
          <w:p w14:paraId="5A3ED946" w14:textId="53B8964D" w:rsidR="00254CA6" w:rsidRDefault="006C6155" w:rsidP="00400536">
            <w:pPr>
              <w:rPr>
                <w:rFonts w:cs="Arial"/>
                <w:sz w:val="24"/>
              </w:rPr>
            </w:pPr>
            <w:r>
              <w:rPr>
                <w:rFonts w:cs="Arial"/>
                <w:sz w:val="24"/>
              </w:rPr>
              <w:t>Page 24</w:t>
            </w:r>
          </w:p>
        </w:tc>
        <w:tc>
          <w:tcPr>
            <w:tcW w:w="7424" w:type="dxa"/>
          </w:tcPr>
          <w:p w14:paraId="38222587" w14:textId="31E0FB09" w:rsidR="00254CA6" w:rsidRPr="00192D67" w:rsidRDefault="0004072B" w:rsidP="00192D67">
            <w:pPr>
              <w:rPr>
                <w:rFonts w:cs="Arial"/>
                <w:sz w:val="24"/>
              </w:rPr>
            </w:pPr>
            <w:r>
              <w:rPr>
                <w:rFonts w:cs="Arial"/>
                <w:sz w:val="24"/>
              </w:rPr>
              <w:t xml:space="preserve">It would be helpful to add information on why the Berkeley blower house demolition has been </w:t>
            </w:r>
            <w:r w:rsidR="00952411">
              <w:rPr>
                <w:rFonts w:cs="Arial"/>
                <w:sz w:val="24"/>
              </w:rPr>
              <w:t>brought forward</w:t>
            </w:r>
            <w:r w:rsidR="00B43332">
              <w:rPr>
                <w:rFonts w:cs="Arial"/>
                <w:sz w:val="24"/>
              </w:rPr>
              <w:t xml:space="preserve"> </w:t>
            </w:r>
            <w:r w:rsidR="00BF5F0A">
              <w:rPr>
                <w:rFonts w:cs="Arial"/>
                <w:sz w:val="24"/>
              </w:rPr>
              <w:t>to demonstrate why this is</w:t>
            </w:r>
            <w:r w:rsidR="00984584">
              <w:rPr>
                <w:rFonts w:cs="Arial"/>
                <w:sz w:val="24"/>
              </w:rPr>
              <w:t xml:space="preserve"> an example of </w:t>
            </w:r>
            <w:r w:rsidR="00A758FE">
              <w:rPr>
                <w:rFonts w:cs="Arial"/>
                <w:sz w:val="24"/>
              </w:rPr>
              <w:t>“delivering</w:t>
            </w:r>
            <w:r w:rsidR="00BF5F0A">
              <w:rPr>
                <w:rFonts w:cs="Arial"/>
                <w:sz w:val="24"/>
              </w:rPr>
              <w:t xml:space="preserve"> </w:t>
            </w:r>
            <w:r w:rsidR="00A758FE">
              <w:rPr>
                <w:rFonts w:cs="Arial"/>
                <w:sz w:val="24"/>
              </w:rPr>
              <w:t xml:space="preserve">its mission </w:t>
            </w:r>
            <w:r w:rsidR="00BF5F0A">
              <w:rPr>
                <w:rFonts w:cs="Arial"/>
                <w:sz w:val="24"/>
              </w:rPr>
              <w:t>better, faster and even safer.”</w:t>
            </w:r>
            <w:r w:rsidR="000A3CBF">
              <w:rPr>
                <w:rFonts w:cs="Arial"/>
                <w:sz w:val="24"/>
              </w:rPr>
              <w:t xml:space="preserve"> </w:t>
            </w:r>
          </w:p>
        </w:tc>
      </w:tr>
      <w:tr w:rsidR="003D342E" w:rsidRPr="00221129" w14:paraId="1EA04FA4" w14:textId="77777777" w:rsidTr="003D342E">
        <w:trPr>
          <w:trHeight w:val="567"/>
        </w:trPr>
        <w:tc>
          <w:tcPr>
            <w:tcW w:w="1271" w:type="dxa"/>
          </w:tcPr>
          <w:p w14:paraId="3C1A3C84" w14:textId="77777777" w:rsidR="003D342E" w:rsidRDefault="003D342E" w:rsidP="00500092">
            <w:pPr>
              <w:rPr>
                <w:rFonts w:cs="Arial"/>
                <w:sz w:val="24"/>
              </w:rPr>
            </w:pPr>
            <w:r>
              <w:rPr>
                <w:rFonts w:cs="Arial"/>
                <w:sz w:val="24"/>
              </w:rPr>
              <w:t>Page 32</w:t>
            </w:r>
          </w:p>
        </w:tc>
        <w:tc>
          <w:tcPr>
            <w:tcW w:w="7424" w:type="dxa"/>
          </w:tcPr>
          <w:p w14:paraId="55905F2E" w14:textId="77777777" w:rsidR="003D342E" w:rsidRPr="005A28C7" w:rsidRDefault="003D342E" w:rsidP="00500092">
            <w:pPr>
              <w:rPr>
                <w:rFonts w:cs="Arial"/>
                <w:sz w:val="24"/>
              </w:rPr>
            </w:pPr>
            <w:r w:rsidRPr="00BE7612">
              <w:rPr>
                <w:rFonts w:cs="Arial"/>
                <w:sz w:val="24"/>
              </w:rPr>
              <w:t>We would have expected more key activities under the major topic of integrated waste management, for example, the work underway on waste package development and standardisation, as this could have a significant impact on lifecycle safety, security and costs.</w:t>
            </w:r>
          </w:p>
        </w:tc>
      </w:tr>
      <w:tr w:rsidR="002850C0" w:rsidRPr="00221129" w14:paraId="3D3C1FE5" w14:textId="77777777" w:rsidTr="004206E4">
        <w:trPr>
          <w:trHeight w:val="567"/>
        </w:trPr>
        <w:tc>
          <w:tcPr>
            <w:tcW w:w="1271" w:type="dxa"/>
          </w:tcPr>
          <w:p w14:paraId="0F37BA02" w14:textId="091FBCE9" w:rsidR="002850C0" w:rsidRDefault="002850C0" w:rsidP="00400536">
            <w:pPr>
              <w:rPr>
                <w:rFonts w:cs="Arial"/>
                <w:sz w:val="24"/>
              </w:rPr>
            </w:pPr>
            <w:r>
              <w:rPr>
                <w:rFonts w:cs="Arial"/>
                <w:sz w:val="24"/>
              </w:rPr>
              <w:t>Page</w:t>
            </w:r>
            <w:r w:rsidR="004206E4">
              <w:rPr>
                <w:rFonts w:cs="Arial"/>
                <w:sz w:val="24"/>
              </w:rPr>
              <w:t>s</w:t>
            </w:r>
            <w:r>
              <w:rPr>
                <w:rFonts w:cs="Arial"/>
                <w:sz w:val="24"/>
              </w:rPr>
              <w:t xml:space="preserve"> 38</w:t>
            </w:r>
            <w:r w:rsidR="004206E4">
              <w:rPr>
                <w:rFonts w:cs="Arial"/>
                <w:sz w:val="24"/>
              </w:rPr>
              <w:t xml:space="preserve"> and 57 </w:t>
            </w:r>
          </w:p>
        </w:tc>
        <w:tc>
          <w:tcPr>
            <w:tcW w:w="7424" w:type="dxa"/>
          </w:tcPr>
          <w:p w14:paraId="67E7A89B" w14:textId="76E74030" w:rsidR="004206E4" w:rsidRDefault="004C3BCD" w:rsidP="004C3BCD">
            <w:pPr>
              <w:rPr>
                <w:rFonts w:cs="Arial"/>
                <w:sz w:val="24"/>
              </w:rPr>
            </w:pPr>
            <w:r>
              <w:rPr>
                <w:rFonts w:cs="Arial"/>
                <w:sz w:val="24"/>
              </w:rPr>
              <w:t>The key activity to support the higher activity waste thermal treatment strategic case for change is listed under Critical Enablers for Sellafield, but Integrated Waste</w:t>
            </w:r>
            <w:r w:rsidR="003474F4">
              <w:rPr>
                <w:rFonts w:cs="Arial"/>
                <w:sz w:val="24"/>
              </w:rPr>
              <w:t xml:space="preserve"> Management for NWS</w:t>
            </w:r>
            <w:r w:rsidR="00A56AF8">
              <w:rPr>
                <w:rFonts w:cs="Arial"/>
                <w:sz w:val="24"/>
              </w:rPr>
              <w:t>; we query why the same activity appears under different strategic themes for different operating companies. We also query why there is no discussion of this activity under either driving theme</w:t>
            </w:r>
            <w:r w:rsidR="00296645">
              <w:rPr>
                <w:rFonts w:cs="Arial"/>
                <w:sz w:val="24"/>
              </w:rPr>
              <w:t xml:space="preserve">, especially since we understand this </w:t>
            </w:r>
            <w:r w:rsidR="002D1B14">
              <w:rPr>
                <w:rFonts w:cs="Arial"/>
                <w:sz w:val="24"/>
              </w:rPr>
              <w:t xml:space="preserve">will be brought to the IWM TOG </w:t>
            </w:r>
            <w:r w:rsidR="00753121">
              <w:rPr>
                <w:rFonts w:cs="Arial"/>
                <w:sz w:val="24"/>
              </w:rPr>
              <w:t>during 2024/25.</w:t>
            </w:r>
          </w:p>
        </w:tc>
      </w:tr>
      <w:tr w:rsidR="00BF4199" w:rsidRPr="00221129" w14:paraId="6E96021E" w14:textId="77777777" w:rsidTr="004206E4">
        <w:trPr>
          <w:trHeight w:val="567"/>
        </w:trPr>
        <w:tc>
          <w:tcPr>
            <w:tcW w:w="1271" w:type="dxa"/>
          </w:tcPr>
          <w:p w14:paraId="5BC168E6" w14:textId="327F7C88" w:rsidR="00BF4199" w:rsidRDefault="00BF4199" w:rsidP="00400536">
            <w:pPr>
              <w:rPr>
                <w:rFonts w:cs="Arial"/>
                <w:sz w:val="24"/>
              </w:rPr>
            </w:pPr>
            <w:r>
              <w:rPr>
                <w:rFonts w:cs="Arial"/>
                <w:sz w:val="24"/>
              </w:rPr>
              <w:lastRenderedPageBreak/>
              <w:t>Page 46</w:t>
            </w:r>
          </w:p>
        </w:tc>
        <w:tc>
          <w:tcPr>
            <w:tcW w:w="7424" w:type="dxa"/>
          </w:tcPr>
          <w:p w14:paraId="25E21D97" w14:textId="69712638" w:rsidR="00BF4199" w:rsidRDefault="00AA3230" w:rsidP="004C3BCD">
            <w:pPr>
              <w:rPr>
                <w:rFonts w:cs="Arial"/>
                <w:sz w:val="24"/>
              </w:rPr>
            </w:pPr>
            <w:r w:rsidRPr="00AA3230">
              <w:rPr>
                <w:rFonts w:cs="Arial"/>
                <w:sz w:val="24"/>
              </w:rPr>
              <w:t xml:space="preserve">Remove </w:t>
            </w:r>
            <w:r>
              <w:rPr>
                <w:rFonts w:cs="Arial"/>
                <w:sz w:val="24"/>
              </w:rPr>
              <w:t>‘</w:t>
            </w:r>
            <w:r w:rsidRPr="00AA3230">
              <w:rPr>
                <w:rFonts w:cs="Arial"/>
                <w:sz w:val="24"/>
              </w:rPr>
              <w:t>waste</w:t>
            </w:r>
            <w:r>
              <w:rPr>
                <w:rFonts w:cs="Arial"/>
                <w:sz w:val="24"/>
              </w:rPr>
              <w:t>s’</w:t>
            </w:r>
            <w:r w:rsidRPr="00AA3230">
              <w:rPr>
                <w:rFonts w:cs="Arial"/>
                <w:sz w:val="24"/>
              </w:rPr>
              <w:t xml:space="preserve"> after ILW from first line under Intermediate Level Waste</w:t>
            </w:r>
          </w:p>
        </w:tc>
      </w:tr>
      <w:tr w:rsidR="002E4EB8" w:rsidRPr="00221129" w14:paraId="708D23DD" w14:textId="77777777" w:rsidTr="004206E4">
        <w:trPr>
          <w:trHeight w:val="567"/>
        </w:trPr>
        <w:tc>
          <w:tcPr>
            <w:tcW w:w="1271" w:type="dxa"/>
          </w:tcPr>
          <w:p w14:paraId="7DAE9E47" w14:textId="739206C2" w:rsidR="002E4EB8" w:rsidRDefault="000E5E3A" w:rsidP="00400536">
            <w:pPr>
              <w:rPr>
                <w:rFonts w:cs="Arial"/>
                <w:sz w:val="24"/>
              </w:rPr>
            </w:pPr>
            <w:r>
              <w:rPr>
                <w:rFonts w:cs="Arial"/>
                <w:sz w:val="24"/>
              </w:rPr>
              <w:t>Page 48</w:t>
            </w:r>
          </w:p>
        </w:tc>
        <w:tc>
          <w:tcPr>
            <w:tcW w:w="7424" w:type="dxa"/>
          </w:tcPr>
          <w:p w14:paraId="2EFB0F77" w14:textId="6BA0DDC5" w:rsidR="002E4EB8" w:rsidRPr="00192D67" w:rsidRDefault="00135DEE" w:rsidP="00192D67">
            <w:pPr>
              <w:rPr>
                <w:rFonts w:cs="Arial"/>
                <w:sz w:val="24"/>
              </w:rPr>
            </w:pPr>
            <w:r>
              <w:rPr>
                <w:rFonts w:cs="Arial"/>
                <w:sz w:val="24"/>
              </w:rPr>
              <w:t xml:space="preserve">The site progress </w:t>
            </w:r>
            <w:r w:rsidR="00B525F1">
              <w:rPr>
                <w:rFonts w:cs="Arial"/>
                <w:sz w:val="24"/>
              </w:rPr>
              <w:t xml:space="preserve">box states that the milestone of Harwell being free from </w:t>
            </w:r>
            <w:r w:rsidR="00DA7189">
              <w:rPr>
                <w:rFonts w:cs="Arial"/>
                <w:sz w:val="24"/>
              </w:rPr>
              <w:t>nuclear materials has been achieved, but the first key activity is to “continue the programme for the transfer of nuclear materials”</w:t>
            </w:r>
            <w:r w:rsidR="000E40B2">
              <w:rPr>
                <w:rFonts w:cs="Arial"/>
                <w:sz w:val="24"/>
              </w:rPr>
              <w:t xml:space="preserve">. </w:t>
            </w:r>
          </w:p>
        </w:tc>
      </w:tr>
      <w:tr w:rsidR="00880D82" w:rsidRPr="00221129" w14:paraId="1520A750" w14:textId="77777777" w:rsidTr="004206E4">
        <w:trPr>
          <w:trHeight w:val="567"/>
        </w:trPr>
        <w:tc>
          <w:tcPr>
            <w:tcW w:w="1271" w:type="dxa"/>
          </w:tcPr>
          <w:p w14:paraId="42C75F7A" w14:textId="10F6B4F0" w:rsidR="00880D82" w:rsidRDefault="00880D82" w:rsidP="00400536">
            <w:pPr>
              <w:rPr>
                <w:rFonts w:cs="Arial"/>
                <w:sz w:val="24"/>
              </w:rPr>
            </w:pPr>
            <w:r>
              <w:rPr>
                <w:rFonts w:cs="Arial"/>
                <w:sz w:val="24"/>
              </w:rPr>
              <w:t>Page</w:t>
            </w:r>
            <w:r w:rsidR="009B1AD5">
              <w:rPr>
                <w:rFonts w:cs="Arial"/>
                <w:sz w:val="24"/>
              </w:rPr>
              <w:t>s</w:t>
            </w:r>
            <w:r>
              <w:rPr>
                <w:rFonts w:cs="Arial"/>
                <w:sz w:val="24"/>
              </w:rPr>
              <w:t xml:space="preserve"> </w:t>
            </w:r>
            <w:r w:rsidR="009B1AD5">
              <w:rPr>
                <w:rFonts w:cs="Arial"/>
                <w:sz w:val="24"/>
              </w:rPr>
              <w:t>56 and 57</w:t>
            </w:r>
          </w:p>
        </w:tc>
        <w:tc>
          <w:tcPr>
            <w:tcW w:w="7424" w:type="dxa"/>
          </w:tcPr>
          <w:p w14:paraId="75A6A54E" w14:textId="4C5CC9F5" w:rsidR="00880D82" w:rsidRDefault="009B1AD5" w:rsidP="00192D67">
            <w:pPr>
              <w:rPr>
                <w:rFonts w:cs="Arial"/>
                <w:sz w:val="24"/>
              </w:rPr>
            </w:pPr>
            <w:r>
              <w:rPr>
                <w:rFonts w:cs="Arial"/>
                <w:sz w:val="24"/>
              </w:rPr>
              <w:t xml:space="preserve">In the important milestones box, </w:t>
            </w:r>
            <w:r w:rsidR="00ED1D98">
              <w:rPr>
                <w:rFonts w:cs="Arial"/>
                <w:sz w:val="24"/>
              </w:rPr>
              <w:t>the introduction of a standard container catalogue is stated as being due by 2025/26, but the same activity in the list of key activities is stated as having a timescale of 2024-2027</w:t>
            </w:r>
            <w:r w:rsidR="00001E37">
              <w:rPr>
                <w:rFonts w:cs="Arial"/>
                <w:sz w:val="24"/>
              </w:rPr>
              <w:t>.</w:t>
            </w:r>
          </w:p>
        </w:tc>
      </w:tr>
    </w:tbl>
    <w:p w14:paraId="6EA83F0B" w14:textId="77777777" w:rsidR="002901CC" w:rsidRPr="002901CC" w:rsidRDefault="002901CC" w:rsidP="006F295E"/>
    <w:sectPr w:rsidR="002901CC" w:rsidRPr="002901CC" w:rsidSect="0002025C">
      <w:headerReference w:type="default" r:id="rId10"/>
      <w:footerReference w:type="default" r:id="rId11"/>
      <w:pgSz w:w="11906" w:h="16838" w:code="9"/>
      <w:pgMar w:top="1588" w:right="1134" w:bottom="680" w:left="158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BD34" w14:textId="77777777" w:rsidR="00312176" w:rsidRDefault="00312176">
      <w:r>
        <w:separator/>
      </w:r>
    </w:p>
  </w:endnote>
  <w:endnote w:type="continuationSeparator" w:id="0">
    <w:p w14:paraId="2E5FC01C" w14:textId="77777777" w:rsidR="00312176" w:rsidRDefault="0031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7491"/>
      <w:docPartObj>
        <w:docPartGallery w:val="Page Numbers (Top of Page)"/>
        <w:docPartUnique/>
      </w:docPartObj>
    </w:sdtPr>
    <w:sdtEndPr/>
    <w:sdtContent>
      <w:p w14:paraId="783F4667" w14:textId="49350982" w:rsidR="00ED6023" w:rsidRPr="00B56CCE" w:rsidRDefault="00ED6023" w:rsidP="00ED6023">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800E52">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006F295E">
          <w:rPr>
            <w:b/>
            <w:color w:val="006D68"/>
            <w:sz w:val="14"/>
            <w:szCs w:val="14"/>
          </w:rPr>
          <w:fldChar w:fldCharType="begin"/>
        </w:r>
        <w:r w:rsidR="006F295E">
          <w:rPr>
            <w:b/>
            <w:color w:val="006D68"/>
            <w:sz w:val="14"/>
            <w:szCs w:val="14"/>
          </w:rPr>
          <w:instrText xml:space="preserve"> NUMPAGES  \* Arabic  \* MERGEFORMAT </w:instrText>
        </w:r>
        <w:r w:rsidR="006F295E">
          <w:rPr>
            <w:b/>
            <w:color w:val="006D68"/>
            <w:sz w:val="14"/>
            <w:szCs w:val="14"/>
          </w:rPr>
          <w:fldChar w:fldCharType="separate"/>
        </w:r>
        <w:r w:rsidR="006F295E">
          <w:rPr>
            <w:b/>
            <w:noProof/>
            <w:color w:val="006D68"/>
            <w:sz w:val="14"/>
            <w:szCs w:val="14"/>
          </w:rPr>
          <w:t>4</w:t>
        </w:r>
        <w:r w:rsidR="006F295E">
          <w:rPr>
            <w:b/>
            <w:color w:val="006D68"/>
            <w:sz w:val="14"/>
            <w:szCs w:val="14"/>
          </w:rPr>
          <w:fldChar w:fldCharType="end"/>
        </w:r>
      </w:p>
      <w:p w14:paraId="783F4668" w14:textId="77777777" w:rsidR="00ED6023" w:rsidRDefault="000A0438" w:rsidP="00ED6023">
        <w:pPr>
          <w:pStyle w:val="Footer"/>
          <w:jc w:val="center"/>
        </w:pPr>
      </w:p>
    </w:sdtContent>
  </w:sdt>
  <w:p w14:paraId="783F4669" w14:textId="77777777" w:rsidR="00ED6023" w:rsidRDefault="00ED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A78F" w14:textId="77777777" w:rsidR="00312176" w:rsidRDefault="00312176">
      <w:r>
        <w:separator/>
      </w:r>
    </w:p>
  </w:footnote>
  <w:footnote w:type="continuationSeparator" w:id="0">
    <w:p w14:paraId="755F267C" w14:textId="77777777" w:rsidR="00312176" w:rsidRDefault="0031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2346" w14:textId="77777777" w:rsidR="00FC436F" w:rsidRDefault="00D54033">
    <w:pPr>
      <w:pStyle w:val="Header"/>
    </w:pPr>
    <w:r>
      <w:rPr>
        <w:noProof/>
        <w:lang w:eastAsia="en-GB"/>
      </w:rPr>
      <w:drawing>
        <wp:anchor distT="0" distB="0" distL="114300" distR="114300" simplePos="0" relativeHeight="251660800" behindDoc="0" locked="0" layoutInCell="1" allowOverlap="1" wp14:anchorId="783F466A" wp14:editId="783F466B">
          <wp:simplePos x="0" y="0"/>
          <wp:positionH relativeFrom="page">
            <wp:posOffset>252095</wp:posOffset>
          </wp:positionH>
          <wp:positionV relativeFrom="page">
            <wp:posOffset>252095</wp:posOffset>
          </wp:positionV>
          <wp:extent cx="2895600" cy="638175"/>
          <wp:effectExtent l="0" t="0" r="0" b="9525"/>
          <wp:wrapNone/>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r w:rsidR="00F93C7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pStyle w:val="Numbera"/>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4AF67F3"/>
    <w:multiLevelType w:val="hybridMultilevel"/>
    <w:tmpl w:val="9F6202C2"/>
    <w:lvl w:ilvl="0" w:tplc="421209E2">
      <w:start w:val="1"/>
      <w:numFmt w:val="decimal"/>
      <w:lvlText w:val="%1."/>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8286B"/>
    <w:multiLevelType w:val="hybridMultilevel"/>
    <w:tmpl w:val="D2883B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E4358"/>
    <w:multiLevelType w:val="hybridMultilevel"/>
    <w:tmpl w:val="7C32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0B40A0"/>
    <w:multiLevelType w:val="hybridMultilevel"/>
    <w:tmpl w:val="01A8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E131A6"/>
    <w:multiLevelType w:val="hybridMultilevel"/>
    <w:tmpl w:val="E88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00A40"/>
    <w:multiLevelType w:val="hybridMultilevel"/>
    <w:tmpl w:val="1A7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F5447"/>
    <w:multiLevelType w:val="hybridMultilevel"/>
    <w:tmpl w:val="F38021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D0730"/>
    <w:multiLevelType w:val="multilevel"/>
    <w:tmpl w:val="03CAB566"/>
    <w:lvl w:ilvl="0">
      <w:start w:val="1"/>
      <w:numFmt w:val="bullet"/>
      <w:pStyle w:val="Bullet1"/>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1" w15:restartNumberingAfterBreak="0">
    <w:nsid w:val="3373750A"/>
    <w:multiLevelType w:val="hybridMultilevel"/>
    <w:tmpl w:val="C94E3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3" w15:restartNumberingAfterBreak="0">
    <w:nsid w:val="3A131EFE"/>
    <w:multiLevelType w:val="multilevel"/>
    <w:tmpl w:val="1298B756"/>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3CA01753"/>
    <w:multiLevelType w:val="hybridMultilevel"/>
    <w:tmpl w:val="DC44B362"/>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42DA6E74"/>
    <w:multiLevelType w:val="hybridMultilevel"/>
    <w:tmpl w:val="5C6A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53AA6"/>
    <w:multiLevelType w:val="hybridMultilevel"/>
    <w:tmpl w:val="7F6A8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083C1E"/>
    <w:multiLevelType w:val="hybridMultilevel"/>
    <w:tmpl w:val="BAAAC5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9" w15:restartNumberingAfterBreak="0">
    <w:nsid w:val="5B5813FF"/>
    <w:multiLevelType w:val="hybridMultilevel"/>
    <w:tmpl w:val="B6AC93E8"/>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65733439"/>
    <w:multiLevelType w:val="hybridMultilevel"/>
    <w:tmpl w:val="64E2C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EC474B"/>
    <w:multiLevelType w:val="hybridMultilevel"/>
    <w:tmpl w:val="9AE0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37D8A"/>
    <w:multiLevelType w:val="hybridMultilevel"/>
    <w:tmpl w:val="BCFEE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7814146">
    <w:abstractNumId w:val="10"/>
  </w:num>
  <w:num w:numId="2" w16cid:durableId="1418668724">
    <w:abstractNumId w:val="25"/>
  </w:num>
  <w:num w:numId="3" w16cid:durableId="45957311">
    <w:abstractNumId w:val="13"/>
  </w:num>
  <w:num w:numId="4" w16cid:durableId="39206750">
    <w:abstractNumId w:val="0"/>
  </w:num>
  <w:num w:numId="5" w16cid:durableId="2062633637">
    <w:abstractNumId w:val="12"/>
  </w:num>
  <w:num w:numId="6" w16cid:durableId="805466916">
    <w:abstractNumId w:val="23"/>
  </w:num>
  <w:num w:numId="7" w16cid:durableId="30613890">
    <w:abstractNumId w:val="22"/>
  </w:num>
  <w:num w:numId="8" w16cid:durableId="880479436">
    <w:abstractNumId w:val="18"/>
  </w:num>
  <w:num w:numId="9" w16cid:durableId="1766681622">
    <w:abstractNumId w:val="24"/>
  </w:num>
  <w:num w:numId="10" w16cid:durableId="31542126">
    <w:abstractNumId w:val="3"/>
  </w:num>
  <w:num w:numId="11" w16cid:durableId="429399513">
    <w:abstractNumId w:val="9"/>
  </w:num>
  <w:num w:numId="12" w16cid:durableId="1936668905">
    <w:abstractNumId w:val="8"/>
  </w:num>
  <w:num w:numId="13" w16cid:durableId="930164697">
    <w:abstractNumId w:val="8"/>
  </w:num>
  <w:num w:numId="14" w16cid:durableId="211844531">
    <w:abstractNumId w:val="14"/>
  </w:num>
  <w:num w:numId="15" w16cid:durableId="1282540719">
    <w:abstractNumId w:val="19"/>
  </w:num>
  <w:num w:numId="16" w16cid:durableId="1027177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650176">
    <w:abstractNumId w:val="26"/>
  </w:num>
  <w:num w:numId="18" w16cid:durableId="1185945357">
    <w:abstractNumId w:val="5"/>
  </w:num>
  <w:num w:numId="19" w16cid:durableId="433479606">
    <w:abstractNumId w:val="21"/>
  </w:num>
  <w:num w:numId="20" w16cid:durableId="95251326">
    <w:abstractNumId w:val="16"/>
  </w:num>
  <w:num w:numId="21" w16cid:durableId="799689349">
    <w:abstractNumId w:val="20"/>
  </w:num>
  <w:num w:numId="22" w16cid:durableId="738946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48911">
    <w:abstractNumId w:val="2"/>
  </w:num>
  <w:num w:numId="24" w16cid:durableId="1517504290">
    <w:abstractNumId w:val="5"/>
  </w:num>
  <w:num w:numId="25" w16cid:durableId="2017683908">
    <w:abstractNumId w:val="15"/>
  </w:num>
  <w:num w:numId="26" w16cid:durableId="1546798148">
    <w:abstractNumId w:val="7"/>
  </w:num>
  <w:num w:numId="27" w16cid:durableId="1888684793">
    <w:abstractNumId w:val="11"/>
  </w:num>
  <w:num w:numId="28" w16cid:durableId="1590233264">
    <w:abstractNumId w:val="4"/>
  </w:num>
  <w:num w:numId="29" w16cid:durableId="843477405">
    <w:abstractNumId w:val="4"/>
  </w:num>
  <w:num w:numId="30" w16cid:durableId="318850805">
    <w:abstractNumId w:val="1"/>
  </w:num>
  <w:num w:numId="31" w16cid:durableId="63599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FB"/>
    <w:rsid w:val="00001E37"/>
    <w:rsid w:val="00002995"/>
    <w:rsid w:val="000032D3"/>
    <w:rsid w:val="000052C6"/>
    <w:rsid w:val="0001335A"/>
    <w:rsid w:val="00013C71"/>
    <w:rsid w:val="000149CD"/>
    <w:rsid w:val="00017F98"/>
    <w:rsid w:val="0002025C"/>
    <w:rsid w:val="00030D3C"/>
    <w:rsid w:val="0004072B"/>
    <w:rsid w:val="0004134D"/>
    <w:rsid w:val="00050E72"/>
    <w:rsid w:val="00050EBF"/>
    <w:rsid w:val="00051814"/>
    <w:rsid w:val="0005350F"/>
    <w:rsid w:val="00053A0E"/>
    <w:rsid w:val="00055CD8"/>
    <w:rsid w:val="00056AC2"/>
    <w:rsid w:val="000575AD"/>
    <w:rsid w:val="0006264E"/>
    <w:rsid w:val="000713D5"/>
    <w:rsid w:val="000715BD"/>
    <w:rsid w:val="00072F84"/>
    <w:rsid w:val="00073210"/>
    <w:rsid w:val="0007453E"/>
    <w:rsid w:val="0008140A"/>
    <w:rsid w:val="00082A42"/>
    <w:rsid w:val="00084A16"/>
    <w:rsid w:val="00085AD2"/>
    <w:rsid w:val="000870E3"/>
    <w:rsid w:val="00090867"/>
    <w:rsid w:val="00094502"/>
    <w:rsid w:val="0009461D"/>
    <w:rsid w:val="00096859"/>
    <w:rsid w:val="00096F71"/>
    <w:rsid w:val="000A0438"/>
    <w:rsid w:val="000A3CBF"/>
    <w:rsid w:val="000A3FBE"/>
    <w:rsid w:val="000B0C0D"/>
    <w:rsid w:val="000B0E78"/>
    <w:rsid w:val="000B26D6"/>
    <w:rsid w:val="000B2945"/>
    <w:rsid w:val="000B2C68"/>
    <w:rsid w:val="000B3339"/>
    <w:rsid w:val="000B4E40"/>
    <w:rsid w:val="000B6F79"/>
    <w:rsid w:val="000B7BD7"/>
    <w:rsid w:val="000C0041"/>
    <w:rsid w:val="000C150F"/>
    <w:rsid w:val="000C1770"/>
    <w:rsid w:val="000C3338"/>
    <w:rsid w:val="000C4394"/>
    <w:rsid w:val="000C4F04"/>
    <w:rsid w:val="000C7B25"/>
    <w:rsid w:val="000D6244"/>
    <w:rsid w:val="000D747F"/>
    <w:rsid w:val="000E32C5"/>
    <w:rsid w:val="000E3671"/>
    <w:rsid w:val="000E40B2"/>
    <w:rsid w:val="000E4462"/>
    <w:rsid w:val="000E4EB5"/>
    <w:rsid w:val="000E5E3A"/>
    <w:rsid w:val="000F29DC"/>
    <w:rsid w:val="000F79F6"/>
    <w:rsid w:val="001043D5"/>
    <w:rsid w:val="00105FCB"/>
    <w:rsid w:val="001138A5"/>
    <w:rsid w:val="00117085"/>
    <w:rsid w:val="00117389"/>
    <w:rsid w:val="00120368"/>
    <w:rsid w:val="00121858"/>
    <w:rsid w:val="00123000"/>
    <w:rsid w:val="00123C55"/>
    <w:rsid w:val="001249C3"/>
    <w:rsid w:val="00124A9C"/>
    <w:rsid w:val="00126612"/>
    <w:rsid w:val="00130BDB"/>
    <w:rsid w:val="00130EB8"/>
    <w:rsid w:val="00131ECC"/>
    <w:rsid w:val="00133A84"/>
    <w:rsid w:val="00134508"/>
    <w:rsid w:val="00134D0A"/>
    <w:rsid w:val="00134D16"/>
    <w:rsid w:val="00134F31"/>
    <w:rsid w:val="00135DEE"/>
    <w:rsid w:val="00145150"/>
    <w:rsid w:val="0014572C"/>
    <w:rsid w:val="0014603F"/>
    <w:rsid w:val="0014700A"/>
    <w:rsid w:val="00147438"/>
    <w:rsid w:val="001531C5"/>
    <w:rsid w:val="001549F4"/>
    <w:rsid w:val="00154E2E"/>
    <w:rsid w:val="0015664C"/>
    <w:rsid w:val="00160E2C"/>
    <w:rsid w:val="001616DC"/>
    <w:rsid w:val="0016324A"/>
    <w:rsid w:val="00164F4F"/>
    <w:rsid w:val="00165A4E"/>
    <w:rsid w:val="00165B8B"/>
    <w:rsid w:val="0017273F"/>
    <w:rsid w:val="00173EED"/>
    <w:rsid w:val="00175559"/>
    <w:rsid w:val="00176210"/>
    <w:rsid w:val="001800DC"/>
    <w:rsid w:val="001824FB"/>
    <w:rsid w:val="00184521"/>
    <w:rsid w:val="00192D67"/>
    <w:rsid w:val="001956A7"/>
    <w:rsid w:val="00195E57"/>
    <w:rsid w:val="001A085A"/>
    <w:rsid w:val="001A0B74"/>
    <w:rsid w:val="001A456B"/>
    <w:rsid w:val="001A65AA"/>
    <w:rsid w:val="001A7F4D"/>
    <w:rsid w:val="001B0C43"/>
    <w:rsid w:val="001B5A20"/>
    <w:rsid w:val="001B7EF4"/>
    <w:rsid w:val="001C3DB8"/>
    <w:rsid w:val="001C53E6"/>
    <w:rsid w:val="001E22A1"/>
    <w:rsid w:val="001E5965"/>
    <w:rsid w:val="001F4322"/>
    <w:rsid w:val="00200CB7"/>
    <w:rsid w:val="0021074A"/>
    <w:rsid w:val="00216018"/>
    <w:rsid w:val="00221DAF"/>
    <w:rsid w:val="002223AE"/>
    <w:rsid w:val="00226086"/>
    <w:rsid w:val="00226114"/>
    <w:rsid w:val="002324E6"/>
    <w:rsid w:val="00234894"/>
    <w:rsid w:val="00234A17"/>
    <w:rsid w:val="00237653"/>
    <w:rsid w:val="00250FC3"/>
    <w:rsid w:val="002517F3"/>
    <w:rsid w:val="00254CA6"/>
    <w:rsid w:val="002551DD"/>
    <w:rsid w:val="00271D6D"/>
    <w:rsid w:val="0028239D"/>
    <w:rsid w:val="0028356A"/>
    <w:rsid w:val="00283FB1"/>
    <w:rsid w:val="00284A14"/>
    <w:rsid w:val="002850C0"/>
    <w:rsid w:val="002901CC"/>
    <w:rsid w:val="00293D87"/>
    <w:rsid w:val="0029512B"/>
    <w:rsid w:val="00296645"/>
    <w:rsid w:val="002A086F"/>
    <w:rsid w:val="002A69D1"/>
    <w:rsid w:val="002B2718"/>
    <w:rsid w:val="002C3830"/>
    <w:rsid w:val="002D1B14"/>
    <w:rsid w:val="002D221C"/>
    <w:rsid w:val="002D7E79"/>
    <w:rsid w:val="002E14B7"/>
    <w:rsid w:val="002E4EB8"/>
    <w:rsid w:val="002F5FB6"/>
    <w:rsid w:val="002F73FA"/>
    <w:rsid w:val="00301333"/>
    <w:rsid w:val="003028BD"/>
    <w:rsid w:val="00304195"/>
    <w:rsid w:val="00304616"/>
    <w:rsid w:val="0030544B"/>
    <w:rsid w:val="00312176"/>
    <w:rsid w:val="00312C03"/>
    <w:rsid w:val="00313388"/>
    <w:rsid w:val="0031706E"/>
    <w:rsid w:val="00321BEF"/>
    <w:rsid w:val="00321EA1"/>
    <w:rsid w:val="003224DD"/>
    <w:rsid w:val="00330DFC"/>
    <w:rsid w:val="0033320F"/>
    <w:rsid w:val="00334265"/>
    <w:rsid w:val="003351EF"/>
    <w:rsid w:val="0033555E"/>
    <w:rsid w:val="00335C63"/>
    <w:rsid w:val="00341C7D"/>
    <w:rsid w:val="00342859"/>
    <w:rsid w:val="00343CA2"/>
    <w:rsid w:val="003450A7"/>
    <w:rsid w:val="00345FFD"/>
    <w:rsid w:val="003463A6"/>
    <w:rsid w:val="003474F4"/>
    <w:rsid w:val="00353FAC"/>
    <w:rsid w:val="003551BE"/>
    <w:rsid w:val="003661A5"/>
    <w:rsid w:val="00370BDA"/>
    <w:rsid w:val="00376103"/>
    <w:rsid w:val="003913DE"/>
    <w:rsid w:val="00392836"/>
    <w:rsid w:val="00394C08"/>
    <w:rsid w:val="00395575"/>
    <w:rsid w:val="00396C06"/>
    <w:rsid w:val="003A05D4"/>
    <w:rsid w:val="003A227A"/>
    <w:rsid w:val="003A3AF7"/>
    <w:rsid w:val="003A71F2"/>
    <w:rsid w:val="003A795D"/>
    <w:rsid w:val="003B1B37"/>
    <w:rsid w:val="003B24ED"/>
    <w:rsid w:val="003B6AA0"/>
    <w:rsid w:val="003B7397"/>
    <w:rsid w:val="003C07D0"/>
    <w:rsid w:val="003C468C"/>
    <w:rsid w:val="003D005E"/>
    <w:rsid w:val="003D0345"/>
    <w:rsid w:val="003D1DA9"/>
    <w:rsid w:val="003D342E"/>
    <w:rsid w:val="003D3704"/>
    <w:rsid w:val="003D70B2"/>
    <w:rsid w:val="003E129C"/>
    <w:rsid w:val="003E19DE"/>
    <w:rsid w:val="003E3660"/>
    <w:rsid w:val="003E45E6"/>
    <w:rsid w:val="003F0A95"/>
    <w:rsid w:val="003F34C6"/>
    <w:rsid w:val="003F5746"/>
    <w:rsid w:val="00400536"/>
    <w:rsid w:val="00400B19"/>
    <w:rsid w:val="00401633"/>
    <w:rsid w:val="004054E0"/>
    <w:rsid w:val="00406054"/>
    <w:rsid w:val="004074D6"/>
    <w:rsid w:val="00410E70"/>
    <w:rsid w:val="00410E96"/>
    <w:rsid w:val="00411B63"/>
    <w:rsid w:val="00412571"/>
    <w:rsid w:val="00413F96"/>
    <w:rsid w:val="00415A4E"/>
    <w:rsid w:val="004206E4"/>
    <w:rsid w:val="00424ECA"/>
    <w:rsid w:val="00426FAC"/>
    <w:rsid w:val="00427F31"/>
    <w:rsid w:val="00430C13"/>
    <w:rsid w:val="004329C6"/>
    <w:rsid w:val="004338C1"/>
    <w:rsid w:val="00434909"/>
    <w:rsid w:val="00435A16"/>
    <w:rsid w:val="0043787F"/>
    <w:rsid w:val="00445728"/>
    <w:rsid w:val="00450412"/>
    <w:rsid w:val="00452F25"/>
    <w:rsid w:val="00454C51"/>
    <w:rsid w:val="004552E3"/>
    <w:rsid w:val="00455F8B"/>
    <w:rsid w:val="00460E52"/>
    <w:rsid w:val="004651A6"/>
    <w:rsid w:val="004673C0"/>
    <w:rsid w:val="00467531"/>
    <w:rsid w:val="004701AF"/>
    <w:rsid w:val="00475D53"/>
    <w:rsid w:val="00477AD5"/>
    <w:rsid w:val="00480DD8"/>
    <w:rsid w:val="00481032"/>
    <w:rsid w:val="00481D2E"/>
    <w:rsid w:val="00482319"/>
    <w:rsid w:val="00482550"/>
    <w:rsid w:val="00483419"/>
    <w:rsid w:val="00483692"/>
    <w:rsid w:val="0049154D"/>
    <w:rsid w:val="00494294"/>
    <w:rsid w:val="004A54BD"/>
    <w:rsid w:val="004A5F94"/>
    <w:rsid w:val="004A6C2B"/>
    <w:rsid w:val="004B04C1"/>
    <w:rsid w:val="004B17A6"/>
    <w:rsid w:val="004B216C"/>
    <w:rsid w:val="004B4869"/>
    <w:rsid w:val="004C2C41"/>
    <w:rsid w:val="004C3BCD"/>
    <w:rsid w:val="004C514A"/>
    <w:rsid w:val="004C5B3B"/>
    <w:rsid w:val="004D0964"/>
    <w:rsid w:val="004D3301"/>
    <w:rsid w:val="004D5E4B"/>
    <w:rsid w:val="004E15BB"/>
    <w:rsid w:val="004F146A"/>
    <w:rsid w:val="004F24BC"/>
    <w:rsid w:val="004F3ABE"/>
    <w:rsid w:val="00502E53"/>
    <w:rsid w:val="00503272"/>
    <w:rsid w:val="005049B5"/>
    <w:rsid w:val="0050689A"/>
    <w:rsid w:val="0051086C"/>
    <w:rsid w:val="00510964"/>
    <w:rsid w:val="005133F7"/>
    <w:rsid w:val="00515FB2"/>
    <w:rsid w:val="0052113E"/>
    <w:rsid w:val="0052381A"/>
    <w:rsid w:val="005322E6"/>
    <w:rsid w:val="00532C35"/>
    <w:rsid w:val="00534C2B"/>
    <w:rsid w:val="00534FC6"/>
    <w:rsid w:val="005354F6"/>
    <w:rsid w:val="00536370"/>
    <w:rsid w:val="00537F73"/>
    <w:rsid w:val="00541CB9"/>
    <w:rsid w:val="00550129"/>
    <w:rsid w:val="00550BFC"/>
    <w:rsid w:val="00551174"/>
    <w:rsid w:val="0055181B"/>
    <w:rsid w:val="00560DCE"/>
    <w:rsid w:val="00561941"/>
    <w:rsid w:val="00562F2F"/>
    <w:rsid w:val="0057401D"/>
    <w:rsid w:val="0058299B"/>
    <w:rsid w:val="00584D67"/>
    <w:rsid w:val="005852DF"/>
    <w:rsid w:val="00587089"/>
    <w:rsid w:val="005876BA"/>
    <w:rsid w:val="005955AC"/>
    <w:rsid w:val="005A1570"/>
    <w:rsid w:val="005A1AF1"/>
    <w:rsid w:val="005A28C7"/>
    <w:rsid w:val="005A28E2"/>
    <w:rsid w:val="005A4019"/>
    <w:rsid w:val="005A43A8"/>
    <w:rsid w:val="005A4C6E"/>
    <w:rsid w:val="005A5A87"/>
    <w:rsid w:val="005B4251"/>
    <w:rsid w:val="005B6F4F"/>
    <w:rsid w:val="005C0AB9"/>
    <w:rsid w:val="005C1B8A"/>
    <w:rsid w:val="005C4BE8"/>
    <w:rsid w:val="005D4F30"/>
    <w:rsid w:val="005D5144"/>
    <w:rsid w:val="005D5D5C"/>
    <w:rsid w:val="005D61C2"/>
    <w:rsid w:val="005E1AD5"/>
    <w:rsid w:val="005F3D94"/>
    <w:rsid w:val="005F6394"/>
    <w:rsid w:val="005F6590"/>
    <w:rsid w:val="00600855"/>
    <w:rsid w:val="00601220"/>
    <w:rsid w:val="006032DF"/>
    <w:rsid w:val="00603B6A"/>
    <w:rsid w:val="00612B16"/>
    <w:rsid w:val="006141FC"/>
    <w:rsid w:val="00615759"/>
    <w:rsid w:val="00617A97"/>
    <w:rsid w:val="0062114C"/>
    <w:rsid w:val="00630339"/>
    <w:rsid w:val="006350F7"/>
    <w:rsid w:val="00635677"/>
    <w:rsid w:val="0064054F"/>
    <w:rsid w:val="00640FA0"/>
    <w:rsid w:val="00641EC7"/>
    <w:rsid w:val="00646439"/>
    <w:rsid w:val="006468B2"/>
    <w:rsid w:val="00647BFF"/>
    <w:rsid w:val="0065003B"/>
    <w:rsid w:val="0065106C"/>
    <w:rsid w:val="00651A5A"/>
    <w:rsid w:val="00660C3E"/>
    <w:rsid w:val="00663AF3"/>
    <w:rsid w:val="0067074E"/>
    <w:rsid w:val="00670899"/>
    <w:rsid w:val="00674BB2"/>
    <w:rsid w:val="0067589C"/>
    <w:rsid w:val="00677593"/>
    <w:rsid w:val="006832E0"/>
    <w:rsid w:val="006837F7"/>
    <w:rsid w:val="0068407B"/>
    <w:rsid w:val="00684D9D"/>
    <w:rsid w:val="00695CC5"/>
    <w:rsid w:val="00696435"/>
    <w:rsid w:val="006A2174"/>
    <w:rsid w:val="006A3119"/>
    <w:rsid w:val="006A46BA"/>
    <w:rsid w:val="006A4EDF"/>
    <w:rsid w:val="006B1C36"/>
    <w:rsid w:val="006B4CB5"/>
    <w:rsid w:val="006B5A49"/>
    <w:rsid w:val="006B60AD"/>
    <w:rsid w:val="006C3639"/>
    <w:rsid w:val="006C44E5"/>
    <w:rsid w:val="006C6155"/>
    <w:rsid w:val="006D08AD"/>
    <w:rsid w:val="006D1F4F"/>
    <w:rsid w:val="006D67B7"/>
    <w:rsid w:val="006E00EE"/>
    <w:rsid w:val="006E4EF2"/>
    <w:rsid w:val="006E4EFF"/>
    <w:rsid w:val="006F1199"/>
    <w:rsid w:val="006F254A"/>
    <w:rsid w:val="006F295E"/>
    <w:rsid w:val="006F3532"/>
    <w:rsid w:val="006F611F"/>
    <w:rsid w:val="007036BB"/>
    <w:rsid w:val="00706047"/>
    <w:rsid w:val="0070722D"/>
    <w:rsid w:val="00711557"/>
    <w:rsid w:val="007133E6"/>
    <w:rsid w:val="00713C0F"/>
    <w:rsid w:val="00714535"/>
    <w:rsid w:val="007145FC"/>
    <w:rsid w:val="0071651E"/>
    <w:rsid w:val="007265F5"/>
    <w:rsid w:val="00730A3F"/>
    <w:rsid w:val="00731E6C"/>
    <w:rsid w:val="00733734"/>
    <w:rsid w:val="00734C0E"/>
    <w:rsid w:val="0073535C"/>
    <w:rsid w:val="00735474"/>
    <w:rsid w:val="00735BB9"/>
    <w:rsid w:val="007377EA"/>
    <w:rsid w:val="00742DEE"/>
    <w:rsid w:val="00744A67"/>
    <w:rsid w:val="00745912"/>
    <w:rsid w:val="00750516"/>
    <w:rsid w:val="00753121"/>
    <w:rsid w:val="00756021"/>
    <w:rsid w:val="00756AC8"/>
    <w:rsid w:val="00757FA9"/>
    <w:rsid w:val="00761B8D"/>
    <w:rsid w:val="00764DC7"/>
    <w:rsid w:val="00766FFB"/>
    <w:rsid w:val="0077287D"/>
    <w:rsid w:val="0077457B"/>
    <w:rsid w:val="00777461"/>
    <w:rsid w:val="00783581"/>
    <w:rsid w:val="00784A70"/>
    <w:rsid w:val="007904F5"/>
    <w:rsid w:val="00796182"/>
    <w:rsid w:val="00796587"/>
    <w:rsid w:val="00796E1C"/>
    <w:rsid w:val="0079751E"/>
    <w:rsid w:val="007A44F5"/>
    <w:rsid w:val="007A510F"/>
    <w:rsid w:val="007A62F1"/>
    <w:rsid w:val="007A7385"/>
    <w:rsid w:val="007B29AF"/>
    <w:rsid w:val="007B2B0F"/>
    <w:rsid w:val="007B4A0E"/>
    <w:rsid w:val="007B613B"/>
    <w:rsid w:val="007B6C50"/>
    <w:rsid w:val="007B7021"/>
    <w:rsid w:val="007B761D"/>
    <w:rsid w:val="007C105B"/>
    <w:rsid w:val="007C196F"/>
    <w:rsid w:val="007C3282"/>
    <w:rsid w:val="007C4C55"/>
    <w:rsid w:val="007C6055"/>
    <w:rsid w:val="007C6849"/>
    <w:rsid w:val="007D470C"/>
    <w:rsid w:val="007E3DEA"/>
    <w:rsid w:val="007F08F2"/>
    <w:rsid w:val="007F171A"/>
    <w:rsid w:val="007F1791"/>
    <w:rsid w:val="007F17C0"/>
    <w:rsid w:val="007F2D37"/>
    <w:rsid w:val="007F3309"/>
    <w:rsid w:val="007F449F"/>
    <w:rsid w:val="007F7246"/>
    <w:rsid w:val="007F73EC"/>
    <w:rsid w:val="00800E52"/>
    <w:rsid w:val="00800F78"/>
    <w:rsid w:val="008013EA"/>
    <w:rsid w:val="00810064"/>
    <w:rsid w:val="00811C46"/>
    <w:rsid w:val="00811CC8"/>
    <w:rsid w:val="00813A87"/>
    <w:rsid w:val="008167D6"/>
    <w:rsid w:val="0081787C"/>
    <w:rsid w:val="008202B7"/>
    <w:rsid w:val="0082434C"/>
    <w:rsid w:val="0082756F"/>
    <w:rsid w:val="0082778D"/>
    <w:rsid w:val="00832564"/>
    <w:rsid w:val="00835888"/>
    <w:rsid w:val="0083634E"/>
    <w:rsid w:val="00836A48"/>
    <w:rsid w:val="00845D6B"/>
    <w:rsid w:val="00847B36"/>
    <w:rsid w:val="00847D29"/>
    <w:rsid w:val="00851DF9"/>
    <w:rsid w:val="00863ABB"/>
    <w:rsid w:val="00865EB7"/>
    <w:rsid w:val="00873829"/>
    <w:rsid w:val="00873A77"/>
    <w:rsid w:val="0087413D"/>
    <w:rsid w:val="008742C8"/>
    <w:rsid w:val="00874DDA"/>
    <w:rsid w:val="00880D82"/>
    <w:rsid w:val="00880E74"/>
    <w:rsid w:val="00884060"/>
    <w:rsid w:val="00890710"/>
    <w:rsid w:val="008910D4"/>
    <w:rsid w:val="00891287"/>
    <w:rsid w:val="00891423"/>
    <w:rsid w:val="00894609"/>
    <w:rsid w:val="00897207"/>
    <w:rsid w:val="008A0A7D"/>
    <w:rsid w:val="008A4DBE"/>
    <w:rsid w:val="008A6C86"/>
    <w:rsid w:val="008A7BDD"/>
    <w:rsid w:val="008B01C7"/>
    <w:rsid w:val="008B2097"/>
    <w:rsid w:val="008B2633"/>
    <w:rsid w:val="008B2726"/>
    <w:rsid w:val="008B427D"/>
    <w:rsid w:val="008C0442"/>
    <w:rsid w:val="008C44B8"/>
    <w:rsid w:val="008D201B"/>
    <w:rsid w:val="008E0BA8"/>
    <w:rsid w:val="008E3250"/>
    <w:rsid w:val="008E6297"/>
    <w:rsid w:val="008F08E0"/>
    <w:rsid w:val="008F0A45"/>
    <w:rsid w:val="008F0CF3"/>
    <w:rsid w:val="008F1CC2"/>
    <w:rsid w:val="008F32E8"/>
    <w:rsid w:val="008F3A78"/>
    <w:rsid w:val="008F3CED"/>
    <w:rsid w:val="008F3D53"/>
    <w:rsid w:val="008F79C4"/>
    <w:rsid w:val="00904B58"/>
    <w:rsid w:val="009062F6"/>
    <w:rsid w:val="0091041C"/>
    <w:rsid w:val="00913130"/>
    <w:rsid w:val="009136CE"/>
    <w:rsid w:val="00913A44"/>
    <w:rsid w:val="009150A4"/>
    <w:rsid w:val="00920939"/>
    <w:rsid w:val="00921615"/>
    <w:rsid w:val="00926E68"/>
    <w:rsid w:val="00932851"/>
    <w:rsid w:val="00933397"/>
    <w:rsid w:val="009401E9"/>
    <w:rsid w:val="0094122D"/>
    <w:rsid w:val="009415F6"/>
    <w:rsid w:val="0094287F"/>
    <w:rsid w:val="00947EB2"/>
    <w:rsid w:val="00952411"/>
    <w:rsid w:val="00953E7D"/>
    <w:rsid w:val="00954617"/>
    <w:rsid w:val="00955D4E"/>
    <w:rsid w:val="00956913"/>
    <w:rsid w:val="00963199"/>
    <w:rsid w:val="00965416"/>
    <w:rsid w:val="009660C5"/>
    <w:rsid w:val="00967B2F"/>
    <w:rsid w:val="00971E6D"/>
    <w:rsid w:val="009720E0"/>
    <w:rsid w:val="009723EB"/>
    <w:rsid w:val="0097285E"/>
    <w:rsid w:val="00974C33"/>
    <w:rsid w:val="00977C62"/>
    <w:rsid w:val="0098065D"/>
    <w:rsid w:val="00981800"/>
    <w:rsid w:val="00984584"/>
    <w:rsid w:val="00987AB3"/>
    <w:rsid w:val="00993B9A"/>
    <w:rsid w:val="00994EE0"/>
    <w:rsid w:val="009A4098"/>
    <w:rsid w:val="009B1AD5"/>
    <w:rsid w:val="009B4F0A"/>
    <w:rsid w:val="009C7ED8"/>
    <w:rsid w:val="009D15CA"/>
    <w:rsid w:val="009E097C"/>
    <w:rsid w:val="009E2E65"/>
    <w:rsid w:val="009E4C24"/>
    <w:rsid w:val="009E5E74"/>
    <w:rsid w:val="009E7FC5"/>
    <w:rsid w:val="009F1880"/>
    <w:rsid w:val="009F3B29"/>
    <w:rsid w:val="009F5A43"/>
    <w:rsid w:val="009F67EA"/>
    <w:rsid w:val="009F6CCC"/>
    <w:rsid w:val="00A00BF8"/>
    <w:rsid w:val="00A053F4"/>
    <w:rsid w:val="00A206DA"/>
    <w:rsid w:val="00A213EA"/>
    <w:rsid w:val="00A221B3"/>
    <w:rsid w:val="00A25EBB"/>
    <w:rsid w:val="00A31063"/>
    <w:rsid w:val="00A32E05"/>
    <w:rsid w:val="00A33D56"/>
    <w:rsid w:val="00A34B12"/>
    <w:rsid w:val="00A42764"/>
    <w:rsid w:val="00A4590B"/>
    <w:rsid w:val="00A45A04"/>
    <w:rsid w:val="00A461D7"/>
    <w:rsid w:val="00A466B6"/>
    <w:rsid w:val="00A50877"/>
    <w:rsid w:val="00A5105A"/>
    <w:rsid w:val="00A538EC"/>
    <w:rsid w:val="00A53C77"/>
    <w:rsid w:val="00A55FDD"/>
    <w:rsid w:val="00A56AF8"/>
    <w:rsid w:val="00A62741"/>
    <w:rsid w:val="00A62F9D"/>
    <w:rsid w:val="00A646F1"/>
    <w:rsid w:val="00A648E4"/>
    <w:rsid w:val="00A667C4"/>
    <w:rsid w:val="00A70F11"/>
    <w:rsid w:val="00A75115"/>
    <w:rsid w:val="00A758FE"/>
    <w:rsid w:val="00A77BC7"/>
    <w:rsid w:val="00A81F96"/>
    <w:rsid w:val="00A845DD"/>
    <w:rsid w:val="00A86793"/>
    <w:rsid w:val="00A908F4"/>
    <w:rsid w:val="00A91CF7"/>
    <w:rsid w:val="00A94213"/>
    <w:rsid w:val="00A94414"/>
    <w:rsid w:val="00A95427"/>
    <w:rsid w:val="00A9573E"/>
    <w:rsid w:val="00A9767A"/>
    <w:rsid w:val="00AA058D"/>
    <w:rsid w:val="00AA3112"/>
    <w:rsid w:val="00AA3230"/>
    <w:rsid w:val="00AA3A5E"/>
    <w:rsid w:val="00AA45BC"/>
    <w:rsid w:val="00AB0453"/>
    <w:rsid w:val="00AB61BB"/>
    <w:rsid w:val="00AC19B1"/>
    <w:rsid w:val="00AC2EEB"/>
    <w:rsid w:val="00AC5F6A"/>
    <w:rsid w:val="00AD1B6F"/>
    <w:rsid w:val="00AD25AF"/>
    <w:rsid w:val="00AD2853"/>
    <w:rsid w:val="00AD5483"/>
    <w:rsid w:val="00AE0C99"/>
    <w:rsid w:val="00AF0F31"/>
    <w:rsid w:val="00B048A7"/>
    <w:rsid w:val="00B06577"/>
    <w:rsid w:val="00B07ECD"/>
    <w:rsid w:val="00B10E73"/>
    <w:rsid w:val="00B129AC"/>
    <w:rsid w:val="00B15E6D"/>
    <w:rsid w:val="00B17341"/>
    <w:rsid w:val="00B2162D"/>
    <w:rsid w:val="00B26A52"/>
    <w:rsid w:val="00B31C93"/>
    <w:rsid w:val="00B3260F"/>
    <w:rsid w:val="00B365DD"/>
    <w:rsid w:val="00B36E2B"/>
    <w:rsid w:val="00B376B8"/>
    <w:rsid w:val="00B43332"/>
    <w:rsid w:val="00B47EA6"/>
    <w:rsid w:val="00B50DA9"/>
    <w:rsid w:val="00B51DD4"/>
    <w:rsid w:val="00B525F1"/>
    <w:rsid w:val="00B54411"/>
    <w:rsid w:val="00B56A88"/>
    <w:rsid w:val="00B614B5"/>
    <w:rsid w:val="00B62BC2"/>
    <w:rsid w:val="00B67836"/>
    <w:rsid w:val="00B70063"/>
    <w:rsid w:val="00B81B18"/>
    <w:rsid w:val="00B82AF9"/>
    <w:rsid w:val="00B831B2"/>
    <w:rsid w:val="00B8448B"/>
    <w:rsid w:val="00B872AB"/>
    <w:rsid w:val="00B90932"/>
    <w:rsid w:val="00B93ECD"/>
    <w:rsid w:val="00BA2423"/>
    <w:rsid w:val="00BA7A2C"/>
    <w:rsid w:val="00BB0088"/>
    <w:rsid w:val="00BB00AA"/>
    <w:rsid w:val="00BB0E7C"/>
    <w:rsid w:val="00BB3CD0"/>
    <w:rsid w:val="00BB407D"/>
    <w:rsid w:val="00BC0EAF"/>
    <w:rsid w:val="00BC4816"/>
    <w:rsid w:val="00BC69EE"/>
    <w:rsid w:val="00BC7F89"/>
    <w:rsid w:val="00BD0891"/>
    <w:rsid w:val="00BD0FF9"/>
    <w:rsid w:val="00BD2C94"/>
    <w:rsid w:val="00BD43DB"/>
    <w:rsid w:val="00BE3363"/>
    <w:rsid w:val="00BE6190"/>
    <w:rsid w:val="00BE7612"/>
    <w:rsid w:val="00BE7D2F"/>
    <w:rsid w:val="00BE7DC2"/>
    <w:rsid w:val="00BF4199"/>
    <w:rsid w:val="00BF4A41"/>
    <w:rsid w:val="00BF5F0A"/>
    <w:rsid w:val="00C0030D"/>
    <w:rsid w:val="00C026C1"/>
    <w:rsid w:val="00C108CD"/>
    <w:rsid w:val="00C113D1"/>
    <w:rsid w:val="00C12219"/>
    <w:rsid w:val="00C13CE9"/>
    <w:rsid w:val="00C22D20"/>
    <w:rsid w:val="00C24096"/>
    <w:rsid w:val="00C25583"/>
    <w:rsid w:val="00C266C4"/>
    <w:rsid w:val="00C35947"/>
    <w:rsid w:val="00C37AFE"/>
    <w:rsid w:val="00C40D2A"/>
    <w:rsid w:val="00C40F1E"/>
    <w:rsid w:val="00C42155"/>
    <w:rsid w:val="00C43958"/>
    <w:rsid w:val="00C44C5E"/>
    <w:rsid w:val="00C44EB2"/>
    <w:rsid w:val="00C451CE"/>
    <w:rsid w:val="00C617C2"/>
    <w:rsid w:val="00C62BE8"/>
    <w:rsid w:val="00C62CB3"/>
    <w:rsid w:val="00C6493E"/>
    <w:rsid w:val="00C65D3F"/>
    <w:rsid w:val="00C677D8"/>
    <w:rsid w:val="00C679F8"/>
    <w:rsid w:val="00C73F9F"/>
    <w:rsid w:val="00C7534D"/>
    <w:rsid w:val="00C75A1C"/>
    <w:rsid w:val="00C76D29"/>
    <w:rsid w:val="00C776C5"/>
    <w:rsid w:val="00C87250"/>
    <w:rsid w:val="00C91DB9"/>
    <w:rsid w:val="00C94B36"/>
    <w:rsid w:val="00C961FD"/>
    <w:rsid w:val="00C9717C"/>
    <w:rsid w:val="00C97EBE"/>
    <w:rsid w:val="00CA4420"/>
    <w:rsid w:val="00CA4DBB"/>
    <w:rsid w:val="00CB2C19"/>
    <w:rsid w:val="00CB3041"/>
    <w:rsid w:val="00CC1BE6"/>
    <w:rsid w:val="00CC2703"/>
    <w:rsid w:val="00CC2DD3"/>
    <w:rsid w:val="00CC3DDA"/>
    <w:rsid w:val="00CC46BB"/>
    <w:rsid w:val="00CC6DE1"/>
    <w:rsid w:val="00CD0A7A"/>
    <w:rsid w:val="00CD0F11"/>
    <w:rsid w:val="00CD1E8D"/>
    <w:rsid w:val="00CD26ED"/>
    <w:rsid w:val="00CD6A9A"/>
    <w:rsid w:val="00CE5958"/>
    <w:rsid w:val="00CE756D"/>
    <w:rsid w:val="00CE7F23"/>
    <w:rsid w:val="00CF323F"/>
    <w:rsid w:val="00CF326C"/>
    <w:rsid w:val="00CF388D"/>
    <w:rsid w:val="00CF5345"/>
    <w:rsid w:val="00D05DC2"/>
    <w:rsid w:val="00D06C74"/>
    <w:rsid w:val="00D16469"/>
    <w:rsid w:val="00D20B35"/>
    <w:rsid w:val="00D20BA7"/>
    <w:rsid w:val="00D21173"/>
    <w:rsid w:val="00D257D6"/>
    <w:rsid w:val="00D259E2"/>
    <w:rsid w:val="00D3061A"/>
    <w:rsid w:val="00D42E9A"/>
    <w:rsid w:val="00D43FE3"/>
    <w:rsid w:val="00D54033"/>
    <w:rsid w:val="00D56ABC"/>
    <w:rsid w:val="00D60C82"/>
    <w:rsid w:val="00D658C1"/>
    <w:rsid w:val="00D66F35"/>
    <w:rsid w:val="00D670CC"/>
    <w:rsid w:val="00D671EE"/>
    <w:rsid w:val="00D741F0"/>
    <w:rsid w:val="00D7747E"/>
    <w:rsid w:val="00D80CD9"/>
    <w:rsid w:val="00D86671"/>
    <w:rsid w:val="00D9795E"/>
    <w:rsid w:val="00DA20F2"/>
    <w:rsid w:val="00DA57ED"/>
    <w:rsid w:val="00DA7189"/>
    <w:rsid w:val="00DB02B5"/>
    <w:rsid w:val="00DB059C"/>
    <w:rsid w:val="00DB29FF"/>
    <w:rsid w:val="00DB2CAE"/>
    <w:rsid w:val="00DB7987"/>
    <w:rsid w:val="00DC1FB2"/>
    <w:rsid w:val="00DC3180"/>
    <w:rsid w:val="00DC439F"/>
    <w:rsid w:val="00DC6611"/>
    <w:rsid w:val="00DC751A"/>
    <w:rsid w:val="00DD1B11"/>
    <w:rsid w:val="00DD3444"/>
    <w:rsid w:val="00DD79B3"/>
    <w:rsid w:val="00DD7DD9"/>
    <w:rsid w:val="00DE1F9E"/>
    <w:rsid w:val="00DE4417"/>
    <w:rsid w:val="00DF3697"/>
    <w:rsid w:val="00DF5F7A"/>
    <w:rsid w:val="00E00614"/>
    <w:rsid w:val="00E00E2B"/>
    <w:rsid w:val="00E02097"/>
    <w:rsid w:val="00E03873"/>
    <w:rsid w:val="00E03ABB"/>
    <w:rsid w:val="00E05BC8"/>
    <w:rsid w:val="00E121D1"/>
    <w:rsid w:val="00E12A39"/>
    <w:rsid w:val="00E15C2E"/>
    <w:rsid w:val="00E1769B"/>
    <w:rsid w:val="00E21508"/>
    <w:rsid w:val="00E22C95"/>
    <w:rsid w:val="00E23EEE"/>
    <w:rsid w:val="00E252AB"/>
    <w:rsid w:val="00E3103A"/>
    <w:rsid w:val="00E336C3"/>
    <w:rsid w:val="00E41040"/>
    <w:rsid w:val="00E411E9"/>
    <w:rsid w:val="00E42AE2"/>
    <w:rsid w:val="00E43C8F"/>
    <w:rsid w:val="00E5162A"/>
    <w:rsid w:val="00E5202D"/>
    <w:rsid w:val="00E53F92"/>
    <w:rsid w:val="00E54EBD"/>
    <w:rsid w:val="00E551E5"/>
    <w:rsid w:val="00E66BAA"/>
    <w:rsid w:val="00E678EF"/>
    <w:rsid w:val="00E70A0E"/>
    <w:rsid w:val="00E76665"/>
    <w:rsid w:val="00E81806"/>
    <w:rsid w:val="00E8399C"/>
    <w:rsid w:val="00E87C8C"/>
    <w:rsid w:val="00E916FE"/>
    <w:rsid w:val="00E93467"/>
    <w:rsid w:val="00E93B58"/>
    <w:rsid w:val="00E953A6"/>
    <w:rsid w:val="00E9620E"/>
    <w:rsid w:val="00EA13B3"/>
    <w:rsid w:val="00EA1975"/>
    <w:rsid w:val="00EA1E7E"/>
    <w:rsid w:val="00EA32CD"/>
    <w:rsid w:val="00EA4098"/>
    <w:rsid w:val="00EA5D84"/>
    <w:rsid w:val="00EA5E6D"/>
    <w:rsid w:val="00EA6B05"/>
    <w:rsid w:val="00EB2E8C"/>
    <w:rsid w:val="00EB7CA8"/>
    <w:rsid w:val="00EC2F8F"/>
    <w:rsid w:val="00EC420D"/>
    <w:rsid w:val="00EC46A9"/>
    <w:rsid w:val="00EC6828"/>
    <w:rsid w:val="00EC7A0D"/>
    <w:rsid w:val="00ED1C6F"/>
    <w:rsid w:val="00ED1D98"/>
    <w:rsid w:val="00ED4929"/>
    <w:rsid w:val="00ED49ED"/>
    <w:rsid w:val="00ED4A10"/>
    <w:rsid w:val="00ED53EB"/>
    <w:rsid w:val="00ED5F2B"/>
    <w:rsid w:val="00ED6023"/>
    <w:rsid w:val="00ED6560"/>
    <w:rsid w:val="00EE355C"/>
    <w:rsid w:val="00EE6FCD"/>
    <w:rsid w:val="00EE7C20"/>
    <w:rsid w:val="00EE7C9E"/>
    <w:rsid w:val="00EF06FB"/>
    <w:rsid w:val="00EF24D8"/>
    <w:rsid w:val="00EF350E"/>
    <w:rsid w:val="00EF72AD"/>
    <w:rsid w:val="00F0757E"/>
    <w:rsid w:val="00F11570"/>
    <w:rsid w:val="00F14082"/>
    <w:rsid w:val="00F14B99"/>
    <w:rsid w:val="00F1574A"/>
    <w:rsid w:val="00F15ED9"/>
    <w:rsid w:val="00F17C67"/>
    <w:rsid w:val="00F2283A"/>
    <w:rsid w:val="00F26879"/>
    <w:rsid w:val="00F268D5"/>
    <w:rsid w:val="00F35BA9"/>
    <w:rsid w:val="00F4359A"/>
    <w:rsid w:val="00F43C42"/>
    <w:rsid w:val="00F441DD"/>
    <w:rsid w:val="00F46117"/>
    <w:rsid w:val="00F53BCC"/>
    <w:rsid w:val="00F542A6"/>
    <w:rsid w:val="00F638F9"/>
    <w:rsid w:val="00F6441B"/>
    <w:rsid w:val="00F64F82"/>
    <w:rsid w:val="00F651AF"/>
    <w:rsid w:val="00F731F9"/>
    <w:rsid w:val="00F822BB"/>
    <w:rsid w:val="00F83757"/>
    <w:rsid w:val="00F844F1"/>
    <w:rsid w:val="00F86B02"/>
    <w:rsid w:val="00F875D0"/>
    <w:rsid w:val="00F87C3C"/>
    <w:rsid w:val="00F902CE"/>
    <w:rsid w:val="00F906EC"/>
    <w:rsid w:val="00F919CE"/>
    <w:rsid w:val="00F93C7A"/>
    <w:rsid w:val="00F94BC5"/>
    <w:rsid w:val="00FA7EE8"/>
    <w:rsid w:val="00FB10DC"/>
    <w:rsid w:val="00FB291C"/>
    <w:rsid w:val="00FB3C51"/>
    <w:rsid w:val="00FB4799"/>
    <w:rsid w:val="00FB7AC2"/>
    <w:rsid w:val="00FC2F33"/>
    <w:rsid w:val="00FC436F"/>
    <w:rsid w:val="00FD1A81"/>
    <w:rsid w:val="00FD22D9"/>
    <w:rsid w:val="00FD2925"/>
    <w:rsid w:val="00FD5B35"/>
    <w:rsid w:val="00FE0F2C"/>
    <w:rsid w:val="00FE2DDA"/>
    <w:rsid w:val="00FE35EA"/>
    <w:rsid w:val="00FE3F8F"/>
    <w:rsid w:val="00FE57BF"/>
    <w:rsid w:val="00FF1AFB"/>
    <w:rsid w:val="00FF1F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462E"/>
  <w15:docId w15:val="{6C943C65-CDB0-4C51-B64B-1BA610C8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150"/>
    <w:rPr>
      <w:rFonts w:ascii="Arial" w:hAnsi="Arial"/>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FF1AFB"/>
    <w:pPr>
      <w:numPr>
        <w:numId w:val="1"/>
      </w:numPr>
      <w:contextualSpacing/>
    </w:pPr>
  </w:style>
  <w:style w:type="character" w:customStyle="1" w:styleId="ONRNormalChar">
    <w:name w:val="ONR Normal Char"/>
    <w:link w:val="ONRNormal"/>
    <w:rsid w:val="00145150"/>
    <w:rPr>
      <w:rFonts w:ascii="Arial" w:hAnsi="Arial" w:cs="Arial"/>
      <w:szCs w:val="22"/>
      <w:lang w:val="en-GB" w:eastAsia="en-US" w:bidi="ar-SA"/>
    </w:rPr>
  </w:style>
  <w:style w:type="paragraph" w:customStyle="1" w:styleId="Number">
    <w:name w:val="Number"/>
    <w:basedOn w:val="Normal"/>
    <w:rsid w:val="00030D3C"/>
    <w:pPr>
      <w:numPr>
        <w:numId w:val="3"/>
      </w:numPr>
    </w:pPr>
  </w:style>
  <w:style w:type="paragraph" w:customStyle="1" w:styleId="Numbera">
    <w:name w:val="Number a)"/>
    <w:basedOn w:val="Normal"/>
    <w:rsid w:val="00200CB7"/>
    <w:pPr>
      <w:numPr>
        <w:numId w:val="4"/>
      </w:numPr>
    </w:pPr>
  </w:style>
  <w:style w:type="paragraph" w:customStyle="1" w:styleId="Numberi">
    <w:name w:val="Number i)"/>
    <w:basedOn w:val="Normal"/>
    <w:rsid w:val="00200CB7"/>
    <w:pPr>
      <w:numPr>
        <w:numId w:val="5"/>
      </w:numPr>
    </w:pPr>
  </w:style>
  <w:style w:type="table" w:styleId="TableGrid">
    <w:name w:val="Table Grid"/>
    <w:basedOn w:val="TableNormal"/>
    <w:uiPriority w:val="3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ONRTableTextStyle-Normal">
    <w:name w:val="ONR Table Text Style - Normal"/>
    <w:basedOn w:val="ONRNormal"/>
    <w:locked/>
    <w:rsid w:val="00145150"/>
    <w:pPr>
      <w:spacing w:after="0"/>
    </w:pPr>
    <w:rPr>
      <w:iCs/>
    </w:rPr>
  </w:style>
  <w:style w:type="paragraph" w:customStyle="1" w:styleId="ONRNormal">
    <w:name w:val="ONR Normal"/>
    <w:link w:val="ONRNormalChar"/>
    <w:locked/>
    <w:rsid w:val="00145150"/>
    <w:pPr>
      <w:spacing w:after="120"/>
    </w:pPr>
    <w:rPr>
      <w:rFonts w:ascii="Arial" w:hAnsi="Arial" w:cs="Arial"/>
      <w:szCs w:val="22"/>
      <w:lang w:eastAsia="en-US"/>
    </w:rPr>
  </w:style>
  <w:style w:type="paragraph" w:styleId="Header">
    <w:name w:val="header"/>
    <w:basedOn w:val="Normal"/>
    <w:rsid w:val="00603B6A"/>
    <w:pPr>
      <w:tabs>
        <w:tab w:val="center" w:pos="4153"/>
        <w:tab w:val="right" w:pos="8306"/>
      </w:tabs>
    </w:pPr>
  </w:style>
  <w:style w:type="paragraph" w:styleId="Footer">
    <w:name w:val="footer"/>
    <w:basedOn w:val="Normal"/>
    <w:link w:val="FooterChar"/>
    <w:uiPriority w:val="99"/>
    <w:rsid w:val="00603B6A"/>
    <w:pPr>
      <w:tabs>
        <w:tab w:val="center" w:pos="4153"/>
        <w:tab w:val="right" w:pos="8306"/>
      </w:tabs>
    </w:pPr>
  </w:style>
  <w:style w:type="paragraph" w:customStyle="1" w:styleId="Default">
    <w:name w:val="Default"/>
    <w:rsid w:val="009E2E65"/>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C7A0D"/>
    <w:rPr>
      <w:rFonts w:ascii="Tahoma" w:hAnsi="Tahoma" w:cs="Tahoma"/>
      <w:sz w:val="16"/>
      <w:szCs w:val="16"/>
    </w:rPr>
  </w:style>
  <w:style w:type="character" w:styleId="CommentReference">
    <w:name w:val="annotation reference"/>
    <w:rsid w:val="00154E2E"/>
    <w:rPr>
      <w:sz w:val="16"/>
      <w:szCs w:val="16"/>
    </w:rPr>
  </w:style>
  <w:style w:type="paragraph" w:styleId="CommentText">
    <w:name w:val="annotation text"/>
    <w:basedOn w:val="Normal"/>
    <w:link w:val="CommentTextChar"/>
    <w:rsid w:val="00154E2E"/>
    <w:rPr>
      <w:szCs w:val="20"/>
    </w:rPr>
  </w:style>
  <w:style w:type="character" w:customStyle="1" w:styleId="CommentTextChar">
    <w:name w:val="Comment Text Char"/>
    <w:link w:val="CommentText"/>
    <w:rsid w:val="00154E2E"/>
    <w:rPr>
      <w:rFonts w:ascii="Arial" w:hAnsi="Arial"/>
      <w:lang w:eastAsia="en-US"/>
    </w:rPr>
  </w:style>
  <w:style w:type="paragraph" w:styleId="CommentSubject">
    <w:name w:val="annotation subject"/>
    <w:basedOn w:val="CommentText"/>
    <w:next w:val="CommentText"/>
    <w:link w:val="CommentSubjectChar"/>
    <w:rsid w:val="00154E2E"/>
    <w:rPr>
      <w:b/>
      <w:bCs/>
    </w:rPr>
  </w:style>
  <w:style w:type="character" w:customStyle="1" w:styleId="CommentSubjectChar">
    <w:name w:val="Comment Subject Char"/>
    <w:link w:val="CommentSubject"/>
    <w:rsid w:val="00154E2E"/>
    <w:rPr>
      <w:rFonts w:ascii="Arial" w:hAnsi="Arial"/>
      <w:b/>
      <w:bCs/>
      <w:lang w:eastAsia="en-US"/>
    </w:rPr>
  </w:style>
  <w:style w:type="paragraph" w:styleId="BodyText2">
    <w:name w:val="Body Text 2"/>
    <w:basedOn w:val="ONRNormal"/>
    <w:link w:val="BodyText2Char"/>
    <w:rsid w:val="00D80CD9"/>
    <w:pPr>
      <w:spacing w:line="480" w:lineRule="auto"/>
    </w:pPr>
  </w:style>
  <w:style w:type="character" w:customStyle="1" w:styleId="BodyText2Char">
    <w:name w:val="Body Text 2 Char"/>
    <w:link w:val="BodyText2"/>
    <w:rsid w:val="00D80CD9"/>
    <w:rPr>
      <w:rFonts w:ascii="Arial" w:hAnsi="Arial" w:cs="Arial"/>
      <w:szCs w:val="22"/>
      <w:lang w:eastAsia="en-US"/>
    </w:rPr>
  </w:style>
  <w:style w:type="character" w:styleId="Hyperlink">
    <w:name w:val="Hyperlink"/>
    <w:rsid w:val="00123C55"/>
    <w:rPr>
      <w:color w:val="0000FF"/>
      <w:u w:val="single"/>
    </w:rPr>
  </w:style>
  <w:style w:type="paragraph" w:styleId="ListParagraph">
    <w:name w:val="List Paragraph"/>
    <w:basedOn w:val="Normal"/>
    <w:uiPriority w:val="34"/>
    <w:qFormat/>
    <w:rsid w:val="007B2B0F"/>
    <w:pPr>
      <w:ind w:left="720"/>
    </w:pPr>
    <w:rPr>
      <w:rFonts w:ascii="Calibri" w:eastAsia="Calibri" w:hAnsi="Calibri"/>
      <w:sz w:val="22"/>
      <w:szCs w:val="22"/>
    </w:rPr>
  </w:style>
  <w:style w:type="paragraph" w:styleId="PlainText">
    <w:name w:val="Plain Text"/>
    <w:basedOn w:val="Normal"/>
    <w:link w:val="PlainTextChar"/>
    <w:uiPriority w:val="99"/>
    <w:unhideWhenUsed/>
    <w:rsid w:val="004552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52E3"/>
    <w:rPr>
      <w:rFonts w:ascii="Calibri" w:eastAsiaTheme="minorHAnsi" w:hAnsi="Calibri" w:cstheme="minorBidi"/>
      <w:sz w:val="22"/>
      <w:szCs w:val="21"/>
      <w:lang w:eastAsia="en-US"/>
    </w:rPr>
  </w:style>
  <w:style w:type="character" w:customStyle="1" w:styleId="FooterChar">
    <w:name w:val="Footer Char"/>
    <w:basedOn w:val="DefaultParagraphFont"/>
    <w:link w:val="Footer"/>
    <w:uiPriority w:val="99"/>
    <w:rsid w:val="00ED6023"/>
    <w:rPr>
      <w:rFonts w:ascii="Arial" w:hAnsi="Arial"/>
      <w:szCs w:val="24"/>
      <w:lang w:eastAsia="en-US"/>
    </w:rPr>
  </w:style>
  <w:style w:type="paragraph" w:styleId="Revision">
    <w:name w:val="Revision"/>
    <w:hidden/>
    <w:uiPriority w:val="99"/>
    <w:semiHidden/>
    <w:rsid w:val="00A3106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7578">
      <w:bodyDiv w:val="1"/>
      <w:marLeft w:val="0"/>
      <w:marRight w:val="0"/>
      <w:marTop w:val="0"/>
      <w:marBottom w:val="0"/>
      <w:divBdr>
        <w:top w:val="none" w:sz="0" w:space="0" w:color="auto"/>
        <w:left w:val="none" w:sz="0" w:space="0" w:color="auto"/>
        <w:bottom w:val="none" w:sz="0" w:space="0" w:color="auto"/>
        <w:right w:val="none" w:sz="0" w:space="0" w:color="auto"/>
      </w:divBdr>
    </w:div>
    <w:div w:id="242222578">
      <w:bodyDiv w:val="1"/>
      <w:marLeft w:val="0"/>
      <w:marRight w:val="0"/>
      <w:marTop w:val="0"/>
      <w:marBottom w:val="0"/>
      <w:divBdr>
        <w:top w:val="none" w:sz="0" w:space="0" w:color="auto"/>
        <w:left w:val="none" w:sz="0" w:space="0" w:color="auto"/>
        <w:bottom w:val="none" w:sz="0" w:space="0" w:color="auto"/>
        <w:right w:val="none" w:sz="0" w:space="0" w:color="auto"/>
      </w:divBdr>
    </w:div>
    <w:div w:id="361783840">
      <w:bodyDiv w:val="1"/>
      <w:marLeft w:val="0"/>
      <w:marRight w:val="0"/>
      <w:marTop w:val="0"/>
      <w:marBottom w:val="0"/>
      <w:divBdr>
        <w:top w:val="none" w:sz="0" w:space="0" w:color="auto"/>
        <w:left w:val="none" w:sz="0" w:space="0" w:color="auto"/>
        <w:bottom w:val="none" w:sz="0" w:space="0" w:color="auto"/>
        <w:right w:val="none" w:sz="0" w:space="0" w:color="auto"/>
      </w:divBdr>
    </w:div>
    <w:div w:id="427623372">
      <w:bodyDiv w:val="1"/>
      <w:marLeft w:val="0"/>
      <w:marRight w:val="0"/>
      <w:marTop w:val="0"/>
      <w:marBottom w:val="0"/>
      <w:divBdr>
        <w:top w:val="none" w:sz="0" w:space="0" w:color="auto"/>
        <w:left w:val="none" w:sz="0" w:space="0" w:color="auto"/>
        <w:bottom w:val="none" w:sz="0" w:space="0" w:color="auto"/>
        <w:right w:val="none" w:sz="0" w:space="0" w:color="auto"/>
      </w:divBdr>
    </w:div>
    <w:div w:id="742484317">
      <w:bodyDiv w:val="1"/>
      <w:marLeft w:val="0"/>
      <w:marRight w:val="0"/>
      <w:marTop w:val="0"/>
      <w:marBottom w:val="0"/>
      <w:divBdr>
        <w:top w:val="none" w:sz="0" w:space="0" w:color="auto"/>
        <w:left w:val="none" w:sz="0" w:space="0" w:color="auto"/>
        <w:bottom w:val="none" w:sz="0" w:space="0" w:color="auto"/>
        <w:right w:val="none" w:sz="0" w:space="0" w:color="auto"/>
      </w:divBdr>
    </w:div>
    <w:div w:id="786124213">
      <w:bodyDiv w:val="1"/>
      <w:marLeft w:val="0"/>
      <w:marRight w:val="0"/>
      <w:marTop w:val="0"/>
      <w:marBottom w:val="0"/>
      <w:divBdr>
        <w:top w:val="none" w:sz="0" w:space="0" w:color="auto"/>
        <w:left w:val="none" w:sz="0" w:space="0" w:color="auto"/>
        <w:bottom w:val="none" w:sz="0" w:space="0" w:color="auto"/>
        <w:right w:val="none" w:sz="0" w:space="0" w:color="auto"/>
      </w:divBdr>
    </w:div>
    <w:div w:id="958416948">
      <w:bodyDiv w:val="1"/>
      <w:marLeft w:val="0"/>
      <w:marRight w:val="0"/>
      <w:marTop w:val="0"/>
      <w:marBottom w:val="0"/>
      <w:divBdr>
        <w:top w:val="none" w:sz="0" w:space="0" w:color="auto"/>
        <w:left w:val="none" w:sz="0" w:space="0" w:color="auto"/>
        <w:bottom w:val="none" w:sz="0" w:space="0" w:color="auto"/>
        <w:right w:val="none" w:sz="0" w:space="0" w:color="auto"/>
      </w:divBdr>
    </w:div>
    <w:div w:id="1009717421">
      <w:bodyDiv w:val="1"/>
      <w:marLeft w:val="0"/>
      <w:marRight w:val="0"/>
      <w:marTop w:val="0"/>
      <w:marBottom w:val="0"/>
      <w:divBdr>
        <w:top w:val="none" w:sz="0" w:space="0" w:color="auto"/>
        <w:left w:val="none" w:sz="0" w:space="0" w:color="auto"/>
        <w:bottom w:val="none" w:sz="0" w:space="0" w:color="auto"/>
        <w:right w:val="none" w:sz="0" w:space="0" w:color="auto"/>
      </w:divBdr>
    </w:div>
    <w:div w:id="1692563643">
      <w:bodyDiv w:val="1"/>
      <w:marLeft w:val="0"/>
      <w:marRight w:val="0"/>
      <w:marTop w:val="0"/>
      <w:marBottom w:val="0"/>
      <w:divBdr>
        <w:top w:val="none" w:sz="0" w:space="0" w:color="auto"/>
        <w:left w:val="none" w:sz="0" w:space="0" w:color="auto"/>
        <w:bottom w:val="none" w:sz="0" w:space="0" w:color="auto"/>
        <w:right w:val="none" w:sz="0" w:space="0" w:color="auto"/>
      </w:divBdr>
    </w:div>
    <w:div w:id="17900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planning@nda.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on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08F7-9D10-42CC-89A6-3E1CAE4A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Health and Safety Executive</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sbonifac</dc:creator>
  <cp:lastModifiedBy>Ian Hanley</cp:lastModifiedBy>
  <cp:revision>3</cp:revision>
  <cp:lastPrinted>2024-01-29T11:49:00Z</cp:lastPrinted>
  <dcterms:created xsi:type="dcterms:W3CDTF">2024-01-29T17:40:00Z</dcterms:created>
  <dcterms:modified xsi:type="dcterms:W3CDTF">2024-01-29T17:41:00Z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c701a02-f12f-4980-843d-ed05039227f1_Enabled">
    <vt:lpwstr>true</vt:lpwstr>
  </property>
  <property fmtid="{D5CDD505-2E9C-101B-9397-08002B2CF9AE}" pid="4" name="MSIP_Label_6c701a02-f12f-4980-843d-ed05039227f1_SetDate">
    <vt:lpwstr>2022-02-08T09:07:11Z</vt:lpwstr>
  </property>
  <property fmtid="{D5CDD505-2E9C-101B-9397-08002B2CF9AE}" pid="5" name="MSIP_Label_6c701a02-f12f-4980-843d-ed05039227f1_Method">
    <vt:lpwstr>Privileged</vt:lpwstr>
  </property>
  <property fmtid="{D5CDD505-2E9C-101B-9397-08002B2CF9AE}" pid="6" name="MSIP_Label_6c701a02-f12f-4980-843d-ed05039227f1_Name">
    <vt:lpwstr>EXTERNALLY MARKED</vt:lpwstr>
  </property>
  <property fmtid="{D5CDD505-2E9C-101B-9397-08002B2CF9AE}" pid="7" name="MSIP_Label_6c701a02-f12f-4980-843d-ed05039227f1_SiteId">
    <vt:lpwstr>742775df-8077-48d6-81d0-1e82a1f52cb8</vt:lpwstr>
  </property>
  <property fmtid="{D5CDD505-2E9C-101B-9397-08002B2CF9AE}" pid="8" name="MSIP_Label_6c701a02-f12f-4980-843d-ed05039227f1_ActionId">
    <vt:lpwstr>15006778-94cf-4d6a-8b05-2d38ab44a328</vt:lpwstr>
  </property>
  <property fmtid="{D5CDD505-2E9C-101B-9397-08002B2CF9AE}" pid="9" name="MSIP_Label_6c701a02-f12f-4980-843d-ed05039227f1_ContentBits">
    <vt:lpwstr>0</vt:lpwstr>
  </property>
</Properties>
</file>