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4C418" w:rsidR="00595C8C" w:rsidRPr="00595C8C" w:rsidRDefault="00595C8C" w:rsidP="00806275">
            <w:pPr>
              <w:pStyle w:val="InnerCoverTitle"/>
              <w:spacing w:before="120"/>
              <w:rPr>
                <w:sz w:val="36"/>
                <w:szCs w:val="36"/>
              </w:rPr>
            </w:pPr>
            <w:r w:rsidRPr="00595C8C">
              <w:rPr>
                <w:sz w:val="36"/>
                <w:szCs w:val="36"/>
              </w:rPr>
              <w:t xml:space="preserve">ONR </w:t>
            </w:r>
            <w:r w:rsidR="00002389">
              <w:rPr>
                <w:sz w:val="36"/>
                <w:szCs w:val="36"/>
              </w:rPr>
              <w:t>Guidance</w:t>
            </w:r>
          </w:p>
          <w:sdt>
            <w:sdtPr>
              <w:rPr>
                <w:sz w:val="36"/>
                <w:szCs w:val="36"/>
              </w:rPr>
              <w:id w:val="1228188510"/>
              <w:placeholder>
                <w:docPart w:val="DefaultPlaceholder_-1854013440"/>
              </w:placeholder>
            </w:sdtPr>
            <w:sdtEndPr/>
            <w:sdtContent>
              <w:p w14:paraId="7C4EA414" w14:textId="476B55DE" w:rsidR="00D0226A" w:rsidRPr="001E03E1" w:rsidRDefault="00B56AC4" w:rsidP="001E03E1">
                <w:pPr>
                  <w:pStyle w:val="CoverTitle"/>
                  <w:rPr>
                    <w:szCs w:val="90"/>
                  </w:rPr>
                </w:pPr>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25E68" w:rsidRPr="003D6AA6">
                      <w:rPr>
                        <w:sz w:val="36"/>
                        <w:szCs w:val="36"/>
                      </w:rPr>
                      <w:t>Guidance to Requesting Parties on the Generic Design Assessment (GDA) process for safety and security assessments of new Nuclear Power Plants (NPP)</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FB9096D" w14:textId="0724C542" w:rsidR="009D2911" w:rsidRPr="00595C8C" w:rsidRDefault="009D2911" w:rsidP="009D2911">
      <w:pPr>
        <w:pStyle w:val="InnerCoverTitle"/>
        <w:rPr>
          <w:sz w:val="36"/>
          <w:szCs w:val="36"/>
        </w:rPr>
      </w:pPr>
      <w:r w:rsidRPr="00595C8C">
        <w:rPr>
          <w:sz w:val="36"/>
          <w:szCs w:val="36"/>
        </w:rPr>
        <w:lastRenderedPageBreak/>
        <w:t xml:space="preserve">ONR </w:t>
      </w:r>
      <w:r>
        <w:rPr>
          <w:sz w:val="36"/>
          <w:szCs w:val="36"/>
        </w:rPr>
        <w:t>Guidance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042E86B2" w:rsidR="00004C16" w:rsidRDefault="00925E68" w:rsidP="00004C16">
          <w:r>
            <w:rPr>
              <w:rStyle w:val="Style2"/>
            </w:rPr>
            <w:t>Guidance to Requesting Parties on the Generic Design Assessment (GDA) process for safety and security assessments of new Nuclear Power Plants (NPP)</w:t>
          </w:r>
        </w:p>
      </w:sdtContent>
    </w:sdt>
    <w:p w14:paraId="61A25C0F" w14:textId="39EC7DBA" w:rsidR="00004C16" w:rsidRDefault="00004C16" w:rsidP="00004C16">
      <w:pPr>
        <w:rPr>
          <w:sz w:val="28"/>
          <w:szCs w:val="28"/>
        </w:rPr>
      </w:pPr>
    </w:p>
    <w:p w14:paraId="4D99E381" w14:textId="1A659D73" w:rsidR="00004C16" w:rsidRPr="009D2911" w:rsidRDefault="001757B3" w:rsidP="006C2925">
      <w:pPr>
        <w:rPr>
          <w:szCs w:val="24"/>
        </w:rPr>
      </w:pPr>
      <w:r>
        <w:rPr>
          <w:b/>
          <w:bCs/>
          <w:szCs w:val="24"/>
        </w:rPr>
        <w:t>Updated</w:t>
      </w:r>
      <w:r w:rsidR="00004C16" w:rsidRPr="009D2911">
        <w:rPr>
          <w:b/>
          <w:bCs/>
          <w:szCs w:val="24"/>
        </w:rPr>
        <w:t xml:space="preserve"> by</w:t>
      </w:r>
      <w:r w:rsidR="003A7E1C" w:rsidRPr="009D2911">
        <w:rPr>
          <w:b/>
          <w:bCs/>
          <w:szCs w:val="24"/>
        </w:rPr>
        <w:t>:</w:t>
      </w:r>
      <w:r w:rsidR="00004C16" w:rsidRPr="009D2911">
        <w:rPr>
          <w:szCs w:val="24"/>
        </w:rPr>
        <w:t xml:space="preserve"> </w:t>
      </w:r>
      <w:r w:rsidR="006C2925">
        <w:rPr>
          <w:szCs w:val="24"/>
        </w:rPr>
        <w:t>Directorate</w:t>
      </w:r>
      <w:r w:rsidR="006C2925" w:rsidRPr="006C2925">
        <w:rPr>
          <w:szCs w:val="24"/>
        </w:rPr>
        <w:t xml:space="preserve"> Deliver</w:t>
      </w:r>
      <w:r w:rsidR="006C2925">
        <w:rPr>
          <w:szCs w:val="24"/>
        </w:rPr>
        <w:t>y Support (DDS)</w:t>
      </w:r>
      <w:r w:rsidR="006C2925" w:rsidRPr="006C2925">
        <w:rPr>
          <w:szCs w:val="24"/>
        </w:rPr>
        <w:t xml:space="preserve"> Lead</w:t>
      </w:r>
      <w:r w:rsidR="00D77C91">
        <w:rPr>
          <w:szCs w:val="24"/>
        </w:rPr>
        <w:t xml:space="preserve"> for</w:t>
      </w:r>
      <w:r w:rsidR="006C2925">
        <w:rPr>
          <w:szCs w:val="24"/>
        </w:rPr>
        <w:t xml:space="preserve"> </w:t>
      </w:r>
      <w:r w:rsidR="006C2925" w:rsidRPr="006C2925">
        <w:rPr>
          <w:szCs w:val="24"/>
        </w:rPr>
        <w:t>New</w:t>
      </w:r>
      <w:r w:rsidR="00D77C91">
        <w:rPr>
          <w:szCs w:val="24"/>
        </w:rPr>
        <w:t xml:space="preserve"> </w:t>
      </w:r>
      <w:r w:rsidR="006C2925" w:rsidRPr="006C2925">
        <w:rPr>
          <w:szCs w:val="24"/>
        </w:rPr>
        <w:t>Reactors</w:t>
      </w:r>
      <w:r w:rsidR="00D77C91">
        <w:rPr>
          <w:szCs w:val="24"/>
        </w:rPr>
        <w:t xml:space="preserve"> Directorate</w:t>
      </w:r>
    </w:p>
    <w:p w14:paraId="23B9A867" w14:textId="57B4CAC5" w:rsidR="00004C16" w:rsidRPr="009D2911" w:rsidRDefault="00004C16" w:rsidP="006C2925">
      <w:pPr>
        <w:rPr>
          <w:szCs w:val="24"/>
        </w:rPr>
      </w:pPr>
      <w:r w:rsidRPr="009D2911">
        <w:rPr>
          <w:b/>
          <w:bCs/>
          <w:szCs w:val="24"/>
        </w:rPr>
        <w:t>Approved by</w:t>
      </w:r>
      <w:r w:rsidR="003A7E1C" w:rsidRPr="009D2911">
        <w:rPr>
          <w:b/>
          <w:bCs/>
          <w:szCs w:val="24"/>
        </w:rPr>
        <w:t>:</w:t>
      </w:r>
      <w:r w:rsidRPr="009D2911">
        <w:rPr>
          <w:szCs w:val="24"/>
        </w:rPr>
        <w:t xml:space="preserve"> </w:t>
      </w:r>
      <w:r w:rsidR="006C2925" w:rsidRPr="006C2925">
        <w:rPr>
          <w:szCs w:val="24"/>
        </w:rPr>
        <w:t>Superintending Inspector – Nuclear Safety</w:t>
      </w:r>
      <w:r w:rsidR="006C2925">
        <w:rPr>
          <w:szCs w:val="24"/>
        </w:rPr>
        <w:t xml:space="preserve">, </w:t>
      </w:r>
      <w:r w:rsidR="006C2925" w:rsidRPr="006C2925">
        <w:rPr>
          <w:szCs w:val="24"/>
        </w:rPr>
        <w:t>Head of Regulation</w:t>
      </w:r>
      <w:r w:rsidR="00D77C91">
        <w:rPr>
          <w:szCs w:val="24"/>
        </w:rPr>
        <w:t xml:space="preserve"> for</w:t>
      </w:r>
      <w:r w:rsidR="006C2925" w:rsidRPr="006C2925">
        <w:rPr>
          <w:szCs w:val="24"/>
        </w:rPr>
        <w:t xml:space="preserve"> Advanced Nuclear Technologies </w:t>
      </w:r>
      <w:r w:rsidR="006C2925">
        <w:rPr>
          <w:szCs w:val="24"/>
        </w:rPr>
        <w:t xml:space="preserve">(ANTs) </w:t>
      </w:r>
      <w:r w:rsidR="006C2925" w:rsidRPr="006C2925">
        <w:rPr>
          <w:szCs w:val="24"/>
        </w:rPr>
        <w:t xml:space="preserve">and </w:t>
      </w:r>
      <w:proofErr w:type="spellStart"/>
      <w:r w:rsidR="006C2925" w:rsidRPr="006C2925">
        <w:rPr>
          <w:szCs w:val="24"/>
        </w:rPr>
        <w:t>Holtec</w:t>
      </w:r>
      <w:proofErr w:type="spellEnd"/>
      <w:r w:rsidR="006C2925" w:rsidRPr="006C2925">
        <w:rPr>
          <w:szCs w:val="24"/>
        </w:rPr>
        <w:t xml:space="preserve"> SMR-300 GDA</w:t>
      </w:r>
    </w:p>
    <w:p w14:paraId="247E3769" w14:textId="5787FF88" w:rsidR="00004C16" w:rsidRPr="009D2911" w:rsidRDefault="00004C16" w:rsidP="00004C16">
      <w:pPr>
        <w:rPr>
          <w:szCs w:val="24"/>
        </w:rPr>
      </w:pPr>
      <w:r w:rsidRPr="009D2911">
        <w:rPr>
          <w:b/>
          <w:bCs/>
          <w:szCs w:val="24"/>
        </w:rPr>
        <w:t>Issue:</w:t>
      </w:r>
      <w:r w:rsidRPr="009D2911">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C2925">
            <w:rPr>
              <w:szCs w:val="24"/>
            </w:rPr>
            <w:t>1</w:t>
          </w:r>
        </w:sdtContent>
      </w:sdt>
    </w:p>
    <w:p w14:paraId="19206F45" w14:textId="7601E103" w:rsidR="00004C16" w:rsidRPr="009D2911" w:rsidRDefault="00004C16" w:rsidP="00004C16">
      <w:pPr>
        <w:rPr>
          <w:szCs w:val="24"/>
        </w:rPr>
      </w:pPr>
      <w:r w:rsidRPr="009D2911">
        <w:rPr>
          <w:b/>
          <w:bCs/>
          <w:szCs w:val="24"/>
        </w:rPr>
        <w:t>Publi</w:t>
      </w:r>
      <w:r w:rsidR="00806275">
        <w:rPr>
          <w:b/>
          <w:bCs/>
          <w:szCs w:val="24"/>
        </w:rPr>
        <w:t>shed</w:t>
      </w:r>
      <w:r w:rsidRPr="009D2911">
        <w:rPr>
          <w:b/>
          <w:bCs/>
          <w:szCs w:val="24"/>
        </w:rPr>
        <w:t>:</w:t>
      </w:r>
      <w:r w:rsidRPr="009D2911">
        <w:rPr>
          <w:szCs w:val="24"/>
        </w:rPr>
        <w:t xml:space="preserve"> </w:t>
      </w:r>
      <w:r w:rsidR="006C2925">
        <w:rPr>
          <w:szCs w:val="24"/>
        </w:rPr>
        <w:t>August 2024</w:t>
      </w:r>
    </w:p>
    <w:p w14:paraId="22297511" w14:textId="23D8A3AE" w:rsidR="005C1E52" w:rsidRPr="009D2911" w:rsidRDefault="005C1E52" w:rsidP="00004C16">
      <w:pPr>
        <w:rPr>
          <w:szCs w:val="24"/>
        </w:rPr>
      </w:pPr>
      <w:r w:rsidRPr="009D2911">
        <w:rPr>
          <w:b/>
          <w:bCs/>
          <w:szCs w:val="24"/>
        </w:rPr>
        <w:t xml:space="preserve">Next </w:t>
      </w:r>
      <w:r w:rsidR="00806275">
        <w:rPr>
          <w:b/>
          <w:bCs/>
          <w:szCs w:val="24"/>
        </w:rPr>
        <w:t>scheduled m</w:t>
      </w:r>
      <w:r w:rsidRPr="009D2911">
        <w:rPr>
          <w:b/>
          <w:bCs/>
          <w:szCs w:val="24"/>
        </w:rPr>
        <w:t xml:space="preserve">ajor </w:t>
      </w:r>
      <w:r w:rsidR="00806275">
        <w:rPr>
          <w:b/>
          <w:bCs/>
          <w:szCs w:val="24"/>
        </w:rPr>
        <w:t>r</w:t>
      </w:r>
      <w:r w:rsidRPr="009D2911">
        <w:rPr>
          <w:b/>
          <w:bCs/>
          <w:szCs w:val="24"/>
        </w:rPr>
        <w:t>eview:</w:t>
      </w:r>
      <w:r w:rsidRPr="009D2911">
        <w:rPr>
          <w:szCs w:val="24"/>
        </w:rPr>
        <w:t xml:space="preserve"> </w:t>
      </w:r>
      <w:r w:rsidR="006C2925">
        <w:rPr>
          <w:szCs w:val="24"/>
        </w:rPr>
        <w:t>August 2027</w:t>
      </w:r>
    </w:p>
    <w:p w14:paraId="48A3F547" w14:textId="734D41DC" w:rsidR="00004C16" w:rsidRPr="009D2911" w:rsidRDefault="00004C16" w:rsidP="00004C16">
      <w:pPr>
        <w:rPr>
          <w:szCs w:val="24"/>
        </w:rPr>
      </w:pPr>
      <w:r w:rsidRPr="009D2911">
        <w:rPr>
          <w:b/>
          <w:bCs/>
          <w:szCs w:val="24"/>
        </w:rPr>
        <w:t>Doc</w:t>
      </w:r>
      <w:r w:rsidR="00806275">
        <w:rPr>
          <w:b/>
          <w:bCs/>
          <w:szCs w:val="24"/>
        </w:rPr>
        <w:t>ument reference</w:t>
      </w:r>
      <w:r w:rsidRPr="009D2911">
        <w:rPr>
          <w:b/>
          <w:bCs/>
          <w:szCs w:val="24"/>
        </w:rPr>
        <w:t>:</w:t>
      </w:r>
      <w:r w:rsidRPr="009D2911">
        <w:rPr>
          <w:szCs w:val="24"/>
        </w:rPr>
        <w:t xml:space="preserve"> </w:t>
      </w:r>
      <w:r w:rsidR="006C2925">
        <w:rPr>
          <w:szCs w:val="24"/>
        </w:rPr>
        <w:t>ONR-GDA-GD-006</w:t>
      </w:r>
    </w:p>
    <w:p w14:paraId="55057C62" w14:textId="01B42022" w:rsidR="00004C16" w:rsidRPr="009D2911" w:rsidRDefault="00004C16" w:rsidP="00004C16">
      <w:pPr>
        <w:rPr>
          <w:szCs w:val="24"/>
        </w:rPr>
      </w:pPr>
      <w:r w:rsidRPr="009D2911">
        <w:rPr>
          <w:b/>
          <w:bCs/>
          <w:szCs w:val="24"/>
        </w:rPr>
        <w:t xml:space="preserve">Record </w:t>
      </w:r>
      <w:r w:rsidR="00806275">
        <w:rPr>
          <w:b/>
          <w:bCs/>
          <w:szCs w:val="24"/>
        </w:rPr>
        <w:t>reference</w:t>
      </w:r>
      <w:r w:rsidRPr="009D2911">
        <w:rPr>
          <w:b/>
          <w:bCs/>
          <w:szCs w:val="24"/>
        </w:rPr>
        <w:t>:</w:t>
      </w:r>
      <w:r w:rsidRPr="009D2911">
        <w:rPr>
          <w:szCs w:val="24"/>
        </w:rPr>
        <w:t xml:space="preserve"> </w:t>
      </w:r>
      <w:r w:rsidR="00DB4EC0">
        <w:rPr>
          <w:szCs w:val="24"/>
        </w:rPr>
        <w:t>2024/34844</w:t>
      </w:r>
    </w:p>
    <w:p w14:paraId="39BC0EA4" w14:textId="77777777" w:rsidR="00420A11" w:rsidRDefault="00420A11" w:rsidP="00323E71"/>
    <w:p w14:paraId="0133A24A" w14:textId="1C31FBC7" w:rsidR="00733C45" w:rsidRDefault="00733C45" w:rsidP="00733C45">
      <w:pPr>
        <w:pStyle w:val="Caption"/>
        <w:keepNext/>
      </w:pPr>
      <w:r>
        <w:t xml:space="preserve">Revision </w:t>
      </w:r>
      <w:r w:rsidR="006C2925">
        <w:t>c</w:t>
      </w:r>
      <w:r>
        <w:t>ommentary</w:t>
      </w:r>
    </w:p>
    <w:tbl>
      <w:tblPr>
        <w:tblStyle w:val="ONRTable1"/>
        <w:tblW w:w="0" w:type="auto"/>
        <w:tblInd w:w="10" w:type="dxa"/>
        <w:tblLook w:val="04A0" w:firstRow="1" w:lastRow="0" w:firstColumn="1" w:lastColumn="0" w:noHBand="0" w:noVBand="1"/>
      </w:tblPr>
      <w:tblGrid>
        <w:gridCol w:w="1606"/>
        <w:gridCol w:w="7410"/>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20239C53" w:rsidR="00595C8C" w:rsidRPr="00733C45" w:rsidRDefault="00595C8C" w:rsidP="00595C8C">
            <w:pPr>
              <w:spacing w:before="60" w:after="60"/>
              <w:rPr>
                <w:b w:val="0"/>
                <w:bCs/>
              </w:rPr>
            </w:pPr>
            <w:r w:rsidRPr="00733C45">
              <w:rPr>
                <w:b w:val="0"/>
                <w:bCs/>
              </w:rPr>
              <w:t>Issue</w:t>
            </w:r>
          </w:p>
        </w:tc>
        <w:tc>
          <w:tcPr>
            <w:tcW w:w="8045" w:type="dxa"/>
          </w:tcPr>
          <w:p w14:paraId="2D00C3FD" w14:textId="20480B1E" w:rsidR="00595C8C" w:rsidRPr="00733C45" w:rsidRDefault="00595C8C" w:rsidP="00595C8C">
            <w:pPr>
              <w:spacing w:before="60" w:after="60"/>
              <w:rPr>
                <w:b w:val="0"/>
                <w:bCs/>
              </w:rPr>
            </w:pPr>
            <w:r w:rsidRPr="00733C45">
              <w:rPr>
                <w:b w:val="0"/>
                <w:bCs/>
              </w:rPr>
              <w:t xml:space="preserve">Description of </w:t>
            </w:r>
            <w:r w:rsidR="006C2925">
              <w:rPr>
                <w:b w:val="0"/>
                <w:bCs/>
              </w:rPr>
              <w:t>u</w:t>
            </w:r>
            <w:r w:rsidRPr="00733C45">
              <w:rPr>
                <w:b w:val="0"/>
                <w:bCs/>
              </w:rPr>
              <w:t>pdate(s)</w:t>
            </w:r>
          </w:p>
        </w:tc>
      </w:tr>
      <w:tr w:rsidR="00595C8C" w14:paraId="0B4E4E42" w14:textId="77777777" w:rsidTr="00733C45">
        <w:tc>
          <w:tcPr>
            <w:tcW w:w="1691" w:type="dxa"/>
          </w:tcPr>
          <w:p w14:paraId="65482A03" w14:textId="39AB1544" w:rsidR="00595C8C" w:rsidRDefault="006C2925" w:rsidP="00595C8C">
            <w:pPr>
              <w:spacing w:before="60" w:after="60"/>
            </w:pPr>
            <w:r>
              <w:t>0</w:t>
            </w:r>
          </w:p>
        </w:tc>
        <w:tc>
          <w:tcPr>
            <w:tcW w:w="8045" w:type="dxa"/>
          </w:tcPr>
          <w:p w14:paraId="1C80912E" w14:textId="04DAE349" w:rsidR="006C2925" w:rsidRDefault="006C2925" w:rsidP="006C2925">
            <w:pPr>
              <w:spacing w:before="60" w:after="60"/>
            </w:pPr>
            <w:r>
              <w:t>New document</w:t>
            </w:r>
            <w:r w:rsidR="004A649B">
              <w:t>, published in 2007.</w:t>
            </w:r>
          </w:p>
        </w:tc>
      </w:tr>
      <w:tr w:rsidR="006C2925" w14:paraId="40664748" w14:textId="77777777" w:rsidTr="00733C45">
        <w:tc>
          <w:tcPr>
            <w:tcW w:w="1691" w:type="dxa"/>
          </w:tcPr>
          <w:p w14:paraId="5F6CEE9B" w14:textId="2EC962B5" w:rsidR="006C2925" w:rsidRDefault="006C2925" w:rsidP="00595C8C">
            <w:pPr>
              <w:spacing w:before="60" w:after="60"/>
            </w:pPr>
            <w:r>
              <w:t>1</w:t>
            </w:r>
          </w:p>
        </w:tc>
        <w:tc>
          <w:tcPr>
            <w:tcW w:w="8045" w:type="dxa"/>
          </w:tcPr>
          <w:p w14:paraId="710AA4EF" w14:textId="12DE3C06" w:rsidR="006C2925" w:rsidRDefault="006C2925" w:rsidP="006C2925">
            <w:pPr>
              <w:spacing w:before="60" w:after="60"/>
            </w:pPr>
            <w:r>
              <w:t>Formatting updates and content review.</w:t>
            </w:r>
          </w:p>
        </w:tc>
      </w:tr>
    </w:tbl>
    <w:p w14:paraId="1FDB4B56" w14:textId="6C10B266" w:rsidR="00595C8C" w:rsidRDefault="00595C8C" w:rsidP="00323E71">
      <w:pPr>
        <w:sectPr w:rsidR="00595C8C" w:rsidSect="00EE06B5">
          <w:headerReference w:type="default" r:id="rId11"/>
          <w:footerReference w:type="default" r:id="rId12"/>
          <w:type w:val="continuous"/>
          <w:pgSz w:w="11906" w:h="16838" w:code="9"/>
          <w:pgMar w:top="1440" w:right="1440" w:bottom="1440" w:left="1440" w:header="397" w:footer="397" w:gutter="0"/>
          <w:cols w:space="312"/>
          <w:titlePg/>
          <w:docGrid w:linePitch="360"/>
        </w:sectPr>
      </w:pPr>
    </w:p>
    <w:p w14:paraId="026A7691" w14:textId="77777777" w:rsidR="00037D99" w:rsidRDefault="00037D99" w:rsidP="00EE0C77">
      <w:pPr>
        <w:pStyle w:val="ContentsHeading"/>
        <w:sectPr w:rsidR="00037D99" w:rsidSect="00EE06B5">
          <w:headerReference w:type="even" r:id="rId13"/>
          <w:headerReference w:type="default" r:id="rId14"/>
          <w:footerReference w:type="even" r:id="rId15"/>
          <w:footerReference w:type="default" r:id="rId16"/>
          <w:type w:val="continuous"/>
          <w:pgSz w:w="11906" w:h="16838" w:code="9"/>
          <w:pgMar w:top="1440" w:right="1440" w:bottom="1440" w:left="1440" w:header="397" w:footer="397" w:gutter="0"/>
          <w:cols w:space="312"/>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732B281" w14:textId="0C938539" w:rsidR="00F7315D" w:rsidRDefault="00925E68">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\h \z \t "Heading 1,1" </w:instrText>
      </w:r>
      <w:r>
        <w:fldChar w:fldCharType="separate"/>
      </w:r>
      <w:hyperlink w:anchor="_Toc173242840" w:history="1">
        <w:r w:rsidR="00F7315D" w:rsidRPr="005F49D8">
          <w:rPr>
            <w:rStyle w:val="Hyperlink"/>
          </w:rPr>
          <w:t>Glossary</w:t>
        </w:r>
        <w:r w:rsidR="00F7315D">
          <w:rPr>
            <w:webHidden/>
          </w:rPr>
          <w:tab/>
        </w:r>
        <w:r w:rsidR="00F7315D">
          <w:rPr>
            <w:webHidden/>
          </w:rPr>
          <w:fldChar w:fldCharType="begin"/>
        </w:r>
        <w:r w:rsidR="00F7315D">
          <w:rPr>
            <w:webHidden/>
          </w:rPr>
          <w:instrText xml:space="preserve"> PAGEREF _Toc173242840 \h </w:instrText>
        </w:r>
        <w:r w:rsidR="00F7315D">
          <w:rPr>
            <w:webHidden/>
          </w:rPr>
        </w:r>
        <w:r w:rsidR="00F7315D">
          <w:rPr>
            <w:webHidden/>
          </w:rPr>
          <w:fldChar w:fldCharType="separate"/>
        </w:r>
        <w:r w:rsidR="00071C2C">
          <w:rPr>
            <w:webHidden/>
          </w:rPr>
          <w:t>4</w:t>
        </w:r>
        <w:r w:rsidR="00F7315D">
          <w:rPr>
            <w:webHidden/>
          </w:rPr>
          <w:fldChar w:fldCharType="end"/>
        </w:r>
      </w:hyperlink>
    </w:p>
    <w:p w14:paraId="2EF6C9CB" w14:textId="1405FDEB" w:rsidR="00F7315D" w:rsidRDefault="00B56AC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3242841" w:history="1">
        <w:r w:rsidR="00F7315D" w:rsidRPr="005F49D8">
          <w:rPr>
            <w:rStyle w:val="Hyperlink"/>
          </w:rPr>
          <w:t>1.</w:t>
        </w:r>
        <w:r w:rsidR="00F7315D">
          <w:rPr>
            <w:rFonts w:asciiTheme="minorHAnsi" w:eastAsiaTheme="minorEastAsia" w:hAnsiTheme="minorHAnsi" w:cstheme="minorBidi"/>
            <w:kern w:val="2"/>
            <w:sz w:val="22"/>
            <w:lang w:eastAsia="en-GB" w:bidi="ar-SA"/>
            <w14:ligatures w14:val="standardContextual"/>
          </w:rPr>
          <w:tab/>
        </w:r>
        <w:r w:rsidR="00F7315D" w:rsidRPr="005F49D8">
          <w:rPr>
            <w:rStyle w:val="Hyperlink"/>
          </w:rPr>
          <w:t>Introduction</w:t>
        </w:r>
        <w:r w:rsidR="00F7315D">
          <w:rPr>
            <w:webHidden/>
          </w:rPr>
          <w:tab/>
        </w:r>
        <w:r w:rsidR="00F7315D">
          <w:rPr>
            <w:webHidden/>
          </w:rPr>
          <w:fldChar w:fldCharType="begin"/>
        </w:r>
        <w:r w:rsidR="00F7315D">
          <w:rPr>
            <w:webHidden/>
          </w:rPr>
          <w:instrText xml:space="preserve"> PAGEREF _Toc173242841 \h </w:instrText>
        </w:r>
        <w:r w:rsidR="00F7315D">
          <w:rPr>
            <w:webHidden/>
          </w:rPr>
        </w:r>
        <w:r w:rsidR="00F7315D">
          <w:rPr>
            <w:webHidden/>
          </w:rPr>
          <w:fldChar w:fldCharType="separate"/>
        </w:r>
        <w:r w:rsidR="00071C2C">
          <w:rPr>
            <w:webHidden/>
          </w:rPr>
          <w:t>6</w:t>
        </w:r>
        <w:r w:rsidR="00F7315D">
          <w:rPr>
            <w:webHidden/>
          </w:rPr>
          <w:fldChar w:fldCharType="end"/>
        </w:r>
      </w:hyperlink>
    </w:p>
    <w:p w14:paraId="4CA83CCC" w14:textId="2EB662CE" w:rsidR="00F7315D" w:rsidRDefault="00B56AC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3242842" w:history="1">
        <w:r w:rsidR="00F7315D" w:rsidRPr="005F49D8">
          <w:rPr>
            <w:rStyle w:val="Hyperlink"/>
          </w:rPr>
          <w:t>2.</w:t>
        </w:r>
        <w:r w:rsidR="00F7315D">
          <w:rPr>
            <w:rFonts w:asciiTheme="minorHAnsi" w:eastAsiaTheme="minorEastAsia" w:hAnsiTheme="minorHAnsi" w:cstheme="minorBidi"/>
            <w:kern w:val="2"/>
            <w:sz w:val="22"/>
            <w:lang w:eastAsia="en-GB" w:bidi="ar-SA"/>
            <w14:ligatures w14:val="standardContextual"/>
          </w:rPr>
          <w:tab/>
        </w:r>
        <w:r w:rsidR="00F7315D" w:rsidRPr="005F49D8">
          <w:rPr>
            <w:rStyle w:val="Hyperlink"/>
          </w:rPr>
          <w:t>The GDA process</w:t>
        </w:r>
        <w:r w:rsidR="00F7315D">
          <w:rPr>
            <w:webHidden/>
          </w:rPr>
          <w:tab/>
        </w:r>
        <w:r w:rsidR="00F7315D">
          <w:rPr>
            <w:webHidden/>
          </w:rPr>
          <w:fldChar w:fldCharType="begin"/>
        </w:r>
        <w:r w:rsidR="00F7315D">
          <w:rPr>
            <w:webHidden/>
          </w:rPr>
          <w:instrText xml:space="preserve"> PAGEREF _Toc173242842 \h </w:instrText>
        </w:r>
        <w:r w:rsidR="00F7315D">
          <w:rPr>
            <w:webHidden/>
          </w:rPr>
        </w:r>
        <w:r w:rsidR="00F7315D">
          <w:rPr>
            <w:webHidden/>
          </w:rPr>
          <w:fldChar w:fldCharType="separate"/>
        </w:r>
        <w:r w:rsidR="00071C2C">
          <w:rPr>
            <w:webHidden/>
          </w:rPr>
          <w:t>10</w:t>
        </w:r>
        <w:r w:rsidR="00F7315D">
          <w:rPr>
            <w:webHidden/>
          </w:rPr>
          <w:fldChar w:fldCharType="end"/>
        </w:r>
      </w:hyperlink>
    </w:p>
    <w:p w14:paraId="6D3145F5" w14:textId="2CF276C2" w:rsidR="00F7315D" w:rsidRDefault="00B56AC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3242843" w:history="1">
        <w:r w:rsidR="00F7315D" w:rsidRPr="005F49D8">
          <w:rPr>
            <w:rStyle w:val="Hyperlink"/>
          </w:rPr>
          <w:t>3.</w:t>
        </w:r>
        <w:r w:rsidR="00F7315D">
          <w:rPr>
            <w:rFonts w:asciiTheme="minorHAnsi" w:eastAsiaTheme="minorEastAsia" w:hAnsiTheme="minorHAnsi" w:cstheme="minorBidi"/>
            <w:kern w:val="2"/>
            <w:sz w:val="22"/>
            <w:lang w:eastAsia="en-GB" w:bidi="ar-SA"/>
            <w14:ligatures w14:val="standardContextual"/>
          </w:rPr>
          <w:tab/>
        </w:r>
        <w:r w:rsidR="00F7315D" w:rsidRPr="005F49D8">
          <w:rPr>
            <w:rStyle w:val="Hyperlink"/>
          </w:rPr>
          <w:t>Safety and security documentation</w:t>
        </w:r>
        <w:r w:rsidR="00F7315D">
          <w:rPr>
            <w:webHidden/>
          </w:rPr>
          <w:tab/>
        </w:r>
        <w:r w:rsidR="00F7315D">
          <w:rPr>
            <w:webHidden/>
          </w:rPr>
          <w:fldChar w:fldCharType="begin"/>
        </w:r>
        <w:r w:rsidR="00F7315D">
          <w:rPr>
            <w:webHidden/>
          </w:rPr>
          <w:instrText xml:space="preserve"> PAGEREF _Toc173242843 \h </w:instrText>
        </w:r>
        <w:r w:rsidR="00F7315D">
          <w:rPr>
            <w:webHidden/>
          </w:rPr>
        </w:r>
        <w:r w:rsidR="00F7315D">
          <w:rPr>
            <w:webHidden/>
          </w:rPr>
          <w:fldChar w:fldCharType="separate"/>
        </w:r>
        <w:r w:rsidR="00071C2C">
          <w:rPr>
            <w:webHidden/>
          </w:rPr>
          <w:t>27</w:t>
        </w:r>
        <w:r w:rsidR="00F7315D">
          <w:rPr>
            <w:webHidden/>
          </w:rPr>
          <w:fldChar w:fldCharType="end"/>
        </w:r>
      </w:hyperlink>
    </w:p>
    <w:p w14:paraId="1655BEC5" w14:textId="1E6F3E72" w:rsidR="00F7315D" w:rsidRDefault="00B56AC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3242844" w:history="1">
        <w:r w:rsidR="00F7315D" w:rsidRPr="005F49D8">
          <w:rPr>
            <w:rStyle w:val="Hyperlink"/>
          </w:rPr>
          <w:t>4.</w:t>
        </w:r>
        <w:r w:rsidR="00F7315D">
          <w:rPr>
            <w:rFonts w:asciiTheme="minorHAnsi" w:eastAsiaTheme="minorEastAsia" w:hAnsiTheme="minorHAnsi" w:cstheme="minorBidi"/>
            <w:kern w:val="2"/>
            <w:sz w:val="22"/>
            <w:lang w:eastAsia="en-GB" w:bidi="ar-SA"/>
            <w14:ligatures w14:val="standardContextual"/>
          </w:rPr>
          <w:tab/>
        </w:r>
        <w:r w:rsidR="00F7315D" w:rsidRPr="005F49D8">
          <w:rPr>
            <w:rStyle w:val="Hyperlink"/>
          </w:rPr>
          <w:t>ONR assessment</w:t>
        </w:r>
        <w:r w:rsidR="00F7315D">
          <w:rPr>
            <w:webHidden/>
          </w:rPr>
          <w:tab/>
        </w:r>
        <w:r w:rsidR="00F7315D">
          <w:rPr>
            <w:webHidden/>
          </w:rPr>
          <w:fldChar w:fldCharType="begin"/>
        </w:r>
        <w:r w:rsidR="00F7315D">
          <w:rPr>
            <w:webHidden/>
          </w:rPr>
          <w:instrText xml:space="preserve"> PAGEREF _Toc173242844 \h </w:instrText>
        </w:r>
        <w:r w:rsidR="00F7315D">
          <w:rPr>
            <w:webHidden/>
          </w:rPr>
        </w:r>
        <w:r w:rsidR="00F7315D">
          <w:rPr>
            <w:webHidden/>
          </w:rPr>
          <w:fldChar w:fldCharType="separate"/>
        </w:r>
        <w:r w:rsidR="00071C2C">
          <w:rPr>
            <w:webHidden/>
          </w:rPr>
          <w:t>39</w:t>
        </w:r>
        <w:r w:rsidR="00F7315D">
          <w:rPr>
            <w:webHidden/>
          </w:rPr>
          <w:fldChar w:fldCharType="end"/>
        </w:r>
      </w:hyperlink>
    </w:p>
    <w:p w14:paraId="72843B4B" w14:textId="3E615C6F" w:rsidR="00F7315D" w:rsidRDefault="00B56AC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3242845" w:history="1">
        <w:r w:rsidR="00F7315D" w:rsidRPr="005F49D8">
          <w:rPr>
            <w:rStyle w:val="Hyperlink"/>
          </w:rPr>
          <w:t>5.</w:t>
        </w:r>
        <w:r w:rsidR="00F7315D">
          <w:rPr>
            <w:rFonts w:asciiTheme="minorHAnsi" w:eastAsiaTheme="minorEastAsia" w:hAnsiTheme="minorHAnsi" w:cstheme="minorBidi"/>
            <w:kern w:val="2"/>
            <w:sz w:val="22"/>
            <w:lang w:eastAsia="en-GB" w:bidi="ar-SA"/>
            <w14:ligatures w14:val="standardContextual"/>
          </w:rPr>
          <w:tab/>
        </w:r>
        <w:r w:rsidR="00F7315D" w:rsidRPr="005F49D8">
          <w:rPr>
            <w:rStyle w:val="Hyperlink"/>
          </w:rPr>
          <w:t>Facilitating GDA</w:t>
        </w:r>
        <w:r w:rsidR="00F7315D">
          <w:rPr>
            <w:webHidden/>
          </w:rPr>
          <w:tab/>
        </w:r>
        <w:r w:rsidR="00F7315D">
          <w:rPr>
            <w:webHidden/>
          </w:rPr>
          <w:fldChar w:fldCharType="begin"/>
        </w:r>
        <w:r w:rsidR="00F7315D">
          <w:rPr>
            <w:webHidden/>
          </w:rPr>
          <w:instrText xml:space="preserve"> PAGEREF _Toc173242845 \h </w:instrText>
        </w:r>
        <w:r w:rsidR="00F7315D">
          <w:rPr>
            <w:webHidden/>
          </w:rPr>
        </w:r>
        <w:r w:rsidR="00F7315D">
          <w:rPr>
            <w:webHidden/>
          </w:rPr>
          <w:fldChar w:fldCharType="separate"/>
        </w:r>
        <w:r w:rsidR="00071C2C">
          <w:rPr>
            <w:webHidden/>
          </w:rPr>
          <w:t>48</w:t>
        </w:r>
        <w:r w:rsidR="00F7315D">
          <w:rPr>
            <w:webHidden/>
          </w:rPr>
          <w:fldChar w:fldCharType="end"/>
        </w:r>
      </w:hyperlink>
    </w:p>
    <w:p w14:paraId="55E3A122" w14:textId="30BBC35A" w:rsidR="00F7315D" w:rsidRDefault="00B56AC4">
      <w:pPr>
        <w:pStyle w:val="TOC1"/>
        <w:rPr>
          <w:rFonts w:asciiTheme="minorHAnsi" w:eastAsiaTheme="minorEastAsia" w:hAnsiTheme="minorHAnsi" w:cstheme="minorBidi"/>
          <w:kern w:val="2"/>
          <w:sz w:val="22"/>
          <w:lang w:eastAsia="en-GB" w:bidi="ar-SA"/>
          <w14:ligatures w14:val="standardContextual"/>
        </w:rPr>
      </w:pPr>
      <w:hyperlink w:anchor="_Toc173242846" w:history="1">
        <w:r w:rsidR="00F7315D" w:rsidRPr="005F49D8">
          <w:rPr>
            <w:rStyle w:val="Hyperlink"/>
          </w:rPr>
          <w:t>Appendix 1 – The GDA process</w:t>
        </w:r>
        <w:r w:rsidR="00F7315D">
          <w:rPr>
            <w:webHidden/>
          </w:rPr>
          <w:tab/>
        </w:r>
        <w:r w:rsidR="00F7315D">
          <w:rPr>
            <w:webHidden/>
          </w:rPr>
          <w:fldChar w:fldCharType="begin"/>
        </w:r>
        <w:r w:rsidR="00F7315D">
          <w:rPr>
            <w:webHidden/>
          </w:rPr>
          <w:instrText xml:space="preserve"> PAGEREF _Toc173242846 \h </w:instrText>
        </w:r>
        <w:r w:rsidR="00F7315D">
          <w:rPr>
            <w:webHidden/>
          </w:rPr>
        </w:r>
        <w:r w:rsidR="00F7315D">
          <w:rPr>
            <w:webHidden/>
          </w:rPr>
          <w:fldChar w:fldCharType="separate"/>
        </w:r>
        <w:r w:rsidR="00071C2C">
          <w:rPr>
            <w:webHidden/>
          </w:rPr>
          <w:t>51</w:t>
        </w:r>
        <w:r w:rsidR="00F7315D">
          <w:rPr>
            <w:webHidden/>
          </w:rPr>
          <w:fldChar w:fldCharType="end"/>
        </w:r>
      </w:hyperlink>
    </w:p>
    <w:p w14:paraId="18A97CFB" w14:textId="63B5B775" w:rsidR="00F7315D" w:rsidRDefault="00B56AC4">
      <w:pPr>
        <w:pStyle w:val="TOC1"/>
        <w:rPr>
          <w:rFonts w:asciiTheme="minorHAnsi" w:eastAsiaTheme="minorEastAsia" w:hAnsiTheme="minorHAnsi" w:cstheme="minorBidi"/>
          <w:kern w:val="2"/>
          <w:sz w:val="22"/>
          <w:lang w:eastAsia="en-GB" w:bidi="ar-SA"/>
          <w14:ligatures w14:val="standardContextual"/>
        </w:rPr>
      </w:pPr>
      <w:hyperlink w:anchor="_Toc173242847" w:history="1">
        <w:r w:rsidR="00F7315D" w:rsidRPr="005F49D8">
          <w:rPr>
            <w:rStyle w:val="Hyperlink"/>
          </w:rPr>
          <w:t>Appendix 2 – Step 1: Initiation</w:t>
        </w:r>
        <w:r w:rsidR="00F7315D">
          <w:rPr>
            <w:webHidden/>
          </w:rPr>
          <w:tab/>
        </w:r>
        <w:r w:rsidR="00F7315D">
          <w:rPr>
            <w:webHidden/>
          </w:rPr>
          <w:fldChar w:fldCharType="begin"/>
        </w:r>
        <w:r w:rsidR="00F7315D">
          <w:rPr>
            <w:webHidden/>
          </w:rPr>
          <w:instrText xml:space="preserve"> PAGEREF _Toc173242847 \h </w:instrText>
        </w:r>
        <w:r w:rsidR="00F7315D">
          <w:rPr>
            <w:webHidden/>
          </w:rPr>
        </w:r>
        <w:r w:rsidR="00F7315D">
          <w:rPr>
            <w:webHidden/>
          </w:rPr>
          <w:fldChar w:fldCharType="separate"/>
        </w:r>
        <w:r w:rsidR="00071C2C">
          <w:rPr>
            <w:webHidden/>
          </w:rPr>
          <w:t>52</w:t>
        </w:r>
        <w:r w:rsidR="00F7315D">
          <w:rPr>
            <w:webHidden/>
          </w:rPr>
          <w:fldChar w:fldCharType="end"/>
        </w:r>
      </w:hyperlink>
    </w:p>
    <w:p w14:paraId="392C64AD" w14:textId="682480B7" w:rsidR="00F7315D" w:rsidRDefault="00B56AC4">
      <w:pPr>
        <w:pStyle w:val="TOC1"/>
        <w:rPr>
          <w:rFonts w:asciiTheme="minorHAnsi" w:eastAsiaTheme="minorEastAsia" w:hAnsiTheme="minorHAnsi" w:cstheme="minorBidi"/>
          <w:kern w:val="2"/>
          <w:sz w:val="22"/>
          <w:lang w:eastAsia="en-GB" w:bidi="ar-SA"/>
          <w14:ligatures w14:val="standardContextual"/>
        </w:rPr>
      </w:pPr>
      <w:hyperlink w:anchor="_Toc173242848" w:history="1">
        <w:r w:rsidR="00F7315D" w:rsidRPr="005F49D8">
          <w:rPr>
            <w:rStyle w:val="Hyperlink"/>
          </w:rPr>
          <w:t>Appendix 3 – Step 2: Fundamental assessment</w:t>
        </w:r>
        <w:r w:rsidR="00F7315D">
          <w:rPr>
            <w:webHidden/>
          </w:rPr>
          <w:tab/>
        </w:r>
        <w:r w:rsidR="00F7315D">
          <w:rPr>
            <w:webHidden/>
          </w:rPr>
          <w:fldChar w:fldCharType="begin"/>
        </w:r>
        <w:r w:rsidR="00F7315D">
          <w:rPr>
            <w:webHidden/>
          </w:rPr>
          <w:instrText xml:space="preserve"> PAGEREF _Toc173242848 \h </w:instrText>
        </w:r>
        <w:r w:rsidR="00F7315D">
          <w:rPr>
            <w:webHidden/>
          </w:rPr>
        </w:r>
        <w:r w:rsidR="00F7315D">
          <w:rPr>
            <w:webHidden/>
          </w:rPr>
          <w:fldChar w:fldCharType="separate"/>
        </w:r>
        <w:r w:rsidR="00071C2C">
          <w:rPr>
            <w:webHidden/>
          </w:rPr>
          <w:t>58</w:t>
        </w:r>
        <w:r w:rsidR="00F7315D">
          <w:rPr>
            <w:webHidden/>
          </w:rPr>
          <w:fldChar w:fldCharType="end"/>
        </w:r>
      </w:hyperlink>
    </w:p>
    <w:p w14:paraId="771F233A" w14:textId="6FF493C5" w:rsidR="00F7315D" w:rsidRDefault="00B56AC4">
      <w:pPr>
        <w:pStyle w:val="TOC1"/>
        <w:rPr>
          <w:rFonts w:asciiTheme="minorHAnsi" w:eastAsiaTheme="minorEastAsia" w:hAnsiTheme="minorHAnsi" w:cstheme="minorBidi"/>
          <w:kern w:val="2"/>
          <w:sz w:val="22"/>
          <w:lang w:eastAsia="en-GB" w:bidi="ar-SA"/>
          <w14:ligatures w14:val="standardContextual"/>
        </w:rPr>
      </w:pPr>
      <w:hyperlink w:anchor="_Toc173242849" w:history="1">
        <w:r w:rsidR="00F7315D" w:rsidRPr="005F49D8">
          <w:rPr>
            <w:rStyle w:val="Hyperlink"/>
          </w:rPr>
          <w:t>Appendix 4 – Step 3: Detailed assessment</w:t>
        </w:r>
        <w:r w:rsidR="00F7315D">
          <w:rPr>
            <w:webHidden/>
          </w:rPr>
          <w:tab/>
        </w:r>
        <w:r w:rsidR="00F7315D">
          <w:rPr>
            <w:webHidden/>
          </w:rPr>
          <w:fldChar w:fldCharType="begin"/>
        </w:r>
        <w:r w:rsidR="00F7315D">
          <w:rPr>
            <w:webHidden/>
          </w:rPr>
          <w:instrText xml:space="preserve"> PAGEREF _Toc173242849 \h </w:instrText>
        </w:r>
        <w:r w:rsidR="00F7315D">
          <w:rPr>
            <w:webHidden/>
          </w:rPr>
        </w:r>
        <w:r w:rsidR="00F7315D">
          <w:rPr>
            <w:webHidden/>
          </w:rPr>
          <w:fldChar w:fldCharType="separate"/>
        </w:r>
        <w:r w:rsidR="00071C2C">
          <w:rPr>
            <w:webHidden/>
          </w:rPr>
          <w:t>63</w:t>
        </w:r>
        <w:r w:rsidR="00F7315D">
          <w:rPr>
            <w:webHidden/>
          </w:rPr>
          <w:fldChar w:fldCharType="end"/>
        </w:r>
      </w:hyperlink>
    </w:p>
    <w:p w14:paraId="009754DF" w14:textId="4288099C" w:rsidR="00F7315D" w:rsidRDefault="00B56AC4">
      <w:pPr>
        <w:pStyle w:val="TOC1"/>
        <w:rPr>
          <w:rFonts w:asciiTheme="minorHAnsi" w:eastAsiaTheme="minorEastAsia" w:hAnsiTheme="minorHAnsi" w:cstheme="minorBidi"/>
          <w:kern w:val="2"/>
          <w:sz w:val="22"/>
          <w:lang w:eastAsia="en-GB" w:bidi="ar-SA"/>
          <w14:ligatures w14:val="standardContextual"/>
        </w:rPr>
      </w:pPr>
      <w:hyperlink w:anchor="_Toc173242850" w:history="1">
        <w:r w:rsidR="00F7315D" w:rsidRPr="005F49D8">
          <w:rPr>
            <w:rStyle w:val="Hyperlink"/>
          </w:rPr>
          <w:t>Appendix 5 – Leveraging international assessments</w:t>
        </w:r>
        <w:r w:rsidR="00F7315D">
          <w:rPr>
            <w:webHidden/>
          </w:rPr>
          <w:tab/>
        </w:r>
        <w:r w:rsidR="00F7315D">
          <w:rPr>
            <w:webHidden/>
          </w:rPr>
          <w:fldChar w:fldCharType="begin"/>
        </w:r>
        <w:r w:rsidR="00F7315D">
          <w:rPr>
            <w:webHidden/>
          </w:rPr>
          <w:instrText xml:space="preserve"> PAGEREF _Toc173242850 \h </w:instrText>
        </w:r>
        <w:r w:rsidR="00F7315D">
          <w:rPr>
            <w:webHidden/>
          </w:rPr>
        </w:r>
        <w:r w:rsidR="00F7315D">
          <w:rPr>
            <w:webHidden/>
          </w:rPr>
          <w:fldChar w:fldCharType="separate"/>
        </w:r>
        <w:r w:rsidR="00071C2C">
          <w:rPr>
            <w:webHidden/>
          </w:rPr>
          <w:t>67</w:t>
        </w:r>
        <w:r w:rsidR="00F7315D">
          <w:rPr>
            <w:webHidden/>
          </w:rPr>
          <w:fldChar w:fldCharType="end"/>
        </w:r>
      </w:hyperlink>
    </w:p>
    <w:p w14:paraId="489F9899" w14:textId="4027E1A3" w:rsidR="00F7315D" w:rsidRDefault="00B56AC4">
      <w:pPr>
        <w:pStyle w:val="TOC1"/>
        <w:rPr>
          <w:rFonts w:asciiTheme="minorHAnsi" w:eastAsiaTheme="minorEastAsia" w:hAnsiTheme="minorHAnsi" w:cstheme="minorBidi"/>
          <w:kern w:val="2"/>
          <w:sz w:val="22"/>
          <w:lang w:eastAsia="en-GB" w:bidi="ar-SA"/>
          <w14:ligatures w14:val="standardContextual"/>
        </w:rPr>
      </w:pPr>
      <w:hyperlink w:anchor="_Toc173242851" w:history="1">
        <w:r w:rsidR="00F7315D" w:rsidRPr="005F49D8">
          <w:rPr>
            <w:rStyle w:val="Hyperlink"/>
          </w:rPr>
          <w:t>Appendix 6 – Flexibility in GDA</w:t>
        </w:r>
        <w:r w:rsidR="00F7315D">
          <w:rPr>
            <w:webHidden/>
          </w:rPr>
          <w:tab/>
        </w:r>
        <w:r w:rsidR="00F7315D">
          <w:rPr>
            <w:webHidden/>
          </w:rPr>
          <w:fldChar w:fldCharType="begin"/>
        </w:r>
        <w:r w:rsidR="00F7315D">
          <w:rPr>
            <w:webHidden/>
          </w:rPr>
          <w:instrText xml:space="preserve"> PAGEREF _Toc173242851 \h </w:instrText>
        </w:r>
        <w:r w:rsidR="00F7315D">
          <w:rPr>
            <w:webHidden/>
          </w:rPr>
        </w:r>
        <w:r w:rsidR="00F7315D">
          <w:rPr>
            <w:webHidden/>
          </w:rPr>
          <w:fldChar w:fldCharType="separate"/>
        </w:r>
        <w:r w:rsidR="00071C2C">
          <w:rPr>
            <w:webHidden/>
          </w:rPr>
          <w:t>70</w:t>
        </w:r>
        <w:r w:rsidR="00F7315D">
          <w:rPr>
            <w:webHidden/>
          </w:rPr>
          <w:fldChar w:fldCharType="end"/>
        </w:r>
      </w:hyperlink>
    </w:p>
    <w:p w14:paraId="2DADF828" w14:textId="683259D3" w:rsidR="00F7315D" w:rsidRDefault="00B56AC4">
      <w:pPr>
        <w:pStyle w:val="TOC1"/>
        <w:rPr>
          <w:rFonts w:asciiTheme="minorHAnsi" w:eastAsiaTheme="minorEastAsia" w:hAnsiTheme="minorHAnsi" w:cstheme="minorBidi"/>
          <w:kern w:val="2"/>
          <w:sz w:val="22"/>
          <w:lang w:eastAsia="en-GB" w:bidi="ar-SA"/>
          <w14:ligatures w14:val="standardContextual"/>
        </w:rPr>
      </w:pPr>
      <w:hyperlink w:anchor="_Toc173242852" w:history="1">
        <w:r w:rsidR="00F7315D" w:rsidRPr="005F49D8">
          <w:rPr>
            <w:rStyle w:val="Hyperlink"/>
          </w:rPr>
          <w:t>References</w:t>
        </w:r>
        <w:r w:rsidR="00F7315D">
          <w:rPr>
            <w:webHidden/>
          </w:rPr>
          <w:tab/>
        </w:r>
        <w:r w:rsidR="00F7315D">
          <w:rPr>
            <w:webHidden/>
          </w:rPr>
          <w:fldChar w:fldCharType="begin"/>
        </w:r>
        <w:r w:rsidR="00F7315D">
          <w:rPr>
            <w:webHidden/>
          </w:rPr>
          <w:instrText xml:space="preserve"> PAGEREF _Toc173242852 \h </w:instrText>
        </w:r>
        <w:r w:rsidR="00F7315D">
          <w:rPr>
            <w:webHidden/>
          </w:rPr>
        </w:r>
        <w:r w:rsidR="00F7315D">
          <w:rPr>
            <w:webHidden/>
          </w:rPr>
          <w:fldChar w:fldCharType="separate"/>
        </w:r>
        <w:r w:rsidR="00071C2C">
          <w:rPr>
            <w:webHidden/>
          </w:rPr>
          <w:t>74</w:t>
        </w:r>
        <w:r w:rsidR="00F7315D">
          <w:rPr>
            <w:webHidden/>
          </w:rPr>
          <w:fldChar w:fldCharType="end"/>
        </w:r>
      </w:hyperlink>
    </w:p>
    <w:p w14:paraId="0CC4B54A" w14:textId="0615DBEB" w:rsidR="00267815" w:rsidRDefault="00925E68"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037D99">
          <w:pgSz w:w="11906" w:h="16838" w:code="9"/>
          <w:pgMar w:top="1440" w:right="1440" w:bottom="1440" w:left="1440" w:header="397" w:footer="397" w:gutter="0"/>
          <w:cols w:space="312"/>
          <w:docGrid w:linePitch="360"/>
        </w:sectPr>
      </w:pPr>
    </w:p>
    <w:bookmarkEnd w:id="0"/>
    <w:p w14:paraId="7976270E" w14:textId="77777777" w:rsidR="00037D99" w:rsidRDefault="00037D99" w:rsidP="006C2925">
      <w:pPr>
        <w:pStyle w:val="Heading1"/>
        <w:numPr>
          <w:ilvl w:val="0"/>
          <w:numId w:val="0"/>
        </w:numPr>
        <w:ind w:left="851" w:hanging="851"/>
        <w:sectPr w:rsidR="00037D99" w:rsidSect="00EE06B5">
          <w:headerReference w:type="even" r:id="rId17"/>
          <w:headerReference w:type="default" r:id="rId18"/>
          <w:footerReference w:type="even" r:id="rId19"/>
          <w:type w:val="continuous"/>
          <w:pgSz w:w="11906" w:h="16838" w:code="9"/>
          <w:pgMar w:top="1440" w:right="1440" w:bottom="1440" w:left="1440" w:header="397" w:footer="397" w:gutter="0"/>
          <w:cols w:space="312"/>
          <w:docGrid w:linePitch="360"/>
        </w:sectPr>
      </w:pPr>
    </w:p>
    <w:p w14:paraId="6239C3AC" w14:textId="691FED1B" w:rsidR="009E0E52" w:rsidRDefault="006C2925" w:rsidP="006C2925">
      <w:pPr>
        <w:pStyle w:val="Heading1"/>
        <w:numPr>
          <w:ilvl w:val="0"/>
          <w:numId w:val="0"/>
        </w:numPr>
        <w:ind w:left="851" w:hanging="851"/>
      </w:pPr>
      <w:bookmarkStart w:id="1" w:name="_Toc173242840"/>
      <w:r>
        <w:lastRenderedPageBreak/>
        <w:t>Glossary</w:t>
      </w:r>
      <w:bookmarkEnd w:id="1"/>
    </w:p>
    <w:tbl>
      <w:tblPr>
        <w:tblStyle w:val="ONRTable1"/>
        <w:tblW w:w="5000" w:type="pct"/>
        <w:tblInd w:w="0" w:type="dxa"/>
        <w:tblLook w:val="04A0" w:firstRow="1" w:lastRow="0" w:firstColumn="1" w:lastColumn="0" w:noHBand="0" w:noVBand="1"/>
      </w:tblPr>
      <w:tblGrid>
        <w:gridCol w:w="1986"/>
        <w:gridCol w:w="7040"/>
      </w:tblGrid>
      <w:tr w:rsidR="004A649B" w:rsidRPr="004A649B" w14:paraId="325E66AB" w14:textId="77777777" w:rsidTr="004A649B">
        <w:trPr>
          <w:cnfStyle w:val="100000000000" w:firstRow="1" w:lastRow="0" w:firstColumn="0" w:lastColumn="0" w:oddVBand="0" w:evenVBand="0" w:oddHBand="0" w:evenHBand="0" w:firstRowFirstColumn="0" w:firstRowLastColumn="0" w:lastRowFirstColumn="0" w:lastRowLastColumn="0"/>
          <w:cantSplit/>
          <w:tblHeader/>
        </w:trPr>
        <w:tc>
          <w:tcPr>
            <w:tcW w:w="1100" w:type="pct"/>
          </w:tcPr>
          <w:p w14:paraId="69153547" w14:textId="1B7D6CCD" w:rsidR="004A649B" w:rsidRPr="004A649B" w:rsidRDefault="004A649B" w:rsidP="004A649B">
            <w:pPr>
              <w:spacing w:before="60" w:after="60" w:line="259" w:lineRule="auto"/>
              <w:rPr>
                <w:rFonts w:asciiTheme="minorHAnsi" w:hAnsiTheme="minorHAnsi" w:cstheme="minorHAnsi"/>
                <w:b w:val="0"/>
                <w:color w:val="000000"/>
                <w:szCs w:val="24"/>
              </w:rPr>
            </w:pPr>
            <w:r w:rsidRPr="004A649B">
              <w:rPr>
                <w:rFonts w:asciiTheme="minorHAnsi" w:hAnsiTheme="minorHAnsi" w:cstheme="minorHAnsi"/>
                <w:b w:val="0"/>
                <w:color w:val="000000"/>
                <w:szCs w:val="24"/>
              </w:rPr>
              <w:t>Term/ acronym</w:t>
            </w:r>
          </w:p>
        </w:tc>
        <w:tc>
          <w:tcPr>
            <w:tcW w:w="3900" w:type="pct"/>
          </w:tcPr>
          <w:p w14:paraId="6DA9C513" w14:textId="7403FD92" w:rsidR="004A649B" w:rsidRPr="004A649B" w:rsidRDefault="004A649B" w:rsidP="004A649B">
            <w:pPr>
              <w:spacing w:before="60" w:after="60" w:line="259" w:lineRule="auto"/>
              <w:rPr>
                <w:rFonts w:asciiTheme="minorHAnsi" w:hAnsiTheme="minorHAnsi" w:cstheme="minorHAnsi"/>
                <w:b w:val="0"/>
                <w:color w:val="000000"/>
                <w:szCs w:val="24"/>
              </w:rPr>
            </w:pPr>
            <w:r w:rsidRPr="004A649B">
              <w:rPr>
                <w:rFonts w:asciiTheme="minorHAnsi" w:hAnsiTheme="minorHAnsi" w:cstheme="minorHAnsi"/>
                <w:b w:val="0"/>
                <w:color w:val="000000"/>
                <w:szCs w:val="24"/>
              </w:rPr>
              <w:t>Description</w:t>
            </w:r>
          </w:p>
        </w:tc>
      </w:tr>
      <w:tr w:rsidR="004A649B" w:rsidRPr="004A649B" w14:paraId="168DAA3A" w14:textId="77777777" w:rsidTr="004A649B">
        <w:trPr>
          <w:cantSplit/>
        </w:trPr>
        <w:tc>
          <w:tcPr>
            <w:tcW w:w="1100" w:type="pct"/>
          </w:tcPr>
          <w:p w14:paraId="3C84CFC6"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ALARP</w:t>
            </w:r>
          </w:p>
        </w:tc>
        <w:tc>
          <w:tcPr>
            <w:tcW w:w="3900" w:type="pct"/>
          </w:tcPr>
          <w:p w14:paraId="4E23A1B1"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As Low As Reasonably Practicable</w:t>
            </w:r>
          </w:p>
        </w:tc>
      </w:tr>
      <w:tr w:rsidR="001757B3" w:rsidRPr="004A649B" w14:paraId="2DFF3EE8" w14:textId="77777777" w:rsidTr="004A649B">
        <w:trPr>
          <w:cantSplit/>
        </w:trPr>
        <w:tc>
          <w:tcPr>
            <w:tcW w:w="1100" w:type="pct"/>
          </w:tcPr>
          <w:p w14:paraId="24D63AF5" w14:textId="54A6EA7E" w:rsidR="001757B3" w:rsidRPr="004A649B" w:rsidRDefault="001757B3" w:rsidP="004A649B">
            <w:pPr>
              <w:spacing w:before="60" w:after="60" w:line="259" w:lineRule="auto"/>
              <w:rPr>
                <w:rFonts w:asciiTheme="minorHAnsi" w:hAnsiTheme="minorHAnsi" w:cstheme="minorHAnsi"/>
                <w:color w:val="000000"/>
                <w:szCs w:val="24"/>
              </w:rPr>
            </w:pPr>
            <w:r>
              <w:rPr>
                <w:rFonts w:asciiTheme="minorHAnsi" w:hAnsiTheme="minorHAnsi" w:cstheme="minorHAnsi"/>
                <w:color w:val="000000"/>
                <w:szCs w:val="24"/>
              </w:rPr>
              <w:t>AMR</w:t>
            </w:r>
          </w:p>
        </w:tc>
        <w:tc>
          <w:tcPr>
            <w:tcW w:w="3900" w:type="pct"/>
          </w:tcPr>
          <w:p w14:paraId="49A08446" w14:textId="08F43F72" w:rsidR="001757B3" w:rsidRPr="004A649B" w:rsidRDefault="001757B3"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Advanced Modular Reactor</w:t>
            </w:r>
          </w:p>
        </w:tc>
      </w:tr>
      <w:tr w:rsidR="004A649B" w:rsidRPr="004A649B" w14:paraId="7E239674" w14:textId="77777777" w:rsidTr="004A649B">
        <w:trPr>
          <w:cantSplit/>
        </w:trPr>
        <w:tc>
          <w:tcPr>
            <w:tcW w:w="1100" w:type="pct"/>
          </w:tcPr>
          <w:p w14:paraId="53C840FF" w14:textId="5FB7D7FA" w:rsidR="004A649B" w:rsidRPr="004A649B" w:rsidRDefault="00D77C91" w:rsidP="004A649B">
            <w:pPr>
              <w:spacing w:before="60" w:after="60" w:line="259" w:lineRule="auto"/>
              <w:rPr>
                <w:rFonts w:asciiTheme="minorHAnsi" w:hAnsiTheme="minorHAnsi" w:cstheme="minorHAnsi"/>
                <w:color w:val="000000"/>
                <w:szCs w:val="24"/>
              </w:rPr>
            </w:pPr>
            <w:r>
              <w:rPr>
                <w:rFonts w:asciiTheme="minorHAnsi" w:hAnsiTheme="minorHAnsi" w:cstheme="minorHAnsi"/>
                <w:color w:val="000000"/>
                <w:szCs w:val="24"/>
              </w:rPr>
              <w:t xml:space="preserve">ANT - </w:t>
            </w:r>
            <w:r w:rsidRPr="004A649B">
              <w:rPr>
                <w:rFonts w:asciiTheme="minorHAnsi" w:hAnsiTheme="minorHAnsi" w:cstheme="minorHAnsi"/>
                <w:color w:val="000000"/>
                <w:szCs w:val="24"/>
              </w:rPr>
              <w:t>Advanced Nuclear Technology</w:t>
            </w:r>
          </w:p>
        </w:tc>
        <w:tc>
          <w:tcPr>
            <w:tcW w:w="3900" w:type="pct"/>
          </w:tcPr>
          <w:p w14:paraId="237C0AC8" w14:textId="49190678" w:rsidR="004A649B" w:rsidRPr="004A649B" w:rsidRDefault="00D77C91" w:rsidP="004A649B">
            <w:pPr>
              <w:spacing w:before="60" w:after="60" w:line="259" w:lineRule="auto"/>
              <w:rPr>
                <w:rFonts w:asciiTheme="minorHAnsi" w:hAnsiTheme="minorHAnsi" w:cstheme="minorHAnsi"/>
                <w:color w:val="000000"/>
                <w:szCs w:val="24"/>
              </w:rPr>
            </w:pPr>
            <w:r>
              <w:rPr>
                <w:rFonts w:asciiTheme="minorHAnsi" w:hAnsiTheme="minorHAnsi" w:cstheme="minorHAnsi"/>
                <w:color w:val="000000"/>
                <w:szCs w:val="24"/>
              </w:rPr>
              <w:t>E</w:t>
            </w:r>
            <w:r w:rsidR="004A649B" w:rsidRPr="004A649B">
              <w:rPr>
                <w:rFonts w:asciiTheme="minorHAnsi" w:hAnsiTheme="minorHAnsi" w:cstheme="minorHAnsi"/>
                <w:color w:val="000000"/>
                <w:szCs w:val="24"/>
              </w:rPr>
              <w:t>ncompass a wide range of innovative nuclear reactor technologies, including Small Modular Reactors (SMRs) and Advanced Modular Reactors (AMRs):</w:t>
            </w:r>
          </w:p>
          <w:p w14:paraId="53F6052F" w14:textId="77777777" w:rsidR="004A649B" w:rsidRPr="004A649B" w:rsidRDefault="004A649B" w:rsidP="005C7992">
            <w:pPr>
              <w:pStyle w:val="Bulletlist1"/>
              <w:spacing w:before="60" w:after="60"/>
              <w:ind w:left="458"/>
            </w:pPr>
            <w:r w:rsidRPr="004A649B">
              <w:t>The term AMR is used to refer to Gen IV-type reactors which use novel cooling systems or fuels to offer new functionality (such as industrial process heat).</w:t>
            </w:r>
          </w:p>
          <w:p w14:paraId="44724CE1" w14:textId="6D07813D" w:rsidR="004A649B" w:rsidRPr="004A649B" w:rsidRDefault="004A649B" w:rsidP="005C7992">
            <w:pPr>
              <w:pStyle w:val="Bulletlist1"/>
              <w:spacing w:before="60" w:after="60"/>
              <w:ind w:left="458"/>
            </w:pPr>
            <w:r w:rsidRPr="004A649B">
              <w:t>The term SMR is used to refer to Generation III water-cooled reactors, similar to existing nuclear power station reactors but on a smaller scale.</w:t>
            </w:r>
          </w:p>
        </w:tc>
      </w:tr>
      <w:tr w:rsidR="00071C2C" w:rsidRPr="004A649B" w14:paraId="63F78342" w14:textId="77777777" w:rsidTr="004A649B">
        <w:trPr>
          <w:cantSplit/>
        </w:trPr>
        <w:tc>
          <w:tcPr>
            <w:tcW w:w="1100" w:type="pct"/>
          </w:tcPr>
          <w:p w14:paraId="15A96E6B" w14:textId="1474A06D" w:rsidR="00071C2C" w:rsidRDefault="00071C2C" w:rsidP="004A649B">
            <w:pPr>
              <w:spacing w:before="60" w:after="60" w:line="259" w:lineRule="auto"/>
              <w:rPr>
                <w:rFonts w:asciiTheme="minorHAnsi" w:hAnsiTheme="minorHAnsi" w:cstheme="minorHAnsi"/>
                <w:color w:val="000000"/>
                <w:szCs w:val="24"/>
              </w:rPr>
            </w:pPr>
            <w:r>
              <w:rPr>
                <w:rFonts w:asciiTheme="minorHAnsi" w:hAnsiTheme="minorHAnsi" w:cstheme="minorHAnsi"/>
                <w:color w:val="000000"/>
                <w:szCs w:val="24"/>
              </w:rPr>
              <w:t>CNI</w:t>
            </w:r>
          </w:p>
        </w:tc>
        <w:tc>
          <w:tcPr>
            <w:tcW w:w="3900" w:type="pct"/>
          </w:tcPr>
          <w:p w14:paraId="1FFDBAE4" w14:textId="3DECBB71" w:rsidR="00071C2C" w:rsidRDefault="00071C2C" w:rsidP="004A649B">
            <w:pPr>
              <w:spacing w:before="60" w:after="60" w:line="259" w:lineRule="auto"/>
              <w:rPr>
                <w:rFonts w:asciiTheme="minorHAnsi" w:hAnsiTheme="minorHAnsi" w:cstheme="minorHAnsi"/>
                <w:color w:val="000000"/>
                <w:szCs w:val="24"/>
              </w:rPr>
            </w:pPr>
            <w:r>
              <w:rPr>
                <w:rFonts w:asciiTheme="minorHAnsi" w:hAnsiTheme="minorHAnsi" w:cstheme="minorHAnsi"/>
                <w:color w:val="000000"/>
                <w:szCs w:val="24"/>
              </w:rPr>
              <w:t>Chief Nuclear Inspector</w:t>
            </w:r>
          </w:p>
        </w:tc>
      </w:tr>
      <w:tr w:rsidR="004A649B" w:rsidRPr="004A649B" w14:paraId="20E5E0AE" w14:textId="77777777" w:rsidTr="004A649B">
        <w:trPr>
          <w:cantSplit/>
        </w:trPr>
        <w:tc>
          <w:tcPr>
            <w:tcW w:w="1100" w:type="pct"/>
          </w:tcPr>
          <w:p w14:paraId="39A0C9DC"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DAC</w:t>
            </w:r>
          </w:p>
        </w:tc>
        <w:tc>
          <w:tcPr>
            <w:tcW w:w="3900" w:type="pct"/>
          </w:tcPr>
          <w:p w14:paraId="686CCEBE" w14:textId="5F8901BB"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 xml:space="preserve">Design Acceptance Confirmation - A potential output of the GDA process (refer to </w:t>
            </w:r>
            <w:r w:rsidR="001757B3">
              <w:rPr>
                <w:rFonts w:asciiTheme="minorHAnsi" w:hAnsiTheme="minorHAnsi" w:cstheme="minorHAnsi"/>
                <w:color w:val="000000"/>
                <w:szCs w:val="24"/>
              </w:rPr>
              <w:t>s</w:t>
            </w:r>
            <w:r w:rsidRPr="004A649B">
              <w:rPr>
                <w:rFonts w:asciiTheme="minorHAnsi" w:hAnsiTheme="minorHAnsi" w:cstheme="minorHAnsi"/>
                <w:color w:val="000000"/>
                <w:szCs w:val="24"/>
              </w:rPr>
              <w:t xml:space="preserve">ection </w:t>
            </w:r>
            <w:r w:rsidR="006221E7">
              <w:rPr>
                <w:rFonts w:asciiTheme="minorHAnsi" w:hAnsiTheme="minorHAnsi" w:cstheme="minorHAnsi"/>
                <w:color w:val="000000"/>
                <w:szCs w:val="24"/>
              </w:rPr>
              <w:fldChar w:fldCharType="begin"/>
            </w:r>
            <w:r w:rsidR="006221E7">
              <w:rPr>
                <w:rFonts w:asciiTheme="minorHAnsi" w:hAnsiTheme="minorHAnsi" w:cstheme="minorHAnsi"/>
                <w:color w:val="000000"/>
                <w:szCs w:val="24"/>
              </w:rPr>
              <w:instrText xml:space="preserve"> REF _Ref173226653 \r \h </w:instrText>
            </w:r>
            <w:r w:rsidR="006221E7">
              <w:rPr>
                <w:rFonts w:asciiTheme="minorHAnsi" w:hAnsiTheme="minorHAnsi" w:cstheme="minorHAnsi"/>
                <w:color w:val="000000"/>
                <w:szCs w:val="24"/>
              </w:rPr>
            </w:r>
            <w:r w:rsidR="006221E7">
              <w:rPr>
                <w:rFonts w:asciiTheme="minorHAnsi" w:hAnsiTheme="minorHAnsi" w:cstheme="minorHAnsi"/>
                <w:color w:val="000000"/>
                <w:szCs w:val="24"/>
              </w:rPr>
              <w:fldChar w:fldCharType="separate"/>
            </w:r>
            <w:r w:rsidR="006221E7">
              <w:rPr>
                <w:rFonts w:asciiTheme="minorHAnsi" w:hAnsiTheme="minorHAnsi" w:cstheme="minorHAnsi"/>
                <w:color w:val="000000"/>
                <w:szCs w:val="24"/>
                <w:cs/>
              </w:rPr>
              <w:t>‎</w:t>
            </w:r>
            <w:r w:rsidR="006221E7">
              <w:rPr>
                <w:rFonts w:asciiTheme="minorHAnsi" w:hAnsiTheme="minorHAnsi" w:cstheme="minorHAnsi"/>
                <w:color w:val="000000"/>
                <w:szCs w:val="24"/>
              </w:rPr>
              <w:t>2.8</w:t>
            </w:r>
            <w:r w:rsidR="006221E7">
              <w:rPr>
                <w:rFonts w:asciiTheme="minorHAnsi" w:hAnsiTheme="minorHAnsi" w:cstheme="minorHAnsi"/>
                <w:color w:val="000000"/>
                <w:szCs w:val="24"/>
              </w:rPr>
              <w:fldChar w:fldCharType="end"/>
            </w:r>
            <w:r w:rsidRPr="004A649B">
              <w:rPr>
                <w:rFonts w:asciiTheme="minorHAnsi" w:hAnsiTheme="minorHAnsi" w:cstheme="minorHAnsi"/>
                <w:color w:val="000000"/>
                <w:szCs w:val="24"/>
              </w:rPr>
              <w:t>)</w:t>
            </w:r>
          </w:p>
        </w:tc>
      </w:tr>
      <w:tr w:rsidR="00D77C91" w:rsidRPr="004A649B" w14:paraId="1168F2FD" w14:textId="77777777" w:rsidTr="004A649B">
        <w:trPr>
          <w:cantSplit/>
        </w:trPr>
        <w:tc>
          <w:tcPr>
            <w:tcW w:w="1100" w:type="pct"/>
          </w:tcPr>
          <w:p w14:paraId="5F645A04" w14:textId="4A562463" w:rsidR="00D77C91" w:rsidRPr="004A649B" w:rsidRDefault="00D77C91" w:rsidP="004A649B">
            <w:pPr>
              <w:spacing w:before="60" w:after="60" w:line="259" w:lineRule="auto"/>
              <w:rPr>
                <w:rFonts w:asciiTheme="minorHAnsi" w:hAnsiTheme="minorHAnsi" w:cstheme="minorHAnsi"/>
                <w:color w:val="000000"/>
                <w:szCs w:val="24"/>
              </w:rPr>
            </w:pPr>
            <w:r>
              <w:rPr>
                <w:rFonts w:asciiTheme="minorHAnsi" w:hAnsiTheme="minorHAnsi" w:cstheme="minorHAnsi"/>
                <w:color w:val="000000"/>
                <w:szCs w:val="24"/>
              </w:rPr>
              <w:t>DESNZ</w:t>
            </w:r>
          </w:p>
        </w:tc>
        <w:tc>
          <w:tcPr>
            <w:tcW w:w="3900" w:type="pct"/>
          </w:tcPr>
          <w:p w14:paraId="27DE2CC9" w14:textId="623739C4" w:rsidR="00D77C91" w:rsidRPr="004A649B" w:rsidRDefault="00D77C91" w:rsidP="004A649B">
            <w:pPr>
              <w:spacing w:before="60" w:after="60" w:line="259" w:lineRule="auto"/>
              <w:rPr>
                <w:rFonts w:asciiTheme="minorHAnsi" w:hAnsiTheme="minorHAnsi" w:cstheme="minorHAnsi"/>
                <w:color w:val="000000"/>
                <w:szCs w:val="24"/>
              </w:rPr>
            </w:pPr>
            <w:r w:rsidRPr="00D77C91">
              <w:rPr>
                <w:rFonts w:asciiTheme="minorHAnsi" w:hAnsiTheme="minorHAnsi" w:cstheme="minorHAnsi"/>
                <w:color w:val="000000"/>
                <w:szCs w:val="24"/>
              </w:rPr>
              <w:t>Department for Energy Security and Net Zero</w:t>
            </w:r>
          </w:p>
        </w:tc>
      </w:tr>
      <w:tr w:rsidR="004A649B" w:rsidRPr="004A649B" w14:paraId="529520C3" w14:textId="77777777" w:rsidTr="004A649B">
        <w:trPr>
          <w:cantSplit/>
        </w:trPr>
        <w:tc>
          <w:tcPr>
            <w:tcW w:w="1100" w:type="pct"/>
          </w:tcPr>
          <w:p w14:paraId="2DE93FB7"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DR</w:t>
            </w:r>
          </w:p>
        </w:tc>
        <w:tc>
          <w:tcPr>
            <w:tcW w:w="3900" w:type="pct"/>
          </w:tcPr>
          <w:p w14:paraId="683E146A" w14:textId="57D8732F"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 xml:space="preserve">Design Reference (refer to </w:t>
            </w:r>
            <w:r w:rsidR="001757B3">
              <w:rPr>
                <w:rFonts w:asciiTheme="minorHAnsi" w:hAnsiTheme="minorHAnsi" w:cstheme="minorHAnsi"/>
                <w:color w:val="000000"/>
                <w:szCs w:val="24"/>
              </w:rPr>
              <w:t>s</w:t>
            </w:r>
            <w:r w:rsidRPr="004A649B">
              <w:rPr>
                <w:rFonts w:asciiTheme="minorHAnsi" w:hAnsiTheme="minorHAnsi" w:cstheme="minorHAnsi"/>
                <w:color w:val="000000"/>
                <w:szCs w:val="24"/>
              </w:rPr>
              <w:t xml:space="preserve">ection </w:t>
            </w:r>
            <w:r w:rsidR="006221E7">
              <w:rPr>
                <w:rFonts w:asciiTheme="minorHAnsi" w:hAnsiTheme="minorHAnsi" w:cstheme="minorHAnsi"/>
                <w:color w:val="000000"/>
                <w:szCs w:val="24"/>
              </w:rPr>
              <w:fldChar w:fldCharType="begin"/>
            </w:r>
            <w:r w:rsidR="006221E7">
              <w:rPr>
                <w:rFonts w:asciiTheme="minorHAnsi" w:hAnsiTheme="minorHAnsi" w:cstheme="minorHAnsi"/>
                <w:color w:val="000000"/>
                <w:szCs w:val="24"/>
              </w:rPr>
              <w:instrText xml:space="preserve"> REF _Ref173230826 \r \h </w:instrText>
            </w:r>
            <w:r w:rsidR="006221E7">
              <w:rPr>
                <w:rFonts w:asciiTheme="minorHAnsi" w:hAnsiTheme="minorHAnsi" w:cstheme="minorHAnsi"/>
                <w:color w:val="000000"/>
                <w:szCs w:val="24"/>
              </w:rPr>
            </w:r>
            <w:r w:rsidR="006221E7">
              <w:rPr>
                <w:rFonts w:asciiTheme="minorHAnsi" w:hAnsiTheme="minorHAnsi" w:cstheme="minorHAnsi"/>
                <w:color w:val="000000"/>
                <w:szCs w:val="24"/>
              </w:rPr>
              <w:fldChar w:fldCharType="separate"/>
            </w:r>
            <w:r w:rsidR="006221E7">
              <w:rPr>
                <w:rFonts w:asciiTheme="minorHAnsi" w:hAnsiTheme="minorHAnsi" w:cstheme="minorHAnsi"/>
                <w:color w:val="000000"/>
                <w:szCs w:val="24"/>
                <w:cs/>
              </w:rPr>
              <w:t>‎</w:t>
            </w:r>
            <w:r w:rsidR="006221E7">
              <w:rPr>
                <w:rFonts w:asciiTheme="minorHAnsi" w:hAnsiTheme="minorHAnsi" w:cstheme="minorHAnsi"/>
                <w:color w:val="000000"/>
                <w:szCs w:val="24"/>
              </w:rPr>
              <w:t>3.5</w:t>
            </w:r>
            <w:r w:rsidR="006221E7">
              <w:rPr>
                <w:rFonts w:asciiTheme="minorHAnsi" w:hAnsiTheme="minorHAnsi" w:cstheme="minorHAnsi"/>
                <w:color w:val="000000"/>
                <w:szCs w:val="24"/>
              </w:rPr>
              <w:fldChar w:fldCharType="end"/>
            </w:r>
            <w:r w:rsidRPr="004A649B">
              <w:rPr>
                <w:rFonts w:asciiTheme="minorHAnsi" w:hAnsiTheme="minorHAnsi" w:cstheme="minorHAnsi"/>
                <w:color w:val="000000"/>
                <w:szCs w:val="24"/>
              </w:rPr>
              <w:t>)</w:t>
            </w:r>
          </w:p>
        </w:tc>
      </w:tr>
      <w:tr w:rsidR="004A649B" w:rsidRPr="004A649B" w14:paraId="0774462A" w14:textId="77777777" w:rsidTr="004A649B">
        <w:trPr>
          <w:cantSplit/>
        </w:trPr>
        <w:tc>
          <w:tcPr>
            <w:tcW w:w="1100" w:type="pct"/>
          </w:tcPr>
          <w:p w14:paraId="3E16B1A1"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DRP</w:t>
            </w:r>
          </w:p>
        </w:tc>
        <w:tc>
          <w:tcPr>
            <w:tcW w:w="3900" w:type="pct"/>
          </w:tcPr>
          <w:p w14:paraId="07A950B2" w14:textId="0EAB4109"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 xml:space="preserve">Design Reference Point (refer to </w:t>
            </w:r>
            <w:r w:rsidR="001757B3">
              <w:rPr>
                <w:rFonts w:asciiTheme="minorHAnsi" w:hAnsiTheme="minorHAnsi" w:cstheme="minorHAnsi"/>
                <w:color w:val="000000"/>
                <w:szCs w:val="24"/>
              </w:rPr>
              <w:t>s</w:t>
            </w:r>
            <w:r w:rsidRPr="004A649B">
              <w:rPr>
                <w:rFonts w:asciiTheme="minorHAnsi" w:hAnsiTheme="minorHAnsi" w:cstheme="minorHAnsi"/>
                <w:color w:val="000000"/>
                <w:szCs w:val="24"/>
              </w:rPr>
              <w:t xml:space="preserve">ection </w:t>
            </w:r>
            <w:r w:rsidR="006221E7">
              <w:rPr>
                <w:rFonts w:asciiTheme="minorHAnsi" w:hAnsiTheme="minorHAnsi" w:cstheme="minorHAnsi"/>
                <w:color w:val="000000"/>
                <w:szCs w:val="24"/>
              </w:rPr>
              <w:fldChar w:fldCharType="begin"/>
            </w:r>
            <w:r w:rsidR="006221E7">
              <w:rPr>
                <w:rFonts w:asciiTheme="minorHAnsi" w:hAnsiTheme="minorHAnsi" w:cstheme="minorHAnsi"/>
                <w:color w:val="000000"/>
                <w:szCs w:val="24"/>
              </w:rPr>
              <w:instrText xml:space="preserve"> REF _Ref173230826 \r \h </w:instrText>
            </w:r>
            <w:r w:rsidR="006221E7">
              <w:rPr>
                <w:rFonts w:asciiTheme="minorHAnsi" w:hAnsiTheme="minorHAnsi" w:cstheme="minorHAnsi"/>
                <w:color w:val="000000"/>
                <w:szCs w:val="24"/>
              </w:rPr>
            </w:r>
            <w:r w:rsidR="006221E7">
              <w:rPr>
                <w:rFonts w:asciiTheme="minorHAnsi" w:hAnsiTheme="minorHAnsi" w:cstheme="minorHAnsi"/>
                <w:color w:val="000000"/>
                <w:szCs w:val="24"/>
              </w:rPr>
              <w:fldChar w:fldCharType="separate"/>
            </w:r>
            <w:r w:rsidR="006221E7">
              <w:rPr>
                <w:rFonts w:asciiTheme="minorHAnsi" w:hAnsiTheme="minorHAnsi" w:cstheme="minorHAnsi"/>
                <w:color w:val="000000"/>
                <w:szCs w:val="24"/>
                <w:cs/>
              </w:rPr>
              <w:t>‎</w:t>
            </w:r>
            <w:r w:rsidR="006221E7">
              <w:rPr>
                <w:rFonts w:asciiTheme="minorHAnsi" w:hAnsiTheme="minorHAnsi" w:cstheme="minorHAnsi"/>
                <w:color w:val="000000"/>
                <w:szCs w:val="24"/>
              </w:rPr>
              <w:t>3.5</w:t>
            </w:r>
            <w:r w:rsidR="006221E7">
              <w:rPr>
                <w:rFonts w:asciiTheme="minorHAnsi" w:hAnsiTheme="minorHAnsi" w:cstheme="minorHAnsi"/>
                <w:color w:val="000000"/>
                <w:szCs w:val="24"/>
              </w:rPr>
              <w:fldChar w:fldCharType="end"/>
            </w:r>
            <w:r w:rsidRPr="004A649B">
              <w:rPr>
                <w:rFonts w:asciiTheme="minorHAnsi" w:hAnsiTheme="minorHAnsi" w:cstheme="minorHAnsi"/>
                <w:color w:val="000000"/>
                <w:szCs w:val="24"/>
              </w:rPr>
              <w:t>)</w:t>
            </w:r>
          </w:p>
        </w:tc>
      </w:tr>
      <w:tr w:rsidR="004A649B" w:rsidRPr="004A649B" w14:paraId="0D1512C2" w14:textId="77777777" w:rsidTr="004A649B">
        <w:trPr>
          <w:cantSplit/>
        </w:trPr>
        <w:tc>
          <w:tcPr>
            <w:tcW w:w="1100" w:type="pct"/>
          </w:tcPr>
          <w:p w14:paraId="12B46997"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FSyP</w:t>
            </w:r>
          </w:p>
        </w:tc>
        <w:tc>
          <w:tcPr>
            <w:tcW w:w="3900" w:type="pct"/>
          </w:tcPr>
          <w:p w14:paraId="2E437F67"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Fundamental Security Principle</w:t>
            </w:r>
          </w:p>
        </w:tc>
      </w:tr>
      <w:tr w:rsidR="004A649B" w:rsidRPr="004A649B" w14:paraId="40571E48" w14:textId="77777777" w:rsidTr="004A649B">
        <w:trPr>
          <w:cantSplit/>
        </w:trPr>
        <w:tc>
          <w:tcPr>
            <w:tcW w:w="1100" w:type="pct"/>
          </w:tcPr>
          <w:p w14:paraId="7C7D62D5"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GB</w:t>
            </w:r>
          </w:p>
        </w:tc>
        <w:tc>
          <w:tcPr>
            <w:tcW w:w="3900" w:type="pct"/>
          </w:tcPr>
          <w:p w14:paraId="714574B8"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Great Britain</w:t>
            </w:r>
          </w:p>
        </w:tc>
      </w:tr>
      <w:tr w:rsidR="004A649B" w:rsidRPr="004A649B" w14:paraId="44BF9E3A" w14:textId="77777777" w:rsidTr="004A649B">
        <w:trPr>
          <w:cantSplit/>
        </w:trPr>
        <w:tc>
          <w:tcPr>
            <w:tcW w:w="1100" w:type="pct"/>
          </w:tcPr>
          <w:p w14:paraId="6931758A"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GDA</w:t>
            </w:r>
          </w:p>
        </w:tc>
        <w:tc>
          <w:tcPr>
            <w:tcW w:w="3900" w:type="pct"/>
          </w:tcPr>
          <w:p w14:paraId="2977109E"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Generic Design Assessment</w:t>
            </w:r>
          </w:p>
        </w:tc>
      </w:tr>
      <w:tr w:rsidR="004A649B" w:rsidRPr="004A649B" w14:paraId="0F5EC852" w14:textId="77777777" w:rsidTr="004A649B">
        <w:trPr>
          <w:cantSplit/>
        </w:trPr>
        <w:tc>
          <w:tcPr>
            <w:tcW w:w="1100" w:type="pct"/>
          </w:tcPr>
          <w:p w14:paraId="0625E526"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GDA statement</w:t>
            </w:r>
          </w:p>
        </w:tc>
        <w:tc>
          <w:tcPr>
            <w:tcW w:w="3900" w:type="pct"/>
          </w:tcPr>
          <w:p w14:paraId="76D4A09E" w14:textId="2FA93164"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 xml:space="preserve">A potential output of the GDA process (refer to </w:t>
            </w:r>
            <w:r w:rsidR="00D77C91">
              <w:rPr>
                <w:rFonts w:asciiTheme="minorHAnsi" w:hAnsiTheme="minorHAnsi" w:cstheme="minorHAnsi"/>
                <w:color w:val="000000"/>
                <w:szCs w:val="24"/>
              </w:rPr>
              <w:t>s</w:t>
            </w:r>
            <w:r w:rsidRPr="004A649B">
              <w:rPr>
                <w:rFonts w:asciiTheme="minorHAnsi" w:hAnsiTheme="minorHAnsi" w:cstheme="minorHAnsi"/>
                <w:color w:val="000000"/>
                <w:szCs w:val="24"/>
              </w:rPr>
              <w:t xml:space="preserve">ection </w:t>
            </w:r>
            <w:r w:rsidR="00D77C91">
              <w:rPr>
                <w:rFonts w:asciiTheme="minorHAnsi" w:hAnsiTheme="minorHAnsi" w:cstheme="minorHAnsi"/>
                <w:color w:val="000000"/>
                <w:szCs w:val="24"/>
              </w:rPr>
              <w:fldChar w:fldCharType="begin"/>
            </w:r>
            <w:r w:rsidR="00D77C91">
              <w:rPr>
                <w:rFonts w:asciiTheme="minorHAnsi" w:hAnsiTheme="minorHAnsi" w:cstheme="minorHAnsi"/>
                <w:color w:val="000000"/>
                <w:szCs w:val="24"/>
              </w:rPr>
              <w:instrText xml:space="preserve"> REF _Ref173226653 \r \h </w:instrText>
            </w:r>
            <w:r w:rsidR="00D77C91">
              <w:rPr>
                <w:rFonts w:asciiTheme="minorHAnsi" w:hAnsiTheme="minorHAnsi" w:cstheme="minorHAnsi"/>
                <w:color w:val="000000"/>
                <w:szCs w:val="24"/>
              </w:rPr>
            </w:r>
            <w:r w:rsidR="00D77C91">
              <w:rPr>
                <w:rFonts w:asciiTheme="minorHAnsi" w:hAnsiTheme="minorHAnsi" w:cstheme="minorHAnsi"/>
                <w:color w:val="000000"/>
                <w:szCs w:val="24"/>
              </w:rPr>
              <w:fldChar w:fldCharType="separate"/>
            </w:r>
            <w:r w:rsidR="00D77C91">
              <w:rPr>
                <w:rFonts w:asciiTheme="minorHAnsi" w:hAnsiTheme="minorHAnsi" w:cstheme="minorHAnsi"/>
                <w:color w:val="000000"/>
                <w:szCs w:val="24"/>
                <w:cs/>
              </w:rPr>
              <w:t>‎</w:t>
            </w:r>
            <w:r w:rsidR="00D77C91">
              <w:rPr>
                <w:rFonts w:asciiTheme="minorHAnsi" w:hAnsiTheme="minorHAnsi" w:cstheme="minorHAnsi"/>
                <w:color w:val="000000"/>
                <w:szCs w:val="24"/>
              </w:rPr>
              <w:t>2.8</w:t>
            </w:r>
            <w:r w:rsidR="00D77C91">
              <w:rPr>
                <w:rFonts w:asciiTheme="minorHAnsi" w:hAnsiTheme="minorHAnsi" w:cstheme="minorHAnsi"/>
                <w:color w:val="000000"/>
                <w:szCs w:val="24"/>
              </w:rPr>
              <w:fldChar w:fldCharType="end"/>
            </w:r>
            <w:r w:rsidRPr="004A649B">
              <w:rPr>
                <w:rFonts w:asciiTheme="minorHAnsi" w:hAnsiTheme="minorHAnsi" w:cstheme="minorHAnsi"/>
                <w:color w:val="000000"/>
                <w:szCs w:val="24"/>
              </w:rPr>
              <w:t>)</w:t>
            </w:r>
          </w:p>
        </w:tc>
      </w:tr>
      <w:tr w:rsidR="004A649B" w:rsidRPr="004A649B" w14:paraId="4D47CA97" w14:textId="77777777" w:rsidTr="004A649B">
        <w:trPr>
          <w:cantSplit/>
        </w:trPr>
        <w:tc>
          <w:tcPr>
            <w:tcW w:w="1100" w:type="pct"/>
          </w:tcPr>
          <w:p w14:paraId="4237A6FD"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GSR</w:t>
            </w:r>
          </w:p>
        </w:tc>
        <w:tc>
          <w:tcPr>
            <w:tcW w:w="3900" w:type="pct"/>
          </w:tcPr>
          <w:p w14:paraId="6C0E1066"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Generic Security Report</w:t>
            </w:r>
          </w:p>
        </w:tc>
      </w:tr>
      <w:tr w:rsidR="004A649B" w:rsidRPr="004A649B" w14:paraId="3C35916B" w14:textId="77777777" w:rsidTr="004A649B">
        <w:trPr>
          <w:cantSplit/>
        </w:trPr>
        <w:tc>
          <w:tcPr>
            <w:tcW w:w="1100" w:type="pct"/>
          </w:tcPr>
          <w:p w14:paraId="5633F0C6"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szCs w:val="24"/>
              </w:rPr>
              <w:t>GTGA</w:t>
            </w:r>
          </w:p>
        </w:tc>
        <w:tc>
          <w:tcPr>
            <w:tcW w:w="3900" w:type="pct"/>
          </w:tcPr>
          <w:p w14:paraId="21A8C7AE" w14:textId="7A69002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szCs w:val="24"/>
              </w:rPr>
              <w:t>Government to Government Assurance - GTGAs need to be in place to enable relevant export licences to be obtained</w:t>
            </w:r>
          </w:p>
        </w:tc>
      </w:tr>
      <w:tr w:rsidR="004A649B" w:rsidRPr="004A649B" w14:paraId="5CBAFD24" w14:textId="77777777" w:rsidTr="004A649B">
        <w:trPr>
          <w:cantSplit/>
        </w:trPr>
        <w:tc>
          <w:tcPr>
            <w:tcW w:w="1100" w:type="pct"/>
          </w:tcPr>
          <w:p w14:paraId="6E1890E8"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HSWA</w:t>
            </w:r>
          </w:p>
        </w:tc>
        <w:tc>
          <w:tcPr>
            <w:tcW w:w="3900" w:type="pct"/>
          </w:tcPr>
          <w:p w14:paraId="3F7C08B8"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Health and Safety at Work etc. Act 1974</w:t>
            </w:r>
          </w:p>
        </w:tc>
      </w:tr>
      <w:tr w:rsidR="004A649B" w:rsidRPr="004A649B" w14:paraId="391475EB" w14:textId="77777777" w:rsidTr="004A649B">
        <w:trPr>
          <w:cantSplit/>
        </w:trPr>
        <w:tc>
          <w:tcPr>
            <w:tcW w:w="1100" w:type="pct"/>
          </w:tcPr>
          <w:p w14:paraId="0C8E25F9"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IAEA</w:t>
            </w:r>
          </w:p>
        </w:tc>
        <w:tc>
          <w:tcPr>
            <w:tcW w:w="3900" w:type="pct"/>
          </w:tcPr>
          <w:p w14:paraId="44537768"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International Atomic Energy Agency</w:t>
            </w:r>
          </w:p>
        </w:tc>
      </w:tr>
      <w:tr w:rsidR="004A649B" w:rsidRPr="004A649B" w14:paraId="38D368AF" w14:textId="77777777" w:rsidTr="004A649B">
        <w:trPr>
          <w:cantSplit/>
        </w:trPr>
        <w:tc>
          <w:tcPr>
            <w:tcW w:w="1100" w:type="pct"/>
          </w:tcPr>
          <w:p w14:paraId="60FC92F5"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JPO</w:t>
            </w:r>
          </w:p>
        </w:tc>
        <w:tc>
          <w:tcPr>
            <w:tcW w:w="3900" w:type="pct"/>
          </w:tcPr>
          <w:p w14:paraId="549EB1FF"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Joint Programme Office</w:t>
            </w:r>
          </w:p>
        </w:tc>
      </w:tr>
      <w:tr w:rsidR="007A54B0" w:rsidRPr="004A649B" w14:paraId="5662947B" w14:textId="77777777" w:rsidTr="004A649B">
        <w:trPr>
          <w:cantSplit/>
        </w:trPr>
        <w:tc>
          <w:tcPr>
            <w:tcW w:w="1100" w:type="pct"/>
          </w:tcPr>
          <w:p w14:paraId="56F08234" w14:textId="6AAF985F" w:rsidR="007A54B0" w:rsidRPr="004A649B" w:rsidRDefault="007A54B0" w:rsidP="004A649B">
            <w:pPr>
              <w:spacing w:before="60" w:after="60" w:line="259" w:lineRule="auto"/>
              <w:rPr>
                <w:rFonts w:asciiTheme="minorHAnsi" w:hAnsiTheme="minorHAnsi" w:cstheme="minorHAnsi"/>
                <w:color w:val="000000"/>
                <w:szCs w:val="24"/>
              </w:rPr>
            </w:pPr>
            <w:r>
              <w:rPr>
                <w:rFonts w:asciiTheme="minorHAnsi" w:hAnsiTheme="minorHAnsi" w:cstheme="minorHAnsi"/>
                <w:color w:val="000000"/>
                <w:szCs w:val="24"/>
              </w:rPr>
              <w:lastRenderedPageBreak/>
              <w:t>MSDL</w:t>
            </w:r>
          </w:p>
        </w:tc>
        <w:tc>
          <w:tcPr>
            <w:tcW w:w="3900" w:type="pct"/>
          </w:tcPr>
          <w:p w14:paraId="63BFF68E" w14:textId="6EAFE2DD" w:rsidR="007A54B0" w:rsidRPr="004A649B" w:rsidRDefault="007A54B0" w:rsidP="004A649B">
            <w:pPr>
              <w:spacing w:before="60" w:after="60" w:line="259" w:lineRule="auto"/>
              <w:rPr>
                <w:rFonts w:asciiTheme="minorHAnsi" w:hAnsiTheme="minorHAnsi" w:cstheme="minorHAnsi"/>
                <w:color w:val="000000"/>
                <w:szCs w:val="24"/>
              </w:rPr>
            </w:pPr>
            <w:r w:rsidRPr="007A54B0">
              <w:rPr>
                <w:rFonts w:asciiTheme="minorHAnsi" w:hAnsiTheme="minorHAnsi" w:cstheme="minorHAnsi"/>
                <w:color w:val="000000"/>
                <w:szCs w:val="24"/>
              </w:rPr>
              <w:t>Master Document Submission List</w:t>
            </w:r>
          </w:p>
        </w:tc>
      </w:tr>
      <w:tr w:rsidR="004A649B" w:rsidRPr="004A649B" w14:paraId="6F639710" w14:textId="77777777" w:rsidTr="004A649B">
        <w:trPr>
          <w:cantSplit/>
        </w:trPr>
        <w:tc>
          <w:tcPr>
            <w:tcW w:w="1100" w:type="pct"/>
          </w:tcPr>
          <w:p w14:paraId="2163D07A"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NISR</w:t>
            </w:r>
          </w:p>
        </w:tc>
        <w:tc>
          <w:tcPr>
            <w:tcW w:w="3900" w:type="pct"/>
          </w:tcPr>
          <w:p w14:paraId="0D419611"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Nuclear Industries Security Regulations 2003 (as amended)</w:t>
            </w:r>
          </w:p>
        </w:tc>
      </w:tr>
      <w:tr w:rsidR="004A649B" w:rsidRPr="004A649B" w14:paraId="362CAE38" w14:textId="77777777" w:rsidTr="004A649B">
        <w:trPr>
          <w:cantSplit/>
        </w:trPr>
        <w:tc>
          <w:tcPr>
            <w:tcW w:w="1100" w:type="pct"/>
          </w:tcPr>
          <w:p w14:paraId="5AA7425D" w14:textId="6A2B1FDC" w:rsidR="004A649B" w:rsidRPr="004A649B" w:rsidRDefault="00D77C91" w:rsidP="004A649B">
            <w:pPr>
              <w:spacing w:before="60" w:after="60" w:line="259" w:lineRule="auto"/>
              <w:rPr>
                <w:rFonts w:asciiTheme="minorHAnsi" w:hAnsiTheme="minorHAnsi" w:cstheme="minorHAnsi"/>
                <w:color w:val="000000"/>
                <w:szCs w:val="24"/>
              </w:rPr>
            </w:pPr>
            <w:r>
              <w:rPr>
                <w:rFonts w:asciiTheme="minorHAnsi" w:hAnsiTheme="minorHAnsi" w:cstheme="minorHAnsi"/>
                <w:color w:val="000000"/>
                <w:szCs w:val="24"/>
              </w:rPr>
              <w:t xml:space="preserve">NPP - </w:t>
            </w:r>
            <w:r w:rsidRPr="004A649B">
              <w:rPr>
                <w:rFonts w:asciiTheme="minorHAnsi" w:hAnsiTheme="minorHAnsi" w:cstheme="minorHAnsi"/>
                <w:color w:val="000000"/>
                <w:szCs w:val="24"/>
              </w:rPr>
              <w:t xml:space="preserve">Nuclear Power Plant </w:t>
            </w:r>
          </w:p>
        </w:tc>
        <w:tc>
          <w:tcPr>
            <w:tcW w:w="3900" w:type="pct"/>
          </w:tcPr>
          <w:p w14:paraId="5DA9C5DF" w14:textId="4813511F"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A nuclear power plant is a facility that converts the energy release by nuclear fission into usable power, usually electricity (although it can also provide non-electric uses of energy)</w:t>
            </w:r>
          </w:p>
        </w:tc>
      </w:tr>
      <w:tr w:rsidR="004A649B" w:rsidRPr="004A649B" w14:paraId="4EEA8773" w14:textId="77777777" w:rsidTr="004A649B">
        <w:trPr>
          <w:cantSplit/>
        </w:trPr>
        <w:tc>
          <w:tcPr>
            <w:tcW w:w="1100" w:type="pct"/>
          </w:tcPr>
          <w:p w14:paraId="6B2473CE"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NSSP</w:t>
            </w:r>
          </w:p>
        </w:tc>
        <w:tc>
          <w:tcPr>
            <w:tcW w:w="3900" w:type="pct"/>
          </w:tcPr>
          <w:p w14:paraId="707BA164"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Nuclear Site Security Plan</w:t>
            </w:r>
          </w:p>
        </w:tc>
      </w:tr>
      <w:tr w:rsidR="004A649B" w:rsidRPr="004A649B" w14:paraId="5A00EFEC" w14:textId="77777777" w:rsidTr="004A649B">
        <w:trPr>
          <w:cantSplit/>
        </w:trPr>
        <w:tc>
          <w:tcPr>
            <w:tcW w:w="1100" w:type="pct"/>
          </w:tcPr>
          <w:p w14:paraId="165B26FD"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ONR</w:t>
            </w:r>
          </w:p>
        </w:tc>
        <w:tc>
          <w:tcPr>
            <w:tcW w:w="3900" w:type="pct"/>
          </w:tcPr>
          <w:p w14:paraId="41F37414"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Office for Nuclear Regulation</w:t>
            </w:r>
          </w:p>
        </w:tc>
      </w:tr>
      <w:tr w:rsidR="004A649B" w:rsidRPr="004A649B" w14:paraId="57B1E6B3" w14:textId="77777777" w:rsidTr="004A649B">
        <w:trPr>
          <w:cantSplit/>
        </w:trPr>
        <w:tc>
          <w:tcPr>
            <w:tcW w:w="1100" w:type="pct"/>
          </w:tcPr>
          <w:p w14:paraId="7101040D"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PCSR</w:t>
            </w:r>
          </w:p>
        </w:tc>
        <w:tc>
          <w:tcPr>
            <w:tcW w:w="3900" w:type="pct"/>
          </w:tcPr>
          <w:p w14:paraId="4F056653"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Pre-Construction Safety Report</w:t>
            </w:r>
          </w:p>
        </w:tc>
      </w:tr>
      <w:tr w:rsidR="004A649B" w:rsidRPr="004A649B" w14:paraId="0BDBE710" w14:textId="77777777" w:rsidTr="004A649B">
        <w:trPr>
          <w:cantSplit/>
        </w:trPr>
        <w:tc>
          <w:tcPr>
            <w:tcW w:w="1100" w:type="pct"/>
          </w:tcPr>
          <w:p w14:paraId="5EEC4E7F"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RI</w:t>
            </w:r>
          </w:p>
        </w:tc>
        <w:tc>
          <w:tcPr>
            <w:tcW w:w="3900" w:type="pct"/>
          </w:tcPr>
          <w:p w14:paraId="2A8C4670" w14:textId="2BAED7BA"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 xml:space="preserve">Regulatory Issue - A type of regulatory question (refer to </w:t>
            </w:r>
            <w:r w:rsidR="006221E7">
              <w:rPr>
                <w:rFonts w:asciiTheme="minorHAnsi" w:hAnsiTheme="minorHAnsi" w:cstheme="minorHAnsi"/>
                <w:color w:val="000000"/>
                <w:szCs w:val="24"/>
              </w:rPr>
              <w:t>s</w:t>
            </w:r>
            <w:r w:rsidR="006221E7" w:rsidRPr="004A649B">
              <w:rPr>
                <w:rFonts w:asciiTheme="minorHAnsi" w:hAnsiTheme="minorHAnsi" w:cstheme="minorHAnsi"/>
                <w:color w:val="000000"/>
                <w:szCs w:val="24"/>
              </w:rPr>
              <w:t xml:space="preserve">ection </w:t>
            </w:r>
            <w:r w:rsidR="006221E7">
              <w:rPr>
                <w:rFonts w:asciiTheme="minorHAnsi" w:hAnsiTheme="minorHAnsi" w:cstheme="minorHAnsi"/>
                <w:color w:val="000000"/>
                <w:szCs w:val="24"/>
              </w:rPr>
              <w:fldChar w:fldCharType="begin"/>
            </w:r>
            <w:r w:rsidR="006221E7">
              <w:rPr>
                <w:rFonts w:asciiTheme="minorHAnsi" w:hAnsiTheme="minorHAnsi" w:cstheme="minorHAnsi"/>
                <w:color w:val="000000"/>
                <w:szCs w:val="24"/>
              </w:rPr>
              <w:instrText xml:space="preserve"> REF _Ref173241342 \r \h </w:instrText>
            </w:r>
            <w:r w:rsidR="006221E7">
              <w:rPr>
                <w:rFonts w:asciiTheme="minorHAnsi" w:hAnsiTheme="minorHAnsi" w:cstheme="minorHAnsi"/>
                <w:color w:val="000000"/>
                <w:szCs w:val="24"/>
              </w:rPr>
            </w:r>
            <w:r w:rsidR="006221E7">
              <w:rPr>
                <w:rFonts w:asciiTheme="minorHAnsi" w:hAnsiTheme="minorHAnsi" w:cstheme="minorHAnsi"/>
                <w:color w:val="000000"/>
                <w:szCs w:val="24"/>
              </w:rPr>
              <w:fldChar w:fldCharType="separate"/>
            </w:r>
            <w:r w:rsidR="006221E7">
              <w:rPr>
                <w:rFonts w:asciiTheme="minorHAnsi" w:hAnsiTheme="minorHAnsi" w:cstheme="minorHAnsi"/>
                <w:color w:val="000000"/>
                <w:szCs w:val="24"/>
                <w:cs/>
              </w:rPr>
              <w:t>‎</w:t>
            </w:r>
            <w:r w:rsidR="006221E7">
              <w:rPr>
                <w:rFonts w:asciiTheme="minorHAnsi" w:hAnsiTheme="minorHAnsi" w:cstheme="minorHAnsi"/>
                <w:color w:val="000000"/>
                <w:szCs w:val="24"/>
              </w:rPr>
              <w:t>5.6</w:t>
            </w:r>
            <w:r w:rsidR="006221E7">
              <w:rPr>
                <w:rFonts w:asciiTheme="minorHAnsi" w:hAnsiTheme="minorHAnsi" w:cstheme="minorHAnsi"/>
                <w:color w:val="000000"/>
                <w:szCs w:val="24"/>
              </w:rPr>
              <w:fldChar w:fldCharType="end"/>
            </w:r>
            <w:r w:rsidRPr="004A649B">
              <w:rPr>
                <w:rFonts w:asciiTheme="minorHAnsi" w:hAnsiTheme="minorHAnsi" w:cstheme="minorHAnsi"/>
                <w:color w:val="000000"/>
                <w:szCs w:val="24"/>
              </w:rPr>
              <w:t>)</w:t>
            </w:r>
          </w:p>
        </w:tc>
      </w:tr>
      <w:tr w:rsidR="004A649B" w:rsidRPr="004A649B" w14:paraId="58867D78" w14:textId="77777777" w:rsidTr="004A649B">
        <w:trPr>
          <w:cantSplit/>
        </w:trPr>
        <w:tc>
          <w:tcPr>
            <w:tcW w:w="1100" w:type="pct"/>
          </w:tcPr>
          <w:p w14:paraId="0E3C1A9F"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RO</w:t>
            </w:r>
          </w:p>
        </w:tc>
        <w:tc>
          <w:tcPr>
            <w:tcW w:w="3900" w:type="pct"/>
          </w:tcPr>
          <w:p w14:paraId="32D5F604" w14:textId="46E2D706"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 xml:space="preserve">Regulatory Observation - A type of regulatory question (refer to </w:t>
            </w:r>
            <w:r w:rsidR="006221E7">
              <w:rPr>
                <w:rFonts w:asciiTheme="minorHAnsi" w:hAnsiTheme="minorHAnsi" w:cstheme="minorHAnsi"/>
                <w:color w:val="000000"/>
                <w:szCs w:val="24"/>
              </w:rPr>
              <w:t>s</w:t>
            </w:r>
            <w:r w:rsidR="006221E7" w:rsidRPr="004A649B">
              <w:rPr>
                <w:rFonts w:asciiTheme="minorHAnsi" w:hAnsiTheme="minorHAnsi" w:cstheme="minorHAnsi"/>
                <w:color w:val="000000"/>
                <w:szCs w:val="24"/>
              </w:rPr>
              <w:t xml:space="preserve">ection </w:t>
            </w:r>
            <w:r w:rsidR="006221E7">
              <w:rPr>
                <w:rFonts w:asciiTheme="minorHAnsi" w:hAnsiTheme="minorHAnsi" w:cstheme="minorHAnsi"/>
                <w:color w:val="000000"/>
                <w:szCs w:val="24"/>
              </w:rPr>
              <w:fldChar w:fldCharType="begin"/>
            </w:r>
            <w:r w:rsidR="006221E7">
              <w:rPr>
                <w:rFonts w:asciiTheme="minorHAnsi" w:hAnsiTheme="minorHAnsi" w:cstheme="minorHAnsi"/>
                <w:color w:val="000000"/>
                <w:szCs w:val="24"/>
              </w:rPr>
              <w:instrText xml:space="preserve"> REF _Ref173241342 \r \h </w:instrText>
            </w:r>
            <w:r w:rsidR="006221E7">
              <w:rPr>
                <w:rFonts w:asciiTheme="minorHAnsi" w:hAnsiTheme="minorHAnsi" w:cstheme="minorHAnsi"/>
                <w:color w:val="000000"/>
                <w:szCs w:val="24"/>
              </w:rPr>
            </w:r>
            <w:r w:rsidR="006221E7">
              <w:rPr>
                <w:rFonts w:asciiTheme="minorHAnsi" w:hAnsiTheme="minorHAnsi" w:cstheme="minorHAnsi"/>
                <w:color w:val="000000"/>
                <w:szCs w:val="24"/>
              </w:rPr>
              <w:fldChar w:fldCharType="separate"/>
            </w:r>
            <w:r w:rsidR="006221E7">
              <w:rPr>
                <w:rFonts w:asciiTheme="minorHAnsi" w:hAnsiTheme="minorHAnsi" w:cstheme="minorHAnsi"/>
                <w:color w:val="000000"/>
                <w:szCs w:val="24"/>
                <w:cs/>
              </w:rPr>
              <w:t>‎</w:t>
            </w:r>
            <w:r w:rsidR="006221E7">
              <w:rPr>
                <w:rFonts w:asciiTheme="minorHAnsi" w:hAnsiTheme="minorHAnsi" w:cstheme="minorHAnsi"/>
                <w:color w:val="000000"/>
                <w:szCs w:val="24"/>
              </w:rPr>
              <w:t>5.6</w:t>
            </w:r>
            <w:r w:rsidR="006221E7">
              <w:rPr>
                <w:rFonts w:asciiTheme="minorHAnsi" w:hAnsiTheme="minorHAnsi" w:cstheme="minorHAnsi"/>
                <w:color w:val="000000"/>
                <w:szCs w:val="24"/>
              </w:rPr>
              <w:fldChar w:fldCharType="end"/>
            </w:r>
            <w:r w:rsidRPr="004A649B">
              <w:rPr>
                <w:rFonts w:asciiTheme="minorHAnsi" w:hAnsiTheme="minorHAnsi" w:cstheme="minorHAnsi"/>
                <w:color w:val="000000"/>
                <w:szCs w:val="24"/>
              </w:rPr>
              <w:t>)</w:t>
            </w:r>
          </w:p>
        </w:tc>
      </w:tr>
      <w:tr w:rsidR="004A649B" w:rsidRPr="004A649B" w14:paraId="696EA88F" w14:textId="77777777" w:rsidTr="004A649B">
        <w:trPr>
          <w:cantSplit/>
        </w:trPr>
        <w:tc>
          <w:tcPr>
            <w:tcW w:w="1100" w:type="pct"/>
          </w:tcPr>
          <w:p w14:paraId="3A884913"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RP</w:t>
            </w:r>
          </w:p>
        </w:tc>
        <w:tc>
          <w:tcPr>
            <w:tcW w:w="3900" w:type="pct"/>
          </w:tcPr>
          <w:p w14:paraId="196827A2" w14:textId="26BB372B"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 xml:space="preserve">Requesting Party - Those parties who request to undertake a GDA (refer to </w:t>
            </w:r>
            <w:r w:rsidR="006221E7">
              <w:rPr>
                <w:rFonts w:asciiTheme="minorHAnsi" w:hAnsiTheme="minorHAnsi" w:cstheme="minorHAnsi"/>
                <w:color w:val="000000"/>
                <w:szCs w:val="24"/>
              </w:rPr>
              <w:t>s</w:t>
            </w:r>
            <w:r w:rsidRPr="004A649B">
              <w:rPr>
                <w:rFonts w:asciiTheme="minorHAnsi" w:hAnsiTheme="minorHAnsi" w:cstheme="minorHAnsi"/>
                <w:color w:val="000000"/>
                <w:szCs w:val="24"/>
              </w:rPr>
              <w:t xml:space="preserve">ection </w:t>
            </w:r>
            <w:r w:rsidR="006221E7">
              <w:rPr>
                <w:rFonts w:asciiTheme="minorHAnsi" w:hAnsiTheme="minorHAnsi" w:cstheme="minorHAnsi"/>
                <w:color w:val="000000"/>
                <w:szCs w:val="24"/>
              </w:rPr>
              <w:fldChar w:fldCharType="begin"/>
            </w:r>
            <w:r w:rsidR="006221E7">
              <w:rPr>
                <w:rFonts w:asciiTheme="minorHAnsi" w:hAnsiTheme="minorHAnsi" w:cstheme="minorHAnsi"/>
                <w:color w:val="000000"/>
                <w:szCs w:val="24"/>
              </w:rPr>
              <w:instrText xml:space="preserve"> REF _Ref173242112 \r \h </w:instrText>
            </w:r>
            <w:r w:rsidR="006221E7">
              <w:rPr>
                <w:rFonts w:asciiTheme="minorHAnsi" w:hAnsiTheme="minorHAnsi" w:cstheme="minorHAnsi"/>
                <w:color w:val="000000"/>
                <w:szCs w:val="24"/>
              </w:rPr>
            </w:r>
            <w:r w:rsidR="006221E7">
              <w:rPr>
                <w:rFonts w:asciiTheme="minorHAnsi" w:hAnsiTheme="minorHAnsi" w:cstheme="minorHAnsi"/>
                <w:color w:val="000000"/>
                <w:szCs w:val="24"/>
              </w:rPr>
              <w:fldChar w:fldCharType="separate"/>
            </w:r>
            <w:r w:rsidR="006221E7">
              <w:rPr>
                <w:rFonts w:asciiTheme="minorHAnsi" w:hAnsiTheme="minorHAnsi" w:cstheme="minorHAnsi"/>
                <w:color w:val="000000"/>
                <w:szCs w:val="24"/>
                <w:cs/>
              </w:rPr>
              <w:t>‎</w:t>
            </w:r>
            <w:r w:rsidR="006221E7">
              <w:rPr>
                <w:rFonts w:asciiTheme="minorHAnsi" w:hAnsiTheme="minorHAnsi" w:cstheme="minorHAnsi"/>
                <w:color w:val="000000"/>
                <w:szCs w:val="24"/>
              </w:rPr>
              <w:t>1.1</w:t>
            </w:r>
            <w:r w:rsidR="006221E7">
              <w:rPr>
                <w:rFonts w:asciiTheme="minorHAnsi" w:hAnsiTheme="minorHAnsi" w:cstheme="minorHAnsi"/>
                <w:color w:val="000000"/>
                <w:szCs w:val="24"/>
              </w:rPr>
              <w:fldChar w:fldCharType="end"/>
            </w:r>
            <w:r w:rsidRPr="004A649B">
              <w:rPr>
                <w:rFonts w:asciiTheme="minorHAnsi" w:hAnsiTheme="minorHAnsi" w:cstheme="minorHAnsi"/>
                <w:color w:val="000000"/>
                <w:szCs w:val="24"/>
              </w:rPr>
              <w:t>)</w:t>
            </w:r>
          </w:p>
        </w:tc>
      </w:tr>
      <w:tr w:rsidR="004A649B" w:rsidRPr="004A649B" w14:paraId="53937897" w14:textId="77777777" w:rsidTr="004A649B">
        <w:trPr>
          <w:cantSplit/>
        </w:trPr>
        <w:tc>
          <w:tcPr>
            <w:tcW w:w="1100" w:type="pct"/>
          </w:tcPr>
          <w:p w14:paraId="554566B7"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RQ</w:t>
            </w:r>
          </w:p>
        </w:tc>
        <w:tc>
          <w:tcPr>
            <w:tcW w:w="3900" w:type="pct"/>
          </w:tcPr>
          <w:p w14:paraId="6282627B" w14:textId="6CC8B010"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 xml:space="preserve">Regulatory Query - A type of regulatory question (refer to </w:t>
            </w:r>
            <w:r w:rsidR="006221E7">
              <w:rPr>
                <w:rFonts w:asciiTheme="minorHAnsi" w:hAnsiTheme="minorHAnsi" w:cstheme="minorHAnsi"/>
                <w:color w:val="000000"/>
                <w:szCs w:val="24"/>
              </w:rPr>
              <w:t>s</w:t>
            </w:r>
            <w:r w:rsidRPr="004A649B">
              <w:rPr>
                <w:rFonts w:asciiTheme="minorHAnsi" w:hAnsiTheme="minorHAnsi" w:cstheme="minorHAnsi"/>
                <w:color w:val="000000"/>
                <w:szCs w:val="24"/>
              </w:rPr>
              <w:t xml:space="preserve">ection </w:t>
            </w:r>
            <w:r w:rsidR="006221E7">
              <w:rPr>
                <w:rFonts w:asciiTheme="minorHAnsi" w:hAnsiTheme="minorHAnsi" w:cstheme="minorHAnsi"/>
                <w:color w:val="000000"/>
                <w:szCs w:val="24"/>
              </w:rPr>
              <w:fldChar w:fldCharType="begin"/>
            </w:r>
            <w:r w:rsidR="006221E7">
              <w:rPr>
                <w:rFonts w:asciiTheme="minorHAnsi" w:hAnsiTheme="minorHAnsi" w:cstheme="minorHAnsi"/>
                <w:color w:val="000000"/>
                <w:szCs w:val="24"/>
              </w:rPr>
              <w:instrText xml:space="preserve"> REF _Ref173241342 \r \h </w:instrText>
            </w:r>
            <w:r w:rsidR="006221E7">
              <w:rPr>
                <w:rFonts w:asciiTheme="minorHAnsi" w:hAnsiTheme="minorHAnsi" w:cstheme="minorHAnsi"/>
                <w:color w:val="000000"/>
                <w:szCs w:val="24"/>
              </w:rPr>
            </w:r>
            <w:r w:rsidR="006221E7">
              <w:rPr>
                <w:rFonts w:asciiTheme="minorHAnsi" w:hAnsiTheme="minorHAnsi" w:cstheme="minorHAnsi"/>
                <w:color w:val="000000"/>
                <w:szCs w:val="24"/>
              </w:rPr>
              <w:fldChar w:fldCharType="separate"/>
            </w:r>
            <w:r w:rsidR="006221E7">
              <w:rPr>
                <w:rFonts w:asciiTheme="minorHAnsi" w:hAnsiTheme="minorHAnsi" w:cstheme="minorHAnsi"/>
                <w:color w:val="000000"/>
                <w:szCs w:val="24"/>
                <w:cs/>
              </w:rPr>
              <w:t>‎</w:t>
            </w:r>
            <w:r w:rsidR="006221E7">
              <w:rPr>
                <w:rFonts w:asciiTheme="minorHAnsi" w:hAnsiTheme="minorHAnsi" w:cstheme="minorHAnsi"/>
                <w:color w:val="000000"/>
                <w:szCs w:val="24"/>
              </w:rPr>
              <w:t>5.6</w:t>
            </w:r>
            <w:r w:rsidR="006221E7">
              <w:rPr>
                <w:rFonts w:asciiTheme="minorHAnsi" w:hAnsiTheme="minorHAnsi" w:cstheme="minorHAnsi"/>
                <w:color w:val="000000"/>
                <w:szCs w:val="24"/>
              </w:rPr>
              <w:fldChar w:fldCharType="end"/>
            </w:r>
            <w:r w:rsidRPr="004A649B">
              <w:rPr>
                <w:rFonts w:asciiTheme="minorHAnsi" w:hAnsiTheme="minorHAnsi" w:cstheme="minorHAnsi"/>
                <w:color w:val="000000"/>
                <w:szCs w:val="24"/>
              </w:rPr>
              <w:t>)</w:t>
            </w:r>
          </w:p>
        </w:tc>
      </w:tr>
      <w:tr w:rsidR="004A649B" w:rsidRPr="004A649B" w14:paraId="33FBC172" w14:textId="77777777" w:rsidTr="004A649B">
        <w:trPr>
          <w:cantSplit/>
        </w:trPr>
        <w:tc>
          <w:tcPr>
            <w:tcW w:w="1100" w:type="pct"/>
          </w:tcPr>
          <w:p w14:paraId="5B862786"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SAP</w:t>
            </w:r>
          </w:p>
        </w:tc>
        <w:tc>
          <w:tcPr>
            <w:tcW w:w="3900" w:type="pct"/>
          </w:tcPr>
          <w:p w14:paraId="44A72462" w14:textId="5D85BCFB"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Safety Assessment Principle</w:t>
            </w:r>
            <w:r w:rsidR="006221E7">
              <w:rPr>
                <w:rFonts w:asciiTheme="minorHAnsi" w:hAnsiTheme="minorHAnsi" w:cstheme="minorHAnsi"/>
                <w:color w:val="000000"/>
                <w:szCs w:val="24"/>
              </w:rPr>
              <w:t xml:space="preserve"> </w:t>
            </w:r>
          </w:p>
        </w:tc>
      </w:tr>
      <w:tr w:rsidR="00071C2C" w:rsidRPr="004A649B" w14:paraId="35FB67EC" w14:textId="77777777" w:rsidTr="004A649B">
        <w:trPr>
          <w:cantSplit/>
        </w:trPr>
        <w:tc>
          <w:tcPr>
            <w:tcW w:w="1100" w:type="pct"/>
          </w:tcPr>
          <w:p w14:paraId="1B4B6F2A" w14:textId="42A7F0CD" w:rsidR="00071C2C" w:rsidRPr="004A649B" w:rsidRDefault="00071C2C" w:rsidP="004A649B">
            <w:pPr>
              <w:spacing w:before="60" w:after="60" w:line="259" w:lineRule="auto"/>
              <w:rPr>
                <w:rFonts w:asciiTheme="minorHAnsi" w:hAnsiTheme="minorHAnsi" w:cstheme="minorHAnsi"/>
                <w:color w:val="000000"/>
                <w:szCs w:val="24"/>
              </w:rPr>
            </w:pPr>
            <w:r>
              <w:rPr>
                <w:rFonts w:asciiTheme="minorHAnsi" w:hAnsiTheme="minorHAnsi" w:cstheme="minorHAnsi"/>
                <w:color w:val="000000"/>
                <w:szCs w:val="24"/>
              </w:rPr>
              <w:t>SFAIRP</w:t>
            </w:r>
          </w:p>
        </w:tc>
        <w:tc>
          <w:tcPr>
            <w:tcW w:w="3900" w:type="pct"/>
          </w:tcPr>
          <w:p w14:paraId="37F4660A" w14:textId="3C0C57A3" w:rsidR="00071C2C" w:rsidRPr="004A649B" w:rsidRDefault="00071C2C" w:rsidP="004A649B">
            <w:pPr>
              <w:spacing w:before="60" w:after="60" w:line="259" w:lineRule="auto"/>
              <w:rPr>
                <w:rFonts w:asciiTheme="minorHAnsi" w:hAnsiTheme="minorHAnsi" w:cstheme="minorHAnsi"/>
                <w:color w:val="000000"/>
                <w:szCs w:val="24"/>
              </w:rPr>
            </w:pPr>
            <w:r>
              <w:rPr>
                <w:rFonts w:asciiTheme="minorHAnsi" w:hAnsiTheme="minorHAnsi" w:cstheme="minorHAnsi"/>
                <w:color w:val="000000"/>
                <w:szCs w:val="24"/>
              </w:rPr>
              <w:t>So far as is reasonably practicable</w:t>
            </w:r>
          </w:p>
        </w:tc>
      </w:tr>
      <w:tr w:rsidR="001757B3" w:rsidRPr="004A649B" w14:paraId="476E8795" w14:textId="77777777" w:rsidTr="004A649B">
        <w:trPr>
          <w:cantSplit/>
        </w:trPr>
        <w:tc>
          <w:tcPr>
            <w:tcW w:w="1100" w:type="pct"/>
          </w:tcPr>
          <w:p w14:paraId="67D623E7" w14:textId="411F7A6F" w:rsidR="001757B3" w:rsidRPr="004A649B" w:rsidRDefault="001757B3" w:rsidP="004A649B">
            <w:pPr>
              <w:spacing w:before="60" w:after="60" w:line="259" w:lineRule="auto"/>
              <w:rPr>
                <w:rFonts w:asciiTheme="minorHAnsi" w:hAnsiTheme="minorHAnsi" w:cstheme="minorHAnsi"/>
                <w:color w:val="000000"/>
                <w:szCs w:val="24"/>
              </w:rPr>
            </w:pPr>
            <w:r>
              <w:rPr>
                <w:rFonts w:asciiTheme="minorHAnsi" w:hAnsiTheme="minorHAnsi" w:cstheme="minorHAnsi"/>
                <w:color w:val="000000"/>
                <w:szCs w:val="24"/>
              </w:rPr>
              <w:t>SMR</w:t>
            </w:r>
          </w:p>
        </w:tc>
        <w:tc>
          <w:tcPr>
            <w:tcW w:w="3900" w:type="pct"/>
          </w:tcPr>
          <w:p w14:paraId="1D2C4C0E" w14:textId="46D3AB83" w:rsidR="001757B3" w:rsidRPr="004A649B" w:rsidRDefault="001757B3"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Small Modular Reactor</w:t>
            </w:r>
          </w:p>
        </w:tc>
      </w:tr>
      <w:tr w:rsidR="004A649B" w:rsidRPr="004A649B" w14:paraId="19BA6CA2" w14:textId="77777777" w:rsidTr="004A649B">
        <w:trPr>
          <w:cantSplit/>
        </w:trPr>
        <w:tc>
          <w:tcPr>
            <w:tcW w:w="1100" w:type="pct"/>
          </w:tcPr>
          <w:p w14:paraId="5C391099"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SNI</w:t>
            </w:r>
          </w:p>
        </w:tc>
        <w:tc>
          <w:tcPr>
            <w:tcW w:w="3900" w:type="pct"/>
          </w:tcPr>
          <w:p w14:paraId="143EA3CA"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Sensitive Nuclear Information</w:t>
            </w:r>
          </w:p>
        </w:tc>
      </w:tr>
      <w:tr w:rsidR="004A649B" w:rsidRPr="004A649B" w14:paraId="10736B48" w14:textId="77777777" w:rsidTr="004A649B">
        <w:trPr>
          <w:cantSplit/>
        </w:trPr>
        <w:tc>
          <w:tcPr>
            <w:tcW w:w="1100" w:type="pct"/>
          </w:tcPr>
          <w:p w14:paraId="1FE6422B" w14:textId="77777777" w:rsidR="004A649B" w:rsidRPr="004A649B" w:rsidRDefault="004A649B" w:rsidP="004A649B">
            <w:pPr>
              <w:spacing w:before="60" w:after="60" w:line="259" w:lineRule="auto"/>
              <w:rPr>
                <w:rFonts w:asciiTheme="minorHAnsi" w:hAnsiTheme="minorHAnsi" w:cstheme="minorHAnsi"/>
                <w:color w:val="000000"/>
                <w:szCs w:val="24"/>
              </w:rPr>
            </w:pPr>
            <w:proofErr w:type="spellStart"/>
            <w:r w:rsidRPr="004A649B">
              <w:rPr>
                <w:rFonts w:asciiTheme="minorHAnsi" w:hAnsiTheme="minorHAnsi" w:cstheme="minorHAnsi"/>
                <w:color w:val="000000"/>
                <w:szCs w:val="24"/>
              </w:rPr>
              <w:t>SoDA</w:t>
            </w:r>
            <w:proofErr w:type="spellEnd"/>
          </w:p>
        </w:tc>
        <w:tc>
          <w:tcPr>
            <w:tcW w:w="3900" w:type="pct"/>
          </w:tcPr>
          <w:p w14:paraId="5F8531C1" w14:textId="616A2D0D"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 xml:space="preserve">Statement of Design Acceptability </w:t>
            </w:r>
            <w:r w:rsidR="00071C2C">
              <w:rPr>
                <w:rFonts w:asciiTheme="minorHAnsi" w:hAnsiTheme="minorHAnsi" w:cstheme="minorHAnsi"/>
                <w:color w:val="000000"/>
                <w:szCs w:val="24"/>
              </w:rPr>
              <w:t>(</w:t>
            </w:r>
            <w:r w:rsidRPr="004A649B">
              <w:rPr>
                <w:rFonts w:asciiTheme="minorHAnsi" w:hAnsiTheme="minorHAnsi" w:cstheme="minorHAnsi"/>
                <w:color w:val="000000"/>
                <w:szCs w:val="24"/>
              </w:rPr>
              <w:t>Environment Agency</w:t>
            </w:r>
            <w:r w:rsidR="00071C2C">
              <w:rPr>
                <w:rFonts w:asciiTheme="minorHAnsi" w:hAnsiTheme="minorHAnsi" w:cstheme="minorHAnsi"/>
                <w:color w:val="000000"/>
                <w:szCs w:val="24"/>
              </w:rPr>
              <w:t>,</w:t>
            </w:r>
            <w:r w:rsidRPr="004A649B">
              <w:rPr>
                <w:rFonts w:asciiTheme="minorHAnsi" w:hAnsiTheme="minorHAnsi" w:cstheme="minorHAnsi"/>
                <w:color w:val="000000"/>
                <w:szCs w:val="24"/>
              </w:rPr>
              <w:t xml:space="preserve"> equivalent to a DAC</w:t>
            </w:r>
            <w:r w:rsidR="00071C2C">
              <w:rPr>
                <w:rFonts w:asciiTheme="minorHAnsi" w:hAnsiTheme="minorHAnsi" w:cstheme="minorHAnsi"/>
                <w:color w:val="000000"/>
                <w:szCs w:val="24"/>
              </w:rPr>
              <w:t>)</w:t>
            </w:r>
          </w:p>
        </w:tc>
      </w:tr>
      <w:tr w:rsidR="004A649B" w:rsidRPr="004A649B" w14:paraId="74434825" w14:textId="77777777" w:rsidTr="004A649B">
        <w:trPr>
          <w:cantSplit/>
        </w:trPr>
        <w:tc>
          <w:tcPr>
            <w:tcW w:w="1100" w:type="pct"/>
          </w:tcPr>
          <w:p w14:paraId="36E76194" w14:textId="77777777" w:rsidR="004A649B" w:rsidRPr="004A649B" w:rsidRDefault="004A649B" w:rsidP="004A649B">
            <w:pPr>
              <w:spacing w:before="60" w:after="60" w:line="259" w:lineRule="auto"/>
              <w:rPr>
                <w:rFonts w:asciiTheme="minorHAnsi" w:hAnsiTheme="minorHAnsi" w:cstheme="minorHAnsi"/>
                <w:color w:val="000000"/>
                <w:szCs w:val="24"/>
              </w:rPr>
            </w:pPr>
            <w:proofErr w:type="spellStart"/>
            <w:r w:rsidRPr="004A649B">
              <w:rPr>
                <w:rFonts w:asciiTheme="minorHAnsi" w:hAnsiTheme="minorHAnsi" w:cstheme="minorHAnsi"/>
                <w:color w:val="000000"/>
                <w:szCs w:val="24"/>
              </w:rPr>
              <w:t>SyAP</w:t>
            </w:r>
            <w:proofErr w:type="spellEnd"/>
          </w:p>
        </w:tc>
        <w:tc>
          <w:tcPr>
            <w:tcW w:w="3900" w:type="pct"/>
          </w:tcPr>
          <w:p w14:paraId="65973BFC"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Security Assessment Principle</w:t>
            </w:r>
          </w:p>
        </w:tc>
      </w:tr>
      <w:tr w:rsidR="004A649B" w:rsidRPr="004A649B" w14:paraId="526A63EA" w14:textId="77777777" w:rsidTr="004A649B">
        <w:trPr>
          <w:cantSplit/>
        </w:trPr>
        <w:tc>
          <w:tcPr>
            <w:tcW w:w="1100" w:type="pct"/>
          </w:tcPr>
          <w:p w14:paraId="5433A375"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TAG</w:t>
            </w:r>
          </w:p>
        </w:tc>
        <w:tc>
          <w:tcPr>
            <w:tcW w:w="3900" w:type="pct"/>
          </w:tcPr>
          <w:p w14:paraId="5C12AE9F"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Technical Assessment Guide</w:t>
            </w:r>
          </w:p>
        </w:tc>
      </w:tr>
      <w:tr w:rsidR="004A649B" w:rsidRPr="004A649B" w14:paraId="1BF8ADB5" w14:textId="77777777" w:rsidTr="004A649B">
        <w:trPr>
          <w:cantSplit/>
        </w:trPr>
        <w:tc>
          <w:tcPr>
            <w:tcW w:w="1100" w:type="pct"/>
          </w:tcPr>
          <w:p w14:paraId="5687F3E7"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TIG</w:t>
            </w:r>
          </w:p>
        </w:tc>
        <w:tc>
          <w:tcPr>
            <w:tcW w:w="3900" w:type="pct"/>
          </w:tcPr>
          <w:p w14:paraId="38A4D456"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Technical Inspection Guide</w:t>
            </w:r>
          </w:p>
        </w:tc>
      </w:tr>
      <w:tr w:rsidR="004A649B" w:rsidRPr="004A649B" w14:paraId="390975AD" w14:textId="77777777" w:rsidTr="004A649B">
        <w:trPr>
          <w:cantSplit/>
        </w:trPr>
        <w:tc>
          <w:tcPr>
            <w:tcW w:w="1100" w:type="pct"/>
          </w:tcPr>
          <w:p w14:paraId="2E2CBFCA"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WENRA</w:t>
            </w:r>
          </w:p>
        </w:tc>
        <w:tc>
          <w:tcPr>
            <w:tcW w:w="3900" w:type="pct"/>
          </w:tcPr>
          <w:p w14:paraId="05C6635B" w14:textId="77777777" w:rsidR="004A649B" w:rsidRPr="004A649B" w:rsidRDefault="004A649B" w:rsidP="004A649B">
            <w:pPr>
              <w:spacing w:before="60" w:after="60" w:line="259" w:lineRule="auto"/>
              <w:rPr>
                <w:rFonts w:asciiTheme="minorHAnsi" w:hAnsiTheme="minorHAnsi" w:cstheme="minorHAnsi"/>
                <w:color w:val="000000"/>
                <w:szCs w:val="24"/>
              </w:rPr>
            </w:pPr>
            <w:r w:rsidRPr="004A649B">
              <w:rPr>
                <w:rFonts w:asciiTheme="minorHAnsi" w:hAnsiTheme="minorHAnsi" w:cstheme="minorHAnsi"/>
                <w:color w:val="000000"/>
                <w:szCs w:val="24"/>
              </w:rPr>
              <w:t>Western European Nuclear Regulators Association</w:t>
            </w:r>
          </w:p>
        </w:tc>
      </w:tr>
    </w:tbl>
    <w:p w14:paraId="70A33E01" w14:textId="77777777" w:rsidR="004A649B" w:rsidRDefault="004A649B" w:rsidP="006C2925">
      <w:pPr>
        <w:sectPr w:rsidR="004A649B" w:rsidSect="00037D99">
          <w:pgSz w:w="11906" w:h="16838" w:code="9"/>
          <w:pgMar w:top="1440" w:right="1440" w:bottom="1440" w:left="1440" w:header="397" w:footer="397" w:gutter="0"/>
          <w:cols w:space="312"/>
          <w:docGrid w:linePitch="360"/>
        </w:sectPr>
      </w:pPr>
    </w:p>
    <w:p w14:paraId="60A337A2" w14:textId="77777777" w:rsidR="004A649B" w:rsidRPr="009C5524" w:rsidRDefault="004A649B" w:rsidP="004A649B">
      <w:pPr>
        <w:pStyle w:val="Heading1"/>
      </w:pPr>
      <w:bookmarkStart w:id="2" w:name="_Toc528331655"/>
      <w:bookmarkStart w:id="3" w:name="_Ref173226993"/>
      <w:bookmarkStart w:id="4" w:name="_Toc173242841"/>
      <w:r w:rsidRPr="009C5524">
        <w:lastRenderedPageBreak/>
        <w:t>Introduction</w:t>
      </w:r>
      <w:bookmarkEnd w:id="2"/>
      <w:bookmarkEnd w:id="3"/>
      <w:bookmarkEnd w:id="4"/>
    </w:p>
    <w:p w14:paraId="709A2833" w14:textId="77777777" w:rsidR="004A649B" w:rsidRPr="00E456B6" w:rsidRDefault="004A649B" w:rsidP="004A649B">
      <w:pPr>
        <w:pStyle w:val="Heading2"/>
      </w:pPr>
      <w:bookmarkStart w:id="5" w:name="_Ref173242112"/>
      <w:r w:rsidRPr="00E456B6">
        <w:t>The purpose of this guidance</w:t>
      </w:r>
      <w:bookmarkEnd w:id="5"/>
      <w:r w:rsidRPr="00E456B6">
        <w:t xml:space="preserve"> </w:t>
      </w:r>
    </w:p>
    <w:p w14:paraId="65053160" w14:textId="77777777" w:rsidR="004A649B" w:rsidRPr="004A649B" w:rsidRDefault="004A649B" w:rsidP="004A649B">
      <w:pPr>
        <w:pStyle w:val="ListParagraph"/>
      </w:pPr>
      <w:r w:rsidRPr="004A649B">
        <w:t xml:space="preserve">This document provides guidance on the Office for Nuclear Regulation’s (ONR) Generic Design Assessment (GDA) process for the safety and security assessment of new Nuclear Power Plants (NPP). This process will be applied where ONR is asked to assess a proposed design in advance, or in parallel to an application for a nuclear site licence.  </w:t>
      </w:r>
    </w:p>
    <w:p w14:paraId="13440BAA" w14:textId="77777777" w:rsidR="004A649B" w:rsidRDefault="004A649B" w:rsidP="004A649B">
      <w:pPr>
        <w:pStyle w:val="ListParagraph"/>
      </w:pPr>
      <w:r>
        <w:t>This document is primarily intended to inform those parties who request such an assessment (the 'Requesting Party' (RP)). The RP</w:t>
      </w:r>
      <w:r w:rsidRPr="00283169">
        <w:t xml:space="preserve"> will normally </w:t>
      </w:r>
      <w:r>
        <w:t xml:space="preserve">be the </w:t>
      </w:r>
      <w:r w:rsidRPr="00283169">
        <w:t>vendor</w:t>
      </w:r>
      <w:r>
        <w:t xml:space="preserve"> for a NPP</w:t>
      </w:r>
      <w:r w:rsidRPr="00283169">
        <w:t xml:space="preserve">, although </w:t>
      </w:r>
      <w:r>
        <w:t xml:space="preserve">it may </w:t>
      </w:r>
      <w:r w:rsidRPr="00283169">
        <w:t xml:space="preserve">also </w:t>
      </w:r>
      <w:r>
        <w:t>be a consortium including the vendor and other partner organisations</w:t>
      </w:r>
      <w:r w:rsidRPr="00283169">
        <w:t xml:space="preserve">. The term RP is </w:t>
      </w:r>
      <w:r>
        <w:t xml:space="preserve">therefore </w:t>
      </w:r>
      <w:r w:rsidRPr="00283169">
        <w:t>used throughout this document to identify the organisation(s) undertaking GDA, irrespective of its composition.</w:t>
      </w:r>
      <w:r>
        <w:t xml:space="preserve"> </w:t>
      </w:r>
    </w:p>
    <w:p w14:paraId="34803FCA" w14:textId="77777777" w:rsidR="004A649B" w:rsidRDefault="004A649B" w:rsidP="004A649B">
      <w:pPr>
        <w:pStyle w:val="ListParagraph"/>
      </w:pPr>
      <w:r>
        <w:t xml:space="preserve">The objective of this guidance document is to provide an RP with clarity regarding: </w:t>
      </w:r>
    </w:p>
    <w:p w14:paraId="371C09B7" w14:textId="7BC9F778" w:rsidR="004A649B" w:rsidRPr="004A649B" w:rsidRDefault="004A649B" w:rsidP="004A649B">
      <w:pPr>
        <w:pStyle w:val="Bulletlist1"/>
      </w:pPr>
      <w:r w:rsidRPr="004A649B">
        <w:t>the GDA process and indicative timescales</w:t>
      </w:r>
      <w:r w:rsidR="00925E68">
        <w:t>;</w:t>
      </w:r>
      <w:r w:rsidRPr="004A649B">
        <w:t xml:space="preserve"> </w:t>
      </w:r>
    </w:p>
    <w:p w14:paraId="49AD8972" w14:textId="0E279DEC" w:rsidR="004A649B" w:rsidRPr="004A649B" w:rsidRDefault="004A649B" w:rsidP="004A649B">
      <w:pPr>
        <w:pStyle w:val="Bulletlist1"/>
      </w:pPr>
      <w:r w:rsidRPr="004A649B">
        <w:t>ONR’s requirements to enable progress through the GDA steps</w:t>
      </w:r>
      <w:r w:rsidR="00925E68">
        <w:t>;</w:t>
      </w:r>
    </w:p>
    <w:p w14:paraId="217EBDB2" w14:textId="03B2B1E0" w:rsidR="004A649B" w:rsidRPr="004A649B" w:rsidRDefault="004A649B" w:rsidP="004A649B">
      <w:pPr>
        <w:pStyle w:val="Bulletlist1"/>
      </w:pPr>
      <w:r w:rsidRPr="004A649B">
        <w:t>the outputs from undertaking a GDA</w:t>
      </w:r>
      <w:r w:rsidR="00925E68">
        <w:t>; and,</w:t>
      </w:r>
    </w:p>
    <w:p w14:paraId="164022FE" w14:textId="795E7DB1" w:rsidR="004A649B" w:rsidRPr="004A649B" w:rsidRDefault="004A649B" w:rsidP="004A649B">
      <w:pPr>
        <w:pStyle w:val="Bulletlist1"/>
      </w:pPr>
      <w:r w:rsidRPr="004A649B">
        <w:t>the principles that ONR will apply when judging the adequacy of the RP’s submissions</w:t>
      </w:r>
      <w:r w:rsidR="00925E68">
        <w:t>.</w:t>
      </w:r>
    </w:p>
    <w:p w14:paraId="358B2F22" w14:textId="62C88797" w:rsidR="004A649B" w:rsidRDefault="004A649B" w:rsidP="004A649B">
      <w:pPr>
        <w:pStyle w:val="ListParagraph"/>
      </w:pPr>
      <w:r>
        <w:t xml:space="preserve">The environmental protection aspects of the generic design are assessed by the </w:t>
      </w:r>
      <w:r w:rsidR="00925E68">
        <w:t>e</w:t>
      </w:r>
      <w:r>
        <w:t xml:space="preserve">nvironment </w:t>
      </w:r>
      <w:r w:rsidR="00925E68">
        <w:t>a</w:t>
      </w:r>
      <w:r>
        <w:t xml:space="preserve">gencies with which ONR works closely in GDA. </w:t>
      </w:r>
      <w:r w:rsidR="00D77C91">
        <w:br/>
      </w:r>
      <w:r>
        <w:t>The Environment Agency</w:t>
      </w:r>
      <w:r w:rsidR="00615AD7">
        <w:t xml:space="preserve"> </w:t>
      </w:r>
      <w:r>
        <w:t xml:space="preserve">has also published separate updated guidance to RPs on its GDA process </w:t>
      </w:r>
      <w:sdt>
        <w:sdtPr>
          <w:id w:val="475650070"/>
          <w:citation/>
        </w:sdtPr>
        <w:sdtEndPr/>
        <w:sdtContent>
          <w:r w:rsidR="00615AD7">
            <w:fldChar w:fldCharType="begin"/>
          </w:r>
          <w:r w:rsidR="00615AD7">
            <w:instrText xml:space="preserve"> CITATION EAO19 \l 2057 </w:instrText>
          </w:r>
          <w:r w:rsidR="00615AD7">
            <w:fldChar w:fldCharType="separate"/>
          </w:r>
          <w:r w:rsidR="00181C9E" w:rsidRPr="00181C9E">
            <w:rPr>
              <w:noProof/>
            </w:rPr>
            <w:t>[1]</w:t>
          </w:r>
          <w:r w:rsidR="00615AD7">
            <w:fldChar w:fldCharType="end"/>
          </w:r>
        </w:sdtContent>
      </w:sdt>
      <w:r w:rsidR="00615AD7">
        <w:t>.</w:t>
      </w:r>
    </w:p>
    <w:p w14:paraId="379C026B" w14:textId="77777777" w:rsidR="004A649B" w:rsidRPr="00E456B6" w:rsidRDefault="004A649B" w:rsidP="004A649B">
      <w:pPr>
        <w:pStyle w:val="Heading2"/>
      </w:pPr>
      <w:r w:rsidRPr="00E456B6">
        <w:t xml:space="preserve">Background </w:t>
      </w:r>
    </w:p>
    <w:p w14:paraId="77159F41" w14:textId="77777777" w:rsidR="004A649B" w:rsidRDefault="004A649B" w:rsidP="004A649B">
      <w:pPr>
        <w:pStyle w:val="ListParagraph"/>
      </w:pPr>
      <w:r>
        <w:t>ONR is the independent regulator of safety and security at nuclear licensed sites in Great Britain (GB). It also regulates radioactive materials transport and ensures that nuclear safeguards obligations for the UK are met. ONR’s mission is to provide efficient and effective regulation of the nuclear industry, holding it to account on behalf of the public.</w:t>
      </w:r>
    </w:p>
    <w:p w14:paraId="5946E6D0" w14:textId="77777777" w:rsidR="004A649B" w:rsidRDefault="004A649B" w:rsidP="004A649B">
      <w:pPr>
        <w:pStyle w:val="ListParagraph"/>
        <w:sectPr w:rsidR="004A649B" w:rsidSect="00EE06B5">
          <w:type w:val="continuous"/>
          <w:pgSz w:w="11906" w:h="16838" w:code="9"/>
          <w:pgMar w:top="1440" w:right="1440" w:bottom="1440" w:left="1440" w:header="431" w:footer="567" w:gutter="0"/>
          <w:cols w:space="708"/>
          <w:docGrid w:linePitch="360"/>
        </w:sectPr>
      </w:pPr>
    </w:p>
    <w:p w14:paraId="1D96F93E" w14:textId="77777777" w:rsidR="00EE06B5" w:rsidRDefault="00EE06B5" w:rsidP="004A649B">
      <w:pPr>
        <w:pStyle w:val="ListParagraph"/>
        <w:sectPr w:rsidR="00EE06B5" w:rsidSect="00EE06B5">
          <w:type w:val="continuous"/>
          <w:pgSz w:w="11906" w:h="16838" w:code="9"/>
          <w:pgMar w:top="1440" w:right="1440" w:bottom="1440" w:left="1440" w:header="397" w:footer="397" w:gutter="0"/>
          <w:cols w:space="312"/>
          <w:docGrid w:linePitch="360"/>
        </w:sectPr>
      </w:pPr>
    </w:p>
    <w:p w14:paraId="138B7F65" w14:textId="2700F551" w:rsidR="004A649B" w:rsidRPr="00023B0E" w:rsidRDefault="004A649B" w:rsidP="004A649B">
      <w:pPr>
        <w:pStyle w:val="ListParagraph"/>
      </w:pPr>
      <w:r>
        <w:lastRenderedPageBreak/>
        <w:t>The GDA process was developed in response to the Government's 2006 Energy Review</w:t>
      </w:r>
      <w:r w:rsidR="00615AD7">
        <w:t xml:space="preserve"> </w:t>
      </w:r>
      <w:sdt>
        <w:sdtPr>
          <w:id w:val="-54554118"/>
          <w:citation/>
        </w:sdtPr>
        <w:sdtEndPr/>
        <w:sdtContent>
          <w:r w:rsidR="00615AD7">
            <w:fldChar w:fldCharType="begin"/>
          </w:r>
          <w:r w:rsidR="00615AD7">
            <w:instrText xml:space="preserve"> CITATION HMG064 \l 2057 </w:instrText>
          </w:r>
          <w:r w:rsidR="00615AD7">
            <w:fldChar w:fldCharType="separate"/>
          </w:r>
          <w:r w:rsidR="00181C9E" w:rsidRPr="00181C9E">
            <w:rPr>
              <w:noProof/>
            </w:rPr>
            <w:t>[2]</w:t>
          </w:r>
          <w:r w:rsidR="00615AD7">
            <w:fldChar w:fldCharType="end"/>
          </w:r>
        </w:sdtContent>
      </w:sdt>
      <w:r>
        <w:t xml:space="preserve">; in particular lessons learned from experience with new NPPs indicated that the use of a standardised design, where the design and safety case are well developed much earlier in the project, would facilitate a reduction in both the time for regulatory assessment as well as address any potential regulatory uncertainty for a future site licensee wishing to build such a design. </w:t>
      </w:r>
      <w:r w:rsidRPr="00023B0E">
        <w:t xml:space="preserve">Although GDA is not a mandatory process, because of its </w:t>
      </w:r>
      <w:r>
        <w:t>inherent benefits</w:t>
      </w:r>
      <w:r w:rsidRPr="00023B0E">
        <w:t>, it is expect</w:t>
      </w:r>
      <w:r>
        <w:t xml:space="preserve">ed </w:t>
      </w:r>
      <w:r w:rsidRPr="00023B0E">
        <w:t xml:space="preserve">that it will usually be requested for new </w:t>
      </w:r>
      <w:r>
        <w:t>NPPs</w:t>
      </w:r>
      <w:r w:rsidRPr="00023B0E">
        <w:t xml:space="preserve"> intended for construction in </w:t>
      </w:r>
      <w:r>
        <w:t>GB</w:t>
      </w:r>
      <w:r w:rsidRPr="00023B0E">
        <w:t xml:space="preserve">.  </w:t>
      </w:r>
    </w:p>
    <w:p w14:paraId="69A3060D" w14:textId="72128B71" w:rsidR="004A649B" w:rsidRDefault="004A649B" w:rsidP="004A649B">
      <w:pPr>
        <w:pStyle w:val="ListParagraph"/>
      </w:pPr>
      <w:r>
        <w:t>The first round of GDA</w:t>
      </w:r>
      <w:r w:rsidR="00615AD7">
        <w:t>s</w:t>
      </w:r>
      <w:r>
        <w:t xml:space="preserve"> started in 2007 when ONR and the Environment Agency began assessment of four designs, although two of these first round designs were withdrawn by the RP part-way through the assessment process. The remaining two designs, the EDF and AREVA UK EPR™ and the Westinghouse AP1000</w:t>
      </w:r>
      <w:r w:rsidRPr="006B36C4">
        <w:rPr>
          <w:vertAlign w:val="superscript"/>
        </w:rPr>
        <w:t>®</w:t>
      </w:r>
      <w:r>
        <w:t xml:space="preserve"> designs, subsequently completed GDA in 2012 and 2017 respectively (noting the latter included a pause of several years). In 2013 the Hitachi-GE UK ABWR entered the GDA process and this was completed in 2017. Also in 2017, the CGN/EDF/GNI UK HPR1000 started a GDA. This was completed in 2022. </w:t>
      </w:r>
    </w:p>
    <w:p w14:paraId="6E2313D4" w14:textId="47FFE507" w:rsidR="004A649B" w:rsidRPr="00E456B6" w:rsidRDefault="004A649B" w:rsidP="004A649B">
      <w:pPr>
        <w:pStyle w:val="Heading2"/>
      </w:pPr>
      <w:r w:rsidRPr="00E456B6">
        <w:t xml:space="preserve">Objective of the </w:t>
      </w:r>
      <w:r w:rsidR="00615AD7">
        <w:t>GDA</w:t>
      </w:r>
      <w:r w:rsidRPr="00E456B6">
        <w:t xml:space="preserve"> process </w:t>
      </w:r>
    </w:p>
    <w:p w14:paraId="52BC9451" w14:textId="77777777" w:rsidR="004A649B" w:rsidRDefault="004A649B" w:rsidP="004A649B">
      <w:pPr>
        <w:pStyle w:val="ListParagraph"/>
      </w:pPr>
      <w:bookmarkStart w:id="6" w:name="_Ref173227776"/>
      <w:r>
        <w:t>GDA is designed to offer a number of advantages for both the regulators (ONR and the Environment Agency) and the RP.</w:t>
      </w:r>
      <w:bookmarkEnd w:id="6"/>
      <w:r>
        <w:t xml:space="preserve"> </w:t>
      </w:r>
    </w:p>
    <w:p w14:paraId="2792BB46" w14:textId="77777777" w:rsidR="004A649B" w:rsidRPr="004A649B" w:rsidRDefault="004A649B" w:rsidP="004A649B">
      <w:pPr>
        <w:pStyle w:val="QuoteText"/>
      </w:pPr>
      <w:r w:rsidRPr="004A649B">
        <w:t>The objective for GDA is to provide confidence that the proposed design is capable of being constructed, operated and decommissioned in accordance with the standards of safety, security and environmental protection required in GB. For the RP, this offers a reduction in uncertainty and project risk regarding the design, safety, security and environmental protection cases so as to be an enabler to future licensing, permitting, construction and regulatory activities.</w:t>
      </w:r>
    </w:p>
    <w:p w14:paraId="432729B9" w14:textId="77777777" w:rsidR="004A649B" w:rsidRDefault="004A649B" w:rsidP="004A649B">
      <w:pPr>
        <w:pStyle w:val="ListParagraph"/>
      </w:pPr>
      <w:r>
        <w:t>This is achieved by:</w:t>
      </w:r>
    </w:p>
    <w:p w14:paraId="50786803" w14:textId="77777777" w:rsidR="004A649B" w:rsidRDefault="004A649B" w:rsidP="004A649B">
      <w:pPr>
        <w:pStyle w:val="Bulletlist1"/>
      </w:pPr>
      <w:r>
        <w:t>Enabling the regulators to interact with designers at an early stage, where they can have maximum beneficial influence. Any design changes required to address regulatory expectations are more easily implemented while the plant is still at the proposals stage rather than when construction has begun, or expensive plant items have been manufactured;</w:t>
      </w:r>
    </w:p>
    <w:p w14:paraId="43E48FB2" w14:textId="77777777" w:rsidR="00EE06B5" w:rsidRDefault="00EE06B5" w:rsidP="004A649B">
      <w:pPr>
        <w:pStyle w:val="Bulletlist1"/>
        <w:sectPr w:rsidR="00EE06B5" w:rsidSect="00EE06B5">
          <w:pgSz w:w="11906" w:h="16838" w:code="9"/>
          <w:pgMar w:top="1440" w:right="1440" w:bottom="1440" w:left="1440" w:header="397" w:footer="397" w:gutter="0"/>
          <w:cols w:space="312"/>
          <w:docGrid w:linePitch="360"/>
        </w:sectPr>
      </w:pPr>
    </w:p>
    <w:p w14:paraId="363B11B5" w14:textId="77777777" w:rsidR="004A649B" w:rsidRDefault="004A649B" w:rsidP="004A649B">
      <w:pPr>
        <w:pStyle w:val="Bulletlist1"/>
      </w:pPr>
      <w:r>
        <w:lastRenderedPageBreak/>
        <w:t>Employing a stepwise process, with the assessment becoming increasingly detailed at each step. This allows the regulators to identify key design issues early in the process, thereby reducing the financial and regulatory risks for developers intending to construct a power station based on the design;</w:t>
      </w:r>
    </w:p>
    <w:p w14:paraId="132325B2" w14:textId="77777777" w:rsidR="004A649B" w:rsidRDefault="004A649B" w:rsidP="004A649B">
      <w:pPr>
        <w:pStyle w:val="Bulletlist1"/>
      </w:pPr>
      <w:r>
        <w:t>Being open and transparent regarding both the RP’s design and submissions and the regulators assessments. Both the RP and the regulators will publish detailed information and the RP will promote a public comments process; and</w:t>
      </w:r>
    </w:p>
    <w:p w14:paraId="4669E871" w14:textId="77777777" w:rsidR="004A649B" w:rsidRDefault="004A649B" w:rsidP="004A649B">
      <w:pPr>
        <w:pStyle w:val="Bulletlist1"/>
      </w:pPr>
      <w:r>
        <w:t xml:space="preserve">Distinguishing between generic and site-specific matters. This is particularly beneficial where a generic design is intended for construction on a number of different sites or where such detailed information is not yet available to the RP.   </w:t>
      </w:r>
    </w:p>
    <w:p w14:paraId="68071B87" w14:textId="77777777" w:rsidR="004A649B" w:rsidRDefault="004A649B" w:rsidP="004A649B">
      <w:pPr>
        <w:pStyle w:val="ListParagraph"/>
      </w:pPr>
      <w:r>
        <w:t xml:space="preserve">Other key features of the GDA process are that it: </w:t>
      </w:r>
    </w:p>
    <w:p w14:paraId="73B7FA22" w14:textId="77777777" w:rsidR="004A649B" w:rsidRDefault="004A649B" w:rsidP="004A649B">
      <w:pPr>
        <w:pStyle w:val="Bulletlist1"/>
      </w:pPr>
      <w:r>
        <w:t xml:space="preserve">gives the RP the earliest possible opportunity to demonstrate that a design is capable of meeting the legal requirements of GB </w:t>
      </w:r>
    </w:p>
    <w:p w14:paraId="7403E05C" w14:textId="77777777" w:rsidR="004A649B" w:rsidRDefault="004A649B" w:rsidP="004A649B">
      <w:pPr>
        <w:pStyle w:val="Bulletlist1"/>
      </w:pPr>
      <w:r>
        <w:t>facilitates a rigorous assessment by the regulators</w:t>
      </w:r>
    </w:p>
    <w:p w14:paraId="53C32CEC" w14:textId="77777777" w:rsidR="004A649B" w:rsidRDefault="004A649B" w:rsidP="004A649B">
      <w:pPr>
        <w:pStyle w:val="Bulletlist1"/>
      </w:pPr>
      <w:r>
        <w:t>will be completed within reasonable and defined timescales, subject to the provision of timely, quality and complete submissions by the RP</w:t>
      </w:r>
    </w:p>
    <w:p w14:paraId="019F2B30" w14:textId="77777777" w:rsidR="004A649B" w:rsidRDefault="004A649B" w:rsidP="004A649B">
      <w:pPr>
        <w:pStyle w:val="Bulletlist1"/>
      </w:pPr>
      <w:r>
        <w:t xml:space="preserve">facilitates efficient and effective joint working between the regulators </w:t>
      </w:r>
    </w:p>
    <w:p w14:paraId="52486E8F" w14:textId="77777777" w:rsidR="004A649B" w:rsidRDefault="004A649B" w:rsidP="004A649B">
      <w:pPr>
        <w:pStyle w:val="Bulletlist1"/>
      </w:pPr>
      <w:r>
        <w:t xml:space="preserve">gives clarity to the regulators requirements, processes and timescales </w:t>
      </w:r>
    </w:p>
    <w:p w14:paraId="3FC63E8A" w14:textId="77777777" w:rsidR="004A649B" w:rsidRDefault="004A649B" w:rsidP="004A649B">
      <w:pPr>
        <w:pStyle w:val="Bulletlist1"/>
      </w:pPr>
      <w:r>
        <w:t xml:space="preserve">has clear regulatory outcomes </w:t>
      </w:r>
    </w:p>
    <w:p w14:paraId="335A0A3A" w14:textId="77777777" w:rsidR="004A649B" w:rsidRDefault="004A649B" w:rsidP="004A649B">
      <w:pPr>
        <w:pStyle w:val="Bulletlist1"/>
      </w:pPr>
      <w:r>
        <w:t xml:space="preserve">leads to generic safety, security and environmental protection cases which can be used as part of subsequent </w:t>
      </w:r>
      <w:r w:rsidRPr="00A0378D">
        <w:t xml:space="preserve">licensing, </w:t>
      </w:r>
      <w:r>
        <w:t xml:space="preserve">permitting, </w:t>
      </w:r>
      <w:r w:rsidRPr="00A0378D">
        <w:t xml:space="preserve">construction and </w:t>
      </w:r>
      <w:r>
        <w:t xml:space="preserve">future </w:t>
      </w:r>
      <w:r w:rsidRPr="00A0378D">
        <w:t>regulatory activities</w:t>
      </w:r>
    </w:p>
    <w:p w14:paraId="20472199" w14:textId="34439BDC" w:rsidR="004A649B" w:rsidRPr="00E456B6" w:rsidRDefault="004A649B" w:rsidP="004A649B">
      <w:pPr>
        <w:pStyle w:val="Heading2"/>
      </w:pPr>
      <w:r>
        <w:t>Updates to</w:t>
      </w:r>
      <w:r w:rsidRPr="00E456B6">
        <w:t xml:space="preserve"> this guidance</w:t>
      </w:r>
    </w:p>
    <w:p w14:paraId="63E0ABD8" w14:textId="3F02094C" w:rsidR="004A649B" w:rsidRDefault="004A649B" w:rsidP="004A649B">
      <w:pPr>
        <w:pStyle w:val="ListParagraph"/>
      </w:pPr>
      <w:r>
        <w:t>ONR’s ‘Guidance to Requesting Parties’ was first pu</w:t>
      </w:r>
      <w:r w:rsidRPr="004F00C7">
        <w:t>blished in 2007</w:t>
      </w:r>
      <w:r>
        <w:t>.</w:t>
      </w:r>
      <w:r w:rsidRPr="004F00C7">
        <w:t xml:space="preserve"> </w:t>
      </w:r>
      <w:r w:rsidR="00615AD7">
        <w:br/>
      </w:r>
      <w:r>
        <w:t>This h</w:t>
      </w:r>
      <w:r w:rsidRPr="004F00C7">
        <w:t>as been updated a number of times</w:t>
      </w:r>
      <w:r>
        <w:t xml:space="preserve"> to take into account the </w:t>
      </w:r>
      <w:r w:rsidRPr="004F00C7">
        <w:t>experience gained by ONR through</w:t>
      </w:r>
      <w:r>
        <w:t xml:space="preserve">out </w:t>
      </w:r>
      <w:r w:rsidRPr="004F00C7">
        <w:t xml:space="preserve">GDA. </w:t>
      </w:r>
    </w:p>
    <w:p w14:paraId="32698724" w14:textId="77777777" w:rsidR="00EE06B5" w:rsidRDefault="00EE06B5" w:rsidP="004A649B">
      <w:pPr>
        <w:pStyle w:val="ListParagraph"/>
        <w:sectPr w:rsidR="00EE06B5" w:rsidSect="00EE06B5">
          <w:pgSz w:w="11906" w:h="16838" w:code="9"/>
          <w:pgMar w:top="1440" w:right="1440" w:bottom="1440" w:left="1440" w:header="397" w:footer="397" w:gutter="0"/>
          <w:cols w:space="312"/>
          <w:docGrid w:linePitch="360"/>
        </w:sectPr>
      </w:pPr>
    </w:p>
    <w:p w14:paraId="3D2D5F53" w14:textId="664F09D7" w:rsidR="004A649B" w:rsidRDefault="004A649B" w:rsidP="004A649B">
      <w:pPr>
        <w:pStyle w:val="ListParagraph"/>
      </w:pPr>
      <w:r>
        <w:lastRenderedPageBreak/>
        <w:t xml:space="preserve">This guidance has been produced for all future GDA activities. In addition to incorporating the latest lessons learned, it considers the changes in the nuclear industry in the decade since GDA was devised, in particular the recent nuclear sector deal </w:t>
      </w:r>
      <w:sdt>
        <w:sdtPr>
          <w:id w:val="18290393"/>
          <w:citation/>
        </w:sdtPr>
        <w:sdtEndPr/>
        <w:sdtContent>
          <w:r w:rsidR="00615AD7">
            <w:fldChar w:fldCharType="begin"/>
          </w:r>
          <w:r w:rsidR="00615AD7">
            <w:instrText xml:space="preserve"> CITATION HMG189 \l 2057 </w:instrText>
          </w:r>
          <w:r w:rsidR="00615AD7">
            <w:fldChar w:fldCharType="separate"/>
          </w:r>
          <w:r w:rsidR="00181C9E" w:rsidRPr="00181C9E">
            <w:rPr>
              <w:noProof/>
            </w:rPr>
            <w:t>[3]</w:t>
          </w:r>
          <w:r w:rsidR="00615AD7">
            <w:fldChar w:fldCharType="end"/>
          </w:r>
        </w:sdtContent>
      </w:sdt>
      <w:r>
        <w:t xml:space="preserve"> and the potential for more mature Advanced Nuclear Technologies (ANTs) to enter GDA in the short term. While large portions of the text within this guidance remain unchanged, a number of improvements have been made to enhance the efficiency and flexibility of the GDA process, whilst maintaining the high standards of safety and security achieved previously and the robustness of the regulatory decision making. The key improvements include:</w:t>
      </w:r>
    </w:p>
    <w:p w14:paraId="10AED589" w14:textId="77777777" w:rsidR="004A649B" w:rsidRDefault="004A649B" w:rsidP="004A649B">
      <w:pPr>
        <w:pStyle w:val="Bulletlist1"/>
      </w:pPr>
      <w:r>
        <w:t>Conducting the assessment over three steps, together with amending the emphasis and focus of the assessment during each step;</w:t>
      </w:r>
    </w:p>
    <w:p w14:paraId="1E42AF34" w14:textId="77777777" w:rsidR="004A649B" w:rsidRDefault="004A649B" w:rsidP="004A649B">
      <w:pPr>
        <w:pStyle w:val="Bulletlist1"/>
      </w:pPr>
      <w:r>
        <w:t>Ensuring that greater emphasis is placed on earlier engagement, agreement of scope and of submissions to be submitted throughout the process;</w:t>
      </w:r>
    </w:p>
    <w:p w14:paraId="7F482DD6" w14:textId="77777777" w:rsidR="004A649B" w:rsidRDefault="004A649B" w:rsidP="004A649B">
      <w:pPr>
        <w:pStyle w:val="Bulletlist1"/>
      </w:pPr>
      <w:r>
        <w:t>Enhancing the flexibility in the assessment activities conducted by ONR;</w:t>
      </w:r>
    </w:p>
    <w:p w14:paraId="0F1363AE" w14:textId="77777777" w:rsidR="004A649B" w:rsidRDefault="004A649B" w:rsidP="004A649B">
      <w:pPr>
        <w:pStyle w:val="Bulletlist1"/>
      </w:pPr>
      <w:r>
        <w:t>Introducing additional outputs from the GDA process;</w:t>
      </w:r>
    </w:p>
    <w:p w14:paraId="75E3C447" w14:textId="77777777" w:rsidR="004A649B" w:rsidRDefault="004A649B" w:rsidP="004A649B">
      <w:pPr>
        <w:pStyle w:val="Bulletlist1"/>
      </w:pPr>
      <w:r>
        <w:t>Making explicit the opportunities to make better informed and more effective use of existing safety and security documentation prepared for overseas regulators, supplemented so as to meet ONR’s regulatory expectations;</w:t>
      </w:r>
    </w:p>
    <w:p w14:paraId="3DEDCF3B" w14:textId="77777777" w:rsidR="004A649B" w:rsidRDefault="004A649B" w:rsidP="004A649B">
      <w:pPr>
        <w:pStyle w:val="Bulletlist1"/>
      </w:pPr>
      <w:r>
        <w:t>Providing better integration of safety and security requirements;</w:t>
      </w:r>
    </w:p>
    <w:p w14:paraId="6733D296" w14:textId="77777777" w:rsidR="004A649B" w:rsidRDefault="004A649B" w:rsidP="004A649B">
      <w:pPr>
        <w:pStyle w:val="Bulletlist1"/>
      </w:pPr>
      <w:r>
        <w:t xml:space="preserve">Capturing lessons learned at the technical assessment topic level in additional guidance; and </w:t>
      </w:r>
    </w:p>
    <w:p w14:paraId="4A22C19F" w14:textId="77777777" w:rsidR="004A649B" w:rsidRDefault="004A649B" w:rsidP="004A649B">
      <w:pPr>
        <w:pStyle w:val="Bulletlist1"/>
      </w:pPr>
      <w:r>
        <w:t>Simplifying and improving clarity.</w:t>
      </w:r>
    </w:p>
    <w:p w14:paraId="659266F6" w14:textId="05FB2E20" w:rsidR="006C2925" w:rsidRDefault="004A649B" w:rsidP="004A649B">
      <w:pPr>
        <w:pStyle w:val="ListParagraph"/>
      </w:pPr>
      <w:r>
        <w:t xml:space="preserve">The tables in </w:t>
      </w:r>
      <w:r w:rsidR="00615AD7">
        <w:t>Appendices</w:t>
      </w:r>
      <w:r w:rsidRPr="0017761E">
        <w:t xml:space="preserve"> </w:t>
      </w:r>
      <w:hyperlink w:anchor="_Appendix_2_–" w:history="1">
        <w:r w:rsidRPr="00615AD7">
          <w:rPr>
            <w:rStyle w:val="Hyperlink"/>
          </w:rPr>
          <w:t>2</w:t>
        </w:r>
      </w:hyperlink>
      <w:r w:rsidR="00615AD7">
        <w:t xml:space="preserve">, </w:t>
      </w:r>
      <w:hyperlink w:anchor="_Appendix_3_–" w:history="1">
        <w:r w:rsidR="00615AD7" w:rsidRPr="00615AD7">
          <w:rPr>
            <w:rStyle w:val="Hyperlink"/>
          </w:rPr>
          <w:t>3</w:t>
        </w:r>
      </w:hyperlink>
      <w:r w:rsidR="00615AD7">
        <w:t xml:space="preserve"> and </w:t>
      </w:r>
      <w:hyperlink w:anchor="_Appendix_4_–" w:history="1">
        <w:r w:rsidRPr="00615AD7">
          <w:rPr>
            <w:rStyle w:val="Hyperlink"/>
          </w:rPr>
          <w:t>4</w:t>
        </w:r>
      </w:hyperlink>
      <w:r w:rsidRPr="0017761E">
        <w:t xml:space="preserve"> are</w:t>
      </w:r>
      <w:r>
        <w:t xml:space="preserve"> a key part of this guidance. </w:t>
      </w:r>
      <w:r w:rsidR="00615AD7">
        <w:br/>
      </w:r>
      <w:r>
        <w:t>They summarise ONR’s requirements for each of the GDA steps to allow the RP to become familiar with these before entering and throughout any GDA.</w:t>
      </w:r>
      <w:r w:rsidRPr="00C75781">
        <w:t xml:space="preserve"> </w:t>
      </w:r>
      <w:r>
        <w:t>This will give the RP the greatest opportunity to pro</w:t>
      </w:r>
      <w:r w:rsidRPr="00C75781">
        <w:t>vide quality documentation that meets these expectations in a timely manner.</w:t>
      </w:r>
    </w:p>
    <w:p w14:paraId="6CC66E58" w14:textId="77777777" w:rsidR="004A649B" w:rsidRDefault="004A649B" w:rsidP="004A649B">
      <w:pPr>
        <w:sectPr w:rsidR="004A649B" w:rsidSect="00EE06B5">
          <w:pgSz w:w="11906" w:h="16838" w:code="9"/>
          <w:pgMar w:top="1440" w:right="1440" w:bottom="1440" w:left="1440" w:header="397" w:footer="397" w:gutter="0"/>
          <w:cols w:space="312"/>
          <w:docGrid w:linePitch="360"/>
        </w:sectPr>
      </w:pPr>
    </w:p>
    <w:p w14:paraId="4BA08E58" w14:textId="77777777" w:rsidR="00615AD7" w:rsidRDefault="00615AD7" w:rsidP="004A649B">
      <w:pPr>
        <w:pStyle w:val="Heading1"/>
        <w:sectPr w:rsidR="00615AD7" w:rsidSect="00EE06B5">
          <w:type w:val="continuous"/>
          <w:pgSz w:w="11906" w:h="16838" w:code="9"/>
          <w:pgMar w:top="1440" w:right="1440" w:bottom="1440" w:left="1440" w:header="431" w:footer="567" w:gutter="0"/>
          <w:cols w:space="708"/>
          <w:docGrid w:linePitch="360"/>
        </w:sectPr>
      </w:pPr>
      <w:bookmarkStart w:id="7" w:name="_Toc528331656"/>
    </w:p>
    <w:p w14:paraId="13841D42" w14:textId="603E2865" w:rsidR="004A649B" w:rsidRPr="005F5F0C" w:rsidRDefault="004A649B" w:rsidP="004A649B">
      <w:pPr>
        <w:pStyle w:val="Heading1"/>
      </w:pPr>
      <w:bookmarkStart w:id="8" w:name="_Toc173242842"/>
      <w:r w:rsidRPr="005F5F0C">
        <w:lastRenderedPageBreak/>
        <w:t xml:space="preserve">The </w:t>
      </w:r>
      <w:r w:rsidR="00615AD7">
        <w:t>GDA</w:t>
      </w:r>
      <w:r w:rsidRPr="005F5F0C">
        <w:t xml:space="preserve"> </w:t>
      </w:r>
      <w:r>
        <w:t>p</w:t>
      </w:r>
      <w:r w:rsidRPr="005F5F0C">
        <w:t>rocess</w:t>
      </w:r>
      <w:bookmarkEnd w:id="7"/>
      <w:bookmarkEnd w:id="8"/>
    </w:p>
    <w:p w14:paraId="4E63270C" w14:textId="77777777" w:rsidR="004A649B" w:rsidRPr="005359D3" w:rsidRDefault="004A649B" w:rsidP="004A649B">
      <w:pPr>
        <w:pStyle w:val="Heading2"/>
      </w:pPr>
      <w:r w:rsidRPr="005359D3">
        <w:t xml:space="preserve">Overall process and timescales </w:t>
      </w:r>
    </w:p>
    <w:p w14:paraId="4CDDC86E" w14:textId="75B7E147" w:rsidR="004A649B" w:rsidRDefault="004A649B" w:rsidP="004A649B">
      <w:pPr>
        <w:pStyle w:val="ListParagraph"/>
      </w:pPr>
      <w:r>
        <w:t xml:space="preserve">From its inception, GDA was designed to progress in steps, allowing for a progressive development of the RP’s generic safety and security cases, alongside ONR’s assessment, with ONR reporting progress upon completion of each step. For the RP this offers </w:t>
      </w:r>
      <w:r w:rsidRPr="000D2167">
        <w:t>a reduction in regulatory uncertainty and project risk regarding the design</w:t>
      </w:r>
      <w:r>
        <w:t xml:space="preserve"> and</w:t>
      </w:r>
      <w:r w:rsidRPr="000D2167">
        <w:t xml:space="preserve"> safety and security cases.</w:t>
      </w:r>
      <w:r>
        <w:t xml:space="preserve"> </w:t>
      </w:r>
      <w:r>
        <w:br/>
        <w:t xml:space="preserve">Furthermore this should provide greater certainty for the future operators and their investors before major financial commitments to a site-specific project are made. </w:t>
      </w:r>
    </w:p>
    <w:p w14:paraId="735F1254" w14:textId="3D39E995" w:rsidR="004A649B" w:rsidRDefault="004A649B" w:rsidP="004A649B">
      <w:pPr>
        <w:pStyle w:val="ListParagraph"/>
      </w:pPr>
      <w:bookmarkStart w:id="9" w:name="_Ref173241189"/>
      <w:r>
        <w:t xml:space="preserve">GDA has three steps which represents the most efficient way for ONR to conduct the assessment. This is based on the scope and content for each step as detailed later in this guidance </w:t>
      </w:r>
      <w:r w:rsidRPr="0017761E">
        <w:t>(</w:t>
      </w:r>
      <w:r w:rsidR="00615AD7">
        <w:t>refer to Appendices</w:t>
      </w:r>
      <w:r w:rsidR="00615AD7" w:rsidRPr="0017761E">
        <w:t xml:space="preserve"> </w:t>
      </w:r>
      <w:hyperlink w:anchor="_Appendix_2_–" w:history="1">
        <w:r w:rsidR="00615AD7" w:rsidRPr="00615AD7">
          <w:rPr>
            <w:rStyle w:val="Hyperlink"/>
          </w:rPr>
          <w:t>2</w:t>
        </w:r>
      </w:hyperlink>
      <w:r w:rsidR="00615AD7">
        <w:t xml:space="preserve">, </w:t>
      </w:r>
      <w:hyperlink w:anchor="_Appendix_3_–" w:history="1">
        <w:r w:rsidR="00615AD7" w:rsidRPr="00615AD7">
          <w:rPr>
            <w:rStyle w:val="Hyperlink"/>
          </w:rPr>
          <w:t>3</w:t>
        </w:r>
      </w:hyperlink>
      <w:r w:rsidR="00615AD7">
        <w:t xml:space="preserve"> and </w:t>
      </w:r>
      <w:hyperlink w:anchor="_Appendix_4_–" w:history="1">
        <w:r w:rsidR="00615AD7" w:rsidRPr="00615AD7">
          <w:rPr>
            <w:rStyle w:val="Hyperlink"/>
          </w:rPr>
          <w:t>4</w:t>
        </w:r>
      </w:hyperlink>
      <w:r w:rsidR="00615AD7" w:rsidRPr="0017761E">
        <w:t xml:space="preserve"> </w:t>
      </w:r>
      <w:r w:rsidRPr="0017761E">
        <w:t>).</w:t>
      </w:r>
      <w:r>
        <w:t xml:space="preserve"> </w:t>
      </w:r>
      <w:r w:rsidR="00615AD7">
        <w:br/>
      </w:r>
      <w:r>
        <w:t>The overall intent is that:</w:t>
      </w:r>
      <w:bookmarkEnd w:id="9"/>
    </w:p>
    <w:p w14:paraId="214F0FB6" w14:textId="77777777" w:rsidR="004A649B" w:rsidRDefault="004A649B" w:rsidP="004A649B">
      <w:pPr>
        <w:pStyle w:val="Bulletlist1"/>
      </w:pPr>
      <w:r>
        <w:t>Step 1 is the initiation step where matters such as the scope and timescales are agreed, and ONR’s knowledge of the design and the RP’s safety and security cases increases. Importantly, this step includes the RP identifying any immediate gaps in meeting regulatory expectations and proposing how these will be subsequently resolved;</w:t>
      </w:r>
    </w:p>
    <w:p w14:paraId="711A81DF" w14:textId="77777777" w:rsidR="004A649B" w:rsidRDefault="004A649B" w:rsidP="004A649B">
      <w:pPr>
        <w:pStyle w:val="Bulletlist1"/>
      </w:pPr>
      <w:r>
        <w:t xml:space="preserve">Step 2 is the fundamental assessment of the generic safety and security cases, to identify any potential ‘showstoppers’ that may preclude deployment of the design; and </w:t>
      </w:r>
    </w:p>
    <w:p w14:paraId="20F5302A" w14:textId="77777777" w:rsidR="004A649B" w:rsidRDefault="004A649B" w:rsidP="004A649B">
      <w:pPr>
        <w:pStyle w:val="Bulletlist1"/>
      </w:pPr>
      <w:r>
        <w:t>Step 3 is the detailed assessment of the generic safety and security cases on a sampling basis.</w:t>
      </w:r>
    </w:p>
    <w:p w14:paraId="79458150" w14:textId="77777777" w:rsidR="004A649B" w:rsidRDefault="004A649B" w:rsidP="004A649B">
      <w:pPr>
        <w:pStyle w:val="ListParagraph"/>
      </w:pPr>
      <w:r>
        <w:t>Step 1 will be preceded by the administrative work necessary to start a GDA. Notably, this includes the agreement enabling ONR to recover its costs from the RP, and for the RP to provide assurances regarding the viability of the GDA process for the proposed design. The timescales for these activities are largely outside of ONR’s control, and driven by the RP and GDA entry arrangements set by the UK government.</w:t>
      </w:r>
    </w:p>
    <w:p w14:paraId="7A7ED3E5" w14:textId="016F1319" w:rsidR="004A649B" w:rsidRDefault="004A649B" w:rsidP="004A649B">
      <w:pPr>
        <w:pStyle w:val="ListParagraph"/>
      </w:pPr>
      <w:r>
        <w:t xml:space="preserve">The GDA process is summarised in </w:t>
      </w:r>
      <w:r>
        <w:fldChar w:fldCharType="begin"/>
      </w:r>
      <w:r>
        <w:instrText xml:space="preserve"> REF _Ref173222818 \h </w:instrText>
      </w:r>
      <w:r>
        <w:fldChar w:fldCharType="separate"/>
      </w:r>
      <w:r>
        <w:t xml:space="preserve">Table </w:t>
      </w:r>
      <w:r>
        <w:rPr>
          <w:noProof/>
        </w:rPr>
        <w:t>1</w:t>
      </w:r>
      <w:r>
        <w:fldChar w:fldCharType="end"/>
      </w:r>
      <w:r w:rsidRPr="0017761E">
        <w:t>,</w:t>
      </w:r>
      <w:r>
        <w:t xml:space="preserve"> along with indicative ONR’s assessment timescales. The process is shown schematically in </w:t>
      </w:r>
      <w:hyperlink w:anchor="_Appendix_1_–" w:history="1">
        <w:r w:rsidRPr="00615AD7">
          <w:rPr>
            <w:rStyle w:val="Hyperlink"/>
          </w:rPr>
          <w:t>Appendix 1</w:t>
        </w:r>
      </w:hyperlink>
      <w:r w:rsidRPr="0017761E">
        <w:t>.</w:t>
      </w:r>
    </w:p>
    <w:p w14:paraId="5C15D61C" w14:textId="77777777" w:rsidR="004A649B" w:rsidRDefault="004A649B" w:rsidP="004A649B">
      <w:pPr>
        <w:pStyle w:val="Caption"/>
        <w:keepNext/>
        <w:sectPr w:rsidR="004A649B" w:rsidSect="00615AD7">
          <w:pgSz w:w="11906" w:h="16838" w:code="9"/>
          <w:pgMar w:top="1440" w:right="1440" w:bottom="1440" w:left="1440" w:header="431" w:footer="567" w:gutter="0"/>
          <w:cols w:space="708"/>
          <w:docGrid w:linePitch="360"/>
        </w:sectPr>
      </w:pPr>
    </w:p>
    <w:p w14:paraId="15724400" w14:textId="77777777" w:rsidR="00EE06B5" w:rsidRDefault="00EE06B5" w:rsidP="004A649B">
      <w:pPr>
        <w:pStyle w:val="Caption"/>
        <w:keepNext/>
        <w:sectPr w:rsidR="00EE06B5" w:rsidSect="00EE06B5">
          <w:type w:val="continuous"/>
          <w:pgSz w:w="11906" w:h="16838" w:code="9"/>
          <w:pgMar w:top="1440" w:right="1440" w:bottom="1440" w:left="1440" w:header="431" w:footer="567" w:gutter="0"/>
          <w:cols w:space="708"/>
          <w:docGrid w:linePitch="360"/>
        </w:sectPr>
      </w:pPr>
      <w:bookmarkStart w:id="10" w:name="_Ref173222818"/>
    </w:p>
    <w:p w14:paraId="72AB1DC3" w14:textId="19DB9132" w:rsidR="004A649B" w:rsidRDefault="004A649B" w:rsidP="00D77C91">
      <w:pPr>
        <w:pStyle w:val="Caption"/>
        <w:keepNext/>
        <w:ind w:left="851"/>
      </w:pPr>
      <w:bookmarkStart w:id="11" w:name="_Ref173241298"/>
      <w:r>
        <w:lastRenderedPageBreak/>
        <w:t xml:space="preserve">Table </w:t>
      </w:r>
      <w:r>
        <w:fldChar w:fldCharType="begin"/>
      </w:r>
      <w:r>
        <w:instrText xml:space="preserve"> SEQ Table \* ARABIC </w:instrText>
      </w:r>
      <w:r>
        <w:fldChar w:fldCharType="separate"/>
      </w:r>
      <w:r w:rsidR="00A96D60">
        <w:rPr>
          <w:noProof/>
        </w:rPr>
        <w:t>1</w:t>
      </w:r>
      <w:r>
        <w:fldChar w:fldCharType="end"/>
      </w:r>
      <w:bookmarkEnd w:id="10"/>
      <w:r>
        <w:t xml:space="preserve"> - </w:t>
      </w:r>
      <w:r w:rsidRPr="00FD7408">
        <w:t xml:space="preserve">The GDA </w:t>
      </w:r>
      <w:r>
        <w:t>process t</w:t>
      </w:r>
      <w:r w:rsidRPr="00FD7408">
        <w:t>imescales</w:t>
      </w:r>
      <w:bookmarkEnd w:id="11"/>
    </w:p>
    <w:tbl>
      <w:tblPr>
        <w:tblStyle w:val="ONRTable1"/>
        <w:tblW w:w="4537" w:type="pct"/>
        <w:tblInd w:w="851" w:type="dxa"/>
        <w:tblLook w:val="04A0" w:firstRow="1" w:lastRow="0" w:firstColumn="1" w:lastColumn="0" w:noHBand="0" w:noVBand="1"/>
      </w:tblPr>
      <w:tblGrid>
        <w:gridCol w:w="1134"/>
        <w:gridCol w:w="2411"/>
        <w:gridCol w:w="4645"/>
      </w:tblGrid>
      <w:tr w:rsidR="004A649B" w:rsidRPr="004A649B" w14:paraId="002E27BF" w14:textId="77777777" w:rsidTr="00D77C91">
        <w:trPr>
          <w:cnfStyle w:val="100000000000" w:firstRow="1" w:lastRow="0" w:firstColumn="0" w:lastColumn="0" w:oddVBand="0" w:evenVBand="0" w:oddHBand="0" w:evenHBand="0" w:firstRowFirstColumn="0" w:firstRowLastColumn="0" w:lastRowFirstColumn="0" w:lastRowLastColumn="0"/>
        </w:trPr>
        <w:tc>
          <w:tcPr>
            <w:tcW w:w="692" w:type="pct"/>
          </w:tcPr>
          <w:p w14:paraId="39F2B760" w14:textId="77777777" w:rsidR="004A649B" w:rsidRPr="00037D99" w:rsidRDefault="004A649B" w:rsidP="00037D99">
            <w:pPr>
              <w:spacing w:before="60" w:after="60"/>
              <w:rPr>
                <w:b w:val="0"/>
                <w:bCs/>
              </w:rPr>
            </w:pPr>
            <w:r w:rsidRPr="00037D99">
              <w:rPr>
                <w:b w:val="0"/>
                <w:bCs/>
              </w:rPr>
              <w:t>Step</w:t>
            </w:r>
          </w:p>
        </w:tc>
        <w:tc>
          <w:tcPr>
            <w:tcW w:w="1472" w:type="pct"/>
          </w:tcPr>
          <w:p w14:paraId="2F71B16C" w14:textId="77777777" w:rsidR="004A649B" w:rsidRPr="00037D99" w:rsidRDefault="004A649B" w:rsidP="00037D99">
            <w:pPr>
              <w:spacing w:before="60" w:after="60"/>
              <w:rPr>
                <w:b w:val="0"/>
                <w:bCs/>
              </w:rPr>
            </w:pPr>
            <w:r w:rsidRPr="00037D99">
              <w:rPr>
                <w:b w:val="0"/>
                <w:bCs/>
              </w:rPr>
              <w:t>Description</w:t>
            </w:r>
          </w:p>
        </w:tc>
        <w:tc>
          <w:tcPr>
            <w:tcW w:w="2836" w:type="pct"/>
          </w:tcPr>
          <w:p w14:paraId="37B04404" w14:textId="2A9580C0" w:rsidR="004A649B" w:rsidRPr="00037D99" w:rsidRDefault="004A649B" w:rsidP="00037D99">
            <w:pPr>
              <w:spacing w:before="60" w:after="60"/>
              <w:rPr>
                <w:b w:val="0"/>
                <w:bCs/>
              </w:rPr>
            </w:pPr>
            <w:r w:rsidRPr="00037D99">
              <w:rPr>
                <w:b w:val="0"/>
                <w:bCs/>
              </w:rPr>
              <w:t>Indicative ONR</w:t>
            </w:r>
            <w:r w:rsidR="00D77C91">
              <w:rPr>
                <w:b w:val="0"/>
                <w:bCs/>
              </w:rPr>
              <w:t xml:space="preserve"> a</w:t>
            </w:r>
            <w:r w:rsidRPr="00037D99">
              <w:rPr>
                <w:b w:val="0"/>
                <w:bCs/>
              </w:rPr>
              <w:t xml:space="preserve">ssessment </w:t>
            </w:r>
            <w:r w:rsidR="00D77C91">
              <w:rPr>
                <w:b w:val="0"/>
                <w:bCs/>
              </w:rPr>
              <w:t>t</w:t>
            </w:r>
            <w:r w:rsidRPr="00037D99">
              <w:rPr>
                <w:b w:val="0"/>
                <w:bCs/>
              </w:rPr>
              <w:t>imescales</w:t>
            </w:r>
          </w:p>
        </w:tc>
      </w:tr>
      <w:tr w:rsidR="004A649B" w:rsidRPr="004A649B" w14:paraId="189DF95F" w14:textId="77777777" w:rsidTr="00D77C91">
        <w:tc>
          <w:tcPr>
            <w:tcW w:w="692" w:type="pct"/>
          </w:tcPr>
          <w:p w14:paraId="05B77925" w14:textId="77777777" w:rsidR="004A649B" w:rsidRPr="00037D99" w:rsidRDefault="004A649B" w:rsidP="00037D99">
            <w:pPr>
              <w:spacing w:before="60" w:after="60"/>
              <w:rPr>
                <w:bCs/>
                <w:color w:val="000000"/>
              </w:rPr>
            </w:pPr>
            <w:r w:rsidRPr="00037D99">
              <w:rPr>
                <w:bCs/>
                <w:color w:val="000000"/>
              </w:rPr>
              <w:t>1</w:t>
            </w:r>
          </w:p>
        </w:tc>
        <w:tc>
          <w:tcPr>
            <w:tcW w:w="1472" w:type="pct"/>
          </w:tcPr>
          <w:p w14:paraId="6AAF411B" w14:textId="77777777" w:rsidR="004A649B" w:rsidRPr="00037D99" w:rsidRDefault="004A649B" w:rsidP="00037D99">
            <w:pPr>
              <w:spacing w:before="60" w:after="60"/>
              <w:rPr>
                <w:bCs/>
                <w:color w:val="000000"/>
              </w:rPr>
            </w:pPr>
            <w:r w:rsidRPr="00037D99">
              <w:rPr>
                <w:bCs/>
                <w:color w:val="000000"/>
              </w:rPr>
              <w:t>Initiation</w:t>
            </w:r>
          </w:p>
        </w:tc>
        <w:tc>
          <w:tcPr>
            <w:tcW w:w="2836" w:type="pct"/>
          </w:tcPr>
          <w:p w14:paraId="606187A7" w14:textId="77777777" w:rsidR="004A649B" w:rsidRPr="00037D99" w:rsidRDefault="004A649B" w:rsidP="00037D99">
            <w:pPr>
              <w:spacing w:before="60" w:after="60"/>
              <w:rPr>
                <w:bCs/>
                <w:color w:val="000000"/>
              </w:rPr>
            </w:pPr>
            <w:r w:rsidRPr="00037D99">
              <w:rPr>
                <w:bCs/>
                <w:color w:val="000000"/>
              </w:rPr>
              <w:t>12 months</w:t>
            </w:r>
          </w:p>
        </w:tc>
      </w:tr>
      <w:tr w:rsidR="004A649B" w:rsidRPr="004A649B" w14:paraId="6E8444D5" w14:textId="77777777" w:rsidTr="00D77C91">
        <w:tc>
          <w:tcPr>
            <w:tcW w:w="692" w:type="pct"/>
          </w:tcPr>
          <w:p w14:paraId="7F7473F8" w14:textId="77777777" w:rsidR="004A649B" w:rsidRPr="00037D99" w:rsidRDefault="004A649B" w:rsidP="00037D99">
            <w:pPr>
              <w:spacing w:before="60" w:after="60"/>
              <w:rPr>
                <w:bCs/>
                <w:color w:val="000000"/>
              </w:rPr>
            </w:pPr>
            <w:r w:rsidRPr="00037D99">
              <w:rPr>
                <w:bCs/>
                <w:color w:val="000000"/>
              </w:rPr>
              <w:t>2</w:t>
            </w:r>
          </w:p>
        </w:tc>
        <w:tc>
          <w:tcPr>
            <w:tcW w:w="1472" w:type="pct"/>
          </w:tcPr>
          <w:p w14:paraId="3191F5B8" w14:textId="77777777" w:rsidR="004A649B" w:rsidRPr="00037D99" w:rsidRDefault="004A649B" w:rsidP="00037D99">
            <w:pPr>
              <w:spacing w:before="60" w:after="60"/>
              <w:rPr>
                <w:bCs/>
                <w:color w:val="000000"/>
              </w:rPr>
            </w:pPr>
            <w:r w:rsidRPr="00037D99">
              <w:rPr>
                <w:bCs/>
                <w:color w:val="000000"/>
              </w:rPr>
              <w:t xml:space="preserve">Fundamental </w:t>
            </w:r>
          </w:p>
        </w:tc>
        <w:tc>
          <w:tcPr>
            <w:tcW w:w="2836" w:type="pct"/>
          </w:tcPr>
          <w:p w14:paraId="478C5ACD" w14:textId="77777777" w:rsidR="004A649B" w:rsidRPr="00037D99" w:rsidRDefault="004A649B" w:rsidP="00037D99">
            <w:pPr>
              <w:spacing w:before="60" w:after="60"/>
              <w:rPr>
                <w:bCs/>
                <w:color w:val="000000"/>
              </w:rPr>
            </w:pPr>
            <w:r w:rsidRPr="00037D99">
              <w:rPr>
                <w:bCs/>
                <w:color w:val="000000"/>
              </w:rPr>
              <w:t>12 months</w:t>
            </w:r>
          </w:p>
        </w:tc>
      </w:tr>
      <w:tr w:rsidR="004A649B" w:rsidRPr="004A649B" w14:paraId="6078917B" w14:textId="77777777" w:rsidTr="00D77C91">
        <w:tc>
          <w:tcPr>
            <w:tcW w:w="692" w:type="pct"/>
          </w:tcPr>
          <w:p w14:paraId="6351A1D4" w14:textId="77777777" w:rsidR="004A649B" w:rsidRPr="00037D99" w:rsidRDefault="004A649B" w:rsidP="00037D99">
            <w:pPr>
              <w:spacing w:before="60" w:after="60"/>
              <w:rPr>
                <w:bCs/>
                <w:color w:val="000000"/>
              </w:rPr>
            </w:pPr>
            <w:r w:rsidRPr="00037D99">
              <w:rPr>
                <w:bCs/>
                <w:color w:val="000000"/>
              </w:rPr>
              <w:t>3</w:t>
            </w:r>
          </w:p>
        </w:tc>
        <w:tc>
          <w:tcPr>
            <w:tcW w:w="1472" w:type="pct"/>
          </w:tcPr>
          <w:p w14:paraId="4DBA24FF" w14:textId="77777777" w:rsidR="004A649B" w:rsidRPr="00037D99" w:rsidRDefault="004A649B" w:rsidP="00037D99">
            <w:pPr>
              <w:spacing w:before="60" w:after="60"/>
              <w:rPr>
                <w:bCs/>
                <w:color w:val="000000"/>
              </w:rPr>
            </w:pPr>
            <w:r w:rsidRPr="00037D99">
              <w:rPr>
                <w:bCs/>
                <w:color w:val="000000"/>
              </w:rPr>
              <w:t>Detailed</w:t>
            </w:r>
          </w:p>
        </w:tc>
        <w:tc>
          <w:tcPr>
            <w:tcW w:w="2836" w:type="pct"/>
          </w:tcPr>
          <w:p w14:paraId="792A2273" w14:textId="77777777" w:rsidR="004A649B" w:rsidRPr="00037D99" w:rsidRDefault="004A649B" w:rsidP="00037D99">
            <w:pPr>
              <w:spacing w:before="60" w:after="60"/>
              <w:rPr>
                <w:bCs/>
                <w:color w:val="000000"/>
              </w:rPr>
            </w:pPr>
            <w:r w:rsidRPr="00037D99">
              <w:rPr>
                <w:bCs/>
                <w:color w:val="000000"/>
              </w:rPr>
              <w:t>24 months</w:t>
            </w:r>
          </w:p>
        </w:tc>
      </w:tr>
      <w:tr w:rsidR="004A649B" w:rsidRPr="004A649B" w14:paraId="219893AE" w14:textId="77777777" w:rsidTr="00D77C91">
        <w:tc>
          <w:tcPr>
            <w:tcW w:w="692" w:type="pct"/>
          </w:tcPr>
          <w:p w14:paraId="0C7217B2" w14:textId="77777777" w:rsidR="004A649B" w:rsidRPr="00037D99" w:rsidRDefault="004A649B" w:rsidP="00037D99">
            <w:pPr>
              <w:spacing w:before="60" w:after="60"/>
              <w:rPr>
                <w:bCs/>
                <w:color w:val="000000"/>
              </w:rPr>
            </w:pPr>
            <w:r w:rsidRPr="00037D99">
              <w:rPr>
                <w:bCs/>
                <w:color w:val="000000"/>
              </w:rPr>
              <w:t>-</w:t>
            </w:r>
          </w:p>
        </w:tc>
        <w:tc>
          <w:tcPr>
            <w:tcW w:w="1472" w:type="pct"/>
          </w:tcPr>
          <w:p w14:paraId="1003AC62" w14:textId="0F782A04" w:rsidR="004A649B" w:rsidRPr="00037D99" w:rsidRDefault="004A649B" w:rsidP="00037D99">
            <w:pPr>
              <w:spacing w:before="60" w:after="60"/>
              <w:rPr>
                <w:bCs/>
                <w:color w:val="000000"/>
              </w:rPr>
            </w:pPr>
            <w:r w:rsidRPr="00037D99">
              <w:rPr>
                <w:bCs/>
                <w:color w:val="000000"/>
              </w:rPr>
              <w:t xml:space="preserve">Resolution of GDA </w:t>
            </w:r>
            <w:r w:rsidR="00D77C91">
              <w:rPr>
                <w:bCs/>
                <w:color w:val="000000"/>
              </w:rPr>
              <w:t>i</w:t>
            </w:r>
            <w:r w:rsidRPr="00037D99">
              <w:rPr>
                <w:bCs/>
                <w:color w:val="000000"/>
              </w:rPr>
              <w:t>ssues</w:t>
            </w:r>
            <w:r w:rsidRPr="00037D99">
              <w:rPr>
                <w:rStyle w:val="FootnoteReference"/>
                <w:bCs/>
                <w:color w:val="000000"/>
                <w:szCs w:val="28"/>
              </w:rPr>
              <w:footnoteReference w:id="2"/>
            </w:r>
          </w:p>
        </w:tc>
        <w:tc>
          <w:tcPr>
            <w:tcW w:w="2836" w:type="pct"/>
          </w:tcPr>
          <w:p w14:paraId="77F8DF39" w14:textId="77777777" w:rsidR="004A649B" w:rsidRPr="00037D99" w:rsidRDefault="004A649B" w:rsidP="00037D99">
            <w:pPr>
              <w:spacing w:before="60" w:after="60"/>
              <w:rPr>
                <w:bCs/>
                <w:color w:val="000000"/>
              </w:rPr>
            </w:pPr>
            <w:r w:rsidRPr="00037D99">
              <w:rPr>
                <w:bCs/>
                <w:color w:val="000000"/>
              </w:rPr>
              <w:t>Agreed between ONR and the RP</w:t>
            </w:r>
          </w:p>
        </w:tc>
      </w:tr>
    </w:tbl>
    <w:p w14:paraId="7065D765" w14:textId="6DF56504" w:rsidR="004A649B" w:rsidRDefault="004A649B" w:rsidP="004A649B">
      <w:pPr>
        <w:pStyle w:val="ListParagraph"/>
      </w:pPr>
      <w:bookmarkStart w:id="12" w:name="_Ref173241277"/>
      <w:r>
        <w:t xml:space="preserve">The </w:t>
      </w:r>
      <w:r w:rsidRPr="0017761E">
        <w:t xml:space="preserve">timescales in </w:t>
      </w:r>
      <w:r>
        <w:fldChar w:fldCharType="begin"/>
      </w:r>
      <w:r>
        <w:instrText xml:space="preserve"> REF _Ref173222818 \h </w:instrText>
      </w:r>
      <w:r>
        <w:fldChar w:fldCharType="separate"/>
      </w:r>
      <w:r>
        <w:t xml:space="preserve">Table </w:t>
      </w:r>
      <w:r>
        <w:rPr>
          <w:noProof/>
        </w:rPr>
        <w:t>1</w:t>
      </w:r>
      <w:r>
        <w:fldChar w:fldCharType="end"/>
      </w:r>
      <w:r>
        <w:t xml:space="preserve"> </w:t>
      </w:r>
      <w:r w:rsidRPr="0017761E">
        <w:t xml:space="preserve">are indicative based on past experience and assume that ONR’s requirements detailed in </w:t>
      </w:r>
      <w:r w:rsidR="00615AD7">
        <w:t>Appendices</w:t>
      </w:r>
      <w:r w:rsidR="00615AD7" w:rsidRPr="0017761E">
        <w:t xml:space="preserve"> </w:t>
      </w:r>
      <w:hyperlink w:anchor="_Appendix_2_–" w:history="1">
        <w:r w:rsidR="00615AD7" w:rsidRPr="00615AD7">
          <w:rPr>
            <w:rStyle w:val="Hyperlink"/>
          </w:rPr>
          <w:t>2</w:t>
        </w:r>
      </w:hyperlink>
      <w:r w:rsidR="00615AD7">
        <w:t xml:space="preserve">, </w:t>
      </w:r>
      <w:hyperlink w:anchor="_Appendix_3_–" w:history="1">
        <w:r w:rsidR="00615AD7" w:rsidRPr="00615AD7">
          <w:rPr>
            <w:rStyle w:val="Hyperlink"/>
          </w:rPr>
          <w:t>3</w:t>
        </w:r>
      </w:hyperlink>
      <w:r w:rsidR="00615AD7">
        <w:t xml:space="preserve"> and </w:t>
      </w:r>
      <w:hyperlink w:anchor="_Appendix_4_–" w:history="1">
        <w:r w:rsidR="00615AD7" w:rsidRPr="00615AD7">
          <w:rPr>
            <w:rStyle w:val="Hyperlink"/>
          </w:rPr>
          <w:t>4</w:t>
        </w:r>
      </w:hyperlink>
      <w:r w:rsidR="00615AD7" w:rsidRPr="0017761E">
        <w:t xml:space="preserve"> </w:t>
      </w:r>
      <w:r w:rsidRPr="0017761E">
        <w:t>are</w:t>
      </w:r>
      <w:r>
        <w:t xml:space="preserve"> fully met; target assessment timescales would be agreed between ONR and the RP during Step 1. The actual timescales will depend on factors such as:</w:t>
      </w:r>
      <w:bookmarkEnd w:id="12"/>
      <w:r>
        <w:t xml:space="preserve"> </w:t>
      </w:r>
    </w:p>
    <w:p w14:paraId="0E0528EB" w14:textId="77777777" w:rsidR="004A649B" w:rsidRDefault="004A649B" w:rsidP="004A649B">
      <w:pPr>
        <w:pStyle w:val="Bulletlist1"/>
      </w:pPr>
      <w:r>
        <w:t>the agreed GDA scope</w:t>
      </w:r>
    </w:p>
    <w:p w14:paraId="76FF7025" w14:textId="77777777" w:rsidR="004A649B" w:rsidRDefault="004A649B" w:rsidP="004A649B">
      <w:pPr>
        <w:pStyle w:val="Bulletlist1"/>
      </w:pPr>
      <w:r>
        <w:t>the maturity of the generic design</w:t>
      </w:r>
    </w:p>
    <w:p w14:paraId="407E4529" w14:textId="77777777" w:rsidR="004A649B" w:rsidRDefault="004A649B" w:rsidP="004A649B">
      <w:pPr>
        <w:pStyle w:val="Bulletlist1"/>
      </w:pPr>
      <w:r>
        <w:t xml:space="preserve">the content, quality and timeliness of the RP’s submissions </w:t>
      </w:r>
    </w:p>
    <w:p w14:paraId="47300A57" w14:textId="77777777" w:rsidR="004A649B" w:rsidRDefault="004A649B" w:rsidP="004A649B">
      <w:pPr>
        <w:pStyle w:val="Bulletlist1"/>
      </w:pPr>
      <w:r>
        <w:t xml:space="preserve">the capability and resourcing of the RP’s organisation </w:t>
      </w:r>
    </w:p>
    <w:p w14:paraId="19097A48" w14:textId="77777777" w:rsidR="004A649B" w:rsidRDefault="004A649B" w:rsidP="004A649B">
      <w:pPr>
        <w:pStyle w:val="Bulletlist1"/>
      </w:pPr>
      <w:r>
        <w:t xml:space="preserve">the significance of any issues identified during ONR’s assessment </w:t>
      </w:r>
    </w:p>
    <w:p w14:paraId="1BA4EB5C" w14:textId="77777777" w:rsidR="004A649B" w:rsidRDefault="004A649B" w:rsidP="004A649B">
      <w:pPr>
        <w:pStyle w:val="Bulletlist1"/>
      </w:pPr>
      <w:r>
        <w:t xml:space="preserve">the responsiveness of the RP to ONR’s challenges and questions </w:t>
      </w:r>
    </w:p>
    <w:p w14:paraId="20E5DBAD" w14:textId="77777777" w:rsidR="004A649B" w:rsidRDefault="004A649B" w:rsidP="004A649B">
      <w:pPr>
        <w:pStyle w:val="Bulletlist1"/>
      </w:pPr>
      <w:r>
        <w:t>the availability of sufficient ONR resources</w:t>
      </w:r>
    </w:p>
    <w:p w14:paraId="2D29389E" w14:textId="77777777" w:rsidR="004A649B" w:rsidRDefault="004A649B" w:rsidP="004A649B">
      <w:pPr>
        <w:pStyle w:val="Bulletlist1"/>
      </w:pPr>
      <w:r>
        <w:t>access to relevant information from overseas nuclear regulators</w:t>
      </w:r>
    </w:p>
    <w:p w14:paraId="216DC4CA" w14:textId="77777777" w:rsidR="004A649B" w:rsidRDefault="004A649B" w:rsidP="004A649B">
      <w:pPr>
        <w:pStyle w:val="Bulletlist1"/>
      </w:pPr>
      <w:r>
        <w:t xml:space="preserve">ONR's knowledge of similar designs </w:t>
      </w:r>
    </w:p>
    <w:p w14:paraId="0B23467D" w14:textId="77777777" w:rsidR="004A649B" w:rsidRDefault="004A649B" w:rsidP="004A649B">
      <w:pPr>
        <w:pStyle w:val="ListParagraph"/>
      </w:pPr>
      <w:bookmarkStart w:id="13" w:name="_Ref173241284"/>
      <w:r>
        <w:t>A crucial factor in achieving these indicative timescales is that suitable and sufficient documents are available at the start of each GDA step, and that the agreed schedule for further submissions is met by the RP. If submissions are late, incomplete or of insufficient quality then this may cause delays to the completion of that step.</w:t>
      </w:r>
      <w:bookmarkEnd w:id="13"/>
      <w:r>
        <w:t xml:space="preserve"> </w:t>
      </w:r>
    </w:p>
    <w:p w14:paraId="7FFCA509" w14:textId="77777777" w:rsidR="004A649B" w:rsidRDefault="004A649B" w:rsidP="004A649B">
      <w:pPr>
        <w:pStyle w:val="ListParagraph"/>
        <w:sectPr w:rsidR="004A649B" w:rsidSect="00EE06B5">
          <w:pgSz w:w="11906" w:h="16838" w:code="9"/>
          <w:pgMar w:top="1440" w:right="1440" w:bottom="1440" w:left="1440" w:header="431" w:footer="567" w:gutter="0"/>
          <w:cols w:space="708"/>
          <w:docGrid w:linePitch="360"/>
        </w:sectPr>
      </w:pPr>
    </w:p>
    <w:p w14:paraId="5BA77842" w14:textId="77777777" w:rsidR="00EE06B5" w:rsidRDefault="00EE06B5" w:rsidP="004A649B">
      <w:pPr>
        <w:pStyle w:val="ListParagraph"/>
        <w:sectPr w:rsidR="00EE06B5" w:rsidSect="00EE06B5">
          <w:type w:val="continuous"/>
          <w:pgSz w:w="11906" w:h="16838" w:code="9"/>
          <w:pgMar w:top="1440" w:right="1440" w:bottom="1440" w:left="1440" w:header="431" w:footer="567" w:gutter="0"/>
          <w:cols w:space="708"/>
          <w:docGrid w:linePitch="360"/>
        </w:sectPr>
      </w:pPr>
    </w:p>
    <w:p w14:paraId="6353D95D" w14:textId="7D2F0A91" w:rsidR="004A649B" w:rsidRPr="005C56A4" w:rsidRDefault="004A649B" w:rsidP="004A649B">
      <w:pPr>
        <w:pStyle w:val="ListParagraph"/>
      </w:pPr>
      <w:r>
        <w:lastRenderedPageBreak/>
        <w:t>T</w:t>
      </w:r>
      <w:r w:rsidRPr="005C56A4">
        <w:t>here may be instance</w:t>
      </w:r>
      <w:r>
        <w:t>s</w:t>
      </w:r>
      <w:r w:rsidRPr="005C56A4">
        <w:t xml:space="preserve"> where a further period of assessment is necessary (</w:t>
      </w:r>
      <w:r>
        <w:t>after</w:t>
      </w:r>
      <w:r w:rsidRPr="005C56A4">
        <w:t xml:space="preserve"> Step 3) to resolve some residual safety and/or security concerns </w:t>
      </w:r>
      <w:r>
        <w:br/>
      </w:r>
      <w:r w:rsidRPr="005C56A4">
        <w:t xml:space="preserve">(known as </w:t>
      </w:r>
      <w:r w:rsidR="00615AD7">
        <w:t>‘</w:t>
      </w:r>
      <w:r w:rsidRPr="005C56A4">
        <w:t xml:space="preserve">GDA </w:t>
      </w:r>
      <w:r w:rsidR="00615AD7">
        <w:t>i</w:t>
      </w:r>
      <w:r w:rsidRPr="005C56A4">
        <w:t>ssues</w:t>
      </w:r>
      <w:r w:rsidR="00615AD7">
        <w:t>’ (refer to s</w:t>
      </w:r>
      <w:r w:rsidRPr="005C56A4">
        <w:t xml:space="preserve">ection </w:t>
      </w:r>
      <w:r w:rsidR="00615AD7">
        <w:fldChar w:fldCharType="begin"/>
      </w:r>
      <w:r w:rsidR="00615AD7">
        <w:instrText xml:space="preserve"> REF _Ref173226652 \r \h </w:instrText>
      </w:r>
      <w:r w:rsidR="00615AD7">
        <w:fldChar w:fldCharType="separate"/>
      </w:r>
      <w:r w:rsidR="00615AD7">
        <w:rPr>
          <w:cs/>
        </w:rPr>
        <w:t>‎</w:t>
      </w:r>
      <w:r w:rsidR="00615AD7">
        <w:t>2.8.3</w:t>
      </w:r>
      <w:r w:rsidR="00615AD7">
        <w:fldChar w:fldCharType="end"/>
      </w:r>
      <w:r w:rsidRPr="005C56A4">
        <w:t>). An important objective of GDA is to identify such matters early, s</w:t>
      </w:r>
      <w:r>
        <w:t>o</w:t>
      </w:r>
      <w:r w:rsidRPr="005C56A4">
        <w:t xml:space="preserve"> that resolution can be progressed during GDA. If necessary, the timescales for this additional work are largely driven by the scope and nature of the activities required to resolve these matters, and would need to be agreed between ONR and the RP on a case by case basis. ONR would expect that the duration of these activities is minimised.</w:t>
      </w:r>
    </w:p>
    <w:p w14:paraId="22C6A838" w14:textId="77777777" w:rsidR="004A649B" w:rsidRDefault="004A649B" w:rsidP="004A649B">
      <w:pPr>
        <w:pStyle w:val="ListParagraph"/>
      </w:pPr>
      <w:r>
        <w:t>At the end of each step, ONR will provide an output which summarises its regulatory position at that point in time, in addition to supporting assessment information. Which of these outputs is provided will vary in accordance with the step, and the nature of the assessment undertaken. The outputs are:</w:t>
      </w:r>
    </w:p>
    <w:p w14:paraId="3A30213E" w14:textId="77777777" w:rsidR="004A649B" w:rsidRDefault="004A649B" w:rsidP="004A649B">
      <w:pPr>
        <w:pStyle w:val="Bulletlist1"/>
      </w:pPr>
      <w:r>
        <w:t>GDA statement</w:t>
      </w:r>
    </w:p>
    <w:p w14:paraId="63782A80" w14:textId="77777777" w:rsidR="004A649B" w:rsidRDefault="004A649B" w:rsidP="004A649B">
      <w:pPr>
        <w:pStyle w:val="Bulletlist1"/>
      </w:pPr>
      <w:r>
        <w:t>interim Design Acceptance Confirmation (</w:t>
      </w:r>
      <w:proofErr w:type="spellStart"/>
      <w:r>
        <w:t>iDAC</w:t>
      </w:r>
      <w:proofErr w:type="spellEnd"/>
      <w:r>
        <w:t>)</w:t>
      </w:r>
    </w:p>
    <w:p w14:paraId="14036EAF" w14:textId="77777777" w:rsidR="004A649B" w:rsidRDefault="004A649B" w:rsidP="004A649B">
      <w:pPr>
        <w:pStyle w:val="Bulletlist1"/>
      </w:pPr>
      <w:r>
        <w:t>Design Acceptance Confirmation (DAC)</w:t>
      </w:r>
    </w:p>
    <w:p w14:paraId="62B9DE8D" w14:textId="26524FC0" w:rsidR="004A649B" w:rsidRDefault="004A649B" w:rsidP="004A649B">
      <w:pPr>
        <w:pStyle w:val="ListParagraph"/>
      </w:pPr>
      <w:r>
        <w:t xml:space="preserve">These are described further </w:t>
      </w:r>
      <w:r w:rsidRPr="008466CE">
        <w:t>in this guidance (</w:t>
      </w:r>
      <w:r w:rsidR="00615AD7">
        <w:t>refer to s</w:t>
      </w:r>
      <w:r w:rsidRPr="0017761E">
        <w:t xml:space="preserve">ection </w:t>
      </w:r>
      <w:r w:rsidR="00615AD7">
        <w:fldChar w:fldCharType="begin"/>
      </w:r>
      <w:r w:rsidR="00615AD7">
        <w:instrText xml:space="preserve"> REF _Ref173226653 \r \h </w:instrText>
      </w:r>
      <w:r w:rsidR="00615AD7">
        <w:fldChar w:fldCharType="separate"/>
      </w:r>
      <w:r w:rsidR="00615AD7">
        <w:rPr>
          <w:cs/>
        </w:rPr>
        <w:t>‎</w:t>
      </w:r>
      <w:r w:rsidR="00615AD7">
        <w:t>2.8</w:t>
      </w:r>
      <w:r w:rsidR="00615AD7">
        <w:fldChar w:fldCharType="end"/>
      </w:r>
      <w:r w:rsidRPr="008466CE">
        <w:t>)</w:t>
      </w:r>
      <w:r>
        <w:t xml:space="preserve">. </w:t>
      </w:r>
      <w:r w:rsidR="00615AD7">
        <w:br/>
      </w:r>
      <w:r>
        <w:t>The outputs that are expected to be provided (upon successful completion) will be agreed between ONR and the RP as part of Step 1, based upon the agreed GDA scope.</w:t>
      </w:r>
    </w:p>
    <w:p w14:paraId="0F9BC328" w14:textId="7F255DE9" w:rsidR="004A649B" w:rsidRPr="005359D3" w:rsidRDefault="004A649B" w:rsidP="004A649B">
      <w:pPr>
        <w:pStyle w:val="Heading2"/>
      </w:pPr>
      <w:bookmarkStart w:id="14" w:name="_Ref173225381"/>
      <w:r>
        <w:t>Agreement of GDA scope and outputs</w:t>
      </w:r>
      <w:bookmarkEnd w:id="14"/>
    </w:p>
    <w:p w14:paraId="659A99A4" w14:textId="77777777" w:rsidR="004A649B" w:rsidRPr="00575317" w:rsidRDefault="004A649B" w:rsidP="004A649B">
      <w:pPr>
        <w:pStyle w:val="ListParagraph"/>
      </w:pPr>
      <w:r w:rsidRPr="00575317">
        <w:t>A key aspect to be discussed and agreed during Step 1 is the ‘GDA scope’. In this context the GDA scope refers to the boundaries of the assessment</w:t>
      </w:r>
      <w:r>
        <w:t xml:space="preserve">. This will need to include factors such as </w:t>
      </w:r>
      <w:r w:rsidRPr="00575317">
        <w:t>what systems</w:t>
      </w:r>
      <w:r>
        <w:t>, structures or components</w:t>
      </w:r>
      <w:r w:rsidRPr="00575317">
        <w:t xml:space="preserve"> or </w:t>
      </w:r>
      <w:r>
        <w:t xml:space="preserve">technical assessment </w:t>
      </w:r>
      <w:r w:rsidRPr="00575317">
        <w:t>topics are considered</w:t>
      </w:r>
      <w:r>
        <w:t>, and at which step the GDA is proposed to conclude</w:t>
      </w:r>
      <w:r w:rsidRPr="00575317">
        <w:t>. It does not extend to include the detailed content of specific documents</w:t>
      </w:r>
      <w:r>
        <w:t>, for example</w:t>
      </w:r>
      <w:r w:rsidRPr="00575317">
        <w:t>.</w:t>
      </w:r>
    </w:p>
    <w:p w14:paraId="770506AF" w14:textId="77777777" w:rsidR="004A649B" w:rsidRDefault="004A649B" w:rsidP="004A649B">
      <w:pPr>
        <w:pStyle w:val="ListParagraph"/>
      </w:pPr>
      <w:r>
        <w:t>It is expected that most RPs would undertake a GDA with the objective of achieving a DAC, as for all previous GDAs completed to date. This provides the RP with the opportunity to address the most significant safety and security aspects. As a consequence this offers the largest r</w:t>
      </w:r>
      <w:r w:rsidRPr="004E68E9">
        <w:t>eduction in the uncertaint</w:t>
      </w:r>
      <w:r>
        <w:t>y</w:t>
      </w:r>
      <w:r w:rsidRPr="004E68E9">
        <w:t xml:space="preserve"> </w:t>
      </w:r>
      <w:r>
        <w:t xml:space="preserve">and project risks </w:t>
      </w:r>
      <w:r w:rsidRPr="004E68E9">
        <w:t>associated with the regulatory process</w:t>
      </w:r>
      <w:r>
        <w:t xml:space="preserve"> for the proposed design, providing</w:t>
      </w:r>
      <w:r w:rsidRPr="004E68E9">
        <w:t xml:space="preserve"> greater certainty for the intended operators</w:t>
      </w:r>
      <w:r>
        <w:t xml:space="preserve"> and potential investors. </w:t>
      </w:r>
    </w:p>
    <w:p w14:paraId="7992A12B" w14:textId="77777777" w:rsidR="004A649B" w:rsidRDefault="004A649B" w:rsidP="004A649B">
      <w:pPr>
        <w:pStyle w:val="ListParagraph"/>
        <w:sectPr w:rsidR="004A649B" w:rsidSect="00EE06B5">
          <w:pgSz w:w="11906" w:h="16838" w:code="9"/>
          <w:pgMar w:top="1440" w:right="1440" w:bottom="1440" w:left="1440" w:header="431" w:footer="567" w:gutter="0"/>
          <w:cols w:space="708"/>
          <w:docGrid w:linePitch="360"/>
        </w:sectPr>
      </w:pPr>
    </w:p>
    <w:p w14:paraId="42BD6806" w14:textId="77777777" w:rsidR="00EE06B5" w:rsidRDefault="00EE06B5" w:rsidP="004A649B">
      <w:pPr>
        <w:pStyle w:val="ListParagraph"/>
        <w:sectPr w:rsidR="00EE06B5" w:rsidSect="00EE06B5">
          <w:type w:val="continuous"/>
          <w:pgSz w:w="11906" w:h="16838" w:code="9"/>
          <w:pgMar w:top="1440" w:right="1440" w:bottom="1440" w:left="1440" w:header="431" w:footer="567" w:gutter="0"/>
          <w:cols w:space="708"/>
          <w:docGrid w:linePitch="360"/>
        </w:sectPr>
      </w:pPr>
    </w:p>
    <w:p w14:paraId="16DE6D2D" w14:textId="64EFE3F9" w:rsidR="004A649B" w:rsidRDefault="004A649B" w:rsidP="004A649B">
      <w:pPr>
        <w:pStyle w:val="ListParagraph"/>
      </w:pPr>
      <w:r>
        <w:lastRenderedPageBreak/>
        <w:t>However, it is acknowledged that some RPs may not wish, or may not be able to target achieving a DAC at the commencement of a GDA. While this would not lead to the same level of reduction in uncertainty and project risk associated with the regulatory process as achieving a DAC, it may be better aligned with their overall project requirements. Such an approach is not precluded by the GDA process, but would be subject to the agreement of ONR. The decision to accept the scope, or otherwise, will be based on consideration of whether the assessment can be considered ‘meaningful’, including whether the deployment of regulatory resource is warranted, as described in more detail later in this guidance (</w:t>
      </w:r>
      <w:r w:rsidR="00615AD7">
        <w:t>refer to s</w:t>
      </w:r>
      <w:r w:rsidRPr="0017761E">
        <w:t xml:space="preserve">ection </w:t>
      </w:r>
      <w:r w:rsidR="00615AD7">
        <w:fldChar w:fldCharType="begin"/>
      </w:r>
      <w:r w:rsidR="00615AD7">
        <w:instrText xml:space="preserve"> REF _Ref173226654 \r \h </w:instrText>
      </w:r>
      <w:r w:rsidR="00615AD7">
        <w:fldChar w:fldCharType="separate"/>
      </w:r>
      <w:r w:rsidR="00615AD7">
        <w:rPr>
          <w:cs/>
        </w:rPr>
        <w:t>‎</w:t>
      </w:r>
      <w:r w:rsidR="00615AD7">
        <w:t>4.1</w:t>
      </w:r>
      <w:r w:rsidR="00615AD7">
        <w:fldChar w:fldCharType="end"/>
      </w:r>
      <w:r>
        <w:t>). It is important to note that the decision to undertake, and continue, a GDA is made solely by the regulators, and is separate from the request by the UK government to commence a GDA (</w:t>
      </w:r>
      <w:r w:rsidR="00615AD7">
        <w:t>refer to s</w:t>
      </w:r>
      <w:r>
        <w:t xml:space="preserve">ection </w:t>
      </w:r>
      <w:r w:rsidR="00615AD7">
        <w:fldChar w:fldCharType="begin"/>
      </w:r>
      <w:r w:rsidR="00615AD7">
        <w:instrText xml:space="preserve"> REF _Ref173226655 \r \h </w:instrText>
      </w:r>
      <w:r w:rsidR="00615AD7">
        <w:fldChar w:fldCharType="separate"/>
      </w:r>
      <w:r w:rsidR="00615AD7">
        <w:rPr>
          <w:cs/>
        </w:rPr>
        <w:t>‎</w:t>
      </w:r>
      <w:r w:rsidR="00615AD7">
        <w:t>2.5</w:t>
      </w:r>
      <w:r w:rsidR="00615AD7">
        <w:fldChar w:fldCharType="end"/>
      </w:r>
      <w:r>
        <w:t>). An important consideration in deciding on whether the proposed GDA scope is meaningful is whether the design, safety and security cases are sufficiently mature that the risk of ONR becoming part of the RP’s design process is minimised. Therefore, there will be some proposed GDA scopes that ONR may not consider meaningful, and therefore it would not consider undertaking a GDA.</w:t>
      </w:r>
      <w:r w:rsidRPr="00244E0E">
        <w:t xml:space="preserve"> </w:t>
      </w:r>
      <w:r>
        <w:t xml:space="preserve">Typical </w:t>
      </w:r>
      <w:r w:rsidRPr="009F0F6B">
        <w:t>examples</w:t>
      </w:r>
      <w:r>
        <w:t xml:space="preserve"> of how this process </w:t>
      </w:r>
      <w:r w:rsidRPr="009F0F6B">
        <w:t>may</w:t>
      </w:r>
      <w:r>
        <w:t xml:space="preserve"> be applied are given in </w:t>
      </w:r>
      <w:r w:rsidR="00A96D60">
        <w:fldChar w:fldCharType="begin"/>
      </w:r>
      <w:r w:rsidR="00A96D60">
        <w:instrText xml:space="preserve"> REF _Ref173223132 \h </w:instrText>
      </w:r>
      <w:r w:rsidR="00A96D60">
        <w:fldChar w:fldCharType="separate"/>
      </w:r>
      <w:r w:rsidR="00A96D60">
        <w:t xml:space="preserve">Table </w:t>
      </w:r>
      <w:r w:rsidR="00A96D60">
        <w:rPr>
          <w:noProof/>
        </w:rPr>
        <w:t>2</w:t>
      </w:r>
      <w:r w:rsidR="00A96D60">
        <w:fldChar w:fldCharType="end"/>
      </w:r>
      <w:r w:rsidR="00A96D60">
        <w:t xml:space="preserve"> </w:t>
      </w:r>
      <w:r>
        <w:t>– noting that agreement of the GDA scope will be part of Step 1 of the GDA</w:t>
      </w:r>
      <w:r w:rsidRPr="0017761E">
        <w:t>.</w:t>
      </w:r>
      <w:r>
        <w:t xml:space="preserve"> Further guidance on the flexibility in GDA is provided in </w:t>
      </w:r>
      <w:hyperlink w:anchor="_Appendix_6_–" w:history="1">
        <w:r w:rsidRPr="00615AD7">
          <w:rPr>
            <w:rStyle w:val="Hyperlink"/>
          </w:rPr>
          <w:t>Appendix 6</w:t>
        </w:r>
      </w:hyperlink>
      <w:r>
        <w:t>.</w:t>
      </w:r>
    </w:p>
    <w:p w14:paraId="6E0F05BA" w14:textId="77777777" w:rsidR="004A649B" w:rsidRDefault="004A649B" w:rsidP="004A649B">
      <w:pPr>
        <w:pStyle w:val="ListParagraph"/>
      </w:pPr>
      <w:r>
        <w:t xml:space="preserve">The agreement of scope will also impact on the technical assessment topics considered by ONR, the number of steps and the outputs from the process. Importantly a DAC will not be issued for GDA assessment activities where the overall scope is considered less than for GDAs carried out previously which concluded with the issue of a DAC. </w:t>
      </w:r>
    </w:p>
    <w:p w14:paraId="515B9B1E" w14:textId="77777777" w:rsidR="004A649B" w:rsidRDefault="004A649B" w:rsidP="004A649B">
      <w:pPr>
        <w:pStyle w:val="TSNumberedParagraph11"/>
        <w:numPr>
          <w:ilvl w:val="0"/>
          <w:numId w:val="0"/>
        </w:numPr>
        <w:ind w:left="720"/>
        <w:rPr>
          <w:b/>
        </w:rPr>
        <w:sectPr w:rsidR="004A649B" w:rsidSect="00EE06B5">
          <w:pgSz w:w="11906" w:h="16838" w:code="9"/>
          <w:pgMar w:top="1440" w:right="1440" w:bottom="1440" w:left="1440" w:header="431" w:footer="567" w:gutter="0"/>
          <w:cols w:space="708"/>
          <w:docGrid w:linePitch="360"/>
        </w:sectPr>
      </w:pPr>
    </w:p>
    <w:p w14:paraId="56D97957" w14:textId="4060B3F9" w:rsidR="004A649B" w:rsidRDefault="004A649B" w:rsidP="004A649B">
      <w:pPr>
        <w:pStyle w:val="Caption"/>
        <w:keepNext/>
      </w:pPr>
      <w:bookmarkStart w:id="15" w:name="_Ref173223132"/>
      <w:bookmarkStart w:id="16" w:name="_Ref173241261"/>
      <w:r>
        <w:lastRenderedPageBreak/>
        <w:t xml:space="preserve">Table </w:t>
      </w:r>
      <w:r>
        <w:fldChar w:fldCharType="begin"/>
      </w:r>
      <w:r>
        <w:instrText xml:space="preserve"> SEQ Table \* ARABIC </w:instrText>
      </w:r>
      <w:r>
        <w:fldChar w:fldCharType="separate"/>
      </w:r>
      <w:r w:rsidR="00A96D60">
        <w:rPr>
          <w:noProof/>
        </w:rPr>
        <w:t>2</w:t>
      </w:r>
      <w:r>
        <w:fldChar w:fldCharType="end"/>
      </w:r>
      <w:bookmarkEnd w:id="15"/>
      <w:r>
        <w:t xml:space="preserve"> - </w:t>
      </w:r>
      <w:r w:rsidRPr="00D23AFC">
        <w:t xml:space="preserve">Examples of GDA </w:t>
      </w:r>
      <w:r>
        <w:t>a</w:t>
      </w:r>
      <w:r w:rsidRPr="00D23AFC">
        <w:t>ctivities</w:t>
      </w:r>
      <w:bookmarkEnd w:id="16"/>
    </w:p>
    <w:tbl>
      <w:tblPr>
        <w:tblStyle w:val="ONRTable1"/>
        <w:tblW w:w="5000" w:type="pct"/>
        <w:tblInd w:w="15" w:type="dxa"/>
        <w:tblLook w:val="04A0" w:firstRow="1" w:lastRow="0" w:firstColumn="1" w:lastColumn="0" w:noHBand="0" w:noVBand="1"/>
      </w:tblPr>
      <w:tblGrid>
        <w:gridCol w:w="3518"/>
        <w:gridCol w:w="6021"/>
        <w:gridCol w:w="1558"/>
        <w:gridCol w:w="1273"/>
        <w:gridCol w:w="1588"/>
      </w:tblGrid>
      <w:tr w:rsidR="004A649B" w:rsidRPr="004A649B" w14:paraId="247A112F" w14:textId="77777777" w:rsidTr="004A649B">
        <w:trPr>
          <w:cnfStyle w:val="100000000000" w:firstRow="1" w:lastRow="0" w:firstColumn="0" w:lastColumn="0" w:oddVBand="0" w:evenVBand="0" w:oddHBand="0" w:evenHBand="0" w:firstRowFirstColumn="0" w:firstRowLastColumn="0" w:lastRowFirstColumn="0" w:lastRowLastColumn="0"/>
          <w:cantSplit/>
          <w:tblHeader/>
        </w:trPr>
        <w:tc>
          <w:tcPr>
            <w:tcW w:w="1260" w:type="pct"/>
          </w:tcPr>
          <w:p w14:paraId="2C96BBAD" w14:textId="77777777" w:rsidR="004A649B" w:rsidRPr="004A649B" w:rsidRDefault="004A649B" w:rsidP="004A649B">
            <w:pPr>
              <w:spacing w:before="60" w:after="60"/>
              <w:rPr>
                <w:b w:val="0"/>
                <w:bCs/>
              </w:rPr>
            </w:pPr>
            <w:r w:rsidRPr="004A649B">
              <w:rPr>
                <w:b w:val="0"/>
                <w:bCs/>
              </w:rPr>
              <w:t>Example</w:t>
            </w:r>
          </w:p>
        </w:tc>
        <w:tc>
          <w:tcPr>
            <w:tcW w:w="2157" w:type="pct"/>
          </w:tcPr>
          <w:p w14:paraId="2DAAA8A7" w14:textId="77777777" w:rsidR="004A649B" w:rsidRPr="004A649B" w:rsidRDefault="004A649B" w:rsidP="004A649B">
            <w:pPr>
              <w:spacing w:before="60" w:after="60"/>
              <w:rPr>
                <w:b w:val="0"/>
                <w:bCs/>
              </w:rPr>
            </w:pPr>
            <w:r w:rsidRPr="004A649B">
              <w:rPr>
                <w:b w:val="0"/>
                <w:bCs/>
              </w:rPr>
              <w:t>Description</w:t>
            </w:r>
          </w:p>
        </w:tc>
        <w:tc>
          <w:tcPr>
            <w:tcW w:w="558" w:type="pct"/>
          </w:tcPr>
          <w:p w14:paraId="0714C91E" w14:textId="0DAE93EE" w:rsidR="004A649B" w:rsidRPr="004A649B" w:rsidRDefault="004A649B" w:rsidP="004A649B">
            <w:pPr>
              <w:spacing w:before="60" w:after="60"/>
              <w:rPr>
                <w:b w:val="0"/>
                <w:bCs/>
              </w:rPr>
            </w:pPr>
            <w:r w:rsidRPr="004A649B">
              <w:rPr>
                <w:b w:val="0"/>
                <w:bCs/>
              </w:rPr>
              <w:t xml:space="preserve">Technical </w:t>
            </w:r>
            <w:r>
              <w:rPr>
                <w:b w:val="0"/>
                <w:bCs/>
              </w:rPr>
              <w:t>a</w:t>
            </w:r>
            <w:r w:rsidRPr="004A649B">
              <w:rPr>
                <w:b w:val="0"/>
                <w:bCs/>
              </w:rPr>
              <w:t xml:space="preserve">ssessment </w:t>
            </w:r>
            <w:r>
              <w:rPr>
                <w:b w:val="0"/>
                <w:bCs/>
              </w:rPr>
              <w:t>t</w:t>
            </w:r>
            <w:r w:rsidRPr="004A649B">
              <w:rPr>
                <w:b w:val="0"/>
                <w:bCs/>
              </w:rPr>
              <w:t>opics</w:t>
            </w:r>
          </w:p>
        </w:tc>
        <w:tc>
          <w:tcPr>
            <w:tcW w:w="456" w:type="pct"/>
          </w:tcPr>
          <w:p w14:paraId="43742B16" w14:textId="77777777" w:rsidR="004A649B" w:rsidRPr="004A649B" w:rsidRDefault="004A649B" w:rsidP="004A649B">
            <w:pPr>
              <w:spacing w:before="60" w:after="60"/>
              <w:rPr>
                <w:b w:val="0"/>
                <w:bCs/>
              </w:rPr>
            </w:pPr>
            <w:r w:rsidRPr="004A649B">
              <w:rPr>
                <w:b w:val="0"/>
                <w:bCs/>
              </w:rPr>
              <w:t>Steps</w:t>
            </w:r>
          </w:p>
        </w:tc>
        <w:tc>
          <w:tcPr>
            <w:tcW w:w="569" w:type="pct"/>
          </w:tcPr>
          <w:p w14:paraId="5AA5C4C1" w14:textId="77777777" w:rsidR="004A649B" w:rsidRPr="004A649B" w:rsidRDefault="004A649B" w:rsidP="004A649B">
            <w:pPr>
              <w:spacing w:before="60" w:after="60"/>
              <w:rPr>
                <w:b w:val="0"/>
                <w:bCs/>
              </w:rPr>
            </w:pPr>
            <w:r w:rsidRPr="004A649B">
              <w:rPr>
                <w:b w:val="0"/>
                <w:bCs/>
              </w:rPr>
              <w:t>Output</w:t>
            </w:r>
          </w:p>
        </w:tc>
      </w:tr>
      <w:tr w:rsidR="00EE06B5" w14:paraId="3103B129" w14:textId="77777777" w:rsidTr="004A649B">
        <w:trPr>
          <w:cantSplit/>
        </w:trPr>
        <w:tc>
          <w:tcPr>
            <w:tcW w:w="1260" w:type="pct"/>
          </w:tcPr>
          <w:p w14:paraId="79F1EF38" w14:textId="77777777" w:rsidR="004A649B" w:rsidRPr="00CC5C33" w:rsidRDefault="004A649B" w:rsidP="004A649B">
            <w:pPr>
              <w:spacing w:before="60" w:after="60"/>
            </w:pPr>
            <w:r w:rsidRPr="00CC5C33">
              <w:t>Full plant design</w:t>
            </w:r>
            <w:r>
              <w:t xml:space="preserve"> </w:t>
            </w:r>
          </w:p>
        </w:tc>
        <w:tc>
          <w:tcPr>
            <w:tcW w:w="2157" w:type="pct"/>
          </w:tcPr>
          <w:p w14:paraId="51732B8F" w14:textId="6B73AB7E" w:rsidR="004A649B" w:rsidRPr="004A649B" w:rsidRDefault="004A649B" w:rsidP="004A649B">
            <w:pPr>
              <w:spacing w:before="60" w:after="60"/>
            </w:pPr>
            <w:r w:rsidRPr="00CC5C33">
              <w:t>This would be comparable to what has been completed for UK EPR™, AP1000</w:t>
            </w:r>
            <w:r w:rsidRPr="006B36C4">
              <w:rPr>
                <w:vertAlign w:val="superscript"/>
              </w:rPr>
              <w:t>®</w:t>
            </w:r>
            <w:r w:rsidRPr="00CC5C33">
              <w:t xml:space="preserve"> and UK ABW</w:t>
            </w:r>
            <w:r>
              <w:t>R (for example a c</w:t>
            </w:r>
            <w:r w:rsidRPr="00543EEB">
              <w:t>omprehensive review of reactor, nuclear steam supply system, fuel route, balance of plant and major essential support systems on a generic NPP site</w:t>
            </w:r>
            <w:r>
              <w:t>).</w:t>
            </w:r>
          </w:p>
        </w:tc>
        <w:tc>
          <w:tcPr>
            <w:tcW w:w="558" w:type="pct"/>
          </w:tcPr>
          <w:p w14:paraId="4A5ADC4C" w14:textId="77777777" w:rsidR="004A649B" w:rsidRPr="00CC5C33" w:rsidRDefault="004A649B" w:rsidP="004A649B">
            <w:pPr>
              <w:spacing w:before="60" w:after="60"/>
            </w:pPr>
            <w:r w:rsidRPr="00CC5C33">
              <w:t>All</w:t>
            </w:r>
          </w:p>
        </w:tc>
        <w:tc>
          <w:tcPr>
            <w:tcW w:w="456" w:type="pct"/>
          </w:tcPr>
          <w:p w14:paraId="1AC2372A" w14:textId="77777777" w:rsidR="004A649B" w:rsidRPr="00CC5C33" w:rsidRDefault="004A649B" w:rsidP="004A649B">
            <w:pPr>
              <w:spacing w:before="60" w:after="60"/>
            </w:pPr>
            <w:r w:rsidRPr="00CC5C33">
              <w:t>1, 2 and 3</w:t>
            </w:r>
          </w:p>
        </w:tc>
        <w:tc>
          <w:tcPr>
            <w:tcW w:w="569" w:type="pct"/>
          </w:tcPr>
          <w:p w14:paraId="27CAFAC9" w14:textId="77777777" w:rsidR="004A649B" w:rsidRPr="00CC5C33" w:rsidRDefault="004A649B" w:rsidP="004A649B">
            <w:pPr>
              <w:spacing w:before="60" w:after="60"/>
            </w:pPr>
            <w:r w:rsidRPr="00CC5C33">
              <w:t>DAC</w:t>
            </w:r>
            <w:r>
              <w:t xml:space="preserve">,  </w:t>
            </w:r>
            <w:proofErr w:type="spellStart"/>
            <w:r>
              <w:t>iDAC</w:t>
            </w:r>
            <w:proofErr w:type="spellEnd"/>
            <w:r>
              <w:t xml:space="preserve"> or no DAC</w:t>
            </w:r>
          </w:p>
        </w:tc>
      </w:tr>
      <w:tr w:rsidR="00EE06B5" w14:paraId="5C1BC328" w14:textId="77777777" w:rsidTr="004A649B">
        <w:trPr>
          <w:cantSplit/>
        </w:trPr>
        <w:tc>
          <w:tcPr>
            <w:tcW w:w="1260" w:type="pct"/>
          </w:tcPr>
          <w:p w14:paraId="75B037F3" w14:textId="77777777" w:rsidR="004A649B" w:rsidRPr="00CC5C33" w:rsidRDefault="004A649B" w:rsidP="004A649B">
            <w:pPr>
              <w:spacing w:before="60" w:after="60"/>
            </w:pPr>
            <w:r w:rsidRPr="00240756">
              <w:t xml:space="preserve">Major portions of </w:t>
            </w:r>
            <w:r>
              <w:t>a well-developed</w:t>
            </w:r>
            <w:r w:rsidRPr="00240756">
              <w:t xml:space="preserve"> plant design </w:t>
            </w:r>
            <w:r>
              <w:t>(for example; o</w:t>
            </w:r>
            <w:r w:rsidRPr="00CC5C33">
              <w:t xml:space="preserve">ne </w:t>
            </w:r>
            <w:r>
              <w:t xml:space="preserve">complete reactor </w:t>
            </w:r>
            <w:r w:rsidRPr="00CC5C33">
              <w:t>module of a multi-module</w:t>
            </w:r>
            <w:r>
              <w:t xml:space="preserve"> </w:t>
            </w:r>
            <w:r w:rsidRPr="00CC5C33">
              <w:t>design</w:t>
            </w:r>
            <w:r>
              <w:t xml:space="preserve"> where the interactions between modules are potentially safety significant but are declared out of scope by the RP)</w:t>
            </w:r>
          </w:p>
        </w:tc>
        <w:tc>
          <w:tcPr>
            <w:tcW w:w="2157" w:type="pct"/>
          </w:tcPr>
          <w:p w14:paraId="045F5F1D" w14:textId="4E406EEE" w:rsidR="004A649B" w:rsidRPr="004A649B" w:rsidRDefault="004A649B" w:rsidP="004A649B">
            <w:pPr>
              <w:spacing w:before="60" w:after="60"/>
            </w:pPr>
            <w:r w:rsidRPr="00CC5C33">
              <w:t>A</w:t>
            </w:r>
            <w:r>
              <w:t xml:space="preserve">n RP </w:t>
            </w:r>
            <w:r w:rsidRPr="00CC5C33">
              <w:t xml:space="preserve">may wish to </w:t>
            </w:r>
            <w:r>
              <w:t xml:space="preserve">gain </w:t>
            </w:r>
            <w:r w:rsidRPr="00CC5C33">
              <w:t>regulatory confidence on the acceptability of one</w:t>
            </w:r>
            <w:r>
              <w:t xml:space="preserve"> reactor</w:t>
            </w:r>
            <w:r w:rsidRPr="00CC5C33">
              <w:t xml:space="preserve"> module</w:t>
            </w:r>
            <w:r>
              <w:t>, but does not consider interactions between modules to be within scope. While ONR may consider it meaningful to assess the full safety and security justifications for one module in isolation, consideration of the interactions between modules would be needed to obtain a DAC from GDA.</w:t>
            </w:r>
            <w:r w:rsidRPr="00CC5C33">
              <w:t xml:space="preserve"> </w:t>
            </w:r>
            <w:r>
              <w:t xml:space="preserve">For those major portions that form part of the </w:t>
            </w:r>
            <w:r w:rsidRPr="00486AFD">
              <w:t xml:space="preserve">assessment </w:t>
            </w:r>
            <w:r w:rsidRPr="00283169">
              <w:t>the full breadth and depth of e</w:t>
            </w:r>
            <w:r w:rsidRPr="0017761E">
              <w:t>vidence expected by ONR would need to be available.</w:t>
            </w:r>
          </w:p>
        </w:tc>
        <w:tc>
          <w:tcPr>
            <w:tcW w:w="558" w:type="pct"/>
          </w:tcPr>
          <w:p w14:paraId="59D09C7F" w14:textId="77777777" w:rsidR="004A649B" w:rsidRPr="00CC5C33" w:rsidRDefault="004A649B" w:rsidP="004A649B">
            <w:pPr>
              <w:spacing w:before="60" w:after="60"/>
            </w:pPr>
            <w:r w:rsidRPr="00CC5C33">
              <w:t>All</w:t>
            </w:r>
          </w:p>
        </w:tc>
        <w:tc>
          <w:tcPr>
            <w:tcW w:w="456" w:type="pct"/>
          </w:tcPr>
          <w:p w14:paraId="3310A07C" w14:textId="77777777" w:rsidR="004A649B" w:rsidRPr="00CC5C33" w:rsidRDefault="004A649B" w:rsidP="004A649B">
            <w:pPr>
              <w:spacing w:before="60" w:after="60"/>
            </w:pPr>
            <w:r w:rsidRPr="00CC5C33">
              <w:t>1, 2 and 3</w:t>
            </w:r>
          </w:p>
        </w:tc>
        <w:tc>
          <w:tcPr>
            <w:tcW w:w="569" w:type="pct"/>
          </w:tcPr>
          <w:p w14:paraId="1FE9818D" w14:textId="77777777" w:rsidR="004A649B" w:rsidRPr="00CC5C33" w:rsidRDefault="004A649B" w:rsidP="004A649B">
            <w:pPr>
              <w:spacing w:before="60" w:after="60"/>
            </w:pPr>
            <w:r>
              <w:t>GDA statement</w:t>
            </w:r>
          </w:p>
        </w:tc>
      </w:tr>
      <w:tr w:rsidR="00EE06B5" w14:paraId="26CAB6B7" w14:textId="77777777" w:rsidTr="004A649B">
        <w:trPr>
          <w:cantSplit/>
        </w:trPr>
        <w:tc>
          <w:tcPr>
            <w:tcW w:w="1260" w:type="pct"/>
          </w:tcPr>
          <w:p w14:paraId="301AB391" w14:textId="77777777" w:rsidR="004A649B" w:rsidRPr="00CC5C33" w:rsidRDefault="004A649B" w:rsidP="004A649B">
            <w:pPr>
              <w:spacing w:before="60" w:after="60"/>
            </w:pPr>
            <w:r>
              <w:lastRenderedPageBreak/>
              <w:t>Major portions of the plant design</w:t>
            </w:r>
            <w:r w:rsidRPr="00CC5C33">
              <w:t xml:space="preserve"> </w:t>
            </w:r>
            <w:r>
              <w:t>(of limited design maturity)</w:t>
            </w:r>
          </w:p>
        </w:tc>
        <w:tc>
          <w:tcPr>
            <w:tcW w:w="2157" w:type="pct"/>
          </w:tcPr>
          <w:p w14:paraId="0B6799F2" w14:textId="77777777" w:rsidR="004A649B" w:rsidRPr="00CC5C33" w:rsidRDefault="004A649B" w:rsidP="004A649B">
            <w:pPr>
              <w:spacing w:before="60" w:after="60"/>
            </w:pPr>
            <w:r>
              <w:t>An RP</w:t>
            </w:r>
            <w:r w:rsidRPr="00CC5C33">
              <w:t xml:space="preserve"> </w:t>
            </w:r>
            <w:r>
              <w:t xml:space="preserve">may wish to gain </w:t>
            </w:r>
            <w:r w:rsidRPr="00CC5C33">
              <w:t xml:space="preserve">confidence that </w:t>
            </w:r>
            <w:r>
              <w:t xml:space="preserve">major portions of the plant design, </w:t>
            </w:r>
            <w:r w:rsidRPr="00CC5C33">
              <w:t xml:space="preserve">that </w:t>
            </w:r>
            <w:r>
              <w:t>are</w:t>
            </w:r>
            <w:r w:rsidRPr="00CC5C33">
              <w:t xml:space="preserve"> integral to the design</w:t>
            </w:r>
            <w:r>
              <w:t>,</w:t>
            </w:r>
            <w:r w:rsidRPr="00CC5C33">
              <w:t xml:space="preserve"> </w:t>
            </w:r>
            <w:r>
              <w:t>are</w:t>
            </w:r>
            <w:r w:rsidRPr="00CC5C33">
              <w:t xml:space="preserve"> not </w:t>
            </w:r>
            <w:r>
              <w:t>‘</w:t>
            </w:r>
            <w:r w:rsidRPr="00CC5C33">
              <w:t>showstopper</w:t>
            </w:r>
            <w:r>
              <w:t>s’</w:t>
            </w:r>
            <w:r w:rsidRPr="00CC5C33">
              <w:t xml:space="preserve">. </w:t>
            </w:r>
            <w:r>
              <w:t>While all of the safety and security justifications for the full design would not be expected, s</w:t>
            </w:r>
            <w:r w:rsidRPr="00CC5C33">
              <w:t xml:space="preserve">ignificant supporting safety analysis </w:t>
            </w:r>
            <w:r>
              <w:t>and design justifications w</w:t>
            </w:r>
            <w:r w:rsidRPr="00CC5C33">
              <w:t>ould still be required in order to understand the nuclear safety implications and interfaces of the system</w:t>
            </w:r>
            <w:r>
              <w:t>s, structures and components</w:t>
            </w:r>
            <w:r w:rsidRPr="00CC5C33">
              <w:t>, to ensure that the assessment is meaningful</w:t>
            </w:r>
            <w:r>
              <w:t>.</w:t>
            </w:r>
            <w:r w:rsidRPr="00CC5C33">
              <w:t xml:space="preserve"> </w:t>
            </w:r>
          </w:p>
        </w:tc>
        <w:tc>
          <w:tcPr>
            <w:tcW w:w="558" w:type="pct"/>
          </w:tcPr>
          <w:p w14:paraId="20898B58" w14:textId="77777777" w:rsidR="004A649B" w:rsidRPr="00CC5C33" w:rsidRDefault="004A649B" w:rsidP="004A649B">
            <w:pPr>
              <w:spacing w:before="60" w:after="60"/>
            </w:pPr>
            <w:r>
              <w:t>Most</w:t>
            </w:r>
          </w:p>
        </w:tc>
        <w:tc>
          <w:tcPr>
            <w:tcW w:w="456" w:type="pct"/>
          </w:tcPr>
          <w:p w14:paraId="57B36BCF" w14:textId="77777777" w:rsidR="004A649B" w:rsidRPr="00CC5C33" w:rsidRDefault="004A649B" w:rsidP="004A649B">
            <w:pPr>
              <w:spacing w:before="60" w:after="60"/>
            </w:pPr>
            <w:r w:rsidRPr="00CC5C33">
              <w:t>1 and 2</w:t>
            </w:r>
          </w:p>
        </w:tc>
        <w:tc>
          <w:tcPr>
            <w:tcW w:w="569" w:type="pct"/>
          </w:tcPr>
          <w:p w14:paraId="193BD0EC" w14:textId="77777777" w:rsidR="004A649B" w:rsidRPr="00CC5C33" w:rsidRDefault="004A649B" w:rsidP="004A649B">
            <w:pPr>
              <w:spacing w:before="60" w:after="60"/>
            </w:pPr>
            <w:r>
              <w:t>GDA statement</w:t>
            </w:r>
          </w:p>
        </w:tc>
      </w:tr>
      <w:tr w:rsidR="00EE06B5" w14:paraId="5DEA2137" w14:textId="77777777" w:rsidTr="004A649B">
        <w:trPr>
          <w:cantSplit/>
        </w:trPr>
        <w:tc>
          <w:tcPr>
            <w:tcW w:w="1260" w:type="pct"/>
          </w:tcPr>
          <w:p w14:paraId="49D0612C" w14:textId="77777777" w:rsidR="004A649B" w:rsidRPr="00CC5C33" w:rsidRDefault="004A649B" w:rsidP="004A649B">
            <w:pPr>
              <w:spacing w:before="60" w:after="60"/>
            </w:pPr>
            <w:r>
              <w:t>Conceptual full plant design</w:t>
            </w:r>
          </w:p>
        </w:tc>
        <w:tc>
          <w:tcPr>
            <w:tcW w:w="2157" w:type="pct"/>
          </w:tcPr>
          <w:p w14:paraId="5A2CB4E4" w14:textId="77777777" w:rsidR="004A649B" w:rsidRPr="00CC5C33" w:rsidRDefault="004A649B" w:rsidP="004A649B">
            <w:pPr>
              <w:spacing w:before="60" w:after="60"/>
            </w:pPr>
            <w:r>
              <w:t>An RP</w:t>
            </w:r>
            <w:r w:rsidRPr="00CC5C33">
              <w:t xml:space="preserve"> </w:t>
            </w:r>
            <w:r>
              <w:t xml:space="preserve">may wish to </w:t>
            </w:r>
            <w:r w:rsidRPr="00CC5C33">
              <w:t xml:space="preserve">gain regulatory confidence on the acceptability of a full </w:t>
            </w:r>
            <w:r>
              <w:t xml:space="preserve">plant </w:t>
            </w:r>
            <w:r w:rsidRPr="00CC5C33">
              <w:t xml:space="preserve">design, but </w:t>
            </w:r>
            <w:r>
              <w:t xml:space="preserve">where </w:t>
            </w:r>
            <w:r w:rsidRPr="00CC5C33">
              <w:t xml:space="preserve">the design and substantiation </w:t>
            </w:r>
            <w:r>
              <w:t>are</w:t>
            </w:r>
            <w:r w:rsidRPr="00CC5C33">
              <w:t xml:space="preserve"> not yet mature enough to complete </w:t>
            </w:r>
            <w:r>
              <w:t>a detailed assessment,</w:t>
            </w:r>
            <w:r w:rsidRPr="00CC5C33">
              <w:t xml:space="preserve"> then it would be possible to identify if there are any potential </w:t>
            </w:r>
            <w:r>
              <w:t>‘</w:t>
            </w:r>
            <w:r w:rsidRPr="00CC5C33">
              <w:t>showstoppers</w:t>
            </w:r>
            <w:r>
              <w:t xml:space="preserve">’. </w:t>
            </w:r>
            <w:r w:rsidRPr="00CC5C33">
              <w:t>This would need to include all significant aspects of safety and security in order for it to be considered meaningful.</w:t>
            </w:r>
          </w:p>
        </w:tc>
        <w:tc>
          <w:tcPr>
            <w:tcW w:w="558" w:type="pct"/>
          </w:tcPr>
          <w:p w14:paraId="00247BDA" w14:textId="77777777" w:rsidR="004A649B" w:rsidRPr="00CC5C33" w:rsidRDefault="004A649B" w:rsidP="004A649B">
            <w:pPr>
              <w:spacing w:before="60" w:after="60"/>
            </w:pPr>
            <w:r w:rsidRPr="00CC5C33">
              <w:t>Most</w:t>
            </w:r>
          </w:p>
        </w:tc>
        <w:tc>
          <w:tcPr>
            <w:tcW w:w="456" w:type="pct"/>
          </w:tcPr>
          <w:p w14:paraId="12B018B0" w14:textId="77777777" w:rsidR="004A649B" w:rsidRPr="00CC5C33" w:rsidRDefault="004A649B" w:rsidP="004A649B">
            <w:pPr>
              <w:spacing w:before="60" w:after="60"/>
            </w:pPr>
            <w:r w:rsidRPr="00CC5C33">
              <w:t>1 and 2</w:t>
            </w:r>
          </w:p>
        </w:tc>
        <w:tc>
          <w:tcPr>
            <w:tcW w:w="569" w:type="pct"/>
          </w:tcPr>
          <w:p w14:paraId="08AFDE27" w14:textId="77777777" w:rsidR="004A649B" w:rsidRDefault="004A649B" w:rsidP="004A649B">
            <w:pPr>
              <w:spacing w:before="60" w:after="60"/>
            </w:pPr>
            <w:r>
              <w:t>GDA statement</w:t>
            </w:r>
          </w:p>
        </w:tc>
      </w:tr>
      <w:tr w:rsidR="00EE06B5" w14:paraId="33F1603A" w14:textId="77777777" w:rsidTr="004A649B">
        <w:trPr>
          <w:cantSplit/>
        </w:trPr>
        <w:tc>
          <w:tcPr>
            <w:tcW w:w="1260" w:type="pct"/>
          </w:tcPr>
          <w:p w14:paraId="7A091CF7" w14:textId="77777777" w:rsidR="004A649B" w:rsidRDefault="004A649B" w:rsidP="004A649B">
            <w:pPr>
              <w:spacing w:before="60" w:after="60"/>
            </w:pPr>
            <w:r>
              <w:lastRenderedPageBreak/>
              <w:t>Partial plant design (for example, a design where the deployment model relies on out of scope supporting systems, structures and components)</w:t>
            </w:r>
          </w:p>
        </w:tc>
        <w:tc>
          <w:tcPr>
            <w:tcW w:w="2157" w:type="pct"/>
          </w:tcPr>
          <w:p w14:paraId="4AA927EA" w14:textId="0D47D029" w:rsidR="004A649B" w:rsidRDefault="004A649B" w:rsidP="004A649B">
            <w:pPr>
              <w:spacing w:before="60" w:after="60"/>
            </w:pPr>
            <w:r>
              <w:t>An RP may wish to gain regulatory confidence in some aspects of a plant design. The proposed scope does not include design features and safety significant systems, structures and components that ONR considers it necessary to assess in order to come to a reasoned regulatory judgement. It would therefore not be considered meaningful to assess this proposal, in the context of the objective for GDA, and deployment of regulatory resource is not warranted.</w:t>
            </w:r>
          </w:p>
        </w:tc>
        <w:tc>
          <w:tcPr>
            <w:tcW w:w="1583" w:type="pct"/>
            <w:gridSpan w:val="3"/>
          </w:tcPr>
          <w:p w14:paraId="566D2355" w14:textId="77777777" w:rsidR="004A649B" w:rsidRDefault="004A649B" w:rsidP="004A649B">
            <w:pPr>
              <w:spacing w:before="60" w:after="60"/>
            </w:pPr>
            <w:r>
              <w:t>Assessment not considered meaningful – no GDA undertaken</w:t>
            </w:r>
          </w:p>
        </w:tc>
      </w:tr>
      <w:tr w:rsidR="00EE06B5" w14:paraId="56C9960F" w14:textId="77777777" w:rsidTr="004A649B">
        <w:trPr>
          <w:cantSplit/>
        </w:trPr>
        <w:tc>
          <w:tcPr>
            <w:tcW w:w="1260" w:type="pct"/>
          </w:tcPr>
          <w:p w14:paraId="4E055D92" w14:textId="77777777" w:rsidR="004A649B" w:rsidRDefault="004A649B" w:rsidP="004A649B">
            <w:pPr>
              <w:spacing w:before="60" w:after="60"/>
            </w:pPr>
            <w:r>
              <w:t>Distinguishing safety system (for example, the control and instrumentation technology and architecture)</w:t>
            </w:r>
          </w:p>
        </w:tc>
        <w:tc>
          <w:tcPr>
            <w:tcW w:w="2157" w:type="pct"/>
          </w:tcPr>
          <w:p w14:paraId="3EE39556" w14:textId="15374AD5" w:rsidR="004A649B" w:rsidRDefault="004A649B" w:rsidP="004A649B">
            <w:pPr>
              <w:spacing w:before="60" w:after="60"/>
            </w:pPr>
            <w:r>
              <w:t xml:space="preserve">An RP may wish to gain regulatory confidence on a different approach to an important safety system that is inherent to the design concept. The proposed scope does not include sufficient analysis and context to enable ONR to undertake a full and balanced assessment of the design. ONR is not in the position to qualify specific systems, structures or components which may be used in a range of applications. </w:t>
            </w:r>
            <w:r w:rsidRPr="00604874">
              <w:t>It would therefore not be considered meaningful to assess this proposal, in the context of the objective for GDA, and deployment of regulatory resource is not warranted.</w:t>
            </w:r>
          </w:p>
        </w:tc>
        <w:tc>
          <w:tcPr>
            <w:tcW w:w="1583" w:type="pct"/>
            <w:gridSpan w:val="3"/>
          </w:tcPr>
          <w:p w14:paraId="3BE4E247" w14:textId="77777777" w:rsidR="004A649B" w:rsidRDefault="004A649B" w:rsidP="004A649B">
            <w:pPr>
              <w:spacing w:before="60" w:after="60"/>
            </w:pPr>
            <w:r w:rsidRPr="00EF1F9F">
              <w:t>Assessment not considered meaningful – no GDA undertaken</w:t>
            </w:r>
          </w:p>
        </w:tc>
      </w:tr>
    </w:tbl>
    <w:p w14:paraId="0E8E963E" w14:textId="77777777" w:rsidR="004A649B" w:rsidRDefault="004A649B" w:rsidP="00A96D60">
      <w:pPr>
        <w:ind w:left="851" w:hanging="851"/>
      </w:pPr>
    </w:p>
    <w:p w14:paraId="0F26855E" w14:textId="77777777" w:rsidR="004A649B" w:rsidRDefault="004A649B" w:rsidP="004A649B">
      <w:pPr>
        <w:pStyle w:val="TSHeadingNumbered11"/>
        <w:numPr>
          <w:ilvl w:val="1"/>
          <w:numId w:val="0"/>
        </w:numPr>
        <w:tabs>
          <w:tab w:val="num" w:pos="-31680"/>
        </w:tabs>
        <w:ind w:left="720" w:hanging="720"/>
        <w:rPr>
          <w:highlight w:val="magenta"/>
        </w:rPr>
        <w:sectPr w:rsidR="004A649B" w:rsidSect="00EE06B5">
          <w:type w:val="continuous"/>
          <w:pgSz w:w="16838" w:h="11906" w:orient="landscape" w:code="9"/>
          <w:pgMar w:top="1440" w:right="1440" w:bottom="1440" w:left="1440" w:header="431" w:footer="567" w:gutter="0"/>
          <w:cols w:space="708"/>
          <w:docGrid w:linePitch="360"/>
        </w:sectPr>
      </w:pPr>
    </w:p>
    <w:p w14:paraId="53D72D81" w14:textId="500CBCFD" w:rsidR="004A649B" w:rsidRPr="005359D3" w:rsidRDefault="00A96D60" w:rsidP="00A96D60">
      <w:pPr>
        <w:pStyle w:val="Heading2"/>
      </w:pPr>
      <w:r>
        <w:lastRenderedPageBreak/>
        <w:t>Technical assessment topics</w:t>
      </w:r>
    </w:p>
    <w:p w14:paraId="00F99D36" w14:textId="77D559A4" w:rsidR="004A649B" w:rsidRPr="0017761E" w:rsidRDefault="004A649B" w:rsidP="00A96D60">
      <w:pPr>
        <w:pStyle w:val="ListParagraph"/>
      </w:pPr>
      <w:r>
        <w:t xml:space="preserve">In order to undertake a meaningful GDA assessment that leads to a DAC, ONR would </w:t>
      </w:r>
      <w:r w:rsidRPr="0017761E">
        <w:t xml:space="preserve">typically expect to consider the adequacy of the RP’s generic safety and security cases across </w:t>
      </w:r>
      <w:r>
        <w:t>twenty two</w:t>
      </w:r>
      <w:r w:rsidRPr="0017761E">
        <w:t xml:space="preserve"> distinct technical assessment topics, as defined in </w:t>
      </w:r>
      <w:r w:rsidR="00A96D60">
        <w:fldChar w:fldCharType="begin"/>
      </w:r>
      <w:r w:rsidR="00A96D60">
        <w:instrText xml:space="preserve"> REF _Ref173223109 \h </w:instrText>
      </w:r>
      <w:r w:rsidR="00A96D60">
        <w:fldChar w:fldCharType="separate"/>
      </w:r>
      <w:r w:rsidR="00A96D60">
        <w:t xml:space="preserve">Table </w:t>
      </w:r>
      <w:r w:rsidR="00A96D60">
        <w:rPr>
          <w:noProof/>
        </w:rPr>
        <w:t>3</w:t>
      </w:r>
      <w:r w:rsidR="00A96D60">
        <w:fldChar w:fldCharType="end"/>
      </w:r>
      <w:r w:rsidRPr="0017761E">
        <w:t>. In addition</w:t>
      </w:r>
      <w:r>
        <w:t>,</w:t>
      </w:r>
      <w:r w:rsidRPr="0017761E">
        <w:t xml:space="preserve"> a number of matters which may span more than one of these topics may also be assessed (for example, safety case development). </w:t>
      </w:r>
      <w:r>
        <w:t xml:space="preserve">Recognising the overlap between these topics, ONR undertakes its assessment in an integrated manner. </w:t>
      </w:r>
      <w:r w:rsidRPr="0017761E">
        <w:t>Further details for each of these topics are given in</w:t>
      </w:r>
      <w:r w:rsidR="00615AD7">
        <w:t xml:space="preserve"> ref.</w:t>
      </w:r>
      <w:r w:rsidRPr="0017761E">
        <w:t xml:space="preserve"> </w:t>
      </w:r>
      <w:sdt>
        <w:sdtPr>
          <w:id w:val="345138842"/>
          <w:citation/>
        </w:sdtPr>
        <w:sdtEndPr/>
        <w:sdtContent>
          <w:r w:rsidR="00615AD7">
            <w:fldChar w:fldCharType="begin"/>
          </w:r>
          <w:r w:rsidR="00615AD7">
            <w:instrText xml:space="preserve"> CITATION ONR1910 \l 2057 </w:instrText>
          </w:r>
          <w:r w:rsidR="00615AD7">
            <w:fldChar w:fldCharType="separate"/>
          </w:r>
          <w:r w:rsidR="00181C9E" w:rsidRPr="00181C9E">
            <w:rPr>
              <w:noProof/>
            </w:rPr>
            <w:t>[4]</w:t>
          </w:r>
          <w:r w:rsidR="00615AD7">
            <w:fldChar w:fldCharType="end"/>
          </w:r>
        </w:sdtContent>
      </w:sdt>
      <w:r w:rsidRPr="0017761E">
        <w:t>.</w:t>
      </w:r>
    </w:p>
    <w:p w14:paraId="6BAD5BED" w14:textId="7E13F86D" w:rsidR="00A96D60" w:rsidRDefault="00A96D60" w:rsidP="00D77C91">
      <w:pPr>
        <w:pStyle w:val="Caption"/>
        <w:keepNext/>
        <w:ind w:left="851"/>
      </w:pPr>
      <w:bookmarkStart w:id="17" w:name="_Ref173223109"/>
      <w:r>
        <w:t xml:space="preserve">Table </w:t>
      </w:r>
      <w:r>
        <w:fldChar w:fldCharType="begin"/>
      </w:r>
      <w:r>
        <w:instrText xml:space="preserve"> SEQ Table \* ARABIC </w:instrText>
      </w:r>
      <w:r>
        <w:fldChar w:fldCharType="separate"/>
      </w:r>
      <w:r>
        <w:rPr>
          <w:noProof/>
        </w:rPr>
        <w:t>3</w:t>
      </w:r>
      <w:r>
        <w:fldChar w:fldCharType="end"/>
      </w:r>
      <w:bookmarkEnd w:id="17"/>
      <w:r>
        <w:t xml:space="preserve"> – Typical technical assessment topics</w:t>
      </w:r>
    </w:p>
    <w:tbl>
      <w:tblPr>
        <w:tblStyle w:val="Box1"/>
        <w:tblW w:w="4531" w:type="pct"/>
        <w:tblInd w:w="846" w:type="dxa"/>
        <w:tblLook w:val="04A0" w:firstRow="1" w:lastRow="0" w:firstColumn="1" w:lastColumn="0" w:noHBand="0" w:noVBand="1"/>
      </w:tblPr>
      <w:tblGrid>
        <w:gridCol w:w="2723"/>
        <w:gridCol w:w="2723"/>
        <w:gridCol w:w="2724"/>
      </w:tblGrid>
      <w:tr w:rsidR="004A649B" w:rsidRPr="00A96D60" w14:paraId="0A7494D7" w14:textId="77777777" w:rsidTr="00D77C91">
        <w:tc>
          <w:tcPr>
            <w:tcW w:w="1666" w:type="pct"/>
            <w:vAlign w:val="center"/>
          </w:tcPr>
          <w:p w14:paraId="72301CBC" w14:textId="77777777" w:rsidR="004A649B" w:rsidRPr="00925E68" w:rsidRDefault="004A649B" w:rsidP="00D77C91">
            <w:pPr>
              <w:spacing w:before="60" w:after="60"/>
              <w:jc w:val="center"/>
              <w:rPr>
                <w:bCs/>
              </w:rPr>
            </w:pPr>
            <w:r w:rsidRPr="00925E68">
              <w:rPr>
                <w:bCs/>
              </w:rPr>
              <w:t>Chemistry</w:t>
            </w:r>
          </w:p>
        </w:tc>
        <w:tc>
          <w:tcPr>
            <w:tcW w:w="1666" w:type="pct"/>
            <w:vAlign w:val="center"/>
          </w:tcPr>
          <w:p w14:paraId="3ACB3EA6" w14:textId="77777777" w:rsidR="004A649B" w:rsidRPr="00925E68" w:rsidRDefault="004A649B" w:rsidP="00D77C91">
            <w:pPr>
              <w:spacing w:before="60" w:after="60"/>
              <w:jc w:val="center"/>
              <w:rPr>
                <w:bCs/>
              </w:rPr>
            </w:pPr>
            <w:r w:rsidRPr="00925E68">
              <w:rPr>
                <w:bCs/>
              </w:rPr>
              <w:t>Fault Studies</w:t>
            </w:r>
          </w:p>
        </w:tc>
        <w:tc>
          <w:tcPr>
            <w:tcW w:w="1667" w:type="pct"/>
            <w:vAlign w:val="center"/>
          </w:tcPr>
          <w:p w14:paraId="222F44F1" w14:textId="205DEFB5" w:rsidR="004A649B" w:rsidRPr="00925E68" w:rsidRDefault="004A649B" w:rsidP="00D77C91">
            <w:pPr>
              <w:spacing w:before="60" w:after="60"/>
              <w:jc w:val="center"/>
              <w:rPr>
                <w:bCs/>
              </w:rPr>
            </w:pPr>
            <w:r w:rsidRPr="00925E68">
              <w:rPr>
                <w:bCs/>
              </w:rPr>
              <w:t>Radioactive Waste Management</w:t>
            </w:r>
          </w:p>
        </w:tc>
      </w:tr>
      <w:tr w:rsidR="004A649B" w:rsidRPr="00A96D60" w14:paraId="4DEC3D45" w14:textId="77777777" w:rsidTr="00D77C91">
        <w:tc>
          <w:tcPr>
            <w:tcW w:w="1666" w:type="pct"/>
            <w:vAlign w:val="center"/>
          </w:tcPr>
          <w:p w14:paraId="357EB3EE" w14:textId="77777777" w:rsidR="004A649B" w:rsidRPr="00925E68" w:rsidRDefault="004A649B" w:rsidP="00D77C91">
            <w:pPr>
              <w:spacing w:before="60" w:after="60"/>
              <w:jc w:val="center"/>
              <w:rPr>
                <w:bCs/>
              </w:rPr>
            </w:pPr>
            <w:r w:rsidRPr="00925E68">
              <w:rPr>
                <w:bCs/>
              </w:rPr>
              <w:t>Civil Engineering</w:t>
            </w:r>
          </w:p>
        </w:tc>
        <w:tc>
          <w:tcPr>
            <w:tcW w:w="1666" w:type="pct"/>
            <w:vAlign w:val="center"/>
          </w:tcPr>
          <w:p w14:paraId="58C9714C" w14:textId="77777777" w:rsidR="004A649B" w:rsidRPr="00925E68" w:rsidRDefault="004A649B" w:rsidP="00D77C91">
            <w:pPr>
              <w:spacing w:before="60" w:after="60"/>
              <w:jc w:val="center"/>
              <w:rPr>
                <w:bCs/>
              </w:rPr>
            </w:pPr>
            <w:r w:rsidRPr="00925E68">
              <w:rPr>
                <w:bCs/>
              </w:rPr>
              <w:t>Fuel and Core</w:t>
            </w:r>
          </w:p>
        </w:tc>
        <w:tc>
          <w:tcPr>
            <w:tcW w:w="1667" w:type="pct"/>
            <w:vAlign w:val="center"/>
          </w:tcPr>
          <w:p w14:paraId="430C6785" w14:textId="77777777" w:rsidR="004A649B" w:rsidRPr="00925E68" w:rsidRDefault="004A649B" w:rsidP="00D77C91">
            <w:pPr>
              <w:spacing w:before="60" w:after="60"/>
              <w:jc w:val="center"/>
              <w:rPr>
                <w:bCs/>
              </w:rPr>
            </w:pPr>
            <w:r w:rsidRPr="00925E68">
              <w:rPr>
                <w:bCs/>
              </w:rPr>
              <w:t>Safeguards</w:t>
            </w:r>
          </w:p>
        </w:tc>
      </w:tr>
      <w:tr w:rsidR="004A649B" w:rsidRPr="00A96D60" w14:paraId="7E90BD2B" w14:textId="77777777" w:rsidTr="00D77C91">
        <w:tc>
          <w:tcPr>
            <w:tcW w:w="1666" w:type="pct"/>
            <w:vAlign w:val="center"/>
          </w:tcPr>
          <w:p w14:paraId="7AF765BE" w14:textId="77777777" w:rsidR="004A649B" w:rsidRPr="00925E68" w:rsidRDefault="004A649B" w:rsidP="00D77C91">
            <w:pPr>
              <w:spacing w:before="60" w:after="60"/>
              <w:jc w:val="center"/>
              <w:rPr>
                <w:bCs/>
              </w:rPr>
            </w:pPr>
            <w:r w:rsidRPr="00925E68">
              <w:rPr>
                <w:bCs/>
              </w:rPr>
              <w:t>Control and Instrumentation (C&amp;I)</w:t>
            </w:r>
          </w:p>
        </w:tc>
        <w:tc>
          <w:tcPr>
            <w:tcW w:w="1666" w:type="pct"/>
            <w:vAlign w:val="center"/>
          </w:tcPr>
          <w:p w14:paraId="00071686" w14:textId="77777777" w:rsidR="004A649B" w:rsidRPr="00925E68" w:rsidRDefault="004A649B" w:rsidP="00D77C91">
            <w:pPr>
              <w:spacing w:before="60" w:after="60"/>
              <w:jc w:val="center"/>
              <w:rPr>
                <w:bCs/>
              </w:rPr>
            </w:pPr>
            <w:r w:rsidRPr="00925E68">
              <w:rPr>
                <w:bCs/>
              </w:rPr>
              <w:t>Human Factors</w:t>
            </w:r>
          </w:p>
        </w:tc>
        <w:tc>
          <w:tcPr>
            <w:tcW w:w="1667" w:type="pct"/>
            <w:vAlign w:val="center"/>
          </w:tcPr>
          <w:p w14:paraId="2AF7C6C2" w14:textId="77777777" w:rsidR="004A649B" w:rsidRPr="00925E68" w:rsidRDefault="004A649B" w:rsidP="00D77C91">
            <w:pPr>
              <w:spacing w:before="60" w:after="60"/>
              <w:jc w:val="center"/>
              <w:rPr>
                <w:bCs/>
              </w:rPr>
            </w:pPr>
            <w:r w:rsidRPr="00925E68">
              <w:rPr>
                <w:bCs/>
              </w:rPr>
              <w:t>Security</w:t>
            </w:r>
          </w:p>
        </w:tc>
      </w:tr>
      <w:tr w:rsidR="004A649B" w:rsidRPr="00A96D60" w14:paraId="7B2D4E14" w14:textId="77777777" w:rsidTr="00D77C91">
        <w:tc>
          <w:tcPr>
            <w:tcW w:w="1666" w:type="pct"/>
            <w:vAlign w:val="center"/>
          </w:tcPr>
          <w:p w14:paraId="11B6070C" w14:textId="77777777" w:rsidR="004A649B" w:rsidRPr="00925E68" w:rsidRDefault="004A649B" w:rsidP="00D77C91">
            <w:pPr>
              <w:spacing w:before="60" w:after="60"/>
              <w:jc w:val="center"/>
              <w:rPr>
                <w:bCs/>
              </w:rPr>
            </w:pPr>
            <w:r w:rsidRPr="00925E68">
              <w:rPr>
                <w:bCs/>
              </w:rPr>
              <w:t>Conventional Fire Safety</w:t>
            </w:r>
          </w:p>
        </w:tc>
        <w:tc>
          <w:tcPr>
            <w:tcW w:w="1666" w:type="pct"/>
            <w:vAlign w:val="center"/>
          </w:tcPr>
          <w:p w14:paraId="0F39048B" w14:textId="77777777" w:rsidR="004A649B" w:rsidRPr="00925E68" w:rsidRDefault="004A649B" w:rsidP="00D77C91">
            <w:pPr>
              <w:spacing w:before="60" w:after="60"/>
              <w:jc w:val="center"/>
              <w:rPr>
                <w:bCs/>
              </w:rPr>
            </w:pPr>
            <w:r w:rsidRPr="00925E68">
              <w:rPr>
                <w:bCs/>
              </w:rPr>
              <w:t>Internal Hazards</w:t>
            </w:r>
          </w:p>
        </w:tc>
        <w:tc>
          <w:tcPr>
            <w:tcW w:w="1667" w:type="pct"/>
            <w:vAlign w:val="center"/>
          </w:tcPr>
          <w:p w14:paraId="19701048" w14:textId="77777777" w:rsidR="004A649B" w:rsidRPr="00925E68" w:rsidRDefault="004A649B" w:rsidP="00D77C91">
            <w:pPr>
              <w:spacing w:before="60" w:after="60"/>
              <w:jc w:val="center"/>
              <w:rPr>
                <w:bCs/>
              </w:rPr>
            </w:pPr>
            <w:r w:rsidRPr="00925E68">
              <w:rPr>
                <w:bCs/>
              </w:rPr>
              <w:t>Severe Accident Analysis (SAA)</w:t>
            </w:r>
          </w:p>
        </w:tc>
      </w:tr>
      <w:tr w:rsidR="004A649B" w:rsidRPr="00A96D60" w14:paraId="4791EA2B" w14:textId="77777777" w:rsidTr="00D77C91">
        <w:tc>
          <w:tcPr>
            <w:tcW w:w="1666" w:type="pct"/>
            <w:vAlign w:val="center"/>
          </w:tcPr>
          <w:p w14:paraId="141950C0" w14:textId="77777777" w:rsidR="004A649B" w:rsidRPr="00925E68" w:rsidRDefault="004A649B" w:rsidP="00D77C91">
            <w:pPr>
              <w:spacing w:before="60" w:after="60"/>
              <w:jc w:val="center"/>
              <w:rPr>
                <w:bCs/>
              </w:rPr>
            </w:pPr>
            <w:r w:rsidRPr="00925E68">
              <w:rPr>
                <w:bCs/>
              </w:rPr>
              <w:t>Conventional Health and Safety</w:t>
            </w:r>
          </w:p>
        </w:tc>
        <w:tc>
          <w:tcPr>
            <w:tcW w:w="1666" w:type="pct"/>
            <w:vAlign w:val="center"/>
          </w:tcPr>
          <w:p w14:paraId="2A3B966A" w14:textId="77777777" w:rsidR="004A649B" w:rsidRPr="00925E68" w:rsidRDefault="004A649B" w:rsidP="00D77C91">
            <w:pPr>
              <w:spacing w:before="60" w:after="60"/>
              <w:jc w:val="center"/>
              <w:rPr>
                <w:bCs/>
              </w:rPr>
            </w:pPr>
            <w:r w:rsidRPr="00925E68">
              <w:rPr>
                <w:bCs/>
              </w:rPr>
              <w:t>Management for Safety and Quality Assurance</w:t>
            </w:r>
          </w:p>
        </w:tc>
        <w:tc>
          <w:tcPr>
            <w:tcW w:w="1667" w:type="pct"/>
            <w:vAlign w:val="center"/>
          </w:tcPr>
          <w:p w14:paraId="4B0630FB" w14:textId="77777777" w:rsidR="004A649B" w:rsidRPr="00925E68" w:rsidRDefault="004A649B" w:rsidP="00D77C91">
            <w:pPr>
              <w:spacing w:before="60" w:after="60"/>
              <w:jc w:val="center"/>
              <w:rPr>
                <w:bCs/>
              </w:rPr>
            </w:pPr>
            <w:r w:rsidRPr="00925E68">
              <w:rPr>
                <w:bCs/>
              </w:rPr>
              <w:t>Spent Fuel Management</w:t>
            </w:r>
          </w:p>
        </w:tc>
      </w:tr>
      <w:tr w:rsidR="004A649B" w:rsidRPr="00A96D60" w14:paraId="4C88AA18" w14:textId="77777777" w:rsidTr="00D77C91">
        <w:tc>
          <w:tcPr>
            <w:tcW w:w="1666" w:type="pct"/>
            <w:vAlign w:val="center"/>
          </w:tcPr>
          <w:p w14:paraId="43D15D6C" w14:textId="77777777" w:rsidR="004A649B" w:rsidRPr="00925E68" w:rsidRDefault="004A649B" w:rsidP="00D77C91">
            <w:pPr>
              <w:spacing w:before="60" w:after="60"/>
              <w:jc w:val="center"/>
              <w:rPr>
                <w:bCs/>
              </w:rPr>
            </w:pPr>
            <w:r w:rsidRPr="00925E68">
              <w:rPr>
                <w:bCs/>
              </w:rPr>
              <w:t>Decommissioning</w:t>
            </w:r>
          </w:p>
        </w:tc>
        <w:tc>
          <w:tcPr>
            <w:tcW w:w="1666" w:type="pct"/>
            <w:vAlign w:val="center"/>
          </w:tcPr>
          <w:p w14:paraId="51F9BDFE" w14:textId="77777777" w:rsidR="004A649B" w:rsidRPr="00925E68" w:rsidRDefault="004A649B" w:rsidP="00D77C91">
            <w:pPr>
              <w:spacing w:before="60" w:after="60"/>
              <w:jc w:val="center"/>
              <w:rPr>
                <w:bCs/>
              </w:rPr>
            </w:pPr>
            <w:r w:rsidRPr="00925E68">
              <w:rPr>
                <w:bCs/>
              </w:rPr>
              <w:t>Mechanical Engineering</w:t>
            </w:r>
          </w:p>
        </w:tc>
        <w:tc>
          <w:tcPr>
            <w:tcW w:w="1667" w:type="pct"/>
            <w:vAlign w:val="center"/>
          </w:tcPr>
          <w:p w14:paraId="74FA973B" w14:textId="77777777" w:rsidR="004A649B" w:rsidRPr="00925E68" w:rsidRDefault="004A649B" w:rsidP="00D77C91">
            <w:pPr>
              <w:spacing w:before="60" w:after="60"/>
              <w:jc w:val="center"/>
              <w:rPr>
                <w:bCs/>
              </w:rPr>
            </w:pPr>
            <w:r w:rsidRPr="00925E68">
              <w:rPr>
                <w:bCs/>
              </w:rPr>
              <w:t>Structural Integrity</w:t>
            </w:r>
          </w:p>
        </w:tc>
      </w:tr>
      <w:tr w:rsidR="004A649B" w:rsidRPr="00A96D60" w14:paraId="195A22E9" w14:textId="77777777" w:rsidTr="00D77C91">
        <w:tc>
          <w:tcPr>
            <w:tcW w:w="1666" w:type="pct"/>
            <w:vAlign w:val="center"/>
          </w:tcPr>
          <w:p w14:paraId="31F237B5" w14:textId="77777777" w:rsidR="004A649B" w:rsidRPr="00925E68" w:rsidRDefault="004A649B" w:rsidP="00D77C91">
            <w:pPr>
              <w:spacing w:before="60" w:after="60"/>
              <w:jc w:val="center"/>
              <w:rPr>
                <w:bCs/>
              </w:rPr>
            </w:pPr>
            <w:r w:rsidRPr="00925E68">
              <w:rPr>
                <w:bCs/>
              </w:rPr>
              <w:t>Electrical Engineering</w:t>
            </w:r>
          </w:p>
        </w:tc>
        <w:tc>
          <w:tcPr>
            <w:tcW w:w="1666" w:type="pct"/>
            <w:vAlign w:val="center"/>
          </w:tcPr>
          <w:p w14:paraId="344FDE31" w14:textId="77777777" w:rsidR="004A649B" w:rsidRPr="00925E68" w:rsidRDefault="004A649B" w:rsidP="00D77C91">
            <w:pPr>
              <w:spacing w:before="60" w:after="60"/>
              <w:jc w:val="center"/>
              <w:rPr>
                <w:bCs/>
              </w:rPr>
            </w:pPr>
            <w:r w:rsidRPr="00925E68">
              <w:rPr>
                <w:bCs/>
              </w:rPr>
              <w:t>Probabilistic Safety Analysis (PSA)</w:t>
            </w:r>
          </w:p>
        </w:tc>
        <w:tc>
          <w:tcPr>
            <w:tcW w:w="1667" w:type="pct"/>
            <w:vAlign w:val="center"/>
          </w:tcPr>
          <w:p w14:paraId="770BC38E" w14:textId="77777777" w:rsidR="004A649B" w:rsidRPr="00925E68" w:rsidRDefault="004A649B" w:rsidP="00D77C91">
            <w:pPr>
              <w:spacing w:before="60" w:after="60"/>
              <w:jc w:val="center"/>
              <w:rPr>
                <w:bCs/>
              </w:rPr>
            </w:pPr>
          </w:p>
        </w:tc>
      </w:tr>
      <w:tr w:rsidR="004A649B" w:rsidRPr="00A96D60" w14:paraId="36B19D50" w14:textId="77777777" w:rsidTr="00D77C91">
        <w:tc>
          <w:tcPr>
            <w:tcW w:w="1666" w:type="pct"/>
            <w:vAlign w:val="center"/>
          </w:tcPr>
          <w:p w14:paraId="31FA1618" w14:textId="77777777" w:rsidR="004A649B" w:rsidRPr="00925E68" w:rsidRDefault="004A649B" w:rsidP="00D77C91">
            <w:pPr>
              <w:spacing w:before="60" w:after="60"/>
              <w:jc w:val="center"/>
              <w:rPr>
                <w:bCs/>
              </w:rPr>
            </w:pPr>
            <w:r w:rsidRPr="00925E68">
              <w:rPr>
                <w:bCs/>
              </w:rPr>
              <w:t>External Hazards</w:t>
            </w:r>
          </w:p>
        </w:tc>
        <w:tc>
          <w:tcPr>
            <w:tcW w:w="1666" w:type="pct"/>
            <w:vAlign w:val="center"/>
          </w:tcPr>
          <w:p w14:paraId="622E5B34" w14:textId="77777777" w:rsidR="004A649B" w:rsidRPr="00925E68" w:rsidRDefault="004A649B" w:rsidP="00D77C91">
            <w:pPr>
              <w:spacing w:before="60" w:after="60"/>
              <w:jc w:val="center"/>
              <w:rPr>
                <w:bCs/>
              </w:rPr>
            </w:pPr>
            <w:r w:rsidRPr="00925E68">
              <w:rPr>
                <w:bCs/>
              </w:rPr>
              <w:t>Radiological Protection</w:t>
            </w:r>
          </w:p>
        </w:tc>
        <w:tc>
          <w:tcPr>
            <w:tcW w:w="1667" w:type="pct"/>
            <w:vAlign w:val="center"/>
          </w:tcPr>
          <w:p w14:paraId="276DB47B" w14:textId="77777777" w:rsidR="004A649B" w:rsidRPr="00925E68" w:rsidRDefault="004A649B" w:rsidP="00D77C91">
            <w:pPr>
              <w:spacing w:before="60" w:after="60"/>
              <w:jc w:val="center"/>
              <w:rPr>
                <w:bCs/>
              </w:rPr>
            </w:pPr>
          </w:p>
        </w:tc>
      </w:tr>
    </w:tbl>
    <w:p w14:paraId="57D7F847" w14:textId="77777777" w:rsidR="004A649B" w:rsidRPr="00575317" w:rsidRDefault="004A649B" w:rsidP="00A96D60">
      <w:pPr>
        <w:pStyle w:val="ListParagraph"/>
      </w:pPr>
      <w:r>
        <w:t>The</w:t>
      </w:r>
      <w:r w:rsidRPr="00575317">
        <w:t xml:space="preserve"> GDA scope agreed with the RP</w:t>
      </w:r>
      <w:r>
        <w:t xml:space="preserve"> will impact on the technical assessment topics which ONR will assess. This will be agreed with the RP during Step 1, although it may evolve in discussion with the RP, as the assessment progresses to ensure that the GDA remains meaningful.</w:t>
      </w:r>
    </w:p>
    <w:p w14:paraId="135CB10F" w14:textId="1B0D86A1" w:rsidR="004A649B" w:rsidRPr="001C0825" w:rsidRDefault="007A54B0" w:rsidP="00A96D60">
      <w:pPr>
        <w:pStyle w:val="Heading2"/>
      </w:pPr>
      <w:r w:rsidRPr="001C0825">
        <w:t>Stepwise</w:t>
      </w:r>
      <w:r w:rsidR="004A649B" w:rsidRPr="001C0825">
        <w:t xml:space="preserve"> </w:t>
      </w:r>
      <w:r w:rsidR="00A96D60">
        <w:t>a</w:t>
      </w:r>
      <w:r w:rsidR="004A649B" w:rsidRPr="001C0825">
        <w:t xml:space="preserve">ssessment and </w:t>
      </w:r>
      <w:r w:rsidR="00A96D60">
        <w:t>p</w:t>
      </w:r>
      <w:r w:rsidR="004A649B" w:rsidRPr="001C0825">
        <w:t>rogression</w:t>
      </w:r>
    </w:p>
    <w:p w14:paraId="66014A30" w14:textId="77777777" w:rsidR="004A649B" w:rsidRDefault="004A649B" w:rsidP="00A96D60">
      <w:pPr>
        <w:pStyle w:val="ListParagraph"/>
      </w:pPr>
      <w:r>
        <w:t>The decision to progress from one GDA step to the next will be controlled as part of a formal ‘readiness review’ process. Progression will depend on whether ONR judges that:</w:t>
      </w:r>
    </w:p>
    <w:p w14:paraId="5A88070D" w14:textId="77777777" w:rsidR="004A649B" w:rsidRDefault="004A649B" w:rsidP="00A96D60">
      <w:pPr>
        <w:pStyle w:val="Bulletlist1"/>
      </w:pPr>
      <w:r>
        <w:t>The preceding step has been satisfactorily completed, including consideration of the timeliness, scope, content and quality of the submissions which have been made by the RP;</w:t>
      </w:r>
    </w:p>
    <w:p w14:paraId="2F8361FA" w14:textId="77777777" w:rsidR="004A649B" w:rsidRDefault="004A649B" w:rsidP="00A96D60">
      <w:pPr>
        <w:pStyle w:val="Bulletlist1"/>
      </w:pPr>
      <w:r>
        <w:lastRenderedPageBreak/>
        <w:t>There is confidence in the ability of the RP to provide sufficient and suitable submissions to enable ONR to complete its assessment during the next step;</w:t>
      </w:r>
    </w:p>
    <w:p w14:paraId="5E528F02" w14:textId="77777777" w:rsidR="004A649B" w:rsidRDefault="004A649B" w:rsidP="00A96D60">
      <w:pPr>
        <w:pStyle w:val="Bulletlist1"/>
      </w:pPr>
      <w:r>
        <w:t>ONR is ready to proceed with the assessment in the next step; and</w:t>
      </w:r>
    </w:p>
    <w:p w14:paraId="20451BBE" w14:textId="77777777" w:rsidR="004A649B" w:rsidRDefault="004A649B" w:rsidP="00A96D60">
      <w:pPr>
        <w:pStyle w:val="Bulletlist1"/>
      </w:pPr>
      <w:r>
        <w:t>The RP is providing adequate capability and capacity to support the next step.</w:t>
      </w:r>
    </w:p>
    <w:p w14:paraId="1645FD9A" w14:textId="77777777" w:rsidR="004A649B" w:rsidRDefault="004A649B" w:rsidP="00A96D60">
      <w:pPr>
        <w:pStyle w:val="ListParagraph"/>
      </w:pPr>
      <w:r>
        <w:t>It is possible that, should significant deficiencies be identified, an outcome from the ‘readiness review’ may be that ONR considers that proceeding to the next step may not be warranted. In these circumstances the RP will need to resolve those deficiencies to the satisfaction of ONR before progression can be agreed.</w:t>
      </w:r>
    </w:p>
    <w:p w14:paraId="161EAB8E" w14:textId="77777777" w:rsidR="004A649B" w:rsidRDefault="004A649B" w:rsidP="00A96D60">
      <w:pPr>
        <w:pStyle w:val="ListParagraph"/>
      </w:pPr>
      <w:r>
        <w:t xml:space="preserve">An important aspect of the ‘readiness review’ will be the RP’s own review of its adequacy to proceed with the next step. </w:t>
      </w:r>
      <w:r w:rsidRPr="000D5731">
        <w:t xml:space="preserve">Before </w:t>
      </w:r>
      <w:r>
        <w:t xml:space="preserve">commencing </w:t>
      </w:r>
      <w:r w:rsidRPr="000D5731">
        <w:t xml:space="preserve">each of the assessment </w:t>
      </w:r>
      <w:r>
        <w:t>s</w:t>
      </w:r>
      <w:r w:rsidRPr="000D5731">
        <w:t xml:space="preserve">teps, ONR requires the RP to conduct </w:t>
      </w:r>
      <w:r>
        <w:t>its own</w:t>
      </w:r>
      <w:r w:rsidRPr="000D5731">
        <w:t xml:space="preserve"> </w:t>
      </w:r>
      <w:r>
        <w:t>self-assessment</w:t>
      </w:r>
      <w:r w:rsidRPr="000D5731">
        <w:t xml:space="preserve"> to confirm that it can fulfil all the requirements for that </w:t>
      </w:r>
      <w:r>
        <w:t>s</w:t>
      </w:r>
      <w:r w:rsidRPr="000D5731">
        <w:t>tep</w:t>
      </w:r>
      <w:r>
        <w:t xml:space="preserve">. </w:t>
      </w:r>
      <w:r w:rsidRPr="000D5731">
        <w:t>This should include an internal challenge proc</w:t>
      </w:r>
      <w:r>
        <w:t xml:space="preserve">ess within the RP’s organisation. </w:t>
      </w:r>
      <w:r w:rsidRPr="000D5731">
        <w:t xml:space="preserve">The results of </w:t>
      </w:r>
      <w:r>
        <w:t>the RP’s</w:t>
      </w:r>
      <w:r w:rsidRPr="000D5731">
        <w:t xml:space="preserve"> review should be provided to ONR to support the request to </w:t>
      </w:r>
      <w:r>
        <w:t>continue</w:t>
      </w:r>
      <w:r w:rsidRPr="000D5731">
        <w:t>.</w:t>
      </w:r>
      <w:r>
        <w:t xml:space="preserve"> An outcome from these reviews, either the RP’s or ONR’s, may be improvement actions. The RP will need to demonstrate that it has a plan to satisfactorily address these, in a timely manner, before progression to the next step can be considered.</w:t>
      </w:r>
    </w:p>
    <w:p w14:paraId="31A81950" w14:textId="77777777" w:rsidR="004A649B" w:rsidRDefault="004A649B" w:rsidP="00A96D60">
      <w:pPr>
        <w:pStyle w:val="ListParagraph"/>
      </w:pPr>
      <w:r>
        <w:t xml:space="preserve">To preserve the integrity of the stepwise approach, progression to the next step will only be agreed once ONR is satisfied that the work necessary across all technical assessment topics has been satisfactorily completed. Similarly, the next step will only start when work is able to commence concurrently across all relevant technical assessment topics. This approach avoids planning difficulties and the difficulties presented where there are dependencies between different technical assessment topics. </w:t>
      </w:r>
    </w:p>
    <w:p w14:paraId="18DFEAC8" w14:textId="77777777" w:rsidR="004A649B" w:rsidRDefault="004A649B" w:rsidP="00A96D60">
      <w:pPr>
        <w:pStyle w:val="ListParagraph"/>
      </w:pPr>
      <w:bookmarkStart w:id="18" w:name="_Ref173226796"/>
      <w:r>
        <w:t>To maximise efficiency, ONR expects the GDA process to proceed without delays between steps. However, if the RP is not ready to begin, then a request to defer the start of the next step may be made. If ONR agrees to defer commencing a step then additional delays may be introduced, since some or all of ONR’s technical assessment resource may need to be redeployed. Even in the absence of such a request, ONR may deem it necessary to defer the start of the next step until it has received the information it judges necessary to proceed. In such instances, the duration and implications of any deferral will need to be agreed by the RP, otherwise ONR will need to stop the GDA.</w:t>
      </w:r>
      <w:bookmarkEnd w:id="18"/>
      <w:r>
        <w:t xml:space="preserve"> </w:t>
      </w:r>
    </w:p>
    <w:p w14:paraId="0F58DAD0" w14:textId="77777777" w:rsidR="00A96D60" w:rsidRDefault="00A96D60" w:rsidP="00A96D60">
      <w:pPr>
        <w:pStyle w:val="Heading2"/>
        <w:sectPr w:rsidR="00A96D60" w:rsidSect="00EE06B5">
          <w:type w:val="continuous"/>
          <w:pgSz w:w="11906" w:h="16838" w:code="9"/>
          <w:pgMar w:top="1440" w:right="1440" w:bottom="1440" w:left="1440" w:header="431" w:footer="567" w:gutter="0"/>
          <w:cols w:space="708"/>
          <w:docGrid w:linePitch="360"/>
        </w:sectPr>
      </w:pPr>
    </w:p>
    <w:p w14:paraId="613EB087" w14:textId="75EFE609" w:rsidR="004A649B" w:rsidRPr="001C0825" w:rsidRDefault="004A649B" w:rsidP="00A96D60">
      <w:pPr>
        <w:pStyle w:val="Heading2"/>
      </w:pPr>
      <w:bookmarkStart w:id="19" w:name="_Ref173226655"/>
      <w:r w:rsidRPr="001C0825">
        <w:lastRenderedPageBreak/>
        <w:t xml:space="preserve">Starting </w:t>
      </w:r>
      <w:r w:rsidR="00A96D60">
        <w:t>a GDA</w:t>
      </w:r>
      <w:bookmarkEnd w:id="19"/>
    </w:p>
    <w:p w14:paraId="3D071BE3" w14:textId="1E89C318" w:rsidR="004A649B" w:rsidRPr="005515EC" w:rsidRDefault="004A649B" w:rsidP="00A96D60">
      <w:pPr>
        <w:pStyle w:val="ListParagraph"/>
      </w:pPr>
      <w:r>
        <w:t>Embarking upon a GDA is a significant undertaking for both the RP and ONR; for the RP the costs will be significantly higher than ONR’s charges, while for ONR it entails the commitment of a team of specialists for a period of several years. Subject to satisfactory progress being made through all of the GDA steps, it is ONR’s intention that once Step 1 begins, the process will run uninterrupted to completion (noting the caveats given in para</w:t>
      </w:r>
      <w:r w:rsidR="00BA04A0">
        <w:t xml:space="preserve">graph </w:t>
      </w:r>
      <w:r w:rsidR="00BA04A0">
        <w:fldChar w:fldCharType="begin"/>
      </w:r>
      <w:r w:rsidR="00BA04A0">
        <w:instrText xml:space="preserve"> REF _Ref173226796 \r \h </w:instrText>
      </w:r>
      <w:r w:rsidR="00BA04A0">
        <w:fldChar w:fldCharType="separate"/>
      </w:r>
      <w:r w:rsidR="00BA04A0">
        <w:rPr>
          <w:cs/>
        </w:rPr>
        <w:t>‎</w:t>
      </w:r>
      <w:r w:rsidR="00BA04A0">
        <w:t>33</w:t>
      </w:r>
      <w:r w:rsidR="00BA04A0">
        <w:fldChar w:fldCharType="end"/>
      </w:r>
      <w:r>
        <w:t xml:space="preserve">). </w:t>
      </w:r>
      <w:r w:rsidR="00BA04A0">
        <w:br/>
      </w:r>
      <w:r>
        <w:t xml:space="preserve">It is appropriate, therefore, to have a robust process in place to ensure the viability of the </w:t>
      </w:r>
      <w:r w:rsidRPr="00E33511">
        <w:t xml:space="preserve">project from the outset, </w:t>
      </w:r>
      <w:r>
        <w:t>so</w:t>
      </w:r>
      <w:r w:rsidRPr="00E33511">
        <w:t xml:space="preserve"> that the risks of nugatory </w:t>
      </w:r>
      <w:r w:rsidRPr="005515EC">
        <w:t xml:space="preserve">effort </w:t>
      </w:r>
      <w:r>
        <w:t xml:space="preserve">for both ONR and the RP </w:t>
      </w:r>
      <w:r w:rsidRPr="005515EC">
        <w:t xml:space="preserve">are minimised.  </w:t>
      </w:r>
    </w:p>
    <w:p w14:paraId="54C59C12" w14:textId="01103390" w:rsidR="004A649B" w:rsidRDefault="004A649B" w:rsidP="00A96D60">
      <w:pPr>
        <w:pStyle w:val="ListParagraph"/>
      </w:pPr>
      <w:r>
        <w:t xml:space="preserve">To begin a GDA the RP </w:t>
      </w:r>
      <w:r w:rsidRPr="00396671">
        <w:t xml:space="preserve">must have engaged with </w:t>
      </w:r>
      <w:r>
        <w:t>the UK g</w:t>
      </w:r>
      <w:r w:rsidRPr="00396671">
        <w:t>overnment</w:t>
      </w:r>
      <w:r>
        <w:t xml:space="preserve"> </w:t>
      </w:r>
      <w:r w:rsidRPr="00396671">
        <w:t xml:space="preserve">and </w:t>
      </w:r>
      <w:r>
        <w:t xml:space="preserve">the </w:t>
      </w:r>
      <w:r w:rsidRPr="00396671">
        <w:t xml:space="preserve">regulators must have been requested </w:t>
      </w:r>
      <w:r>
        <w:t xml:space="preserve">to carry out a GDA. The request for ONR (and the Environment Agency) to undertake a GDA must therefore be made to the Department for Energy Security and Net Zero (DESNZ) as this department oversees UK government policy on nuclear power. </w:t>
      </w:r>
      <w:r w:rsidR="00BA04A0">
        <w:br/>
      </w:r>
      <w:r>
        <w:t xml:space="preserve">If satisfied that the request is consistent with UK government policy, </w:t>
      </w:r>
      <w:r w:rsidRPr="0017761E">
        <w:t xml:space="preserve">and meets the requirements defined in the </w:t>
      </w:r>
      <w:r w:rsidRPr="001D18E0">
        <w:t>GDA entry process</w:t>
      </w:r>
      <w:r>
        <w:t xml:space="preserve"> </w:t>
      </w:r>
      <w:sdt>
        <w:sdtPr>
          <w:id w:val="-760377632"/>
          <w:citation/>
        </w:sdtPr>
        <w:sdtEndPr/>
        <w:sdtContent>
          <w:r w:rsidR="00BA04A0">
            <w:fldChar w:fldCharType="begin"/>
          </w:r>
          <w:r w:rsidR="00BA04A0">
            <w:instrText xml:space="preserve">CITATION HMG234 \l 2057 </w:instrText>
          </w:r>
          <w:r w:rsidR="00BA04A0">
            <w:fldChar w:fldCharType="separate"/>
          </w:r>
          <w:r w:rsidR="00181C9E" w:rsidRPr="00181C9E">
            <w:rPr>
              <w:noProof/>
            </w:rPr>
            <w:t>[5]</w:t>
          </w:r>
          <w:r w:rsidR="00BA04A0">
            <w:fldChar w:fldCharType="end"/>
          </w:r>
        </w:sdtContent>
      </w:sdt>
      <w:r w:rsidRPr="0017761E">
        <w:t>,</w:t>
      </w:r>
      <w:r>
        <w:t xml:space="preserve"> the relevant Minister will write to both regulators asking them to undertake a GDA of the design proposed by the RP.</w:t>
      </w:r>
    </w:p>
    <w:p w14:paraId="3C0138C1" w14:textId="5750D785" w:rsidR="004A649B" w:rsidRPr="0017761E" w:rsidRDefault="004A649B" w:rsidP="00A96D60">
      <w:pPr>
        <w:pStyle w:val="ListParagraph"/>
      </w:pPr>
      <w:r>
        <w:t xml:space="preserve">As part of the </w:t>
      </w:r>
      <w:r w:rsidRPr="001D18E0">
        <w:t>GDA entry process</w:t>
      </w:r>
      <w:r w:rsidRPr="00C619D0">
        <w:t>,</w:t>
      </w:r>
      <w:r>
        <w:t xml:space="preserve"> administered by DESNZ, the RP will need to provide i</w:t>
      </w:r>
      <w:r w:rsidRPr="0047476B">
        <w:t>nformation</w:t>
      </w:r>
      <w:r w:rsidRPr="0017761E">
        <w:t xml:space="preserve"> and assurances</w:t>
      </w:r>
      <w:r>
        <w:t xml:space="preserve">, such as </w:t>
      </w:r>
      <w:r w:rsidRPr="0017761E">
        <w:t>the organisational nature of the RP</w:t>
      </w:r>
      <w:r>
        <w:t xml:space="preserve"> including finances and governance arrangements. This is so that DESNZ, with support from ONR as required, can gain assurance of the capability and capacity of the RP to meet the requirements of undertaking a GDA. In addition, the RP will need to confirm that it understands and</w:t>
      </w:r>
      <w:r w:rsidRPr="0017761E">
        <w:t xml:space="preserve"> will comply with the expectations set out in this guidance including legal obligations under nuclear security regulations</w:t>
      </w:r>
      <w:r>
        <w:t xml:space="preserve"> </w:t>
      </w:r>
      <w:sdt>
        <w:sdtPr>
          <w:id w:val="-945606330"/>
          <w:citation/>
        </w:sdtPr>
        <w:sdtEndPr/>
        <w:sdtContent>
          <w:r w:rsidR="00BA04A0">
            <w:fldChar w:fldCharType="begin"/>
          </w:r>
          <w:r w:rsidR="00BA04A0">
            <w:instrText xml:space="preserve"> CITATION HMG032 \l 2057 </w:instrText>
          </w:r>
          <w:r w:rsidR="00BA04A0">
            <w:fldChar w:fldCharType="separate"/>
          </w:r>
          <w:r w:rsidR="00181C9E" w:rsidRPr="00181C9E">
            <w:rPr>
              <w:noProof/>
            </w:rPr>
            <w:t>[6]</w:t>
          </w:r>
          <w:r w:rsidR="00BA04A0">
            <w:fldChar w:fldCharType="end"/>
          </w:r>
        </w:sdtContent>
      </w:sdt>
      <w:r w:rsidR="00BA04A0">
        <w:t xml:space="preserve"> </w:t>
      </w:r>
      <w:r>
        <w:t>and the need to be open and transparent and engage with the public (</w:t>
      </w:r>
      <w:r w:rsidR="00BA04A0">
        <w:t>refer to s</w:t>
      </w:r>
      <w:r>
        <w:t xml:space="preserve">ection </w:t>
      </w:r>
      <w:r w:rsidR="00BA04A0">
        <w:fldChar w:fldCharType="begin"/>
      </w:r>
      <w:r w:rsidR="00BA04A0">
        <w:instrText xml:space="preserve"> REF _Ref173226987 \r \h </w:instrText>
      </w:r>
      <w:r w:rsidR="00BA04A0">
        <w:fldChar w:fldCharType="separate"/>
      </w:r>
      <w:r w:rsidR="00BA04A0">
        <w:rPr>
          <w:cs/>
        </w:rPr>
        <w:t>‎</w:t>
      </w:r>
      <w:r w:rsidR="00BA04A0">
        <w:t>5.7</w:t>
      </w:r>
      <w:r w:rsidR="00BA04A0">
        <w:fldChar w:fldCharType="end"/>
      </w:r>
      <w:r>
        <w:t>)</w:t>
      </w:r>
      <w:r w:rsidRPr="0017761E">
        <w:t>.</w:t>
      </w:r>
      <w:r>
        <w:t xml:space="preserve"> </w:t>
      </w:r>
      <w:r w:rsidR="00BA04A0">
        <w:br/>
      </w:r>
      <w:r>
        <w:t>Further evidence will be sought by ONR once a GDA begins.</w:t>
      </w:r>
    </w:p>
    <w:p w14:paraId="15EB1244" w14:textId="77777777" w:rsidR="004A649B" w:rsidRDefault="004A649B" w:rsidP="00A96D60">
      <w:pPr>
        <w:pStyle w:val="ListParagraph"/>
      </w:pPr>
      <w:r w:rsidRPr="00E33511">
        <w:t xml:space="preserve">ONR </w:t>
      </w:r>
      <w:r>
        <w:t xml:space="preserve">will not commence a GDA until it has entered into a cost-recovery agreement with the intending RP. This will ensure that ONR can recover from the RP all of the costs incurred in GDA from the start of Step 1. Wherever possible, the limit of liability value in this agreement should cover all steps of the GDA. However, where the agreement of scope is necessary during Step 1 the cost recovery agreement may initially be limited to Step 1 and subsequently be extended or revised. </w:t>
      </w:r>
    </w:p>
    <w:p w14:paraId="76287F7C" w14:textId="77777777" w:rsidR="004A649B" w:rsidRDefault="004A649B" w:rsidP="00A96D60">
      <w:pPr>
        <w:pStyle w:val="ListParagraph"/>
      </w:pPr>
      <w:r>
        <w:t xml:space="preserve">Finally, ONR will not commence a GDA until it has confirmation that any required Government to Government Assurances (GTGAs) are in place to enable the necessary export licences to be obtained. </w:t>
      </w:r>
    </w:p>
    <w:p w14:paraId="40BF8038" w14:textId="77777777" w:rsidR="00A96D60" w:rsidRDefault="00A96D60" w:rsidP="00A96D60">
      <w:pPr>
        <w:pStyle w:val="Heading2"/>
        <w:sectPr w:rsidR="00A96D60" w:rsidSect="00EE06B5">
          <w:type w:val="continuous"/>
          <w:pgSz w:w="11906" w:h="16838" w:code="9"/>
          <w:pgMar w:top="1440" w:right="1440" w:bottom="1440" w:left="1440" w:header="431" w:footer="567" w:gutter="0"/>
          <w:cols w:space="708"/>
          <w:docGrid w:linePitch="360"/>
        </w:sectPr>
      </w:pPr>
    </w:p>
    <w:p w14:paraId="0AAFAE83" w14:textId="2EA9BCDF" w:rsidR="004A649B" w:rsidRPr="001C0825" w:rsidRDefault="00A96D60" w:rsidP="00A96D60">
      <w:pPr>
        <w:pStyle w:val="Heading2"/>
      </w:pPr>
      <w:r>
        <w:lastRenderedPageBreak/>
        <w:t>The assessment steps of the GDA</w:t>
      </w:r>
    </w:p>
    <w:p w14:paraId="10C691D0" w14:textId="23A69F0F" w:rsidR="004A649B" w:rsidRPr="0017761E" w:rsidRDefault="004A649B" w:rsidP="00A96D60">
      <w:pPr>
        <w:pStyle w:val="ListParagraph"/>
      </w:pPr>
      <w:r>
        <w:t xml:space="preserve">A detailed description of each of the GDA steps, including the objectives, details of </w:t>
      </w:r>
      <w:r w:rsidRPr="0017761E">
        <w:t xml:space="preserve">what the RP is required to do and what ONR will do is given in </w:t>
      </w:r>
      <w:r w:rsidR="00BA04A0">
        <w:t>Appendices</w:t>
      </w:r>
      <w:r w:rsidR="00BA04A0" w:rsidRPr="0017761E">
        <w:t xml:space="preserve"> </w:t>
      </w:r>
      <w:hyperlink w:anchor="_Appendix_2_–" w:history="1">
        <w:r w:rsidR="00BA04A0" w:rsidRPr="00615AD7">
          <w:rPr>
            <w:rStyle w:val="Hyperlink"/>
          </w:rPr>
          <w:t>2</w:t>
        </w:r>
      </w:hyperlink>
      <w:r w:rsidR="00BA04A0">
        <w:t xml:space="preserve">, </w:t>
      </w:r>
      <w:hyperlink w:anchor="_Appendix_3_–" w:history="1">
        <w:r w:rsidR="00BA04A0" w:rsidRPr="00615AD7">
          <w:rPr>
            <w:rStyle w:val="Hyperlink"/>
          </w:rPr>
          <w:t>3</w:t>
        </w:r>
      </w:hyperlink>
      <w:r w:rsidR="00BA04A0">
        <w:t xml:space="preserve"> and </w:t>
      </w:r>
      <w:hyperlink w:anchor="_Appendix_4_–" w:history="1">
        <w:r w:rsidR="00BA04A0" w:rsidRPr="00615AD7">
          <w:rPr>
            <w:rStyle w:val="Hyperlink"/>
          </w:rPr>
          <w:t>4</w:t>
        </w:r>
      </w:hyperlink>
      <w:r w:rsidRPr="0017761E">
        <w:t>.</w:t>
      </w:r>
    </w:p>
    <w:p w14:paraId="2CD49136" w14:textId="6B6A49EF" w:rsidR="004A649B" w:rsidRPr="0017761E" w:rsidRDefault="004A649B" w:rsidP="00A96D60">
      <w:pPr>
        <w:pStyle w:val="ListParagraph"/>
      </w:pPr>
      <w:r w:rsidRPr="0017761E">
        <w:t xml:space="preserve">The requirements contained within </w:t>
      </w:r>
      <w:r w:rsidR="00BA04A0">
        <w:t>Appendices</w:t>
      </w:r>
      <w:r w:rsidR="00BA04A0" w:rsidRPr="0017761E">
        <w:t xml:space="preserve"> </w:t>
      </w:r>
      <w:hyperlink w:anchor="_Appendix_2_–" w:history="1">
        <w:r w:rsidR="00BA04A0" w:rsidRPr="00615AD7">
          <w:rPr>
            <w:rStyle w:val="Hyperlink"/>
          </w:rPr>
          <w:t>2</w:t>
        </w:r>
      </w:hyperlink>
      <w:r w:rsidR="00BA04A0">
        <w:t xml:space="preserve">, </w:t>
      </w:r>
      <w:hyperlink w:anchor="_Appendix_3_–" w:history="1">
        <w:r w:rsidR="00BA04A0" w:rsidRPr="00615AD7">
          <w:rPr>
            <w:rStyle w:val="Hyperlink"/>
          </w:rPr>
          <w:t>3</w:t>
        </w:r>
      </w:hyperlink>
      <w:r w:rsidR="00BA04A0">
        <w:t xml:space="preserve"> and </w:t>
      </w:r>
      <w:hyperlink w:anchor="_Appendix_4_–" w:history="1">
        <w:r w:rsidR="00BA04A0" w:rsidRPr="00615AD7">
          <w:rPr>
            <w:rStyle w:val="Hyperlink"/>
          </w:rPr>
          <w:t>4</w:t>
        </w:r>
      </w:hyperlink>
      <w:r w:rsidR="00BA04A0" w:rsidRPr="0017761E">
        <w:t xml:space="preserve"> </w:t>
      </w:r>
      <w:r w:rsidRPr="0017761E">
        <w:t>are for completion of a GDA to obtain a DAC. Some aspects listed here may not be relevant, or only partially relevant, depending on the GDA scope agreed between ONR and the RP. This will be agreed between the RP and ONR during Step 1.</w:t>
      </w:r>
    </w:p>
    <w:p w14:paraId="71D38461" w14:textId="1742C6B4" w:rsidR="004A649B" w:rsidRDefault="004A649B" w:rsidP="00A96D60">
      <w:pPr>
        <w:pStyle w:val="ListParagraph"/>
      </w:pPr>
      <w:r>
        <w:t xml:space="preserve">ONR will use </w:t>
      </w:r>
      <w:r w:rsidR="00BA04A0">
        <w:t>Appendices</w:t>
      </w:r>
      <w:r w:rsidR="00BA04A0" w:rsidRPr="0017761E">
        <w:t xml:space="preserve"> </w:t>
      </w:r>
      <w:hyperlink w:anchor="_Appendix_2_–" w:history="1">
        <w:r w:rsidR="00BA04A0" w:rsidRPr="00615AD7">
          <w:rPr>
            <w:rStyle w:val="Hyperlink"/>
          </w:rPr>
          <w:t>2</w:t>
        </w:r>
      </w:hyperlink>
      <w:r w:rsidR="00BA04A0">
        <w:t xml:space="preserve">, </w:t>
      </w:r>
      <w:hyperlink w:anchor="_Appendix_3_–" w:history="1">
        <w:r w:rsidR="00BA04A0" w:rsidRPr="00615AD7">
          <w:rPr>
            <w:rStyle w:val="Hyperlink"/>
          </w:rPr>
          <w:t>3</w:t>
        </w:r>
      </w:hyperlink>
      <w:r w:rsidR="00BA04A0">
        <w:t xml:space="preserve"> and </w:t>
      </w:r>
      <w:hyperlink w:anchor="_Appendix_4_–" w:history="1">
        <w:r w:rsidR="00BA04A0" w:rsidRPr="00615AD7">
          <w:rPr>
            <w:rStyle w:val="Hyperlink"/>
          </w:rPr>
          <w:t>4</w:t>
        </w:r>
      </w:hyperlink>
      <w:r w:rsidR="00BA04A0" w:rsidRPr="0017761E">
        <w:t xml:space="preserve"> </w:t>
      </w:r>
      <w:r>
        <w:t xml:space="preserve">as the basis for planning and undertaking its assessment. It is important therefore, that the RP is familiar with the requirements contained therein and is able to provide quality documentation that meets these expectations in a timely manner. Failure to do so represents the largest risk to completion of a GDA.  </w:t>
      </w:r>
    </w:p>
    <w:p w14:paraId="5A8A6D2E" w14:textId="2C96278D" w:rsidR="004A649B" w:rsidRPr="001C0825" w:rsidRDefault="00A96D60" w:rsidP="00A96D60">
      <w:pPr>
        <w:pStyle w:val="Heading2"/>
      </w:pPr>
      <w:r>
        <w:t>Completing a GDA</w:t>
      </w:r>
    </w:p>
    <w:p w14:paraId="0B8B65F1" w14:textId="77777777" w:rsidR="004A649B" w:rsidRDefault="004A649B" w:rsidP="00A96D60">
      <w:pPr>
        <w:pStyle w:val="ListParagraph"/>
      </w:pPr>
      <w:r>
        <w:t xml:space="preserve">The GDA will complete once ONR has finished its intended assessment, and we have been able to make those judgements necessary, in line with the requirements and expectations in this guidance. </w:t>
      </w:r>
    </w:p>
    <w:p w14:paraId="7DD2750F" w14:textId="77777777" w:rsidR="004A649B" w:rsidRDefault="004A649B" w:rsidP="00A96D60">
      <w:pPr>
        <w:pStyle w:val="ListParagraph"/>
      </w:pPr>
      <w:r>
        <w:t>There are a number of potential outputs that can be provided upon completing a GDA.  The output provided will depend on the GDA scope agreed, the meaningfulness of the assessment undertaken, the adequacy of the safety and security cases submitted and the significance of any residual safety or security concerns that remain to be resolved.</w:t>
      </w:r>
    </w:p>
    <w:p w14:paraId="0DE1CE97" w14:textId="77777777" w:rsidR="004A649B" w:rsidRDefault="004A649B" w:rsidP="00A96D60">
      <w:pPr>
        <w:pStyle w:val="ListParagraph"/>
      </w:pPr>
      <w:r>
        <w:t xml:space="preserve">For a GDA that completes at Step 2, ONR will provide a GDA statement.  </w:t>
      </w:r>
    </w:p>
    <w:p w14:paraId="2ABF405D" w14:textId="77777777" w:rsidR="004A649B" w:rsidRDefault="004A649B" w:rsidP="00A96D60">
      <w:pPr>
        <w:pStyle w:val="ListParagraph"/>
      </w:pPr>
      <w:r>
        <w:t xml:space="preserve">There are four potential outputs for a GDA that completes Step 3: </w:t>
      </w:r>
    </w:p>
    <w:p w14:paraId="0614EA88" w14:textId="77777777" w:rsidR="004A649B" w:rsidRDefault="004A649B" w:rsidP="00A96D60">
      <w:pPr>
        <w:pStyle w:val="Bulletlist1"/>
      </w:pPr>
      <w:r>
        <w:t>a GDA statement</w:t>
      </w:r>
    </w:p>
    <w:p w14:paraId="6B762677" w14:textId="77777777" w:rsidR="004A649B" w:rsidRDefault="004A649B" w:rsidP="00A96D60">
      <w:pPr>
        <w:pStyle w:val="Bulletlist1"/>
      </w:pPr>
      <w:r>
        <w:t xml:space="preserve">a DAC, an </w:t>
      </w:r>
      <w:proofErr w:type="spellStart"/>
      <w:r>
        <w:t>iDAC</w:t>
      </w:r>
      <w:proofErr w:type="spellEnd"/>
      <w:r>
        <w:t xml:space="preserve"> or no DAC </w:t>
      </w:r>
    </w:p>
    <w:p w14:paraId="2EAE92E0" w14:textId="4C3325C0" w:rsidR="004A649B" w:rsidRDefault="004A649B" w:rsidP="00A96D60">
      <w:pPr>
        <w:pStyle w:val="ListParagraph"/>
      </w:pPr>
      <w:r>
        <w:t xml:space="preserve">An </w:t>
      </w:r>
      <w:proofErr w:type="spellStart"/>
      <w:r>
        <w:t>iDAC</w:t>
      </w:r>
      <w:proofErr w:type="spellEnd"/>
      <w:r>
        <w:t xml:space="preserve"> will also identify those residual safety and/or security concerns that remain to be resolved (known as GDA issues). In addition, a Step 3 GDA statement, </w:t>
      </w:r>
      <w:proofErr w:type="spellStart"/>
      <w:r>
        <w:t>iDAC</w:t>
      </w:r>
      <w:proofErr w:type="spellEnd"/>
      <w:r>
        <w:t xml:space="preserve"> or DAC will also include the identification of Assessment Findings (AFs), as described in </w:t>
      </w:r>
      <w:r w:rsidR="00BA04A0">
        <w:t>s</w:t>
      </w:r>
      <w:r w:rsidRPr="0017761E">
        <w:t xml:space="preserve">ection </w:t>
      </w:r>
      <w:r w:rsidR="00BA04A0">
        <w:fldChar w:fldCharType="begin"/>
      </w:r>
      <w:r w:rsidR="00BA04A0">
        <w:instrText xml:space="preserve"> REF _Ref173226653 \r \h </w:instrText>
      </w:r>
      <w:r w:rsidR="00BA04A0">
        <w:fldChar w:fldCharType="separate"/>
      </w:r>
      <w:r w:rsidR="00BA04A0">
        <w:rPr>
          <w:cs/>
        </w:rPr>
        <w:t>‎</w:t>
      </w:r>
      <w:r w:rsidR="00BA04A0">
        <w:t>2.8</w:t>
      </w:r>
      <w:r w:rsidR="00BA04A0">
        <w:fldChar w:fldCharType="end"/>
      </w:r>
      <w:r w:rsidRPr="0017761E">
        <w:t>.</w:t>
      </w:r>
    </w:p>
    <w:p w14:paraId="7B5CC82D" w14:textId="77777777" w:rsidR="00A96D60" w:rsidRDefault="00A96D60" w:rsidP="00A96D60">
      <w:pPr>
        <w:pStyle w:val="Heading2"/>
        <w:sectPr w:rsidR="00A96D60" w:rsidSect="00EE06B5">
          <w:type w:val="continuous"/>
          <w:pgSz w:w="11906" w:h="16838" w:code="9"/>
          <w:pgMar w:top="1440" w:right="1440" w:bottom="1440" w:left="1440" w:header="431" w:footer="567" w:gutter="0"/>
          <w:cols w:space="708"/>
          <w:docGrid w:linePitch="360"/>
        </w:sectPr>
      </w:pPr>
    </w:p>
    <w:p w14:paraId="774C852B" w14:textId="77777777" w:rsidR="00EE06B5" w:rsidRDefault="00EE06B5" w:rsidP="00A96D60">
      <w:pPr>
        <w:pStyle w:val="Heading2"/>
        <w:sectPr w:rsidR="00EE06B5" w:rsidSect="00EE06B5">
          <w:type w:val="continuous"/>
          <w:pgSz w:w="11906" w:h="16838" w:code="9"/>
          <w:pgMar w:top="1440" w:right="1440" w:bottom="1440" w:left="1440" w:header="431" w:footer="567" w:gutter="0"/>
          <w:cols w:space="708"/>
          <w:docGrid w:linePitch="360"/>
        </w:sectPr>
      </w:pPr>
    </w:p>
    <w:p w14:paraId="7A4567B9" w14:textId="5B162380" w:rsidR="004A649B" w:rsidRPr="001C0825" w:rsidRDefault="00A96D60" w:rsidP="00A96D60">
      <w:pPr>
        <w:pStyle w:val="Heading2"/>
      </w:pPr>
      <w:bookmarkStart w:id="20" w:name="_Ref173226653"/>
      <w:r>
        <w:lastRenderedPageBreak/>
        <w:t>Outputs from a GDA</w:t>
      </w:r>
      <w:bookmarkEnd w:id="20"/>
    </w:p>
    <w:p w14:paraId="53A927EE" w14:textId="0C95D4C5" w:rsidR="004A649B" w:rsidRDefault="004A649B" w:rsidP="00A96D60">
      <w:pPr>
        <w:pStyle w:val="ListParagraph"/>
      </w:pPr>
      <w:r>
        <w:t xml:space="preserve">The output from a GDA represents ONR’s expert judgement on the adequacy of the safety and security of the proposed design at the time it is provided. None of the outputs from GDA have a binding legal status and are not a formal requirement of the GB nuclear licensing regime; since it is possible to apply directly to ONR for a site licence based on a design which has not been subject to GDA. Further details on nuclear site licensing are provided in </w:t>
      </w:r>
      <w:r w:rsidR="00B06CAA">
        <w:t xml:space="preserve">ref. </w:t>
      </w:r>
      <w:sdt>
        <w:sdtPr>
          <w:id w:val="1808655868"/>
          <w:citation/>
        </w:sdtPr>
        <w:sdtEndPr/>
        <w:sdtContent>
          <w:r w:rsidR="00B06CAA">
            <w:fldChar w:fldCharType="begin"/>
          </w:r>
          <w:r w:rsidR="00B06CAA">
            <w:instrText xml:space="preserve"> CITATION ONR92 \l 2057 </w:instrText>
          </w:r>
          <w:r w:rsidR="00B06CAA">
            <w:fldChar w:fldCharType="separate"/>
          </w:r>
          <w:r w:rsidR="00181C9E" w:rsidRPr="00181C9E">
            <w:rPr>
              <w:noProof/>
            </w:rPr>
            <w:t>[7]</w:t>
          </w:r>
          <w:r w:rsidR="00B06CAA">
            <w:fldChar w:fldCharType="end"/>
          </w:r>
        </w:sdtContent>
      </w:sdt>
      <w:r w:rsidRPr="0017761E">
        <w:t>.</w:t>
      </w:r>
      <w:r>
        <w:t xml:space="preserve">  </w:t>
      </w:r>
    </w:p>
    <w:p w14:paraId="1B6DBBE4" w14:textId="77777777" w:rsidR="004A649B" w:rsidRDefault="004A649B" w:rsidP="00A96D60">
      <w:pPr>
        <w:pStyle w:val="ListParagraph"/>
      </w:pPr>
      <w:r>
        <w:t xml:space="preserve">It should be noted that: </w:t>
      </w:r>
    </w:p>
    <w:p w14:paraId="5BCDD8EB" w14:textId="77777777" w:rsidR="004A649B" w:rsidRDefault="004A649B" w:rsidP="00A96D60">
      <w:pPr>
        <w:pStyle w:val="Bulletlist1"/>
      </w:pPr>
      <w:r>
        <w:t xml:space="preserve">There is no guarantee that completion of GDA will lead to a particular output - this will depend on whether the design and generic safety and security cases meet ONR’s expectations; </w:t>
      </w:r>
    </w:p>
    <w:p w14:paraId="030786F7" w14:textId="77777777" w:rsidR="004A649B" w:rsidRDefault="004A649B" w:rsidP="00A96D60">
      <w:pPr>
        <w:pStyle w:val="Bulletlist1"/>
      </w:pPr>
      <w:r>
        <w:t>GDA and nuclear site licensing are separate assessment processes - provision of an output from a GDA does not guarantee that a subsequent site licensing application will be successful;</w:t>
      </w:r>
    </w:p>
    <w:p w14:paraId="52D1722B" w14:textId="77777777" w:rsidR="004A649B" w:rsidRDefault="004A649B" w:rsidP="00A96D60">
      <w:pPr>
        <w:pStyle w:val="Bulletlist1"/>
      </w:pPr>
      <w:r>
        <w:t>Granting of a nuclear site licence does not provide regulatory permission for the start of construction - under the conditions attached by ONR to a nuclear site licence, the licensee will require ONR’s specific regulatory permission before any nuclear safety related construction can commence; and</w:t>
      </w:r>
    </w:p>
    <w:p w14:paraId="4815BD8E" w14:textId="77777777" w:rsidR="004A649B" w:rsidRDefault="004A649B" w:rsidP="00A96D60">
      <w:pPr>
        <w:pStyle w:val="Bulletlist1"/>
      </w:pPr>
      <w:r>
        <w:t>Nuclear safety and security remains the responsibility of the licensee.</w:t>
      </w:r>
    </w:p>
    <w:p w14:paraId="0515CA94" w14:textId="77777777" w:rsidR="004A649B" w:rsidRDefault="004A649B" w:rsidP="00A96D60">
      <w:pPr>
        <w:pStyle w:val="ListParagraph"/>
      </w:pPr>
      <w:r>
        <w:t xml:space="preserve">However, ONR anticipates that future licensees are likely to want the design they are proposing to construct and operate to have undertaken a GDA, as this will demonstrate some regulatory certainty and thereby reduce the project risk. Notwithstanding the successful completion of a GDA, there are further regulatory requirements that remain, which must be met before construction and operation of a new NPP can be permissioned. </w:t>
      </w:r>
    </w:p>
    <w:p w14:paraId="30094903" w14:textId="1A43419E" w:rsidR="004A649B" w:rsidRDefault="004A649B" w:rsidP="00A96D60">
      <w:pPr>
        <w:pStyle w:val="ListParagraph"/>
      </w:pPr>
      <w:r>
        <w:t>Clearly</w:t>
      </w:r>
      <w:r w:rsidRPr="00E770E2">
        <w:t xml:space="preserve"> the generic safety and security </w:t>
      </w:r>
      <w:r>
        <w:t>cases</w:t>
      </w:r>
      <w:r w:rsidRPr="00E770E2">
        <w:t xml:space="preserve"> used as the basis for GDA</w:t>
      </w:r>
      <w:r>
        <w:t>, and as defined within the output from that GDA,</w:t>
      </w:r>
      <w:r w:rsidRPr="00E770E2">
        <w:t xml:space="preserve"> are not in themselves sufficient </w:t>
      </w:r>
      <w:r>
        <w:t xml:space="preserve">for a future licensee </w:t>
      </w:r>
      <w:r w:rsidRPr="00E770E2">
        <w:t>to seek a regulatory permission. H</w:t>
      </w:r>
      <w:r>
        <w:t xml:space="preserve">owever, in line with the objective of </w:t>
      </w:r>
      <w:r w:rsidRPr="0017761E">
        <w:t>GDA, the</w:t>
      </w:r>
      <w:r>
        <w:t xml:space="preserve"> intent is that these would form the foundation for the site-specific safety case which is a requirement to commence nuclear safety related construction. A key aspect of ONR’s assessment during GDA will therefore be focussed towards ensuring that the generic safety and security cases are suitable for this purpose, and that the RP is able to provide evidence as to how this may be achieved. This is </w:t>
      </w:r>
      <w:r w:rsidRPr="0017761E">
        <w:t xml:space="preserve">discussed further in </w:t>
      </w:r>
      <w:r w:rsidR="00B06CAA">
        <w:t>s</w:t>
      </w:r>
      <w:r w:rsidRPr="0017761E">
        <w:t xml:space="preserve">ection </w:t>
      </w:r>
      <w:r w:rsidR="00B06CAA">
        <w:fldChar w:fldCharType="begin"/>
      </w:r>
      <w:r w:rsidR="00B06CAA">
        <w:instrText xml:space="preserve"> REF _Ref173227734 \r \h </w:instrText>
      </w:r>
      <w:r w:rsidR="00B06CAA">
        <w:fldChar w:fldCharType="separate"/>
      </w:r>
      <w:r w:rsidR="00B06CAA">
        <w:rPr>
          <w:cs/>
        </w:rPr>
        <w:t>‎</w:t>
      </w:r>
      <w:r w:rsidR="00B06CAA">
        <w:t>3</w:t>
      </w:r>
      <w:r w:rsidR="00B06CAA">
        <w:fldChar w:fldCharType="end"/>
      </w:r>
      <w:r w:rsidRPr="0017761E">
        <w:t>.</w:t>
      </w:r>
    </w:p>
    <w:p w14:paraId="31786F05" w14:textId="77777777" w:rsidR="00A96D60" w:rsidRDefault="00A96D60" w:rsidP="00A96D60">
      <w:pPr>
        <w:pStyle w:val="ListParagraph"/>
        <w:sectPr w:rsidR="00A96D60" w:rsidSect="00EE06B5">
          <w:pgSz w:w="11906" w:h="16838" w:code="9"/>
          <w:pgMar w:top="1440" w:right="1440" w:bottom="1440" w:left="1440" w:header="431" w:footer="567" w:gutter="0"/>
          <w:cols w:space="708"/>
          <w:docGrid w:linePitch="360"/>
        </w:sectPr>
      </w:pPr>
    </w:p>
    <w:p w14:paraId="4D9DBE67" w14:textId="77777777" w:rsidR="00EE06B5" w:rsidRDefault="00EE06B5" w:rsidP="00A96D60">
      <w:pPr>
        <w:pStyle w:val="ListParagraph"/>
        <w:sectPr w:rsidR="00EE06B5" w:rsidSect="00EE06B5">
          <w:type w:val="continuous"/>
          <w:pgSz w:w="11906" w:h="16838" w:code="9"/>
          <w:pgMar w:top="1440" w:right="1440" w:bottom="1440" w:left="1440" w:header="431" w:footer="567" w:gutter="0"/>
          <w:cols w:space="708"/>
          <w:docGrid w:linePitch="360"/>
        </w:sectPr>
      </w:pPr>
    </w:p>
    <w:p w14:paraId="6F42C93C" w14:textId="77777777" w:rsidR="004A649B" w:rsidRDefault="004A649B" w:rsidP="00A96D60">
      <w:pPr>
        <w:pStyle w:val="ListParagraph"/>
      </w:pPr>
      <w:r>
        <w:lastRenderedPageBreak/>
        <w:t>The output from GDA remains valid for a period of ten years from the date of issue. This period is consistent with the requirement for licensees in GB to undertake periodic safety reviews of their existing nuclear facilities every ten years. If during that period any new information emerges</w:t>
      </w:r>
      <w:r w:rsidRPr="00470211">
        <w:t xml:space="preserve"> </w:t>
      </w:r>
      <w:r w:rsidRPr="0017761E">
        <w:t xml:space="preserve">(for example, due to changes to the design or codes and standards) </w:t>
      </w:r>
      <w:r w:rsidRPr="00470211">
        <w:t xml:space="preserve">which </w:t>
      </w:r>
      <w:r>
        <w:t xml:space="preserve">impacts the basis of ONR's original assessment of the design, then ONR would need to consider whether the output remains valid. </w:t>
      </w:r>
    </w:p>
    <w:p w14:paraId="702EF822" w14:textId="77777777" w:rsidR="004A649B" w:rsidRDefault="004A649B" w:rsidP="00A96D60">
      <w:pPr>
        <w:pStyle w:val="ListParagraph"/>
      </w:pPr>
      <w:r>
        <w:t>Should an RP wish to seek renewal of the output at the end of this ten-year period, ONR will require the RP to review the generic safety and security cases for the proposed design in the same manner that a nuclear site licensee would carry out a periodic safety or security review, and provide this review to ONR. This renewal should be less resource intensive than the original assessment, but some design improvements might be needed to gain renewal if these were found to be reasonably practicable at that time.</w:t>
      </w:r>
    </w:p>
    <w:p w14:paraId="54F21B93" w14:textId="77777777" w:rsidR="004A649B" w:rsidRPr="00E770E2" w:rsidRDefault="004A649B" w:rsidP="00A96D60">
      <w:pPr>
        <w:pStyle w:val="ListParagraph"/>
      </w:pPr>
      <w:r>
        <w:t xml:space="preserve">Each of the potential outputs is described further below.  </w:t>
      </w:r>
      <w:r w:rsidRPr="00E770E2">
        <w:t xml:space="preserve"> </w:t>
      </w:r>
    </w:p>
    <w:p w14:paraId="6718AD8B" w14:textId="73D8AF14" w:rsidR="004A649B" w:rsidRPr="001C0825" w:rsidRDefault="004A649B" w:rsidP="007A54B0">
      <w:pPr>
        <w:pStyle w:val="Heading3"/>
      </w:pPr>
      <w:r w:rsidRPr="001C0825">
        <w:t xml:space="preserve">GDA </w:t>
      </w:r>
      <w:r w:rsidR="00B06CAA">
        <w:t>s</w:t>
      </w:r>
      <w:r w:rsidR="00A96D60">
        <w:t>tatements</w:t>
      </w:r>
    </w:p>
    <w:p w14:paraId="38C690DA" w14:textId="4C501197" w:rsidR="004A649B" w:rsidRDefault="004A649B" w:rsidP="00A96D60">
      <w:pPr>
        <w:pStyle w:val="ListParagraph"/>
      </w:pPr>
      <w:r>
        <w:t xml:space="preserve">A GDA statement will be provided to indicate the commencement of Step 1, and upon completion of Steps 1 and 2. A further GDA statement may be provided at the end of Step 3, depending on the agreed GDA scope. </w:t>
      </w:r>
      <w:r w:rsidR="00B06CAA">
        <w:br/>
      </w:r>
      <w:r>
        <w:t>The nature and content of the GDA statements will by necessity evolve alongside the assessment.</w:t>
      </w:r>
    </w:p>
    <w:p w14:paraId="34AFCF7E" w14:textId="77777777" w:rsidR="004A649B" w:rsidRDefault="004A649B" w:rsidP="00A96D60">
      <w:pPr>
        <w:pStyle w:val="ListParagraph"/>
      </w:pPr>
      <w:r>
        <w:t>At the start of Step 1, the GDA statement will simply reflect that a GDA has commenced for a given RP’s design.</w:t>
      </w:r>
    </w:p>
    <w:p w14:paraId="57B7D583" w14:textId="77777777" w:rsidR="004A649B" w:rsidRDefault="004A649B" w:rsidP="00A96D60">
      <w:pPr>
        <w:pStyle w:val="ListParagraph"/>
      </w:pPr>
      <w:r>
        <w:t xml:space="preserve">At the end of Step 1, the GDA statement will be focussed on defining the agreed basis for subsequent steps. It will </w:t>
      </w:r>
      <w:r w:rsidRPr="00F3556D">
        <w:t xml:space="preserve">identify </w:t>
      </w:r>
      <w:r>
        <w:t xml:space="preserve">matters such as </w:t>
      </w:r>
      <w:r w:rsidRPr="00F3556D">
        <w:t>the GDA scope that has been agreed</w:t>
      </w:r>
      <w:r>
        <w:t xml:space="preserve">, the </w:t>
      </w:r>
      <w:r w:rsidRPr="00F3556D">
        <w:t xml:space="preserve">scope of </w:t>
      </w:r>
      <w:r>
        <w:t xml:space="preserve">the </w:t>
      </w:r>
      <w:r w:rsidRPr="00F3556D">
        <w:t>RP’s initial submissions</w:t>
      </w:r>
      <w:r>
        <w:t xml:space="preserve"> </w:t>
      </w:r>
      <w:r w:rsidRPr="00F3556D">
        <w:t>and ta</w:t>
      </w:r>
      <w:r>
        <w:t>rget timescales for subsequent s</w:t>
      </w:r>
      <w:r w:rsidRPr="00F3556D">
        <w:t>teps</w:t>
      </w:r>
      <w:r>
        <w:t>, amongst other relevant matters</w:t>
      </w:r>
      <w:r w:rsidRPr="00F3556D">
        <w:t>.</w:t>
      </w:r>
    </w:p>
    <w:p w14:paraId="4286DA08" w14:textId="77777777" w:rsidR="004A649B" w:rsidRDefault="004A649B" w:rsidP="00A96D60">
      <w:pPr>
        <w:pStyle w:val="ListParagraph"/>
      </w:pPr>
      <w:r>
        <w:t xml:space="preserve">At the end of Steps 2 and 3, the GDA statement will reflect the agreed GDA scope and the assessment to that point in time, in the context of the objectives for ONR’s assessment during that step. It will provide an indication of confidence, based upon the assessment conducted to date, on ONR’s judgement of whether the design is </w:t>
      </w:r>
      <w:r w:rsidRPr="009F0F6B">
        <w:t>potentially</w:t>
      </w:r>
      <w:r w:rsidRPr="0057150C">
        <w:t xml:space="preserve"> </w:t>
      </w:r>
      <w:r>
        <w:t xml:space="preserve">capable of being built and operated on a site bounded by the generic site envelope, in a way that is acceptably safe and secure. It will also identify matters which </w:t>
      </w:r>
      <w:r w:rsidRPr="00F26FA9">
        <w:t xml:space="preserve">might be in conflict with </w:t>
      </w:r>
      <w:r>
        <w:t>UK g</w:t>
      </w:r>
      <w:r w:rsidRPr="00F26FA9">
        <w:t>overnment policy</w:t>
      </w:r>
      <w:r>
        <w:t>.</w:t>
      </w:r>
    </w:p>
    <w:p w14:paraId="379E51F5" w14:textId="77777777" w:rsidR="00EE06B5" w:rsidRDefault="00EE06B5" w:rsidP="00A96D60">
      <w:pPr>
        <w:pStyle w:val="ListParagraph"/>
        <w:sectPr w:rsidR="00EE06B5" w:rsidSect="00EE06B5">
          <w:pgSz w:w="11906" w:h="16838" w:code="9"/>
          <w:pgMar w:top="1440" w:right="1440" w:bottom="1440" w:left="1440" w:header="431" w:footer="567" w:gutter="0"/>
          <w:cols w:space="708"/>
          <w:docGrid w:linePitch="360"/>
        </w:sectPr>
      </w:pPr>
    </w:p>
    <w:p w14:paraId="4A673DC5" w14:textId="77777777" w:rsidR="004A649B" w:rsidRDefault="004A649B" w:rsidP="00A96D60">
      <w:pPr>
        <w:pStyle w:val="ListParagraph"/>
      </w:pPr>
      <w:r>
        <w:lastRenderedPageBreak/>
        <w:t>The Step 2 and Step 3 GDA statements will clearly identify areas where future regulatory scrutiny will be necessary in order to achieve a DAC, or be given regulatory permission to start nuclear safety related construction, alongside an indication of the significance of any identified gaps to meeting regulatory expectations. It will also contain other relevant information including the scope and basis of assessment, details of the submissions assessed and any open regulatory questions.</w:t>
      </w:r>
    </w:p>
    <w:p w14:paraId="75B998BD" w14:textId="77777777" w:rsidR="004A649B" w:rsidRDefault="004A649B" w:rsidP="00A96D60">
      <w:pPr>
        <w:pStyle w:val="ListParagraph"/>
      </w:pPr>
      <w:r w:rsidRPr="009E4C27">
        <w:t xml:space="preserve">ONR would take </w:t>
      </w:r>
      <w:r>
        <w:t>a valid</w:t>
      </w:r>
      <w:r w:rsidRPr="009E4C27">
        <w:t xml:space="preserve"> </w:t>
      </w:r>
      <w:r>
        <w:t>Step 2 or Step 3 GDA statement</w:t>
      </w:r>
      <w:r w:rsidRPr="009E4C27">
        <w:t xml:space="preserve"> into consideration</w:t>
      </w:r>
      <w:r>
        <w:t xml:space="preserve"> if:</w:t>
      </w:r>
    </w:p>
    <w:p w14:paraId="6C257342" w14:textId="77777777" w:rsidR="004A649B" w:rsidRDefault="004A649B" w:rsidP="00A96D60">
      <w:pPr>
        <w:pStyle w:val="Bulletlist1"/>
      </w:pPr>
      <w:r>
        <w:t>further GDA is undertaken to achieve a DAC for that design; or</w:t>
      </w:r>
    </w:p>
    <w:p w14:paraId="73C39AB1" w14:textId="77777777" w:rsidR="004A649B" w:rsidRDefault="004A649B" w:rsidP="00A96D60">
      <w:pPr>
        <w:pStyle w:val="Bulletlist1"/>
      </w:pPr>
      <w:r>
        <w:t xml:space="preserve">the RP’s GDA outputs form part of the basis for a </w:t>
      </w:r>
      <w:r w:rsidRPr="009E4C27">
        <w:t>licensee’s case for starting nucl</w:t>
      </w:r>
      <w:r>
        <w:t xml:space="preserve">ear safety related construction for that design. </w:t>
      </w:r>
    </w:p>
    <w:p w14:paraId="321271E9" w14:textId="77777777" w:rsidR="004A649B" w:rsidRDefault="004A649B" w:rsidP="00A96D60">
      <w:pPr>
        <w:pStyle w:val="ListParagraph"/>
      </w:pPr>
      <w:r>
        <w:t>Wherever possible ONR will not re-assess those aspects considered as part of the GDA statement, and judged to be adequate. However, given the targeted nature of the assessment, and the likely GDA scope to achieve a GDA statement, some limited consideration would be required as part of these later regulatory activities.</w:t>
      </w:r>
    </w:p>
    <w:p w14:paraId="08A8C9FF" w14:textId="6B726FFB" w:rsidR="004A649B" w:rsidRPr="009E4C27" w:rsidRDefault="004A649B" w:rsidP="00A96D60">
      <w:pPr>
        <w:pStyle w:val="ListParagraph"/>
      </w:pPr>
      <w:r>
        <w:t xml:space="preserve">Further guidance on the outcomes of a two-step GDA are provided in </w:t>
      </w:r>
      <w:hyperlink w:anchor="_Appendix_6_–" w:history="1">
        <w:r w:rsidRPr="00B06CAA">
          <w:rPr>
            <w:rStyle w:val="Hyperlink"/>
          </w:rPr>
          <w:t>Appendix 6.</w:t>
        </w:r>
      </w:hyperlink>
    </w:p>
    <w:p w14:paraId="4E59E0A7" w14:textId="3EF70428" w:rsidR="004A649B" w:rsidRPr="001C0825" w:rsidRDefault="004A649B" w:rsidP="007A54B0">
      <w:pPr>
        <w:pStyle w:val="Heading3"/>
      </w:pPr>
      <w:r w:rsidRPr="001C0825">
        <w:t>Design Acceptance Confirmation</w:t>
      </w:r>
    </w:p>
    <w:p w14:paraId="690C362A" w14:textId="77777777" w:rsidR="004A649B" w:rsidRDefault="004A649B" w:rsidP="00A96D60">
      <w:pPr>
        <w:pStyle w:val="ListParagraph"/>
      </w:pPr>
      <w:r>
        <w:t xml:space="preserve">If, at the end of Step 3, ONR provides a DAC to an RP it will mean it is confident that, based on the generic safety and security cases, the design is capable of being built and operated on a site bounded by the generic site envelope, in a way that is acceptably safe and secure. This is of course subject to site-specific assessment and licensing. </w:t>
      </w:r>
    </w:p>
    <w:p w14:paraId="1486DEC0" w14:textId="77777777" w:rsidR="004A649B" w:rsidRDefault="004A649B" w:rsidP="00A96D60">
      <w:pPr>
        <w:pStyle w:val="ListParagraph"/>
      </w:pPr>
      <w:r>
        <w:t xml:space="preserve">ONR would take a valid DAC into consideration in assessing the adequacy of a licensee’s case for starting nuclear safety related construction, if the GDA outputs form part of that case. ONR will not further assess, at the site-specific stage, those aspects of the safety and security cases already assessed during GDA. However if the RP or licensee make subsequent generic or site-specific design changes that affect the basis of the GDA, then those aspects affected by such changes, including consequential effects in other areas, may require re-assessment. </w:t>
      </w:r>
    </w:p>
    <w:p w14:paraId="4FBAE3FE" w14:textId="77777777" w:rsidR="00EE06B5" w:rsidRDefault="00EE06B5" w:rsidP="007A54B0">
      <w:pPr>
        <w:pStyle w:val="Heading3"/>
        <w:sectPr w:rsidR="00EE06B5" w:rsidSect="00EE06B5">
          <w:pgSz w:w="11906" w:h="16838" w:code="9"/>
          <w:pgMar w:top="1440" w:right="1440" w:bottom="1440" w:left="1440" w:header="431" w:footer="567" w:gutter="0"/>
          <w:cols w:space="708"/>
          <w:docGrid w:linePitch="360"/>
        </w:sectPr>
      </w:pPr>
    </w:p>
    <w:p w14:paraId="151C1809" w14:textId="0F9EA910" w:rsidR="004A649B" w:rsidRPr="001C0825" w:rsidRDefault="004A649B" w:rsidP="007A54B0">
      <w:pPr>
        <w:pStyle w:val="Heading3"/>
      </w:pPr>
      <w:bookmarkStart w:id="21" w:name="_Ref173226652"/>
      <w:r w:rsidRPr="001C0825">
        <w:lastRenderedPageBreak/>
        <w:t xml:space="preserve">Interim DAC and GDA </w:t>
      </w:r>
      <w:r w:rsidR="00A96D60">
        <w:t>i</w:t>
      </w:r>
      <w:r w:rsidRPr="001C0825">
        <w:t>ssues</w:t>
      </w:r>
      <w:bookmarkEnd w:id="21"/>
    </w:p>
    <w:p w14:paraId="71D2D228" w14:textId="7D92E723" w:rsidR="004A649B" w:rsidRDefault="004A649B" w:rsidP="00A96D60">
      <w:pPr>
        <w:pStyle w:val="ListParagraph"/>
      </w:pPr>
      <w:r>
        <w:t xml:space="preserve">If, at the end of Step 3, ONR is largely satisfied with the design and generic safety and security cases then it may be possible to provide an </w:t>
      </w:r>
      <w:proofErr w:type="spellStart"/>
      <w:r>
        <w:t>iDAC</w:t>
      </w:r>
      <w:proofErr w:type="spellEnd"/>
      <w:r>
        <w:t xml:space="preserve">. Provision of an </w:t>
      </w:r>
      <w:proofErr w:type="spellStart"/>
      <w:r>
        <w:t>iDAC</w:t>
      </w:r>
      <w:proofErr w:type="spellEnd"/>
      <w:r>
        <w:t xml:space="preserve"> will mean that ONR is confident that the design is capable of being built and operated on a site bounded by the generic site envelope, in a way that is safe and secure. However, it also means that there are some residual safety and/or security concerns that have yet to be resolved (known as GDA issues). GDA issues are defined as unresolved issues judged by regulators to be significant but resolvable, requiring resolution before regulatory permission for the start of nuclear safety related construction of such a design could be considered. The GDA </w:t>
      </w:r>
      <w:r w:rsidR="00A946B2">
        <w:t>i</w:t>
      </w:r>
      <w:r>
        <w:t xml:space="preserve">ssues will be uniquely identified and listed in the </w:t>
      </w:r>
      <w:proofErr w:type="spellStart"/>
      <w:r>
        <w:t>iDAC</w:t>
      </w:r>
      <w:proofErr w:type="spellEnd"/>
      <w:r>
        <w:t>.</w:t>
      </w:r>
    </w:p>
    <w:p w14:paraId="54C89584" w14:textId="77777777" w:rsidR="00A96D60" w:rsidRDefault="00A96D60" w:rsidP="00A96D60">
      <w:pPr>
        <w:pStyle w:val="ListParagraph"/>
        <w:sectPr w:rsidR="00A96D60" w:rsidSect="00EE06B5">
          <w:pgSz w:w="11906" w:h="16838" w:code="9"/>
          <w:pgMar w:top="1440" w:right="1440" w:bottom="1440" w:left="1440" w:header="431" w:footer="567" w:gutter="0"/>
          <w:cols w:space="708"/>
          <w:docGrid w:linePitch="360"/>
        </w:sectPr>
      </w:pPr>
    </w:p>
    <w:p w14:paraId="3FD52DE9" w14:textId="21390C1D" w:rsidR="004A649B" w:rsidRDefault="004A649B" w:rsidP="00A96D60">
      <w:pPr>
        <w:pStyle w:val="ListParagraph"/>
      </w:pPr>
      <w:r w:rsidRPr="007F1D32">
        <w:t xml:space="preserve">ONR would take </w:t>
      </w:r>
      <w:r>
        <w:t>a valid</w:t>
      </w:r>
      <w:r w:rsidRPr="007F1D32">
        <w:t xml:space="preserve"> </w:t>
      </w:r>
      <w:proofErr w:type="spellStart"/>
      <w:r>
        <w:t>i</w:t>
      </w:r>
      <w:r w:rsidRPr="007F1D32">
        <w:t>DAC</w:t>
      </w:r>
      <w:proofErr w:type="spellEnd"/>
      <w:r w:rsidRPr="007F1D32">
        <w:t xml:space="preserve"> into consideration in assessing the adequacy of the licensee’s case for starting nuclear safety related construction. </w:t>
      </w:r>
      <w:r w:rsidR="00D77C91">
        <w:br/>
      </w:r>
      <w:r w:rsidRPr="007F1D32">
        <w:t xml:space="preserve">ONR will not assess </w:t>
      </w:r>
      <w:r>
        <w:t xml:space="preserve">aspects not covered by GDA issues </w:t>
      </w:r>
      <w:r w:rsidRPr="007F1D32">
        <w:t xml:space="preserve">at the site-specific stage </w:t>
      </w:r>
      <w:r>
        <w:t>unless any subsequent changes make this necessary</w:t>
      </w:r>
      <w:r w:rsidRPr="007F1D32">
        <w:t>.</w:t>
      </w:r>
    </w:p>
    <w:p w14:paraId="704F1457" w14:textId="77777777" w:rsidR="004A649B" w:rsidRDefault="004A649B" w:rsidP="00A96D60">
      <w:pPr>
        <w:pStyle w:val="ListParagraph"/>
      </w:pPr>
      <w:r>
        <w:t xml:space="preserve">The provision of an </w:t>
      </w:r>
      <w:proofErr w:type="spellStart"/>
      <w:r>
        <w:t>iDAC</w:t>
      </w:r>
      <w:proofErr w:type="spellEnd"/>
      <w:r>
        <w:t xml:space="preserve"> would only be considered when the RP is able to provide credible (in ONR’s judgement) resolution plans that identify how it will address each of the GDA issues, and the timescales for doing so. It is notable that resolution of a given GDA issue may require inputs and assessments across a number of technical assessment topics.  </w:t>
      </w:r>
    </w:p>
    <w:p w14:paraId="24CC3F80" w14:textId="77777777" w:rsidR="004A649B" w:rsidRDefault="004A649B" w:rsidP="00A96D60">
      <w:pPr>
        <w:pStyle w:val="ListParagraph"/>
      </w:pPr>
      <w:r>
        <w:t xml:space="preserve">Provision of an </w:t>
      </w:r>
      <w:proofErr w:type="spellStart"/>
      <w:r>
        <w:t>iDAC</w:t>
      </w:r>
      <w:proofErr w:type="spellEnd"/>
      <w:r>
        <w:t xml:space="preserve"> would mark the end of ONR’s planned GDA assessment of the generic safety and security cases for the proposed design.</w:t>
      </w:r>
      <w:r w:rsidRPr="00BA13C9">
        <w:t xml:space="preserve"> </w:t>
      </w:r>
      <w:r>
        <w:t xml:space="preserve">If the RP wishes to continue and resolve the GDA issues as part of GDA, this would be subject to the agreement of ONR. ONR would encourage the resolution of GDA issues in a timely manner following provision of an </w:t>
      </w:r>
      <w:proofErr w:type="spellStart"/>
      <w:r>
        <w:t>iDAC</w:t>
      </w:r>
      <w:proofErr w:type="spellEnd"/>
      <w:r>
        <w:t>, for efficiency purposes.</w:t>
      </w:r>
    </w:p>
    <w:p w14:paraId="4AACC892" w14:textId="2F6CF798" w:rsidR="004A649B" w:rsidRDefault="004A649B" w:rsidP="00A96D60">
      <w:pPr>
        <w:pStyle w:val="ListParagraph"/>
      </w:pPr>
      <w:r>
        <w:t>The process to resolve the GDA issues will be the same as that used throughout earlier GDA steps. Namely, this will include an in-depth ONR assessment of the additional design and safety or security cases submitted in response to the GDA issues, and the RP will be required to respond to matters raised by ONR during its assessment and to relevant matters arising from public comments. The final GDA submissions (including the Design Reference (DR) and Master Document Submission List (MDSL</w:t>
      </w:r>
      <w:r w:rsidR="00A946B2">
        <w:t>), refer to s</w:t>
      </w:r>
      <w:r w:rsidRPr="0017761E">
        <w:t xml:space="preserve">ection </w:t>
      </w:r>
      <w:r w:rsidR="00A946B2">
        <w:fldChar w:fldCharType="begin"/>
      </w:r>
      <w:r w:rsidR="00A946B2">
        <w:instrText xml:space="preserve"> REF _Ref173230826 \r \h </w:instrText>
      </w:r>
      <w:r w:rsidR="00A946B2">
        <w:fldChar w:fldCharType="separate"/>
      </w:r>
      <w:r w:rsidR="00A946B2">
        <w:rPr>
          <w:cs/>
        </w:rPr>
        <w:t>‎</w:t>
      </w:r>
      <w:r w:rsidR="00A946B2">
        <w:t>3.5</w:t>
      </w:r>
      <w:r w:rsidR="00A946B2">
        <w:fldChar w:fldCharType="end"/>
      </w:r>
      <w:r w:rsidRPr="0017761E">
        <w:t>) will</w:t>
      </w:r>
      <w:r>
        <w:t xml:space="preserve"> also need to be updated to reflect any additional work. </w:t>
      </w:r>
      <w:r w:rsidR="00A946B2">
        <w:br/>
      </w:r>
      <w:r>
        <w:t xml:space="preserve">The scope and timescales for this stage will depend on the programmes identified in the resolution plans provided by the RP, and agreed by ONR. </w:t>
      </w:r>
    </w:p>
    <w:p w14:paraId="4FC965C2" w14:textId="77777777" w:rsidR="00EE06B5" w:rsidRDefault="00EE06B5" w:rsidP="00A96D60">
      <w:pPr>
        <w:pStyle w:val="ListParagraph"/>
        <w:sectPr w:rsidR="00EE06B5" w:rsidSect="00EE06B5">
          <w:type w:val="continuous"/>
          <w:pgSz w:w="11906" w:h="16838" w:code="9"/>
          <w:pgMar w:top="1440" w:right="1440" w:bottom="1440" w:left="1440" w:header="431" w:footer="567" w:gutter="0"/>
          <w:cols w:space="708"/>
          <w:docGrid w:linePitch="360"/>
        </w:sectPr>
      </w:pPr>
    </w:p>
    <w:p w14:paraId="61977648" w14:textId="77777777" w:rsidR="004A649B" w:rsidRDefault="004A649B" w:rsidP="00A96D60">
      <w:pPr>
        <w:pStyle w:val="ListParagraph"/>
      </w:pPr>
      <w:r>
        <w:lastRenderedPageBreak/>
        <w:t>If ONR completes sufficient assessment to be able to judge that all the GDA issues have been satisfactorily addressed, the provision of a DAC will then be considered. Information on ONR’s assessment will be published.</w:t>
      </w:r>
    </w:p>
    <w:p w14:paraId="0AA1A1EB" w14:textId="77777777" w:rsidR="004A649B" w:rsidRDefault="004A649B" w:rsidP="00A96D60">
      <w:pPr>
        <w:pStyle w:val="ListParagraph"/>
      </w:pPr>
      <w:r>
        <w:t xml:space="preserve">It is expected that the GDA issue resolution stage will follow closely on from provision of an </w:t>
      </w:r>
      <w:proofErr w:type="spellStart"/>
      <w:r>
        <w:t>iDAC</w:t>
      </w:r>
      <w:proofErr w:type="spellEnd"/>
      <w:r>
        <w:t xml:space="preserve">. For instances where there is a lengthy pause in between the two, it is likely that the generic design will be subject to continual development leading to a number of design changes being proposed by the RP. If such design changes have wider impacts in the generic safety and security cases that were the basis for the </w:t>
      </w:r>
      <w:proofErr w:type="spellStart"/>
      <w:r>
        <w:t>iDAC</w:t>
      </w:r>
      <w:proofErr w:type="spellEnd"/>
      <w:r>
        <w:t>, then this may necessitate additional assessment by ONR. Similarly, during a significant pause, there may have been changes to standards and codes and the advancement of relevant good practice, all of which can complicate, and potentially extend, the resolution stage.</w:t>
      </w:r>
    </w:p>
    <w:p w14:paraId="2E1CC677" w14:textId="77777777" w:rsidR="00A96D60" w:rsidRDefault="00A96D60" w:rsidP="004A649B">
      <w:pPr>
        <w:pStyle w:val="TSHeadingNumbered111"/>
        <w:numPr>
          <w:ilvl w:val="2"/>
          <w:numId w:val="0"/>
        </w:numPr>
        <w:tabs>
          <w:tab w:val="num" w:pos="-31680"/>
        </w:tabs>
        <w:ind w:left="720" w:hanging="720"/>
        <w:rPr>
          <w:color w:val="92D050"/>
        </w:rPr>
        <w:sectPr w:rsidR="00A96D60" w:rsidSect="00EE06B5">
          <w:pgSz w:w="11906" w:h="16838" w:code="9"/>
          <w:pgMar w:top="1440" w:right="1440" w:bottom="1440" w:left="1440" w:header="431" w:footer="567" w:gutter="0"/>
          <w:cols w:space="708"/>
          <w:docGrid w:linePitch="360"/>
        </w:sectPr>
      </w:pPr>
    </w:p>
    <w:p w14:paraId="75CD6E36" w14:textId="3E6CBF37" w:rsidR="004A649B" w:rsidRPr="001C0825" w:rsidRDefault="004A649B" w:rsidP="007A54B0">
      <w:pPr>
        <w:pStyle w:val="Heading3"/>
      </w:pPr>
      <w:r w:rsidRPr="001C0825">
        <w:t xml:space="preserve">No </w:t>
      </w:r>
      <w:r w:rsidR="00A96D60">
        <w:t>DAC</w:t>
      </w:r>
    </w:p>
    <w:p w14:paraId="650A1682" w14:textId="77777777" w:rsidR="004A649B" w:rsidRDefault="004A649B" w:rsidP="00A96D60">
      <w:pPr>
        <w:pStyle w:val="ListParagraph"/>
      </w:pPr>
      <w:r>
        <w:t xml:space="preserve">If, at the end of Step 3, ONR is not content with the design or generic safety or security cases then no DAC would be issued. This would be the case where ONR judges that there is a significant, unacceptable shortfall in the design or generic safety or security cases. ONR will publish the conclusions of its assessment. </w:t>
      </w:r>
    </w:p>
    <w:p w14:paraId="4F0E7409" w14:textId="77777777" w:rsidR="004A649B" w:rsidRDefault="004A649B" w:rsidP="00A96D60">
      <w:pPr>
        <w:pStyle w:val="ListParagraph"/>
      </w:pPr>
      <w:r>
        <w:t xml:space="preserve">It would be for the RP to decide whether to propose additional work to address the identified shortfalls, which may allow an </w:t>
      </w:r>
      <w:proofErr w:type="spellStart"/>
      <w:r>
        <w:t>iDAC</w:t>
      </w:r>
      <w:proofErr w:type="spellEnd"/>
      <w:r>
        <w:t xml:space="preserve"> or DAC to be provided at some future date.</w:t>
      </w:r>
    </w:p>
    <w:p w14:paraId="531C521D" w14:textId="33CB4AA2" w:rsidR="004A649B" w:rsidRPr="001C0825" w:rsidRDefault="00A96D60" w:rsidP="007A54B0">
      <w:pPr>
        <w:pStyle w:val="Heading3"/>
      </w:pPr>
      <w:r>
        <w:t>Assessment Findings (AFs)</w:t>
      </w:r>
    </w:p>
    <w:p w14:paraId="0086FC3B" w14:textId="0EDE0184" w:rsidR="004A649B" w:rsidRDefault="004A649B" w:rsidP="00A96D60">
      <w:pPr>
        <w:pStyle w:val="ListParagraph"/>
      </w:pPr>
      <w:r>
        <w:t>GDA is not intended to provide a complete assessment of the final as-built design, as there are other factors, operator specific or site-related, that ONR will consider during the site-specific stages. Some aspects can only be completed when the detailed design of equipment is developed by a manufacturer/supplier, or when the facility is being constructed and is in the process of being tested. Such developments of the safety and security cases are normal regulatory business for ONR and are subject to appropriate regulatory controls.</w:t>
      </w:r>
    </w:p>
    <w:p w14:paraId="558700CE" w14:textId="77777777" w:rsidR="004A649B" w:rsidRDefault="004A649B" w:rsidP="00A96D60">
      <w:pPr>
        <w:pStyle w:val="ListParagraph"/>
      </w:pPr>
      <w:r>
        <w:t xml:space="preserve">During the course of GDA, ONR will identify a number of ‘Residual Matters’ from its assessment. At the end of GDA, a sub-set of these will be considered more significant to the future safety or security of the design and will therefore be identified as Assessment Findings (AF). ONR will require the nuclear site licensee to resolve these AFs when the design is proposed for construction at a particular site. AFs will be identified during Step 3 as well as during the resolution stage for any GDA issues. Any AFs will be uniquely identified as part of any Step 3 GDA statement, DAC or </w:t>
      </w:r>
      <w:proofErr w:type="spellStart"/>
      <w:r>
        <w:t>iDAC</w:t>
      </w:r>
      <w:proofErr w:type="spellEnd"/>
      <w:r>
        <w:t xml:space="preserve"> issued for the design.  </w:t>
      </w:r>
    </w:p>
    <w:p w14:paraId="3736C078" w14:textId="77777777" w:rsidR="004A649B" w:rsidRDefault="004A649B" w:rsidP="00A96D60">
      <w:pPr>
        <w:pStyle w:val="ListParagraph"/>
      </w:pPr>
      <w:r>
        <w:lastRenderedPageBreak/>
        <w:t>A Residual Matter will generally be recorded as an AF where ONR considers that the generic case is sufficient, but further evidence will be necessary at some later stage, and one or more of the following apply:</w:t>
      </w:r>
    </w:p>
    <w:p w14:paraId="4A829489" w14:textId="77777777" w:rsidR="004A649B" w:rsidRDefault="004A649B" w:rsidP="00A96D60">
      <w:pPr>
        <w:pStyle w:val="Bulletlist1"/>
      </w:pPr>
      <w:r>
        <w:t>to resolve this matter, site-specific information is required</w:t>
      </w:r>
    </w:p>
    <w:p w14:paraId="0E89168D" w14:textId="77777777" w:rsidR="004A649B" w:rsidRDefault="004A649B" w:rsidP="00A96D60">
      <w:pPr>
        <w:pStyle w:val="Bulletlist1"/>
      </w:pPr>
      <w:r>
        <w:t>the way to resolve this matter depends on licensee’s design choices</w:t>
      </w:r>
    </w:p>
    <w:p w14:paraId="3C32DD57" w14:textId="1152828A" w:rsidR="004A649B" w:rsidRDefault="004A649B" w:rsidP="00A96D60">
      <w:pPr>
        <w:pStyle w:val="Bulletlist1"/>
      </w:pPr>
      <w:r>
        <w:t>the matter raised is related to operator-specific features/aspects/choices</w:t>
      </w:r>
    </w:p>
    <w:p w14:paraId="06621C57" w14:textId="77777777" w:rsidR="004A649B" w:rsidRDefault="004A649B" w:rsidP="00A96D60">
      <w:pPr>
        <w:pStyle w:val="Bulletlist1"/>
      </w:pPr>
      <w:r>
        <w:t>the resolution of this matter requires licensee’s choices on organisational matters</w:t>
      </w:r>
    </w:p>
    <w:p w14:paraId="7CE5DEE3" w14:textId="77777777" w:rsidR="004A649B" w:rsidRDefault="004A649B" w:rsidP="00A96D60">
      <w:pPr>
        <w:pStyle w:val="Bulletlist1"/>
      </w:pPr>
      <w:r>
        <w:t>to resolve this matter, the plant needs to be at some stage of construction or commissioning</w:t>
      </w:r>
    </w:p>
    <w:p w14:paraId="19A4ADE4" w14:textId="77777777" w:rsidR="004A649B" w:rsidRDefault="004A649B" w:rsidP="00A96D60">
      <w:pPr>
        <w:pStyle w:val="Bulletlist1"/>
      </w:pPr>
      <w:r>
        <w:t>to resolve this matter, the level of detail of the design needs to be beyond what can reasonably be expected in GDA</w:t>
      </w:r>
    </w:p>
    <w:p w14:paraId="46949D91" w14:textId="77777777" w:rsidR="00A96D60" w:rsidRDefault="004A649B" w:rsidP="00A96D60">
      <w:pPr>
        <w:pStyle w:val="ListParagraph"/>
      </w:pPr>
      <w:r>
        <w:t>It will be the responsibility of a licensee to ensure that AFs are addressed as appropriate during the detailed design, procurement, construction or commissioning phase of a new NPP. Resolution will be monitored as part of ONR’s normal regulatory oversight. Identifying AFs during GDA alerts future licensees to matters which will require their attention and maximises the time available for them to be addressed. This provides for further reduction in regulatory uncertainty and project risk.</w:t>
      </w:r>
    </w:p>
    <w:p w14:paraId="757F2427" w14:textId="77777777" w:rsidR="00A96D60" w:rsidRDefault="00A96D60" w:rsidP="00A96D60">
      <w:pPr>
        <w:sectPr w:rsidR="00A96D60" w:rsidSect="00EE06B5">
          <w:type w:val="continuous"/>
          <w:pgSz w:w="11906" w:h="16838" w:code="9"/>
          <w:pgMar w:top="1440" w:right="1440" w:bottom="1440" w:left="1440" w:header="431" w:footer="567" w:gutter="0"/>
          <w:cols w:space="708"/>
          <w:docGrid w:linePitch="360"/>
        </w:sectPr>
      </w:pPr>
    </w:p>
    <w:p w14:paraId="7C519F2F" w14:textId="77777777" w:rsidR="00EE06B5" w:rsidRDefault="00EE06B5" w:rsidP="00A96D60">
      <w:pPr>
        <w:pStyle w:val="Heading1"/>
        <w:sectPr w:rsidR="00EE06B5" w:rsidSect="00EE06B5">
          <w:type w:val="continuous"/>
          <w:pgSz w:w="11906" w:h="16838" w:code="9"/>
          <w:pgMar w:top="1440" w:right="1440" w:bottom="1440" w:left="1440" w:header="431" w:footer="567" w:gutter="0"/>
          <w:cols w:space="708"/>
          <w:docGrid w:linePitch="360"/>
        </w:sectPr>
      </w:pPr>
      <w:bookmarkStart w:id="22" w:name="_Toc528331657"/>
    </w:p>
    <w:p w14:paraId="299AEF0F" w14:textId="6F13D91D" w:rsidR="00A96D60" w:rsidRPr="00697070" w:rsidRDefault="00A96D60" w:rsidP="00A96D60">
      <w:pPr>
        <w:pStyle w:val="Heading1"/>
      </w:pPr>
      <w:bookmarkStart w:id="23" w:name="_Ref173227734"/>
      <w:bookmarkStart w:id="24" w:name="_Toc173242843"/>
      <w:r w:rsidRPr="00697070">
        <w:lastRenderedPageBreak/>
        <w:t xml:space="preserve">Safety and </w:t>
      </w:r>
      <w:r>
        <w:t>security d</w:t>
      </w:r>
      <w:r w:rsidRPr="00697070">
        <w:t>ocumentation</w:t>
      </w:r>
      <w:bookmarkEnd w:id="22"/>
      <w:bookmarkEnd w:id="23"/>
      <w:bookmarkEnd w:id="24"/>
    </w:p>
    <w:p w14:paraId="37D1E997" w14:textId="47D4E2E5" w:rsidR="00A96D60" w:rsidRPr="001C0825" w:rsidRDefault="00A96D60" w:rsidP="00A96D60">
      <w:pPr>
        <w:pStyle w:val="Heading2"/>
      </w:pPr>
      <w:r w:rsidRPr="001C0825">
        <w:t xml:space="preserve">Information </w:t>
      </w:r>
      <w:r>
        <w:t>r</w:t>
      </w:r>
      <w:r w:rsidRPr="001C0825">
        <w:t>equirements</w:t>
      </w:r>
    </w:p>
    <w:p w14:paraId="0AFB2937" w14:textId="77777777" w:rsidR="00A96D60" w:rsidRDefault="00A96D60" w:rsidP="00A96D60">
      <w:pPr>
        <w:pStyle w:val="ListParagraph"/>
      </w:pPr>
      <w:r>
        <w:t xml:space="preserve">In order to complete a GDA it is expected that the RP will submit to ONR those parts of the generic safety and security cases for the proposed design, as relevant to ONR’s assessment and the agreed GDA scope, such that a meaningful assessment can be undertaken. </w:t>
      </w:r>
    </w:p>
    <w:p w14:paraId="6068D0E9" w14:textId="77777777" w:rsidR="00A96D60" w:rsidRDefault="00A96D60" w:rsidP="00A96D60">
      <w:pPr>
        <w:pStyle w:val="ListParagraph"/>
      </w:pPr>
      <w:r>
        <w:t xml:space="preserve">The most efficient way to achieve a DAC would be to enter GDA with a complete and comprehensive suite of documentation. For example, in nuclear safety terms, the documentation (the ‘safety case’) would be at a level of development akin to a Pre-Construction Safety Report (PCSR) for the generic site. For security, the equivalent would be a Generic Security Report (GSR). </w:t>
      </w:r>
    </w:p>
    <w:p w14:paraId="302361BF" w14:textId="77777777" w:rsidR="00A96D60" w:rsidRDefault="00A96D60" w:rsidP="00A96D60">
      <w:pPr>
        <w:pStyle w:val="ListParagraph"/>
      </w:pPr>
      <w:r>
        <w:t xml:space="preserve">ONR recognises that, in practice, it is unlikely that an RP will have fully developed documentation on entering GDA, given the benefits to an RP of undertaking a GDA when the design is not yet fully detailed. This is also relevant where the RP is proposing a design produced in another country under a regulatory regime which has different expectations, rules or arrangements for safety and security justifications. The most significant differences are likely to be associated with the </w:t>
      </w:r>
      <w:r w:rsidRPr="009A780D">
        <w:t xml:space="preserve">requirement to demonstrate that risks </w:t>
      </w:r>
      <w:r>
        <w:t xml:space="preserve">are reduced to As Low As </w:t>
      </w:r>
      <w:r w:rsidRPr="009A780D">
        <w:t>Reasonably Practicable (</w:t>
      </w:r>
      <w:r>
        <w:t>ALARP</w:t>
      </w:r>
      <w:r w:rsidRPr="009A780D">
        <w:t>)</w:t>
      </w:r>
      <w:r>
        <w:t xml:space="preserve"> and GB’s specific security expectations</w:t>
      </w:r>
      <w:r w:rsidRPr="009A780D">
        <w:t>.</w:t>
      </w:r>
    </w:p>
    <w:p w14:paraId="5869B3D4" w14:textId="77777777" w:rsidR="00A96D60" w:rsidRDefault="00A96D60" w:rsidP="00A96D60">
      <w:pPr>
        <w:pStyle w:val="ListParagraph"/>
      </w:pPr>
      <w:r>
        <w:t>The GDA process takes this into account by using a stepwise process, which allows the RP time to develop the generic safety and security cases required to support GDA, and by undertaking the preparatory work (in particular the gap analysis) described under Step 1 to understand what additional documentation may be required, and the timescales over which it can be produced.</w:t>
      </w:r>
    </w:p>
    <w:p w14:paraId="6A24A4E1" w14:textId="77777777" w:rsidR="00A96D60" w:rsidRDefault="00A96D60" w:rsidP="00A96D60">
      <w:pPr>
        <w:pStyle w:val="ListParagraph"/>
      </w:pPr>
      <w:r>
        <w:t>In line with the overall objective for GDA (</w:t>
      </w:r>
      <w:r w:rsidRPr="0017761E">
        <w:t>para.</w:t>
      </w:r>
      <w:r>
        <w:t xml:space="preserve"> 8</w:t>
      </w:r>
      <w:r w:rsidRPr="0017761E">
        <w:t xml:space="preserve">), the intent is for the RP to produce generic safety and security cases which can </w:t>
      </w:r>
      <w:r>
        <w:t xml:space="preserve">be </w:t>
      </w:r>
      <w:r w:rsidRPr="0017761E">
        <w:t xml:space="preserve">used by a future licensee to support the development of </w:t>
      </w:r>
      <w:r>
        <w:t>their</w:t>
      </w:r>
      <w:r w:rsidRPr="0017761E">
        <w:t xml:space="preserve"> site</w:t>
      </w:r>
      <w:r>
        <w:t>-</w:t>
      </w:r>
      <w:r w:rsidRPr="0017761E">
        <w:t xml:space="preserve">specific </w:t>
      </w:r>
      <w:r>
        <w:t>safety case</w:t>
      </w:r>
      <w:r w:rsidRPr="0017761E">
        <w:t xml:space="preserve"> needed for the</w:t>
      </w:r>
      <w:r>
        <w:t xml:space="preserve"> start of nuclear safety related </w:t>
      </w:r>
      <w:r w:rsidRPr="004F4B81">
        <w:t xml:space="preserve">construction </w:t>
      </w:r>
      <w:r w:rsidRPr="0017761E">
        <w:t xml:space="preserve">and production of a </w:t>
      </w:r>
      <w:r>
        <w:t xml:space="preserve">Nuclear Site Security Plan (NSSP). It is intended that the documentation that forms the basis for GDA, and therefore the GDA statements, DAC or </w:t>
      </w:r>
      <w:proofErr w:type="spellStart"/>
      <w:r>
        <w:t>iDAC</w:t>
      </w:r>
      <w:proofErr w:type="spellEnd"/>
      <w:r>
        <w:t>, will also be used as the basis for these future licensee produced cases. Therefore, ONR expects the RP to produce suitable and sufficient documentation to facilitate GDA and also to demonstrate, through the production and application of adequate arrangements, how this could be used successfully as part of future site-specific submissions.</w:t>
      </w:r>
    </w:p>
    <w:p w14:paraId="4C9819C7" w14:textId="77777777" w:rsidR="00A96D60" w:rsidRDefault="00A96D60" w:rsidP="00A96D60">
      <w:pPr>
        <w:pStyle w:val="Heading2"/>
        <w:sectPr w:rsidR="00A96D60" w:rsidSect="00EE06B5">
          <w:pgSz w:w="11906" w:h="16838" w:code="9"/>
          <w:pgMar w:top="1440" w:right="1440" w:bottom="1440" w:left="1440" w:header="431" w:footer="567" w:gutter="0"/>
          <w:cols w:space="708"/>
          <w:docGrid w:linePitch="360"/>
        </w:sectPr>
      </w:pPr>
    </w:p>
    <w:p w14:paraId="1AD635EA" w14:textId="2D9BC9C3" w:rsidR="00A96D60" w:rsidRPr="001C0825" w:rsidRDefault="00A96D60" w:rsidP="00A96D60">
      <w:pPr>
        <w:pStyle w:val="Heading2"/>
      </w:pPr>
      <w:r>
        <w:lastRenderedPageBreak/>
        <w:t>The g</w:t>
      </w:r>
      <w:r w:rsidRPr="001C0825">
        <w:t xml:space="preserve">eneric </w:t>
      </w:r>
      <w:r>
        <w:t>safety case</w:t>
      </w:r>
    </w:p>
    <w:p w14:paraId="26DF143F" w14:textId="765A9388" w:rsidR="00A96D60" w:rsidRDefault="00A96D60" w:rsidP="00A96D60">
      <w:pPr>
        <w:pStyle w:val="ListParagraph"/>
      </w:pPr>
      <w:r>
        <w:t xml:space="preserve">The RP is required to develop a comprehensive generic safety case, including relevant supporting reference documents. In line with ONR’s Safety Assessment Principles (SAPs) </w:t>
      </w:r>
      <w:sdt>
        <w:sdtPr>
          <w:id w:val="-1572884807"/>
          <w:citation/>
        </w:sdtPr>
        <w:sdtEndPr/>
        <w:sdtContent>
          <w:r w:rsidR="00A946B2">
            <w:fldChar w:fldCharType="begin"/>
          </w:r>
          <w:r w:rsidR="00A946B2">
            <w:instrText xml:space="preserve"> CITATION ONR2013 \l 2057 </w:instrText>
          </w:r>
          <w:r w:rsidR="00A946B2">
            <w:fldChar w:fldCharType="separate"/>
          </w:r>
          <w:r w:rsidR="00181C9E" w:rsidRPr="00181C9E">
            <w:rPr>
              <w:noProof/>
            </w:rPr>
            <w:t>[8]</w:t>
          </w:r>
          <w:r w:rsidR="00A946B2">
            <w:fldChar w:fldCharType="end"/>
          </w:r>
        </w:sdtContent>
      </w:sdt>
      <w:r w:rsidRPr="0017761E">
        <w:t>,</w:t>
      </w:r>
      <w:r>
        <w:t xml:space="preserve"> the term ‘safety case’ is used to encompass the totality of the documentation developed by a designer, licensee or duty-holder to demonstrate high standards of safety. </w:t>
      </w:r>
      <w:r w:rsidR="00A946B2">
        <w:t>The</w:t>
      </w:r>
      <w:r>
        <w:t xml:space="preserve"> SAPs state that:</w:t>
      </w:r>
    </w:p>
    <w:p w14:paraId="57187E3E" w14:textId="4FE17D10" w:rsidR="00A96D60" w:rsidRPr="001C0825" w:rsidRDefault="00A946B2" w:rsidP="00A96D60">
      <w:pPr>
        <w:pStyle w:val="QuoteText"/>
      </w:pPr>
      <w:r>
        <w:t>“</w:t>
      </w:r>
      <w:r w:rsidR="00A96D60" w:rsidRPr="001C0825">
        <w:t>A safety case is a logical and hierarchical set of documents that describes risk in terms of the hazards presented by the facility, site and the modes of operation, including potential faults and accidents, and those reasonably practicable measures that need to be implemented to prevent or minimise harm. It takes account of experience from the past, is written in the present, and sets expectations and guidance for the processes that should operate in the future if the hazards are to be controlled successfully. The safety case clearly sets out the trail from safety claims through arguments to evidence.</w:t>
      </w:r>
      <w:r>
        <w:t xml:space="preserve">” </w:t>
      </w:r>
      <w:sdt>
        <w:sdtPr>
          <w:id w:val="-1041514128"/>
          <w:citation/>
        </w:sdtPr>
        <w:sdtEndPr/>
        <w:sdtContent>
          <w:r>
            <w:fldChar w:fldCharType="begin"/>
          </w:r>
          <w:r>
            <w:instrText xml:space="preserve"> CITATION ONR2013 \l 2057 </w:instrText>
          </w:r>
          <w:r>
            <w:fldChar w:fldCharType="separate"/>
          </w:r>
          <w:r w:rsidR="00181C9E" w:rsidRPr="00181C9E">
            <w:rPr>
              <w:noProof/>
            </w:rPr>
            <w:t>[8]</w:t>
          </w:r>
          <w:r>
            <w:fldChar w:fldCharType="end"/>
          </w:r>
        </w:sdtContent>
      </w:sdt>
    </w:p>
    <w:p w14:paraId="61AFE3B1" w14:textId="77777777" w:rsidR="00A96D60" w:rsidRPr="0017761E" w:rsidRDefault="00A96D60" w:rsidP="00A96D60">
      <w:pPr>
        <w:pStyle w:val="ListParagraph"/>
      </w:pPr>
      <w:r>
        <w:t xml:space="preserve">The information which </w:t>
      </w:r>
      <w:r w:rsidRPr="0017761E">
        <w:t>ONR cho</w:t>
      </w:r>
      <w:r>
        <w:t>o</w:t>
      </w:r>
      <w:r w:rsidRPr="0017761E">
        <w:t xml:space="preserve">ses to sample from the safety case to commence its assessment will be agreed during Step 1. The breadth and depth of sampling will </w:t>
      </w:r>
      <w:r>
        <w:t xml:space="preserve">be targeted and </w:t>
      </w:r>
      <w:r w:rsidRPr="0017761E">
        <w:t xml:space="preserve">expand during ONR’s assessment throughout GDA. </w:t>
      </w:r>
    </w:p>
    <w:p w14:paraId="33BEEEF8" w14:textId="460C8DF7" w:rsidR="00A96D60" w:rsidRDefault="00A96D60" w:rsidP="00A96D60">
      <w:pPr>
        <w:pStyle w:val="ListParagraph"/>
      </w:pPr>
      <w:r w:rsidRPr="0017761E">
        <w:t>The SAPs include a section on the regulatory assessment of safety</w:t>
      </w:r>
      <w:r>
        <w:t xml:space="preserve"> cases. This is supported by</w:t>
      </w:r>
      <w:r w:rsidRPr="0017761E">
        <w:t xml:space="preserve"> ONR</w:t>
      </w:r>
      <w:r>
        <w:t>’s</w:t>
      </w:r>
      <w:r w:rsidRPr="0017761E">
        <w:t xml:space="preserve"> Technical Assessment Guide (TAG) on the purpose, scope and content of nuclear safety cases </w:t>
      </w:r>
      <w:sdt>
        <w:sdtPr>
          <w:id w:val="2146926273"/>
          <w:citation/>
        </w:sdtPr>
        <w:sdtEndPr/>
        <w:sdtContent>
          <w:r w:rsidR="00A946B2">
            <w:fldChar w:fldCharType="begin"/>
          </w:r>
          <w:r w:rsidR="00A946B2">
            <w:instrText xml:space="preserve"> CITATION ONR100 \l 2057 </w:instrText>
          </w:r>
          <w:r w:rsidR="00A946B2">
            <w:fldChar w:fldCharType="separate"/>
          </w:r>
          <w:r w:rsidR="00181C9E" w:rsidRPr="00181C9E">
            <w:rPr>
              <w:noProof/>
            </w:rPr>
            <w:t>[9]</w:t>
          </w:r>
          <w:r w:rsidR="00A946B2">
            <w:fldChar w:fldCharType="end"/>
          </w:r>
        </w:sdtContent>
      </w:sdt>
      <w:r w:rsidRPr="0017761E">
        <w:t>. ONR</w:t>
      </w:r>
      <w:r>
        <w:t xml:space="preserve"> expects the safety case developed during GDA to be consistent with these expectations. It is important that the information provided in the safety case is suitable and sufficient to demonstrate, in the opinion of ONR, that risks have been reduced to ALARP.</w:t>
      </w:r>
    </w:p>
    <w:p w14:paraId="3EE268A0" w14:textId="77777777" w:rsidR="00A96D60" w:rsidRDefault="00A96D60" w:rsidP="00A96D60">
      <w:pPr>
        <w:pStyle w:val="ListParagraph"/>
      </w:pPr>
      <w:r>
        <w:t xml:space="preserve">ONR expects the generic safety case to cover all aspects of the plant’s life-cycle. This should include a proportionate consideration of construction, operation, maintenance activities, spent fuel and radioactive waste management and decommissioning to allow the objective for GDA to be met. The generic safety case may include matters relating to both nuclear and conventional health and safety, or these may be separated depending on the choice of the RP. The level of detail of the information required may vary according to the significance of each aspect to the agreed GDA scope. </w:t>
      </w:r>
    </w:p>
    <w:p w14:paraId="3384228F" w14:textId="77777777" w:rsidR="00A96D60" w:rsidRDefault="00A96D60" w:rsidP="00A96D60">
      <w:pPr>
        <w:pStyle w:val="ListParagraph"/>
        <w:sectPr w:rsidR="00A96D60" w:rsidSect="00EE06B5">
          <w:type w:val="continuous"/>
          <w:pgSz w:w="11906" w:h="16838" w:code="9"/>
          <w:pgMar w:top="1440" w:right="1440" w:bottom="1440" w:left="1440" w:header="431" w:footer="567" w:gutter="0"/>
          <w:cols w:space="708"/>
          <w:docGrid w:linePitch="360"/>
        </w:sectPr>
      </w:pPr>
    </w:p>
    <w:p w14:paraId="6254DADD" w14:textId="77777777" w:rsidR="00EE06B5" w:rsidRDefault="00EE06B5" w:rsidP="00A96D60">
      <w:pPr>
        <w:pStyle w:val="ListParagraph"/>
        <w:sectPr w:rsidR="00EE06B5" w:rsidSect="00EE06B5">
          <w:type w:val="continuous"/>
          <w:pgSz w:w="11906" w:h="16838" w:code="9"/>
          <w:pgMar w:top="1440" w:right="1440" w:bottom="1440" w:left="1440" w:header="431" w:footer="567" w:gutter="0"/>
          <w:cols w:space="708"/>
          <w:docGrid w:linePitch="360"/>
        </w:sectPr>
      </w:pPr>
    </w:p>
    <w:p w14:paraId="0ED49560" w14:textId="6E23F41F" w:rsidR="00A96D60" w:rsidRPr="0017761E" w:rsidRDefault="00A96D60" w:rsidP="00A96D60">
      <w:pPr>
        <w:pStyle w:val="ListParagraph"/>
      </w:pPr>
      <w:r>
        <w:lastRenderedPageBreak/>
        <w:t xml:space="preserve">For a generic safety case, ONR accepts that much of the evidence and associated confirmatory analysis cannot be gathered until the structures, system and components have undergone final detailed design by a manufacturer/supplier or have been manufactured and are in the process of being tested. Since the choice of supplier and the construction and commissioning are matters for the site operator, this level of information is generally not included within GDA. However, for GDA, ONR expects the RP to provide its arrangements for ensuring that </w:t>
      </w:r>
      <w:r w:rsidRPr="0017761E">
        <w:t xml:space="preserve">the safety claims and assumptions can be realised in the as-built design. The capturing of assumptions, commitments and requirements from the safety case is further detailed in </w:t>
      </w:r>
      <w:r w:rsidR="00A946B2">
        <w:t>s</w:t>
      </w:r>
      <w:r w:rsidRPr="0017761E">
        <w:t xml:space="preserve">ection </w:t>
      </w:r>
      <w:r w:rsidR="00A946B2">
        <w:fldChar w:fldCharType="begin"/>
      </w:r>
      <w:r w:rsidR="00A946B2">
        <w:instrText xml:space="preserve"> REF _Ref173231015 \r \h </w:instrText>
      </w:r>
      <w:r w:rsidR="00A946B2">
        <w:fldChar w:fldCharType="separate"/>
      </w:r>
      <w:r w:rsidR="00A946B2">
        <w:rPr>
          <w:cs/>
        </w:rPr>
        <w:t>‎</w:t>
      </w:r>
      <w:r w:rsidR="00A946B2">
        <w:t>3.4.7</w:t>
      </w:r>
      <w:r w:rsidR="00A946B2">
        <w:fldChar w:fldCharType="end"/>
      </w:r>
      <w:r w:rsidRPr="0017761E">
        <w:t xml:space="preserve">. </w:t>
      </w:r>
    </w:p>
    <w:p w14:paraId="0C732FC9" w14:textId="0399DDD9" w:rsidR="00A96D60" w:rsidRPr="0017761E" w:rsidRDefault="00A96D60" w:rsidP="00A96D60">
      <w:pPr>
        <w:pStyle w:val="ListParagraph"/>
      </w:pPr>
      <w:r>
        <w:t xml:space="preserve">The generic safety case should include information that defines the characteristics assumed for the generic site envelope, to the extent applicable to the agreed GDA scope. The RP may specify generic site characteristics, such as the density and distribution of the assumed local population, seismic hazard, extreme weather events and other external hazards, which are typical for a range of potential deployment sites. </w:t>
      </w:r>
      <w:r w:rsidR="00A946B2">
        <w:br/>
      </w:r>
      <w:r>
        <w:t xml:space="preserve">ONR’s preferred approach is that these characteristics should, as far as reasonably practicable, bound the characteristics of the potential deployment sites such that the proposed design could potentially be built at a number of suitable locations. If the RP chooses the characteristics for an actual site to act as the generic site during GDA, ONR would subsequently need to revisit the applicability of the output from the GDA to other sites during site-specific assessments, with a potential increase in regulatory uncertainty for that project. </w:t>
      </w:r>
      <w:r w:rsidRPr="0017761E">
        <w:t xml:space="preserve">Guidance on ONR's expectations on generic site characterisation is contained in </w:t>
      </w:r>
      <w:r w:rsidR="00A946B2">
        <w:t xml:space="preserve">ref. </w:t>
      </w:r>
      <w:sdt>
        <w:sdtPr>
          <w:id w:val="1492531167"/>
          <w:citation/>
        </w:sdtPr>
        <w:sdtEndPr/>
        <w:sdtContent>
          <w:r w:rsidR="00A946B2">
            <w:fldChar w:fldCharType="begin"/>
          </w:r>
          <w:r w:rsidR="00A946B2">
            <w:instrText xml:space="preserve"> CITATION ONR1910 \l 2057 </w:instrText>
          </w:r>
          <w:r w:rsidR="00A946B2">
            <w:fldChar w:fldCharType="separate"/>
          </w:r>
          <w:r w:rsidR="00181C9E" w:rsidRPr="00181C9E">
            <w:rPr>
              <w:noProof/>
            </w:rPr>
            <w:t>[4]</w:t>
          </w:r>
          <w:r w:rsidR="00A946B2">
            <w:fldChar w:fldCharType="end"/>
          </w:r>
        </w:sdtContent>
      </w:sdt>
      <w:r w:rsidRPr="0017761E">
        <w:t xml:space="preserve">. </w:t>
      </w:r>
    </w:p>
    <w:p w14:paraId="39FCF66E" w14:textId="43D2C49C" w:rsidR="00A96D60" w:rsidRDefault="00A96D60" w:rsidP="00A96D60">
      <w:pPr>
        <w:pStyle w:val="ListParagraph"/>
      </w:pPr>
      <w:r>
        <w:t xml:space="preserve">ONR requires the RP to make relevant safety case and key supporting reference information available for public comment (with the exception of any commercially </w:t>
      </w:r>
      <w:r w:rsidRPr="0017761E">
        <w:t xml:space="preserve">confidential and security sensitive information). </w:t>
      </w:r>
      <w:r w:rsidR="00A946B2">
        <w:br/>
      </w:r>
      <w:r>
        <w:t xml:space="preserve">The information to be published </w:t>
      </w:r>
      <w:r w:rsidRPr="0017761E">
        <w:t xml:space="preserve">will </w:t>
      </w:r>
      <w:r>
        <w:t xml:space="preserve">need to </w:t>
      </w:r>
      <w:r w:rsidRPr="0017761E">
        <w:t>be agreed with ONR during Step 1.</w:t>
      </w:r>
    </w:p>
    <w:p w14:paraId="3886AD95" w14:textId="2F31DB03" w:rsidR="00A96D60" w:rsidRPr="001C0825" w:rsidRDefault="00A96D60" w:rsidP="00A96D60">
      <w:pPr>
        <w:pStyle w:val="Heading2"/>
      </w:pPr>
      <w:r>
        <w:t>The generic security case</w:t>
      </w:r>
    </w:p>
    <w:p w14:paraId="21BDFBE1" w14:textId="77777777" w:rsidR="00A96D60" w:rsidRDefault="00A96D60" w:rsidP="00A96D60">
      <w:pPr>
        <w:pStyle w:val="ListParagraph"/>
      </w:pPr>
      <w:r w:rsidRPr="00BD3544">
        <w:t>The RP is required to develop a comprehensive</w:t>
      </w:r>
      <w:r>
        <w:t xml:space="preserve"> generic security case, comprised of a</w:t>
      </w:r>
      <w:r w:rsidRPr="00BD3544">
        <w:t xml:space="preserve"> </w:t>
      </w:r>
      <w:r>
        <w:t>GSR</w:t>
      </w:r>
      <w:r w:rsidRPr="00BD3544">
        <w:t xml:space="preserve"> </w:t>
      </w:r>
      <w:r>
        <w:t>including</w:t>
      </w:r>
      <w:r w:rsidRPr="00BD3544">
        <w:t xml:space="preserve"> relevant</w:t>
      </w:r>
      <w:r>
        <w:t xml:space="preserve"> supporting reference documents. Guidance on the content of the GSR is provided in </w:t>
      </w:r>
      <w:r w:rsidRPr="0017761E">
        <w:t xml:space="preserve">Ref. </w:t>
      </w:r>
      <w:r>
        <w:t>11</w:t>
      </w:r>
      <w:r w:rsidRPr="0017761E">
        <w:t>.</w:t>
      </w:r>
    </w:p>
    <w:p w14:paraId="745949E9" w14:textId="77777777" w:rsidR="00A946B2" w:rsidRDefault="00A946B2" w:rsidP="00A946B2">
      <w:pPr>
        <w:pStyle w:val="ListParagraph"/>
        <w:rPr>
          <w:lang w:eastAsia="en-GB"/>
        </w:rPr>
        <w:sectPr w:rsidR="00A946B2" w:rsidSect="00EE06B5">
          <w:pgSz w:w="11906" w:h="16838" w:code="9"/>
          <w:pgMar w:top="1440" w:right="1440" w:bottom="1440" w:left="1440" w:header="431" w:footer="567" w:gutter="0"/>
          <w:cols w:space="708"/>
          <w:docGrid w:linePitch="360"/>
        </w:sectPr>
      </w:pPr>
    </w:p>
    <w:p w14:paraId="1074BCE9" w14:textId="4B79557F" w:rsidR="00A96D60" w:rsidRPr="00A946B2" w:rsidRDefault="00A96D60" w:rsidP="00A946B2">
      <w:pPr>
        <w:pStyle w:val="ListParagraph"/>
        <w:rPr>
          <w:szCs w:val="24"/>
          <w:lang w:eastAsia="en-GB"/>
        </w:rPr>
      </w:pPr>
      <w:r w:rsidRPr="00A946B2">
        <w:rPr>
          <w:szCs w:val="24"/>
          <w:lang w:eastAsia="en-GB"/>
        </w:rPr>
        <w:lastRenderedPageBreak/>
        <w:t>In summary, the GSR should describe the security features of the proposed design. It should document the categorisation from both theft and sabotage to determine the protective security outcomes and applicable security postures to be applied. The GSR must provide evidence that regulatory expectations can be met, in respect of the Fundamental Security Principles (</w:t>
      </w:r>
      <w:proofErr w:type="spellStart"/>
      <w:r w:rsidRPr="00A946B2">
        <w:rPr>
          <w:szCs w:val="24"/>
          <w:lang w:eastAsia="en-GB"/>
        </w:rPr>
        <w:t>FSyPs</w:t>
      </w:r>
      <w:proofErr w:type="spellEnd"/>
      <w:r w:rsidRPr="00A946B2">
        <w:rPr>
          <w:szCs w:val="24"/>
          <w:lang w:eastAsia="en-GB"/>
        </w:rPr>
        <w:t xml:space="preserve">) from the Security Assessment Principles (SyAPs) </w:t>
      </w:r>
      <w:sdt>
        <w:sdtPr>
          <w:rPr>
            <w:szCs w:val="24"/>
            <w:lang w:eastAsia="en-GB"/>
          </w:rPr>
          <w:id w:val="-1655908085"/>
          <w:citation/>
        </w:sdtPr>
        <w:sdtEndPr/>
        <w:sdtContent>
          <w:r w:rsidR="00A946B2">
            <w:rPr>
              <w:szCs w:val="24"/>
              <w:lang w:eastAsia="en-GB"/>
            </w:rPr>
            <w:fldChar w:fldCharType="begin"/>
          </w:r>
          <w:r w:rsidR="00A946B2">
            <w:rPr>
              <w:szCs w:val="24"/>
              <w:lang w:eastAsia="en-GB"/>
            </w:rPr>
            <w:instrText xml:space="preserve"> CITATION ONR173 \l 2057 </w:instrText>
          </w:r>
          <w:r w:rsidR="00A946B2">
            <w:rPr>
              <w:szCs w:val="24"/>
              <w:lang w:eastAsia="en-GB"/>
            </w:rPr>
            <w:fldChar w:fldCharType="separate"/>
          </w:r>
          <w:r w:rsidR="00181C9E" w:rsidRPr="00181C9E">
            <w:rPr>
              <w:noProof/>
              <w:szCs w:val="24"/>
              <w:lang w:eastAsia="en-GB"/>
            </w:rPr>
            <w:t>[10]</w:t>
          </w:r>
          <w:r w:rsidR="00A946B2">
            <w:rPr>
              <w:szCs w:val="24"/>
              <w:lang w:eastAsia="en-GB"/>
            </w:rPr>
            <w:fldChar w:fldCharType="end"/>
          </w:r>
        </w:sdtContent>
      </w:sdt>
      <w:r w:rsidRPr="00A946B2">
        <w:rPr>
          <w:szCs w:val="24"/>
          <w:lang w:eastAsia="en-GB"/>
        </w:rPr>
        <w:t xml:space="preserve">. As with the generic safety case produced during GDA, the GSR should form the basis for the NSSP prepared by the future licensee, which is approved by ONR under the Nuclear Industries Security Regulations (NISR) 2003 (as amended) </w:t>
      </w:r>
      <w:sdt>
        <w:sdtPr>
          <w:rPr>
            <w:szCs w:val="24"/>
            <w:lang w:eastAsia="en-GB"/>
          </w:rPr>
          <w:id w:val="-334695867"/>
          <w:citation/>
        </w:sdtPr>
        <w:sdtEndPr/>
        <w:sdtContent>
          <w:r w:rsidR="00A946B2">
            <w:rPr>
              <w:szCs w:val="24"/>
              <w:lang w:eastAsia="en-GB"/>
            </w:rPr>
            <w:fldChar w:fldCharType="begin"/>
          </w:r>
          <w:r w:rsidR="00A946B2">
            <w:rPr>
              <w:szCs w:val="24"/>
              <w:lang w:eastAsia="en-GB"/>
            </w:rPr>
            <w:instrText xml:space="preserve"> CITATION HMG032 \l 2057 </w:instrText>
          </w:r>
          <w:r w:rsidR="00A946B2">
            <w:rPr>
              <w:szCs w:val="24"/>
              <w:lang w:eastAsia="en-GB"/>
            </w:rPr>
            <w:fldChar w:fldCharType="separate"/>
          </w:r>
          <w:r w:rsidR="00181C9E" w:rsidRPr="00181C9E">
            <w:rPr>
              <w:noProof/>
              <w:szCs w:val="24"/>
              <w:lang w:eastAsia="en-GB"/>
            </w:rPr>
            <w:t>[6]</w:t>
          </w:r>
          <w:r w:rsidR="00A946B2">
            <w:rPr>
              <w:szCs w:val="24"/>
              <w:lang w:eastAsia="en-GB"/>
            </w:rPr>
            <w:fldChar w:fldCharType="end"/>
          </w:r>
        </w:sdtContent>
      </w:sdt>
      <w:r w:rsidRPr="00A946B2">
        <w:rPr>
          <w:szCs w:val="24"/>
          <w:lang w:eastAsia="en-GB"/>
        </w:rPr>
        <w:t>.</w:t>
      </w:r>
    </w:p>
    <w:p w14:paraId="26ABCF45" w14:textId="77777777" w:rsidR="00A96D60" w:rsidRDefault="00A96D60" w:rsidP="00A96D60">
      <w:pPr>
        <w:pStyle w:val="ListParagraph"/>
        <w:sectPr w:rsidR="00A96D60" w:rsidSect="00EE06B5">
          <w:pgSz w:w="11906" w:h="16838" w:code="9"/>
          <w:pgMar w:top="1440" w:right="1440" w:bottom="1440" w:left="1440" w:header="431" w:footer="567" w:gutter="0"/>
          <w:cols w:space="708"/>
          <w:docGrid w:linePitch="360"/>
        </w:sectPr>
      </w:pPr>
    </w:p>
    <w:p w14:paraId="697FE5C6" w14:textId="2403C656" w:rsidR="00A96D60" w:rsidRPr="0017761E" w:rsidRDefault="00A96D60" w:rsidP="00A96D60">
      <w:pPr>
        <w:pStyle w:val="ListParagraph"/>
      </w:pPr>
      <w:r w:rsidRPr="0017761E">
        <w:lastRenderedPageBreak/>
        <w:t xml:space="preserve">ONR requires the RP to make relevant security case and key supporting reference information available for public comment (with the exception of any commercially confidential and security sensitive information). </w:t>
      </w:r>
      <w:r w:rsidR="00A946B2">
        <w:br/>
      </w:r>
      <w:r w:rsidRPr="00497BB3">
        <w:t>The information to be published will need to be agreed with ONR during Step 1.</w:t>
      </w:r>
    </w:p>
    <w:p w14:paraId="6A9EC06F" w14:textId="5317D2E9" w:rsidR="00A96D60" w:rsidRPr="001C0825" w:rsidRDefault="00A96D60" w:rsidP="00A96D60">
      <w:pPr>
        <w:pStyle w:val="Heading2"/>
      </w:pPr>
      <w:r>
        <w:t>Production of the safety and security cases</w:t>
      </w:r>
    </w:p>
    <w:p w14:paraId="6749448E" w14:textId="4653FE05" w:rsidR="00A96D60" w:rsidRPr="001C0825" w:rsidRDefault="00A96D60" w:rsidP="00A96D60">
      <w:pPr>
        <w:pStyle w:val="Heading3"/>
      </w:pPr>
      <w:r>
        <w:t>D</w:t>
      </w:r>
      <w:r w:rsidRPr="001C0825">
        <w:t xml:space="preserve">evelopment </w:t>
      </w:r>
      <w:r>
        <w:t>processes</w:t>
      </w:r>
    </w:p>
    <w:p w14:paraId="00D7DA73" w14:textId="77777777" w:rsidR="00A96D60" w:rsidRDefault="00A96D60" w:rsidP="00A96D60">
      <w:pPr>
        <w:pStyle w:val="ListParagraph"/>
      </w:pPr>
      <w:r>
        <w:t>The processes used to produce the safety and security cases need to consistently deliver good-quality, fit-for-purpose cases. For a safety case to state that the design under consideration is very reliable or highly unlikely to fail, the process used to produce the safety justifications should have a commensurate level of robustness. Similarly it is important that a robust process is used to develop the security case, to ensure that any security measures required can be achieved by the design.</w:t>
      </w:r>
    </w:p>
    <w:p w14:paraId="73E41F9A" w14:textId="7F9D4908" w:rsidR="00A96D60" w:rsidRDefault="00A96D60" w:rsidP="00A96D60">
      <w:pPr>
        <w:pStyle w:val="ListParagraph"/>
      </w:pPr>
      <w:r>
        <w:t xml:space="preserve">The RP therefore needs to demonstrate that the process for safety and security case production are suitably robust and have included, for example, using Suitably Qualified and Experienced Personnel (SQEP) authors, appropriate verification controls, a formal approval procedure, and an independent review. The RP should also demonstrate that the rigour of the processes applied is consistent with the safety or security importance of the subject matter. ONR will assess these processes during Step 1. </w:t>
      </w:r>
      <w:r w:rsidR="00A946B2">
        <w:br/>
      </w:r>
      <w:r>
        <w:t>Further information on ONR's expectations regarding safety and security case production processes are given in the SAPs</w:t>
      </w:r>
      <w:r w:rsidR="00A946B2">
        <w:t xml:space="preserve"> </w:t>
      </w:r>
      <w:sdt>
        <w:sdtPr>
          <w:id w:val="1686553915"/>
          <w:citation/>
        </w:sdtPr>
        <w:sdtEndPr/>
        <w:sdtContent>
          <w:r w:rsidR="00A946B2">
            <w:fldChar w:fldCharType="begin"/>
          </w:r>
          <w:r w:rsidR="00A946B2">
            <w:instrText xml:space="preserve"> CITATION ONR2013 \l 2057 </w:instrText>
          </w:r>
          <w:r w:rsidR="00A946B2">
            <w:fldChar w:fldCharType="separate"/>
          </w:r>
          <w:r w:rsidR="00181C9E" w:rsidRPr="00181C9E">
            <w:rPr>
              <w:noProof/>
            </w:rPr>
            <w:t>[8]</w:t>
          </w:r>
          <w:r w:rsidR="00A946B2">
            <w:fldChar w:fldCharType="end"/>
          </w:r>
        </w:sdtContent>
      </w:sdt>
      <w:r>
        <w:t xml:space="preserve">, SyAPs </w:t>
      </w:r>
      <w:sdt>
        <w:sdtPr>
          <w:id w:val="2118328583"/>
          <w:citation/>
        </w:sdtPr>
        <w:sdtEndPr/>
        <w:sdtContent>
          <w:r w:rsidR="00A946B2">
            <w:fldChar w:fldCharType="begin"/>
          </w:r>
          <w:r w:rsidR="00A946B2">
            <w:instrText xml:space="preserve"> CITATION ONR173 \l 2057 </w:instrText>
          </w:r>
          <w:r w:rsidR="00A946B2">
            <w:fldChar w:fldCharType="separate"/>
          </w:r>
          <w:r w:rsidR="00181C9E" w:rsidRPr="00181C9E">
            <w:rPr>
              <w:noProof/>
            </w:rPr>
            <w:t>[10]</w:t>
          </w:r>
          <w:r w:rsidR="00A946B2">
            <w:fldChar w:fldCharType="end"/>
          </w:r>
        </w:sdtContent>
      </w:sdt>
      <w:r w:rsidR="00A946B2">
        <w:t xml:space="preserve">, the associated nuclear security </w:t>
      </w:r>
      <w:r w:rsidRPr="0017761E">
        <w:t>TAG</w:t>
      </w:r>
      <w:r>
        <w:t xml:space="preserve"> </w:t>
      </w:r>
      <w:sdt>
        <w:sdtPr>
          <w:id w:val="722787562"/>
          <w:citation/>
        </w:sdtPr>
        <w:sdtEndPr/>
        <w:sdtContent>
          <w:r w:rsidR="00A946B2">
            <w:fldChar w:fldCharType="begin"/>
          </w:r>
          <w:r w:rsidR="00A946B2">
            <w:instrText xml:space="preserve"> CITATION ONR442 \l 2057 </w:instrText>
          </w:r>
          <w:r w:rsidR="00A946B2">
            <w:fldChar w:fldCharType="separate"/>
          </w:r>
          <w:r w:rsidR="00181C9E" w:rsidRPr="00181C9E">
            <w:rPr>
              <w:noProof/>
            </w:rPr>
            <w:t>[11]</w:t>
          </w:r>
          <w:r w:rsidR="00A946B2">
            <w:fldChar w:fldCharType="end"/>
          </w:r>
        </w:sdtContent>
      </w:sdt>
      <w:r w:rsidR="00A946B2">
        <w:t xml:space="preserve">, </w:t>
      </w:r>
      <w:r>
        <w:t xml:space="preserve">and </w:t>
      </w:r>
      <w:r w:rsidR="00A946B2">
        <w:t>the technical guidance on GDA</w:t>
      </w:r>
      <w:r>
        <w:t xml:space="preserve"> </w:t>
      </w:r>
      <w:sdt>
        <w:sdtPr>
          <w:id w:val="-1283880306"/>
          <w:citation/>
        </w:sdtPr>
        <w:sdtEndPr/>
        <w:sdtContent>
          <w:r w:rsidR="00A946B2">
            <w:fldChar w:fldCharType="begin"/>
          </w:r>
          <w:r w:rsidR="00A946B2">
            <w:instrText xml:space="preserve"> CITATION ONR1910 \l 2057 </w:instrText>
          </w:r>
          <w:r w:rsidR="00A946B2">
            <w:fldChar w:fldCharType="separate"/>
          </w:r>
          <w:r w:rsidR="00181C9E" w:rsidRPr="00181C9E">
            <w:rPr>
              <w:noProof/>
            </w:rPr>
            <w:t>[4]</w:t>
          </w:r>
          <w:r w:rsidR="00A946B2">
            <w:fldChar w:fldCharType="end"/>
          </w:r>
        </w:sdtContent>
      </w:sdt>
      <w:r>
        <w:t xml:space="preserve">. </w:t>
      </w:r>
    </w:p>
    <w:p w14:paraId="119D4F22" w14:textId="77777777" w:rsidR="00A96D60" w:rsidRDefault="00A96D60" w:rsidP="00A96D60">
      <w:pPr>
        <w:pStyle w:val="ListParagraph"/>
      </w:pPr>
      <w:r>
        <w:t xml:space="preserve">As well as ensuring that an RP’s safety and security case submissions are well defined, ONR requires that they are produced under robust QA arrangements. The same applies to the design itself. The RP’s arrangements will be required to ensure that this is achieved, and examination of these arrangements forms part of ONR’s assessment during GDA. </w:t>
      </w:r>
    </w:p>
    <w:p w14:paraId="5AF197DA" w14:textId="65CCCA02" w:rsidR="00A96D60" w:rsidRDefault="00A96D60" w:rsidP="00A96D60">
      <w:pPr>
        <w:pStyle w:val="ListParagraph"/>
      </w:pPr>
      <w:r>
        <w:t xml:space="preserve">An essential element of the safety and security case development process during a GDA is the </w:t>
      </w:r>
      <w:r w:rsidRPr="0017761E">
        <w:t xml:space="preserve">capturing of assumptions, commitments and requirements, as described further in </w:t>
      </w:r>
      <w:r w:rsidR="00A946B2">
        <w:t>s</w:t>
      </w:r>
      <w:r w:rsidRPr="0017761E">
        <w:t xml:space="preserve">ection </w:t>
      </w:r>
      <w:r w:rsidR="00A946B2">
        <w:fldChar w:fldCharType="begin"/>
      </w:r>
      <w:r w:rsidR="00A946B2">
        <w:instrText xml:space="preserve"> REF _Ref173231015 \r \h </w:instrText>
      </w:r>
      <w:r w:rsidR="00A946B2">
        <w:fldChar w:fldCharType="separate"/>
      </w:r>
      <w:r w:rsidR="00A946B2">
        <w:rPr>
          <w:cs/>
        </w:rPr>
        <w:t>‎</w:t>
      </w:r>
      <w:r w:rsidR="00A946B2">
        <w:t>3.4.7</w:t>
      </w:r>
      <w:r w:rsidR="00A946B2">
        <w:fldChar w:fldCharType="end"/>
      </w:r>
      <w:r w:rsidRPr="0017761E">
        <w:t>. This will need to include any changes which result as part of on-going safety and security</w:t>
      </w:r>
      <w:r>
        <w:t xml:space="preserve"> case developments during GDA. ONR will assess the RP’s arrangements and implementation during Steps 1 and 2 respectively. These arrangements become more relevant to GDA if key safety-related items, intended or potentially for use in GB, have been or are in the process of being manufactured. In such cases, the RP should specify what quality management arrangements have been or will be used during all stages of </w:t>
      </w:r>
      <w:r>
        <w:lastRenderedPageBreak/>
        <w:t>the manufacturing process, to ensure that the generic safety case is realised in the constructed plant.</w:t>
      </w:r>
    </w:p>
    <w:p w14:paraId="015B717F" w14:textId="672F6816" w:rsidR="00A96D60" w:rsidRPr="001C0825" w:rsidRDefault="00A96D60" w:rsidP="00A96D60">
      <w:pPr>
        <w:pStyle w:val="Heading3"/>
      </w:pPr>
      <w:r>
        <w:t>Capturing design developments</w:t>
      </w:r>
      <w:r w:rsidRPr="001C0825">
        <w:t xml:space="preserve"> </w:t>
      </w:r>
    </w:p>
    <w:p w14:paraId="2C1DCCCF" w14:textId="77777777" w:rsidR="00A96D60" w:rsidRDefault="00A96D60" w:rsidP="00A96D60">
      <w:pPr>
        <w:pStyle w:val="ListParagraph"/>
      </w:pPr>
      <w:r>
        <w:t xml:space="preserve">If the design has been fixed for several years prior to entering GDA, evidence should be provided by the RP as part of the generic safety and security cases that adequate learning has been taken into consideration, including: </w:t>
      </w:r>
    </w:p>
    <w:p w14:paraId="0E46F978" w14:textId="77777777" w:rsidR="00A96D60" w:rsidRDefault="00A96D60" w:rsidP="00A96D60">
      <w:pPr>
        <w:pStyle w:val="Bulletlist1"/>
      </w:pPr>
      <w:r>
        <w:t>developments in nuclear technology</w:t>
      </w:r>
    </w:p>
    <w:p w14:paraId="53DD2E85" w14:textId="77777777" w:rsidR="00A96D60" w:rsidRDefault="00A96D60" w:rsidP="00A96D60">
      <w:pPr>
        <w:pStyle w:val="Bulletlist1"/>
      </w:pPr>
      <w:r>
        <w:t>changes to relevant codes and standards</w:t>
      </w:r>
    </w:p>
    <w:p w14:paraId="674E962B" w14:textId="77777777" w:rsidR="00A96D60" w:rsidRDefault="00A96D60" w:rsidP="00A96D60">
      <w:pPr>
        <w:pStyle w:val="Bulletlist1"/>
      </w:pPr>
      <w:r>
        <w:t xml:space="preserve">relevant construction, commissioning or operating experience </w:t>
      </w:r>
    </w:p>
    <w:p w14:paraId="4CE3DCB7" w14:textId="77777777" w:rsidR="00A96D60" w:rsidRDefault="00A96D60" w:rsidP="00A96D60">
      <w:pPr>
        <w:pStyle w:val="Bulletlist1"/>
      </w:pPr>
      <w:r>
        <w:t>significant changes to the security threats that need consideration</w:t>
      </w:r>
    </w:p>
    <w:p w14:paraId="5C97444D" w14:textId="77777777" w:rsidR="00A96D60" w:rsidRDefault="00A96D60" w:rsidP="00A96D60">
      <w:pPr>
        <w:pStyle w:val="Bulletlist1"/>
      </w:pPr>
      <w:r>
        <w:t xml:space="preserve">relevant new research findings </w:t>
      </w:r>
    </w:p>
    <w:p w14:paraId="3224266D" w14:textId="77777777" w:rsidR="00A96D60" w:rsidRDefault="00A96D60" w:rsidP="00A96D60">
      <w:pPr>
        <w:pStyle w:val="Bulletlist1"/>
      </w:pPr>
      <w:r>
        <w:t xml:space="preserve">any other factors arising that may have an impact on the safety and security of the design </w:t>
      </w:r>
    </w:p>
    <w:p w14:paraId="2FE2DF04" w14:textId="23000C51" w:rsidR="00A96D60" w:rsidRPr="001C0825" w:rsidRDefault="00A96D60" w:rsidP="00A96D60">
      <w:pPr>
        <w:pStyle w:val="Heading3"/>
      </w:pPr>
      <w:r>
        <w:t>Making use of re</w:t>
      </w:r>
      <w:r w:rsidRPr="001C0825">
        <w:t xml:space="preserve">search </w:t>
      </w:r>
    </w:p>
    <w:p w14:paraId="2D9277DE" w14:textId="77777777" w:rsidR="00A96D60" w:rsidRDefault="00A96D60" w:rsidP="00A96D60">
      <w:pPr>
        <w:pStyle w:val="ListParagraph"/>
      </w:pPr>
      <w:r>
        <w:t xml:space="preserve">ONR's expectation is that adequate research and technical studies will have already been completed before the start of GDA, and included within the safety and security cases as appropriate. Relevant research findings that emerge during the course of a GDA should also be considered by the RP. These should be made available to ONR, and may include research findings for which the RP does not hold the intellectual property rights. </w:t>
      </w:r>
    </w:p>
    <w:p w14:paraId="670D4A33" w14:textId="5D54123F" w:rsidR="00A96D60" w:rsidRPr="001C0825" w:rsidRDefault="00A96D60" w:rsidP="00A96D60">
      <w:pPr>
        <w:pStyle w:val="Heading3"/>
      </w:pPr>
      <w:r>
        <w:t>Making use of i</w:t>
      </w:r>
      <w:r w:rsidRPr="001C0825">
        <w:t xml:space="preserve">nternational guidance </w:t>
      </w:r>
    </w:p>
    <w:p w14:paraId="03E47C78" w14:textId="77777777" w:rsidR="00A96D60" w:rsidRDefault="00A96D60" w:rsidP="00A96D60">
      <w:pPr>
        <w:pStyle w:val="ListParagraph"/>
      </w:pPr>
      <w:r>
        <w:t xml:space="preserve">The RP should take account of the requirements of International Atomic Energy Agency (IAEA) safety and security standards and guides. At a high-level, ONR's SAPs and SyAPs have been benchmarked against these standards to ensure that ONR’s requirements reflect international nuclear safety and security standards. </w:t>
      </w:r>
    </w:p>
    <w:p w14:paraId="6F87B752" w14:textId="77777777" w:rsidR="00A96D60" w:rsidRDefault="00A96D60" w:rsidP="00A96D60">
      <w:pPr>
        <w:pStyle w:val="ListParagraph"/>
      </w:pPr>
      <w:r w:rsidRPr="006E7348">
        <w:t xml:space="preserve">However, in many cases, IAEA and other sources of international </w:t>
      </w:r>
      <w:r>
        <w:t>guidance</w:t>
      </w:r>
      <w:r w:rsidRPr="006E7348">
        <w:t xml:space="preserve"> (for example Western European Nuclear Regulators Association </w:t>
      </w:r>
      <w:r>
        <w:t xml:space="preserve">(WENRA) </w:t>
      </w:r>
      <w:r w:rsidRPr="006E7348">
        <w:t xml:space="preserve">reference levels and positions, or </w:t>
      </w:r>
      <w:r>
        <w:t>other overseas regulatory requirements</w:t>
      </w:r>
      <w:r w:rsidRPr="006E7348">
        <w:t xml:space="preserve">) provide specific and technology-focused </w:t>
      </w:r>
      <w:r>
        <w:t xml:space="preserve">information. While these can </w:t>
      </w:r>
      <w:r w:rsidRPr="006E7348">
        <w:t xml:space="preserve">go beyond </w:t>
      </w:r>
      <w:r>
        <w:t xml:space="preserve">the </w:t>
      </w:r>
      <w:r w:rsidRPr="006E7348">
        <w:t xml:space="preserve">expectations </w:t>
      </w:r>
      <w:r>
        <w:t>in ONR’s guidance, they may</w:t>
      </w:r>
      <w:r w:rsidRPr="006E7348">
        <w:t xml:space="preserve"> </w:t>
      </w:r>
      <w:r>
        <w:t>remain</w:t>
      </w:r>
      <w:r w:rsidRPr="006E7348">
        <w:t xml:space="preserve"> relevant to GDA in the context of demonstrating </w:t>
      </w:r>
      <w:r>
        <w:t xml:space="preserve">that </w:t>
      </w:r>
      <w:r w:rsidRPr="006E7348">
        <w:t xml:space="preserve">relevant good practice has been followed (and ALARP has been demonstrated). </w:t>
      </w:r>
      <w:r>
        <w:t xml:space="preserve">The </w:t>
      </w:r>
      <w:r w:rsidRPr="006E7348">
        <w:t>RP</w:t>
      </w:r>
      <w:r>
        <w:t xml:space="preserve"> is</w:t>
      </w:r>
      <w:r w:rsidRPr="006E7348">
        <w:t xml:space="preserve"> therefore encouraged to consider </w:t>
      </w:r>
      <w:r>
        <w:t xml:space="preserve">a wide range of international guidance </w:t>
      </w:r>
      <w:r w:rsidRPr="006E7348">
        <w:t xml:space="preserve">and consider </w:t>
      </w:r>
      <w:r>
        <w:lastRenderedPageBreak/>
        <w:t>its</w:t>
      </w:r>
      <w:r w:rsidRPr="006E7348">
        <w:t xml:space="preserve"> relevance, applicability and value to the safety and security cases </w:t>
      </w:r>
      <w:r>
        <w:t>developed during</w:t>
      </w:r>
      <w:r w:rsidRPr="006E7348">
        <w:t xml:space="preserve"> GDA</w:t>
      </w:r>
      <w:r>
        <w:t>.</w:t>
      </w:r>
    </w:p>
    <w:p w14:paraId="4490B9AD" w14:textId="67649EBE" w:rsidR="00A96D60" w:rsidRDefault="00A96D60" w:rsidP="00A96D60">
      <w:pPr>
        <w:pStyle w:val="ListParagraph"/>
      </w:pPr>
      <w:r>
        <w:t>Whilst vendors may state that their designs are compliant with Utilities Requirements Documents (</w:t>
      </w:r>
      <w:r w:rsidR="00A946B2">
        <w:t>for example,</w:t>
      </w:r>
      <w:r>
        <w:t xml:space="preserve"> US or European), ONR is only able to regard these documents as being guidance for the designers. ONR does not endorse the utilities' standards or make use of them for assessment purposes.</w:t>
      </w:r>
    </w:p>
    <w:p w14:paraId="7F300978" w14:textId="4DAA4C96" w:rsidR="00A96D60" w:rsidRPr="001C0825" w:rsidRDefault="00A96D60" w:rsidP="00A96D60">
      <w:pPr>
        <w:pStyle w:val="Heading3"/>
      </w:pPr>
      <w:bookmarkStart w:id="25" w:name="_Ref173231946"/>
      <w:r>
        <w:t>Making use of existing safety and security documentation</w:t>
      </w:r>
      <w:bookmarkEnd w:id="25"/>
    </w:p>
    <w:p w14:paraId="70E848D0" w14:textId="77777777" w:rsidR="00A96D60" w:rsidRDefault="00A96D60" w:rsidP="007A54B0">
      <w:pPr>
        <w:pStyle w:val="ListParagraph"/>
      </w:pPr>
      <w:r>
        <w:t xml:space="preserve">ONR recognises that the RP may choose to make use of existing design, safety and security justifications that were written to address the regulatory requirements of countries other than GB. This is likely to be an efficient approach. However, it is unlikely that such </w:t>
      </w:r>
      <w:r w:rsidRPr="0017761E">
        <w:t>documents will be sufficient, on their own, for the purposes of GDA</w:t>
      </w:r>
      <w:r>
        <w:t xml:space="preserve"> because:</w:t>
      </w:r>
    </w:p>
    <w:p w14:paraId="1A3E3619" w14:textId="77777777" w:rsidR="00A96D60" w:rsidRDefault="00A96D60" w:rsidP="00A96D60">
      <w:pPr>
        <w:pStyle w:val="Bulletlist1"/>
      </w:pPr>
      <w:r>
        <w:t>the GB regulatory regime for safety is largely goal-setting, rather than prescriptive, and is based on the ALARP principle</w:t>
      </w:r>
    </w:p>
    <w:p w14:paraId="5FAE0B29" w14:textId="77777777" w:rsidR="00A96D60" w:rsidRDefault="00A96D60" w:rsidP="00A96D60">
      <w:pPr>
        <w:pStyle w:val="Bulletlist1"/>
      </w:pPr>
      <w:r>
        <w:t>for</w:t>
      </w:r>
      <w:r w:rsidRPr="00774B2C">
        <w:t xml:space="preserve"> security, the threat is determined by the </w:t>
      </w:r>
      <w:r>
        <w:t>UK g</w:t>
      </w:r>
      <w:r w:rsidRPr="00774B2C">
        <w:t xml:space="preserve">overnment and </w:t>
      </w:r>
      <w:r>
        <w:t>is therefore particular to GB</w:t>
      </w:r>
    </w:p>
    <w:p w14:paraId="32EF18EF" w14:textId="77777777" w:rsidR="00A96D60" w:rsidRPr="0017761E" w:rsidRDefault="00A96D60" w:rsidP="00A96D60">
      <w:pPr>
        <w:pStyle w:val="ListParagraph"/>
      </w:pPr>
      <w:r w:rsidRPr="0017761E">
        <w:t xml:space="preserve">The RP </w:t>
      </w:r>
      <w:r>
        <w:t>may</w:t>
      </w:r>
      <w:r w:rsidRPr="0017761E">
        <w:t xml:space="preserve"> therefore need to produce and submit additional and specific submissions that provide evidence of how the regulatory requirements of GB have been, or </w:t>
      </w:r>
      <w:r>
        <w:t>can</w:t>
      </w:r>
      <w:r w:rsidRPr="0017761E">
        <w:t xml:space="preserve"> be met. Understanding and agreeing suitable documentation that will resolve any identified gaps is an important element of Step 1, as is the submission of these during Step 2.</w:t>
      </w:r>
    </w:p>
    <w:p w14:paraId="199C5807" w14:textId="6CEC390F" w:rsidR="00A96D60" w:rsidRDefault="00A96D60" w:rsidP="00A96D60">
      <w:pPr>
        <w:pStyle w:val="ListParagraph"/>
      </w:pPr>
      <w:r w:rsidRPr="0017761E">
        <w:t>Further details of lessons learned, and gaps identified in previous GDAs</w:t>
      </w:r>
      <w:r>
        <w:t>,</w:t>
      </w:r>
      <w:r w:rsidRPr="0017761E">
        <w:t xml:space="preserve"> are described in </w:t>
      </w:r>
      <w:r w:rsidR="00A946B2">
        <w:t xml:space="preserve">ref. </w:t>
      </w:r>
      <w:sdt>
        <w:sdtPr>
          <w:id w:val="1833554441"/>
          <w:citation/>
        </w:sdtPr>
        <w:sdtEndPr/>
        <w:sdtContent>
          <w:r w:rsidR="00A946B2">
            <w:fldChar w:fldCharType="begin"/>
          </w:r>
          <w:r w:rsidR="00A946B2">
            <w:instrText xml:space="preserve"> CITATION ONR1910 \l 2057 </w:instrText>
          </w:r>
          <w:r w:rsidR="00A946B2">
            <w:fldChar w:fldCharType="separate"/>
          </w:r>
          <w:r w:rsidR="00181C9E" w:rsidRPr="00181C9E">
            <w:rPr>
              <w:noProof/>
            </w:rPr>
            <w:t>[4]</w:t>
          </w:r>
          <w:r w:rsidR="00A946B2">
            <w:fldChar w:fldCharType="end"/>
          </w:r>
        </w:sdtContent>
      </w:sdt>
      <w:r w:rsidRPr="0017761E">
        <w:t>. This includes a number of areas where the GB regulatory approach influences the scope and nature of what needs to be considered as part of the safety and security cases.</w:t>
      </w:r>
      <w:r>
        <w:t xml:space="preserve"> </w:t>
      </w:r>
    </w:p>
    <w:p w14:paraId="1DE9B7CC" w14:textId="2AFE1EE0" w:rsidR="00A96D60" w:rsidRPr="0017761E" w:rsidRDefault="00A96D60" w:rsidP="00A96D60">
      <w:pPr>
        <w:pStyle w:val="ListParagraph"/>
      </w:pPr>
      <w:r>
        <w:t xml:space="preserve">Further information on making use of information arising from assessment by nuclear regulators in other countries is provided in </w:t>
      </w:r>
      <w:hyperlink w:anchor="_Appendix_5_–" w:history="1">
        <w:r w:rsidRPr="00A946B2">
          <w:rPr>
            <w:rStyle w:val="Hyperlink"/>
          </w:rPr>
          <w:t>Appendix 5</w:t>
        </w:r>
      </w:hyperlink>
      <w:r>
        <w:t xml:space="preserve">. </w:t>
      </w:r>
    </w:p>
    <w:p w14:paraId="2A3CC9E1" w14:textId="77777777" w:rsidR="00A96D60" w:rsidRPr="0017761E" w:rsidRDefault="00A96D60" w:rsidP="00A96D60">
      <w:pPr>
        <w:pStyle w:val="ListParagraph"/>
      </w:pPr>
      <w:r w:rsidRPr="0017761E">
        <w:t xml:space="preserve">Where existing documentation is used, ONR requires that </w:t>
      </w:r>
      <w:r>
        <w:t xml:space="preserve">the generic safety and security cases are presented in, </w:t>
      </w:r>
      <w:r w:rsidRPr="0017761E">
        <w:t xml:space="preserve">and </w:t>
      </w:r>
      <w:r>
        <w:t xml:space="preserve">the NPP </w:t>
      </w:r>
      <w:r w:rsidRPr="0017761E">
        <w:t>will be built and operated using SI (International System) Units</w:t>
      </w:r>
      <w:r>
        <w:t>. The</w:t>
      </w:r>
      <w:r w:rsidRPr="0017761E">
        <w:t xml:space="preserve"> safety </w:t>
      </w:r>
      <w:r>
        <w:t xml:space="preserve">and security </w:t>
      </w:r>
      <w:r w:rsidRPr="0017761E">
        <w:t>case</w:t>
      </w:r>
      <w:r>
        <w:t xml:space="preserve">s should be </w:t>
      </w:r>
      <w:r w:rsidRPr="0017761E">
        <w:t>written in English.</w:t>
      </w:r>
    </w:p>
    <w:p w14:paraId="79197C20" w14:textId="078169C5" w:rsidR="00A96D60" w:rsidRPr="001C0825" w:rsidRDefault="00A96D60" w:rsidP="007A54B0">
      <w:pPr>
        <w:pStyle w:val="Heading3"/>
      </w:pPr>
      <w:r>
        <w:t>The safety and security case structure</w:t>
      </w:r>
    </w:p>
    <w:p w14:paraId="61BBCB16" w14:textId="77777777" w:rsidR="00A96D60" w:rsidRDefault="00A96D60" w:rsidP="007A54B0">
      <w:pPr>
        <w:pStyle w:val="ListParagraph"/>
      </w:pPr>
      <w:r w:rsidRPr="0017761E">
        <w:t>ONR encourage</w:t>
      </w:r>
      <w:r>
        <w:t>s</w:t>
      </w:r>
      <w:r w:rsidRPr="0017761E">
        <w:t xml:space="preserve"> the RP to make efficient use of existing documentation during GDA, </w:t>
      </w:r>
      <w:r>
        <w:t xml:space="preserve">but </w:t>
      </w:r>
      <w:r w:rsidRPr="0017761E">
        <w:t xml:space="preserve">this may have implications for the safety </w:t>
      </w:r>
      <w:r>
        <w:t xml:space="preserve">or security </w:t>
      </w:r>
      <w:r w:rsidRPr="0017761E">
        <w:t>case structure</w:t>
      </w:r>
      <w:r>
        <w:t>.</w:t>
      </w:r>
    </w:p>
    <w:p w14:paraId="7C6B07BF" w14:textId="1E405BB0" w:rsidR="00A96D60" w:rsidRDefault="00A96D60" w:rsidP="007A54B0">
      <w:pPr>
        <w:pStyle w:val="ListParagraph"/>
      </w:pPr>
      <w:r w:rsidRPr="00BA523C">
        <w:lastRenderedPageBreak/>
        <w:t xml:space="preserve">ONR’s guidance to its </w:t>
      </w:r>
      <w:r w:rsidRPr="0017761E">
        <w:t>assessors (</w:t>
      </w:r>
      <w:r w:rsidR="006D3033">
        <w:t>refs.</w:t>
      </w:r>
      <w:sdt>
        <w:sdtPr>
          <w:id w:val="-1727987891"/>
          <w:citation/>
        </w:sdtPr>
        <w:sdtEndPr/>
        <w:sdtContent>
          <w:r w:rsidR="006D3033">
            <w:fldChar w:fldCharType="begin"/>
          </w:r>
          <w:r w:rsidR="006D3033">
            <w:instrText xml:space="preserve"> CITATION ONR100 \l 2057 </w:instrText>
          </w:r>
          <w:r w:rsidR="006D3033">
            <w:fldChar w:fldCharType="separate"/>
          </w:r>
          <w:r w:rsidR="00181C9E">
            <w:rPr>
              <w:noProof/>
            </w:rPr>
            <w:t xml:space="preserve"> </w:t>
          </w:r>
          <w:r w:rsidR="00181C9E" w:rsidRPr="00181C9E">
            <w:rPr>
              <w:noProof/>
            </w:rPr>
            <w:t>[9]</w:t>
          </w:r>
          <w:r w:rsidR="006D3033">
            <w:fldChar w:fldCharType="end"/>
          </w:r>
        </w:sdtContent>
      </w:sdt>
      <w:r w:rsidR="006D3033">
        <w:t xml:space="preserve"> and</w:t>
      </w:r>
      <w:sdt>
        <w:sdtPr>
          <w:id w:val="-82757003"/>
          <w:citation/>
        </w:sdtPr>
        <w:sdtEndPr/>
        <w:sdtContent>
          <w:r w:rsidR="006D3033">
            <w:fldChar w:fldCharType="begin"/>
          </w:r>
          <w:r w:rsidR="006D3033">
            <w:instrText xml:space="preserve"> CITATION ONR442 \l 2057 </w:instrText>
          </w:r>
          <w:r w:rsidR="006D3033">
            <w:fldChar w:fldCharType="separate"/>
          </w:r>
          <w:r w:rsidR="00181C9E">
            <w:rPr>
              <w:noProof/>
            </w:rPr>
            <w:t xml:space="preserve"> </w:t>
          </w:r>
          <w:r w:rsidR="00181C9E" w:rsidRPr="00181C9E">
            <w:rPr>
              <w:noProof/>
            </w:rPr>
            <w:t>[11]</w:t>
          </w:r>
          <w:r w:rsidR="006D3033">
            <w:fldChar w:fldCharType="end"/>
          </w:r>
        </w:sdtContent>
      </w:sdt>
      <w:r w:rsidRPr="0017761E">
        <w:t>) sets out its expectations for safety and security cases but makes clear that, consistent</w:t>
      </w:r>
      <w:r w:rsidRPr="00BA523C">
        <w:t xml:space="preserve"> with its goal-setting approach, ONR would be flexible regarding the </w:t>
      </w:r>
      <w:r>
        <w:t>structure</w:t>
      </w:r>
      <w:r w:rsidRPr="00BA523C">
        <w:t xml:space="preserve"> of the safety </w:t>
      </w:r>
      <w:r>
        <w:t xml:space="preserve">or security </w:t>
      </w:r>
      <w:r w:rsidRPr="00BA523C">
        <w:t xml:space="preserve">case provided for regulatory assessment. Nevertheless, the guide emphasises the need for the case to be intelligible, with a clear trail from claims, through the arguments, to the evidence that fully supports the conclusions. This ‘golden thread’, linking the claims with the supporting evidence, is a vital part of </w:t>
      </w:r>
      <w:r>
        <w:t>an adequate</w:t>
      </w:r>
      <w:r w:rsidRPr="00BA523C">
        <w:t xml:space="preserve"> safety </w:t>
      </w:r>
      <w:r>
        <w:t xml:space="preserve">or security </w:t>
      </w:r>
      <w:r w:rsidRPr="00BA523C">
        <w:t xml:space="preserve">case and will be important for successful completion of a GDA, and </w:t>
      </w:r>
      <w:r>
        <w:t>for future use of the generic safety and security cases</w:t>
      </w:r>
      <w:r w:rsidRPr="00BA523C">
        <w:t>.</w:t>
      </w:r>
      <w:r w:rsidRPr="00FC582B">
        <w:t xml:space="preserve"> Further information on this topic can be found in </w:t>
      </w:r>
      <w:r w:rsidR="006D3033">
        <w:t xml:space="preserve">ref. </w:t>
      </w:r>
      <w:sdt>
        <w:sdtPr>
          <w:id w:val="1636290227"/>
          <w:citation/>
        </w:sdtPr>
        <w:sdtEndPr/>
        <w:sdtContent>
          <w:r w:rsidR="006D3033">
            <w:fldChar w:fldCharType="begin"/>
          </w:r>
          <w:r w:rsidR="006D3033">
            <w:instrText xml:space="preserve"> CITATION ONR1910 \l 2057 </w:instrText>
          </w:r>
          <w:r w:rsidR="006D3033">
            <w:fldChar w:fldCharType="separate"/>
          </w:r>
          <w:r w:rsidR="00181C9E" w:rsidRPr="00181C9E">
            <w:rPr>
              <w:noProof/>
            </w:rPr>
            <w:t>[4]</w:t>
          </w:r>
          <w:r w:rsidR="006D3033">
            <w:fldChar w:fldCharType="end"/>
          </w:r>
        </w:sdtContent>
      </w:sdt>
      <w:r w:rsidRPr="00FC582B">
        <w:t>.</w:t>
      </w:r>
    </w:p>
    <w:p w14:paraId="311514C9" w14:textId="77777777" w:rsidR="00A96D60" w:rsidRDefault="00A96D60" w:rsidP="007A54B0">
      <w:pPr>
        <w:pStyle w:val="ListParagraph"/>
      </w:pPr>
      <w:r>
        <w:t>It is also important that the RP gives consideration to how the generic safety and security cases produced during GDA would evolve and expand to form the foundation for future site-specific cases produced by a licensee. ONR will assess during GDA how the arrangements put in place by the RP can allow this to be achieved.</w:t>
      </w:r>
    </w:p>
    <w:p w14:paraId="10CB3A2A" w14:textId="1253E561" w:rsidR="00A96D60" w:rsidRDefault="00A96D60" w:rsidP="007A54B0">
      <w:pPr>
        <w:pStyle w:val="ListParagraph"/>
      </w:pPr>
      <w:r>
        <w:t xml:space="preserve">Inevitably the safety and security cases for a new NPP will be large and complex. In such instances, ONR considers it beneficial to include a top tier summary document, sometimes known as a ‘Head Document’. </w:t>
      </w:r>
      <w:r w:rsidR="006D3033">
        <w:br/>
      </w:r>
      <w:r>
        <w:t>This approach can significantly improve the usability and accessibility, and in particular highlight the key aspects of safety and security to the users and decision makers</w:t>
      </w:r>
      <w:r w:rsidR="006D3033">
        <w:t xml:space="preserve"> (f</w:t>
      </w:r>
      <w:r>
        <w:t xml:space="preserve">urther </w:t>
      </w:r>
      <w:r w:rsidRPr="0017761E">
        <w:t xml:space="preserve">details are given in </w:t>
      </w:r>
      <w:r w:rsidR="006D3033">
        <w:t xml:space="preserve">ref. </w:t>
      </w:r>
      <w:sdt>
        <w:sdtPr>
          <w:id w:val="-1574883567"/>
          <w:citation/>
        </w:sdtPr>
        <w:sdtEndPr/>
        <w:sdtContent>
          <w:r w:rsidR="006D3033">
            <w:fldChar w:fldCharType="begin"/>
          </w:r>
          <w:r w:rsidR="006D3033">
            <w:instrText xml:space="preserve"> CITATION ONR1910 \l 2057 </w:instrText>
          </w:r>
          <w:r w:rsidR="006D3033">
            <w:fldChar w:fldCharType="separate"/>
          </w:r>
          <w:r w:rsidR="00181C9E" w:rsidRPr="00181C9E">
            <w:rPr>
              <w:noProof/>
            </w:rPr>
            <w:t>[4]</w:t>
          </w:r>
          <w:r w:rsidR="006D3033">
            <w:fldChar w:fldCharType="end"/>
          </w:r>
        </w:sdtContent>
      </w:sdt>
      <w:r w:rsidR="006D3033">
        <w:t>)</w:t>
      </w:r>
      <w:r w:rsidRPr="0017761E">
        <w:t>.</w:t>
      </w:r>
      <w:r>
        <w:t xml:space="preserve"> This summary should be meaningful if read in isolation, as well as providing the main entry point and clear links to the safety and security case documentation as a whole. </w:t>
      </w:r>
    </w:p>
    <w:p w14:paraId="5F831A3F" w14:textId="77777777" w:rsidR="00A96D60" w:rsidRPr="00BA523C" w:rsidRDefault="00A96D60" w:rsidP="007A54B0">
      <w:pPr>
        <w:pStyle w:val="ListParagraph"/>
      </w:pPr>
      <w:r>
        <w:t>During Step 1, ONR will engage with the RP to understand i</w:t>
      </w:r>
      <w:r w:rsidRPr="006961EC">
        <w:t>ts strat</w:t>
      </w:r>
      <w:r>
        <w:t xml:space="preserve">egy for safety and security case development. This will allow regulatory input </w:t>
      </w:r>
      <w:r w:rsidRPr="006961EC">
        <w:t>as early as possible</w:t>
      </w:r>
      <w:r>
        <w:t xml:space="preserve">, such </w:t>
      </w:r>
      <w:r w:rsidRPr="006961EC">
        <w:t xml:space="preserve">that ONR has a clear understanding of what is proposed and can provide appropriate feedback.    </w:t>
      </w:r>
    </w:p>
    <w:p w14:paraId="4392DD8B" w14:textId="3854F486" w:rsidR="00A96D60" w:rsidRPr="001C0825" w:rsidRDefault="007A54B0" w:rsidP="007A54B0">
      <w:pPr>
        <w:pStyle w:val="Heading3"/>
      </w:pPr>
      <w:bookmarkStart w:id="26" w:name="_Ref173231015"/>
      <w:r>
        <w:t>Capturing assumptions, commitments and requirements from the safety and security cases</w:t>
      </w:r>
      <w:bookmarkEnd w:id="26"/>
    </w:p>
    <w:p w14:paraId="744A0498" w14:textId="77777777" w:rsidR="00A96D60" w:rsidRDefault="00A96D60" w:rsidP="007A54B0">
      <w:pPr>
        <w:pStyle w:val="ListParagraph"/>
      </w:pPr>
      <w:r>
        <w:t xml:space="preserve">The safety and security cases will contain numerous assumptions, commitments and requirements upon which the demonstration of safety and security is based. These will relate to matters such as operating rules, maintenance requirements, emergency arrangements and commissioning or construction requirements. The RP will need to capture these on an on-going basis throughout GDA as the safety and security cases develop, such that they can be applied consistently across the documents but also as part of a demonstration that </w:t>
      </w:r>
      <w:r w:rsidRPr="00B924D1">
        <w:t xml:space="preserve">the safety </w:t>
      </w:r>
      <w:r>
        <w:t xml:space="preserve">and security </w:t>
      </w:r>
      <w:r w:rsidRPr="00B924D1">
        <w:t>case</w:t>
      </w:r>
      <w:r>
        <w:t>s</w:t>
      </w:r>
      <w:r w:rsidRPr="00B924D1">
        <w:t xml:space="preserve"> will be suitable for implementation as part of an operating regime</w:t>
      </w:r>
      <w:r>
        <w:t>. This includes the ability to transfer knowledge and these</w:t>
      </w:r>
      <w:r w:rsidRPr="00B924D1">
        <w:t xml:space="preserve"> </w:t>
      </w:r>
      <w:r>
        <w:t xml:space="preserve">arrangements </w:t>
      </w:r>
      <w:r w:rsidRPr="00B924D1">
        <w:t>to the future licensee</w:t>
      </w:r>
      <w:r>
        <w:t xml:space="preserve"> so they can be put into practice</w:t>
      </w:r>
      <w:r w:rsidRPr="00B924D1">
        <w:t>.</w:t>
      </w:r>
      <w:r>
        <w:t xml:space="preserve"> </w:t>
      </w:r>
    </w:p>
    <w:p w14:paraId="569F3906" w14:textId="77777777" w:rsidR="00A96D60" w:rsidRDefault="00A96D60" w:rsidP="007A54B0">
      <w:pPr>
        <w:pStyle w:val="ListParagraph"/>
      </w:pPr>
      <w:r>
        <w:lastRenderedPageBreak/>
        <w:t xml:space="preserve">During Step 1, ONR will assess the RP’s arrangements for capturing these safety and security case outputs. During later GDA steps ONR will assess the application of these arrangements. At the end of GDA the RP should consolidate these as part of its submissions which will form the basis for ONR to grant a GDA output. </w:t>
      </w:r>
    </w:p>
    <w:p w14:paraId="71070F3D" w14:textId="77777777" w:rsidR="007A54B0" w:rsidRDefault="007A54B0" w:rsidP="007A54B0">
      <w:pPr>
        <w:pStyle w:val="Heading2"/>
        <w:sectPr w:rsidR="007A54B0" w:rsidSect="00EE06B5">
          <w:pgSz w:w="11906" w:h="16838" w:code="9"/>
          <w:pgMar w:top="1440" w:right="1440" w:bottom="1440" w:left="1440" w:header="431" w:footer="567" w:gutter="0"/>
          <w:cols w:space="708"/>
          <w:docGrid w:linePitch="360"/>
        </w:sectPr>
      </w:pPr>
    </w:p>
    <w:p w14:paraId="355B741F" w14:textId="1A776269" w:rsidR="00A96D60" w:rsidRPr="001C0825" w:rsidRDefault="007A54B0" w:rsidP="007A54B0">
      <w:pPr>
        <w:pStyle w:val="Heading3"/>
      </w:pPr>
      <w:r>
        <w:t>Development of site-specific safety and security cases post-GDA</w:t>
      </w:r>
    </w:p>
    <w:p w14:paraId="1082940B" w14:textId="77777777" w:rsidR="00A96D60" w:rsidRDefault="00A96D60" w:rsidP="007A54B0">
      <w:pPr>
        <w:pStyle w:val="ListParagraph"/>
      </w:pPr>
      <w:r>
        <w:t>The intent for GDA is that it is an enabler to future regulatory activities required to construct and operate a new NPP. The RP will need to provide evidence during Step 3, and to a proportionate extent during Step 2, of how the GDA safety and security cases can be used to produce the site-specific PCSR, necessary for permissioning nuclear safety related construction</w:t>
      </w:r>
      <w:r w:rsidRPr="004F4B81">
        <w:t xml:space="preserve">, </w:t>
      </w:r>
      <w:r w:rsidRPr="0017761E">
        <w:t xml:space="preserve">and </w:t>
      </w:r>
      <w:r>
        <w:t>NSSP</w:t>
      </w:r>
      <w:r w:rsidRPr="0017761E">
        <w:t>, required under NISR</w:t>
      </w:r>
      <w:r w:rsidRPr="004F4B81">
        <w:t>.</w:t>
      </w:r>
      <w:r>
        <w:t xml:space="preserve"> The effective capture of safety and security related assumptions, commitments and requirements identified during the GDA is a vital part of this.</w:t>
      </w:r>
    </w:p>
    <w:p w14:paraId="7C76281C" w14:textId="67E9232E" w:rsidR="00A96D60" w:rsidRPr="001C0825" w:rsidRDefault="007A54B0" w:rsidP="007A54B0">
      <w:pPr>
        <w:pStyle w:val="Heading3"/>
      </w:pPr>
      <w:r>
        <w:t>I</w:t>
      </w:r>
      <w:r w:rsidR="00A96D60" w:rsidRPr="001C0825">
        <w:t xml:space="preserve">nvolvement of future licensees </w:t>
      </w:r>
      <w:r>
        <w:t>or operators</w:t>
      </w:r>
    </w:p>
    <w:p w14:paraId="5BEDAA43" w14:textId="77777777" w:rsidR="00A96D60" w:rsidRDefault="00A96D60" w:rsidP="007A54B0">
      <w:pPr>
        <w:pStyle w:val="ListParagraph"/>
      </w:pPr>
      <w:r>
        <w:t xml:space="preserve">In GB, the licensee has the ultimate responsibility in law for ensuring the safety and security of the plant. Therefore, the safety and security cases produced in GDA must be developed with a potential licensee’s legal duties in mind, rather than as a means to satisfy ONR. By the end of GDA, ONR will expect the generic safety and security cases to be fit for use by a future licensee. In any subsequent site-specific licensing phase, ONR will assess the degree to which the prospective site licensee understands and takes responsibility for the safety and security cases. </w:t>
      </w:r>
    </w:p>
    <w:p w14:paraId="47A9C25A" w14:textId="77777777" w:rsidR="00A96D60" w:rsidRDefault="00A96D60" w:rsidP="007A54B0">
      <w:pPr>
        <w:pStyle w:val="ListParagraph"/>
      </w:pPr>
      <w:r>
        <w:t xml:space="preserve">It is recognised that GDA may take place well before a prospective licensee has finalised its choice of reactor technology, therefore their involvement in GDA cannot be mandatory. Nevertheless, ONR encourages such collaborations during GDA wherever possible as this will be of significant benefit to the licensee in being able to demonstrate, during the nuclear site licencing process: </w:t>
      </w:r>
    </w:p>
    <w:p w14:paraId="5691D3C1" w14:textId="77777777" w:rsidR="00A96D60" w:rsidRDefault="00A96D60" w:rsidP="007A54B0">
      <w:pPr>
        <w:pStyle w:val="Bulletlist1"/>
      </w:pPr>
      <w:r>
        <w:t xml:space="preserve">an understanding of the safety case </w:t>
      </w:r>
    </w:p>
    <w:p w14:paraId="337583E2" w14:textId="77777777" w:rsidR="00A96D60" w:rsidRDefault="00A96D60" w:rsidP="007A54B0">
      <w:pPr>
        <w:pStyle w:val="Bulletlist1"/>
      </w:pPr>
      <w:r>
        <w:t>an understanding of the security case</w:t>
      </w:r>
    </w:p>
    <w:p w14:paraId="3E5136BD" w14:textId="77777777" w:rsidR="00A96D60" w:rsidRDefault="00A96D60" w:rsidP="007A54B0">
      <w:pPr>
        <w:pStyle w:val="Bulletlist1"/>
      </w:pPr>
      <w:r>
        <w:t>knowledge of the plant’s hazards and how to control them</w:t>
      </w:r>
    </w:p>
    <w:p w14:paraId="4CADCEFF" w14:textId="77777777" w:rsidR="00A96D60" w:rsidRDefault="00A96D60" w:rsidP="007A54B0">
      <w:pPr>
        <w:pStyle w:val="Bulletlist1"/>
      </w:pPr>
      <w:r>
        <w:t>that it can be an intelligent customer for any work it commissions externally</w:t>
      </w:r>
    </w:p>
    <w:p w14:paraId="42EADA6A" w14:textId="77777777" w:rsidR="00A96D60" w:rsidRDefault="00A96D60" w:rsidP="007A54B0">
      <w:pPr>
        <w:pStyle w:val="Bulletlist1"/>
      </w:pPr>
      <w:r>
        <w:t>that it understands the nuclear regulatory framework of GB</w:t>
      </w:r>
    </w:p>
    <w:p w14:paraId="75F77DB7" w14:textId="77777777" w:rsidR="007A54B0" w:rsidRDefault="007A54B0" w:rsidP="007A54B0">
      <w:pPr>
        <w:pStyle w:val="ListParagraph"/>
        <w:sectPr w:rsidR="007A54B0" w:rsidSect="00EE06B5">
          <w:type w:val="continuous"/>
          <w:pgSz w:w="11906" w:h="16838" w:code="9"/>
          <w:pgMar w:top="1440" w:right="1440" w:bottom="1440" w:left="1440" w:header="431" w:footer="567" w:gutter="0"/>
          <w:cols w:space="708"/>
          <w:docGrid w:linePitch="360"/>
        </w:sectPr>
      </w:pPr>
    </w:p>
    <w:p w14:paraId="4EE64B1F" w14:textId="77777777" w:rsidR="00EE06B5" w:rsidRDefault="00EE06B5" w:rsidP="007A54B0">
      <w:pPr>
        <w:pStyle w:val="ListParagraph"/>
        <w:sectPr w:rsidR="00EE06B5" w:rsidSect="00EE06B5">
          <w:type w:val="continuous"/>
          <w:pgSz w:w="11906" w:h="16838" w:code="9"/>
          <w:pgMar w:top="1440" w:right="1440" w:bottom="1440" w:left="1440" w:header="431" w:footer="567" w:gutter="0"/>
          <w:cols w:space="708"/>
          <w:docGrid w:linePitch="360"/>
        </w:sectPr>
      </w:pPr>
    </w:p>
    <w:p w14:paraId="46C9DCD0" w14:textId="77777777" w:rsidR="00A96D60" w:rsidRDefault="00A96D60" w:rsidP="007A54B0">
      <w:pPr>
        <w:pStyle w:val="ListParagraph"/>
      </w:pPr>
      <w:r>
        <w:lastRenderedPageBreak/>
        <w:t xml:space="preserve">In addition, ONR considers that there are benefits in the involvement of plant operators during GDA. This is particularly useful in helping to ensure that the proposed design, commitments or assumptions or any design changes that are considered necessary during GDA, not only satisfy GB regulatory expectations, but can be considered practicable and cost effective from an operational perspective. Plant operators can also provide an input into whether the design is financeable, constructible, and maintainable and provides the operational flexibility they would be looking for from the facility. A prospective operator may also be able to offer operational insights to the RP. The RP should consider how such input can be provided to further reduce regulatory uncertainty and project risk. </w:t>
      </w:r>
    </w:p>
    <w:p w14:paraId="4928FC44" w14:textId="252D0F62" w:rsidR="00A96D60" w:rsidRDefault="007A54B0" w:rsidP="007A54B0">
      <w:pPr>
        <w:pStyle w:val="Heading2"/>
      </w:pPr>
      <w:bookmarkStart w:id="27" w:name="_Ref173230826"/>
      <w:r>
        <w:t>Control of the safety and security case information</w:t>
      </w:r>
      <w:bookmarkEnd w:id="27"/>
    </w:p>
    <w:p w14:paraId="44629B56" w14:textId="5E8026B6" w:rsidR="00A96D60" w:rsidRPr="001C0825" w:rsidRDefault="00A96D60" w:rsidP="007A54B0">
      <w:pPr>
        <w:pStyle w:val="ListParagraph"/>
      </w:pPr>
      <w:r>
        <w:t xml:space="preserve">Given the breadth and depth of information exchanged between the RP and ONR within a GDA, it is vital that the RP implements suitable control arrangements. This is important for enabling ONR’s assessment and also before a GDA output is provided. The </w:t>
      </w:r>
      <w:r w:rsidRPr="00FB6604">
        <w:t>documents</w:t>
      </w:r>
      <w:r>
        <w:t xml:space="preserve"> produced as part of these control arrangements, as described below, will be key references to any GDA output provided (</w:t>
      </w:r>
      <w:r w:rsidR="006D3033">
        <w:t xml:space="preserve">i.e., </w:t>
      </w:r>
      <w:r>
        <w:t xml:space="preserve">GDA statement, </w:t>
      </w:r>
      <w:proofErr w:type="spellStart"/>
      <w:r>
        <w:t>iDAC</w:t>
      </w:r>
      <w:proofErr w:type="spellEnd"/>
      <w:r>
        <w:t xml:space="preserve"> or DAC). </w:t>
      </w:r>
    </w:p>
    <w:p w14:paraId="33096D84" w14:textId="63B2063E" w:rsidR="007A54B0" w:rsidRPr="007A54B0" w:rsidRDefault="00A96D60" w:rsidP="007A54B0">
      <w:pPr>
        <w:pStyle w:val="Heading3"/>
      </w:pPr>
      <w:r w:rsidRPr="001C0825">
        <w:t xml:space="preserve">GDA </w:t>
      </w:r>
      <w:r w:rsidR="007A54B0">
        <w:t>D</w:t>
      </w:r>
      <w:r w:rsidRPr="001C0825">
        <w:t xml:space="preserve">esign </w:t>
      </w:r>
      <w:r w:rsidR="007A54B0">
        <w:t>R</w:t>
      </w:r>
      <w:r w:rsidRPr="001C0825">
        <w:t xml:space="preserve">eference and </w:t>
      </w:r>
      <w:r w:rsidR="007A54B0">
        <w:t>D</w:t>
      </w:r>
      <w:r w:rsidRPr="001C0825">
        <w:t>esign Reference Point</w:t>
      </w:r>
    </w:p>
    <w:p w14:paraId="6AB0D803" w14:textId="77777777" w:rsidR="00A96D60" w:rsidRDefault="00A96D60" w:rsidP="007A54B0">
      <w:pPr>
        <w:pStyle w:val="ListParagraph"/>
      </w:pPr>
      <w:r>
        <w:t xml:space="preserve">The RP is required to submit a Design Reference (DR) which lists all the documents that define the design of the NPP that the GDA submissions refer to. ONR will expect this to be ‘frozen’ at a specific date known as the Design Reference Point (DRP). ONR will agree the DR arrangements during Step 1, and first DRP during Step 2, with the RP. </w:t>
      </w:r>
    </w:p>
    <w:p w14:paraId="1D5BD14B" w14:textId="77777777" w:rsidR="00A96D60" w:rsidRDefault="00A96D60" w:rsidP="007A54B0">
      <w:pPr>
        <w:pStyle w:val="ListParagraph"/>
      </w:pPr>
      <w:r>
        <w:t>The generic safety and security cases must align exactly with the plant described in the DR. The DR will be an important reference to any GDA output provided.</w:t>
      </w:r>
    </w:p>
    <w:p w14:paraId="6678FACB" w14:textId="55D0FBD6" w:rsidR="00A96D60" w:rsidRPr="001C0825" w:rsidRDefault="007A54B0" w:rsidP="007A54B0">
      <w:pPr>
        <w:pStyle w:val="Heading3"/>
      </w:pPr>
      <w:r>
        <w:t xml:space="preserve">DR </w:t>
      </w:r>
      <w:r w:rsidR="00A96D60" w:rsidRPr="001C0825">
        <w:t>change control</w:t>
      </w:r>
    </w:p>
    <w:p w14:paraId="4A3A21B3" w14:textId="77777777" w:rsidR="00A96D60" w:rsidRDefault="00A96D60" w:rsidP="007A54B0">
      <w:pPr>
        <w:pStyle w:val="ListParagraph"/>
      </w:pPr>
      <w:r>
        <w:t xml:space="preserve">As part of its normal design development process, the RP may wish to make changes to the generic design after the DRP has been agreed. Changes to the design may also be necessary to respond to ONR’s regulatory questions. However, ONR would expect any changes to the DRP to be minimised as far as practicable, unless necessary for safety or security purposes. It is therefore important that DR change control arrangements are implemented by the RP. </w:t>
      </w:r>
    </w:p>
    <w:p w14:paraId="332BB5B5" w14:textId="6115CE41" w:rsidR="00A96D60" w:rsidRDefault="00A96D60" w:rsidP="007A54B0">
      <w:pPr>
        <w:pStyle w:val="ListParagraph"/>
      </w:pPr>
      <w:r>
        <w:t xml:space="preserve">The details of </w:t>
      </w:r>
      <w:r w:rsidRPr="0017761E">
        <w:t xml:space="preserve">the DR change control arrangements </w:t>
      </w:r>
      <w:r>
        <w:t>should be proposed by</w:t>
      </w:r>
      <w:r w:rsidRPr="0017761E">
        <w:t xml:space="preserve"> the RP</w:t>
      </w:r>
      <w:r>
        <w:t xml:space="preserve"> for ONR’s agreement </w:t>
      </w:r>
      <w:r w:rsidRPr="0017761E">
        <w:t xml:space="preserve">during Step 1. </w:t>
      </w:r>
      <w:r>
        <w:t xml:space="preserve">The </w:t>
      </w:r>
      <w:r w:rsidRPr="0017761E">
        <w:t>expect</w:t>
      </w:r>
      <w:r>
        <w:t>ation is that</w:t>
      </w:r>
      <w:r w:rsidRPr="0017761E">
        <w:t xml:space="preserve"> this</w:t>
      </w:r>
      <w:r>
        <w:t xml:space="preserve"> will </w:t>
      </w:r>
      <w:r w:rsidRPr="0017761E">
        <w:t>be a robust system similar to those implemented by licensees</w:t>
      </w:r>
      <w:r>
        <w:t xml:space="preserve"> to satisfy nuclear site Licence Condition 20 (modification to design of plant under construction</w:t>
      </w:r>
      <w:r w:rsidRPr="0017761E">
        <w:t xml:space="preserve">) </w:t>
      </w:r>
      <w:sdt>
        <w:sdtPr>
          <w:id w:val="-376704611"/>
          <w:citation/>
        </w:sdtPr>
        <w:sdtEndPr/>
        <w:sdtContent>
          <w:r w:rsidR="006D3033">
            <w:fldChar w:fldCharType="begin"/>
          </w:r>
          <w:r w:rsidR="006D3033">
            <w:instrText xml:space="preserve"> CITATION ONR46 \l 2057 </w:instrText>
          </w:r>
          <w:r w:rsidR="006D3033">
            <w:fldChar w:fldCharType="separate"/>
          </w:r>
          <w:r w:rsidR="00181C9E" w:rsidRPr="00181C9E">
            <w:rPr>
              <w:noProof/>
            </w:rPr>
            <w:t>[12]</w:t>
          </w:r>
          <w:r w:rsidR="006D3033">
            <w:fldChar w:fldCharType="end"/>
          </w:r>
        </w:sdtContent>
      </w:sdt>
      <w:r w:rsidRPr="0017761E">
        <w:t>, and</w:t>
      </w:r>
      <w:r>
        <w:t xml:space="preserve"> include:</w:t>
      </w:r>
    </w:p>
    <w:p w14:paraId="2EE6A6E3" w14:textId="77777777" w:rsidR="00A96D60" w:rsidRDefault="00A96D60" w:rsidP="007A54B0">
      <w:pPr>
        <w:pStyle w:val="Bulletlist1"/>
      </w:pPr>
      <w:r>
        <w:lastRenderedPageBreak/>
        <w:t xml:space="preserve">a categorisation process reflecting the potential safety and security impact of the change </w:t>
      </w:r>
    </w:p>
    <w:p w14:paraId="619D2CE7" w14:textId="77777777" w:rsidR="00A96D60" w:rsidRDefault="00A96D60" w:rsidP="007A54B0">
      <w:pPr>
        <w:pStyle w:val="Bulletlist1"/>
      </w:pPr>
      <w:r>
        <w:t xml:space="preserve">change control committees to oversee the categorisation of the proposed changes and the overall running of the process </w:t>
      </w:r>
    </w:p>
    <w:p w14:paraId="65D07CF9" w14:textId="77777777" w:rsidR="00A96D60" w:rsidRDefault="00A96D60" w:rsidP="007A54B0">
      <w:pPr>
        <w:pStyle w:val="Bulletlist1"/>
      </w:pPr>
      <w:r>
        <w:t>a method for alerting ONR to the more significant changes to the safety or security case</w:t>
      </w:r>
    </w:p>
    <w:p w14:paraId="0A573B3F" w14:textId="77777777" w:rsidR="00A96D60" w:rsidRPr="0017761E" w:rsidRDefault="00A96D60" w:rsidP="007A54B0">
      <w:pPr>
        <w:pStyle w:val="ListParagraph"/>
      </w:pPr>
      <w:r>
        <w:t xml:space="preserve">ONR will inspect the applications of these arrangements </w:t>
      </w:r>
      <w:r w:rsidRPr="0017761E">
        <w:t>during Step</w:t>
      </w:r>
      <w:r>
        <w:t>s</w:t>
      </w:r>
      <w:r w:rsidRPr="0017761E">
        <w:t xml:space="preserve"> 2</w:t>
      </w:r>
      <w:r>
        <w:t xml:space="preserve"> and 3</w:t>
      </w:r>
      <w:r w:rsidRPr="0017761E">
        <w:t xml:space="preserve">. </w:t>
      </w:r>
    </w:p>
    <w:p w14:paraId="4F888ABF" w14:textId="77777777" w:rsidR="00A96D60" w:rsidRDefault="00A96D60" w:rsidP="007A54B0">
      <w:pPr>
        <w:pStyle w:val="ListParagraph"/>
      </w:pPr>
      <w:r w:rsidRPr="0017761E">
        <w:t>Significant design changes proposed at a later stage in GDA may pose a threat to the delivery of a timely and meaningful ONR assessment. ONR will therefore need to agree whether such design change proposals can be accepted within the GDA</w:t>
      </w:r>
      <w:r>
        <w:t xml:space="preserve"> scope. Any such agreed design changes should be consolidated into the DR and an updated DRP agreed with ONR.</w:t>
      </w:r>
    </w:p>
    <w:p w14:paraId="443F9754" w14:textId="4C3470D0" w:rsidR="00A96D60" w:rsidRPr="001C0825" w:rsidRDefault="00A96D60" w:rsidP="007A54B0">
      <w:pPr>
        <w:pStyle w:val="Heading3"/>
      </w:pPr>
      <w:r w:rsidRPr="001C0825">
        <w:t xml:space="preserve">Master </w:t>
      </w:r>
      <w:r w:rsidR="007A54B0">
        <w:t>D</w:t>
      </w:r>
      <w:r w:rsidRPr="001C0825">
        <w:t xml:space="preserve">ocument </w:t>
      </w:r>
      <w:r w:rsidR="007A54B0">
        <w:t>S</w:t>
      </w:r>
      <w:r w:rsidRPr="001C0825">
        <w:t xml:space="preserve">ubmission </w:t>
      </w:r>
      <w:r w:rsidR="007A54B0">
        <w:t>L</w:t>
      </w:r>
      <w:r w:rsidRPr="001C0825">
        <w:t>ist</w:t>
      </w:r>
    </w:p>
    <w:p w14:paraId="569D5877" w14:textId="77777777" w:rsidR="00A96D60" w:rsidRDefault="00A96D60" w:rsidP="007A54B0">
      <w:pPr>
        <w:pStyle w:val="ListParagraph"/>
      </w:pPr>
      <w:r>
        <w:t xml:space="preserve">As GDA progresses, ONR will request submission of a sample from the generic safety and security cases so that more detailed information can be assessed. There will also be developments in the safety case, design modifications, and responses to ONR questions that all need to be included within the totality of GDA submissions. </w:t>
      </w:r>
    </w:p>
    <w:p w14:paraId="6D57BD19" w14:textId="77777777" w:rsidR="00A96D60" w:rsidRPr="0017761E" w:rsidRDefault="00A96D60" w:rsidP="007A54B0">
      <w:pPr>
        <w:pStyle w:val="ListParagraph"/>
      </w:pPr>
      <w:r>
        <w:t xml:space="preserve">Consequently, the RP will be required to put in place management arrangements to keep track of the documents submitted, of subsequent changes to these documents, and of documents withdrawn. Key to these arrangements is a Master Document Submission List (MDSL), which is a living document that allows ONR to understand and reference precisely what </w:t>
      </w:r>
      <w:r w:rsidRPr="0017761E">
        <w:t>constitutes the latest versions of the GDA submissions.</w:t>
      </w:r>
    </w:p>
    <w:p w14:paraId="59FE4930" w14:textId="77777777" w:rsidR="00A96D60" w:rsidRDefault="00A96D60" w:rsidP="007A54B0">
      <w:pPr>
        <w:pStyle w:val="ListParagraph"/>
      </w:pPr>
      <w:r w:rsidRPr="0017761E">
        <w:t>ONR will inspect these arrangement</w:t>
      </w:r>
      <w:r>
        <w:t>s</w:t>
      </w:r>
      <w:r w:rsidRPr="0017761E">
        <w:t xml:space="preserve"> during Step 1 and will expect the first version of the MDSL to be submitted </w:t>
      </w:r>
      <w:r>
        <w:t>as part of</w:t>
      </w:r>
      <w:r w:rsidRPr="0017761E">
        <w:t xml:space="preserve"> the first submission made</w:t>
      </w:r>
      <w:r>
        <w:t xml:space="preserve"> to the regulators. The MDSL should be updated at regular and appropriate intervals throughout GDA and submitted to ONR, which should be captured as part of the RP’s arrangements. </w:t>
      </w:r>
      <w:r w:rsidRPr="00CB38EB">
        <w:t xml:space="preserve">The </w:t>
      </w:r>
      <w:r>
        <w:t>MDSL</w:t>
      </w:r>
      <w:r w:rsidRPr="00CB38EB">
        <w:t xml:space="preserve"> will be an important reference to a</w:t>
      </w:r>
      <w:r>
        <w:t>ny</w:t>
      </w:r>
      <w:r w:rsidRPr="00CB38EB">
        <w:t xml:space="preserve"> GDA output</w:t>
      </w:r>
      <w:r>
        <w:t xml:space="preserve"> provided</w:t>
      </w:r>
      <w:r w:rsidRPr="00CB38EB">
        <w:t>.</w:t>
      </w:r>
    </w:p>
    <w:p w14:paraId="0B4A9FDD" w14:textId="2007B2D8" w:rsidR="00A96D60" w:rsidRPr="001C0825" w:rsidRDefault="007A54B0" w:rsidP="007A54B0">
      <w:pPr>
        <w:pStyle w:val="Heading3"/>
      </w:pPr>
      <w:r>
        <w:t>Submission</w:t>
      </w:r>
      <w:r w:rsidR="00A96D60" w:rsidRPr="001C0825">
        <w:t xml:space="preserve"> cut-off dates and consolidation </w:t>
      </w:r>
    </w:p>
    <w:p w14:paraId="48E3AA91" w14:textId="77777777" w:rsidR="00A96D60" w:rsidRDefault="00A96D60" w:rsidP="007A54B0">
      <w:pPr>
        <w:pStyle w:val="ListParagraph"/>
      </w:pPr>
      <w:r>
        <w:t>It is important that ONR’s assessment is based on an agreed set of documentation during each GDA step. To be able to assess new information there needs to be an agreed cut-off date for submission of new information within that step. A cut-off date will be agreed between ONR and the RP for each step, which will also include the responses to any regulatory questions.</w:t>
      </w:r>
    </w:p>
    <w:p w14:paraId="6264D0EC" w14:textId="77777777" w:rsidR="007A54B0" w:rsidRDefault="007A54B0" w:rsidP="007A54B0">
      <w:pPr>
        <w:pStyle w:val="ListParagraph"/>
        <w:numPr>
          <w:ilvl w:val="0"/>
          <w:numId w:val="0"/>
        </w:numPr>
        <w:ind w:left="851"/>
        <w:sectPr w:rsidR="007A54B0" w:rsidSect="00EE06B5">
          <w:pgSz w:w="11906" w:h="16838" w:code="9"/>
          <w:pgMar w:top="1440" w:right="1440" w:bottom="1440" w:left="1440" w:header="431" w:footer="567" w:gutter="0"/>
          <w:cols w:space="708"/>
          <w:docGrid w:linePitch="360"/>
        </w:sectPr>
      </w:pPr>
    </w:p>
    <w:p w14:paraId="611348E0" w14:textId="77777777" w:rsidR="00A96D60" w:rsidRDefault="00A96D60" w:rsidP="007A54B0">
      <w:pPr>
        <w:pStyle w:val="ListParagraph"/>
      </w:pPr>
      <w:r>
        <w:lastRenderedPageBreak/>
        <w:t xml:space="preserve">In addition, towards the end of GDA and prior to any output being provided by ONR, there will be a need for the RP to consolidate the DR and generic safety and security cases in a consistent manner. ONR will refer to the consolidated safety and security cases, the DR and MDSL in the issue of any GDA statement, </w:t>
      </w:r>
      <w:proofErr w:type="spellStart"/>
      <w:r>
        <w:t>iDAC</w:t>
      </w:r>
      <w:proofErr w:type="spellEnd"/>
      <w:r>
        <w:t xml:space="preserve"> or DAC. This consolidation will need to take into account: </w:t>
      </w:r>
    </w:p>
    <w:p w14:paraId="3BDFAF2A" w14:textId="063F9945" w:rsidR="00A96D60" w:rsidRDefault="00A96D60" w:rsidP="007A54B0">
      <w:pPr>
        <w:pStyle w:val="Bulletlist1"/>
      </w:pPr>
      <w:r>
        <w:t>all the additional information that has been provided in response to ONR regulatory questions</w:t>
      </w:r>
      <w:r w:rsidR="007A54B0">
        <w:t>.</w:t>
      </w:r>
      <w:r>
        <w:t xml:space="preserve"> </w:t>
      </w:r>
    </w:p>
    <w:p w14:paraId="0F4FA66B" w14:textId="50E7B01A" w:rsidR="00A96D60" w:rsidRDefault="00A96D60" w:rsidP="007A54B0">
      <w:pPr>
        <w:pStyle w:val="Bulletlist1"/>
      </w:pPr>
      <w:r>
        <w:t>any design (and safety or security case) changes that ONR has agreed can be included in the GDA scope</w:t>
      </w:r>
      <w:r w:rsidR="007A54B0">
        <w:t>.</w:t>
      </w:r>
    </w:p>
    <w:p w14:paraId="7DB00745" w14:textId="635BAC96" w:rsidR="00A96D60" w:rsidRDefault="00A96D60" w:rsidP="007A54B0">
      <w:pPr>
        <w:pStyle w:val="Bulletlist1"/>
      </w:pPr>
      <w:r>
        <w:t>a record of any commitments made by the RP during GDA which have not yet been fully incorporated into the design</w:t>
      </w:r>
      <w:r w:rsidR="007A54B0">
        <w:t>.</w:t>
      </w:r>
    </w:p>
    <w:p w14:paraId="16C6C3E4" w14:textId="77777777" w:rsidR="007A54B0" w:rsidRDefault="007A54B0" w:rsidP="007A54B0">
      <w:pPr>
        <w:pStyle w:val="Bulletlist1"/>
        <w:numPr>
          <w:ilvl w:val="0"/>
          <w:numId w:val="0"/>
        </w:numPr>
        <w:ind w:left="1276" w:hanging="357"/>
        <w:sectPr w:rsidR="007A54B0" w:rsidSect="00EE06B5">
          <w:type w:val="continuous"/>
          <w:pgSz w:w="11906" w:h="16838" w:code="9"/>
          <w:pgMar w:top="1440" w:right="1440" w:bottom="1440" w:left="1440" w:header="397" w:footer="397" w:gutter="0"/>
          <w:cols w:space="312"/>
          <w:docGrid w:linePitch="360"/>
        </w:sectPr>
      </w:pPr>
    </w:p>
    <w:p w14:paraId="73DCC717" w14:textId="77777777" w:rsidR="00EE06B5" w:rsidRDefault="00EE06B5" w:rsidP="007A54B0">
      <w:pPr>
        <w:pStyle w:val="Heading1"/>
        <w:sectPr w:rsidR="00EE06B5" w:rsidSect="00EE06B5">
          <w:type w:val="continuous"/>
          <w:pgSz w:w="11906" w:h="16838" w:code="9"/>
          <w:pgMar w:top="1440" w:right="1440" w:bottom="1440" w:left="1440" w:header="431" w:footer="567" w:gutter="0"/>
          <w:cols w:space="708"/>
          <w:docGrid w:linePitch="360"/>
        </w:sectPr>
      </w:pPr>
      <w:bookmarkStart w:id="28" w:name="_Toc528331658"/>
    </w:p>
    <w:p w14:paraId="6255BEE5" w14:textId="12BD9EDA" w:rsidR="007A54B0" w:rsidRPr="002D2C5D" w:rsidRDefault="007A54B0" w:rsidP="007A54B0">
      <w:pPr>
        <w:pStyle w:val="Heading1"/>
      </w:pPr>
      <w:bookmarkStart w:id="29" w:name="_Toc173242844"/>
      <w:r w:rsidRPr="002D2C5D">
        <w:lastRenderedPageBreak/>
        <w:t xml:space="preserve">ONR </w:t>
      </w:r>
      <w:r>
        <w:t>a</w:t>
      </w:r>
      <w:r w:rsidRPr="002D2C5D">
        <w:t>ssessment</w:t>
      </w:r>
      <w:bookmarkEnd w:id="28"/>
      <w:bookmarkEnd w:id="29"/>
    </w:p>
    <w:p w14:paraId="0E893275" w14:textId="04E9F414" w:rsidR="007A54B0" w:rsidRPr="001C0825" w:rsidRDefault="007A54B0" w:rsidP="007A54B0">
      <w:pPr>
        <w:pStyle w:val="Heading2"/>
      </w:pPr>
      <w:bookmarkStart w:id="30" w:name="_Ref173226654"/>
      <w:r>
        <w:t>Undertaking a m</w:t>
      </w:r>
      <w:r w:rsidRPr="001C0825">
        <w:t>eaningful GDA</w:t>
      </w:r>
      <w:bookmarkEnd w:id="30"/>
      <w:r w:rsidRPr="001C0825">
        <w:t xml:space="preserve"> </w:t>
      </w:r>
    </w:p>
    <w:p w14:paraId="40616F1F" w14:textId="77777777" w:rsidR="007A54B0" w:rsidRDefault="007A54B0" w:rsidP="007A54B0">
      <w:pPr>
        <w:pStyle w:val="ListParagraph"/>
      </w:pPr>
      <w:r>
        <w:t xml:space="preserve">In order to be able to provide a GDA statement, </w:t>
      </w:r>
      <w:proofErr w:type="spellStart"/>
      <w:r>
        <w:t>iDAC</w:t>
      </w:r>
      <w:proofErr w:type="spellEnd"/>
      <w:r>
        <w:t xml:space="preserve"> or DAC, ONR must have completed a ‘meaningful’ assessment. </w:t>
      </w:r>
    </w:p>
    <w:p w14:paraId="74F0D013" w14:textId="46B38669" w:rsidR="007A54B0" w:rsidRDefault="007A54B0" w:rsidP="007A54B0">
      <w:pPr>
        <w:pStyle w:val="ListParagraph"/>
      </w:pPr>
      <w:r>
        <w:t>A meaningful assessment will be one where ONR has, in line with the agreed GDA scope, delivered on the objective for GDA (</w:t>
      </w:r>
      <w:r w:rsidR="006D3033">
        <w:t xml:space="preserve">refer to </w:t>
      </w:r>
      <w:r>
        <w:t>para</w:t>
      </w:r>
      <w:r w:rsidR="006D3033">
        <w:t>graph</w:t>
      </w:r>
      <w:r>
        <w:t xml:space="preserve"> </w:t>
      </w:r>
      <w:r w:rsidR="006D3033">
        <w:fldChar w:fldCharType="begin"/>
      </w:r>
      <w:r w:rsidR="006D3033">
        <w:instrText xml:space="preserve"> REF _Ref173227776 \r \h </w:instrText>
      </w:r>
      <w:r w:rsidR="006D3033">
        <w:fldChar w:fldCharType="separate"/>
      </w:r>
      <w:r w:rsidR="006D3033">
        <w:rPr>
          <w:cs/>
        </w:rPr>
        <w:t>‎</w:t>
      </w:r>
      <w:r w:rsidR="006D3033">
        <w:t>8</w:t>
      </w:r>
      <w:r w:rsidR="006D3033">
        <w:fldChar w:fldCharType="end"/>
      </w:r>
      <w:r>
        <w:t xml:space="preserve">) and has: </w:t>
      </w:r>
    </w:p>
    <w:p w14:paraId="556B649C" w14:textId="77777777" w:rsidR="007A54B0" w:rsidRDefault="007A54B0" w:rsidP="007A54B0">
      <w:pPr>
        <w:pStyle w:val="Bulletlist1"/>
      </w:pPr>
      <w:r>
        <w:t xml:space="preserve">received </w:t>
      </w:r>
      <w:r w:rsidRPr="007A54B0">
        <w:rPr>
          <w:b/>
          <w:bCs/>
        </w:rPr>
        <w:t>sufficient information</w:t>
      </w:r>
      <w:r>
        <w:t xml:space="preserve"> in the generic safety and security cases to allow assessment in all relevant technical assessment topics; and </w:t>
      </w:r>
    </w:p>
    <w:p w14:paraId="13FF8A51" w14:textId="77777777" w:rsidR="007A54B0" w:rsidRDefault="007A54B0" w:rsidP="007A54B0">
      <w:pPr>
        <w:pStyle w:val="Bulletlist1"/>
      </w:pPr>
      <w:r>
        <w:t xml:space="preserve">completed an appropriately </w:t>
      </w:r>
      <w:r w:rsidRPr="007A54B0">
        <w:rPr>
          <w:b/>
          <w:bCs/>
        </w:rPr>
        <w:t>thorough and detailed assessment</w:t>
      </w:r>
      <w:r>
        <w:t xml:space="preserve"> of that information on a sampling basis.</w:t>
      </w:r>
    </w:p>
    <w:p w14:paraId="4D6A1081" w14:textId="77777777" w:rsidR="007A54B0" w:rsidRDefault="007A54B0" w:rsidP="007A54B0">
      <w:pPr>
        <w:pStyle w:val="ListParagraph"/>
      </w:pPr>
      <w:r>
        <w:t>In the above:</w:t>
      </w:r>
    </w:p>
    <w:p w14:paraId="7907FED9" w14:textId="77777777" w:rsidR="007A54B0" w:rsidRDefault="007A54B0" w:rsidP="006D3033">
      <w:pPr>
        <w:pStyle w:val="Bulletlist1"/>
      </w:pPr>
      <w:r w:rsidRPr="007A54B0">
        <w:rPr>
          <w:b/>
          <w:bCs/>
        </w:rPr>
        <w:t>‘Sufficient information’</w:t>
      </w:r>
      <w:r>
        <w:t xml:space="preserve"> will have been received if ONR judges that it has been provided with generic safety and security cases that cover the full breadth and depth necessary for ONR to carry out its intended assessments;</w:t>
      </w:r>
    </w:p>
    <w:p w14:paraId="42C8D0CE" w14:textId="77777777" w:rsidR="007A54B0" w:rsidRDefault="007A54B0" w:rsidP="006D3033">
      <w:pPr>
        <w:pStyle w:val="Bulletlist1"/>
      </w:pPr>
      <w:r w:rsidRPr="007A54B0">
        <w:rPr>
          <w:b/>
          <w:bCs/>
        </w:rPr>
        <w:t>'Thorough and detailed assessment'</w:t>
      </w:r>
      <w:r>
        <w:t xml:space="preserve"> means that ONR has sampled the submitted information and judged it against applicable standards and guidance, including the need to demonstrate that risks are reduced, or are capable of being reduced, to ALARP. </w:t>
      </w:r>
    </w:p>
    <w:p w14:paraId="2CFF3FFC" w14:textId="77777777" w:rsidR="007A54B0" w:rsidRDefault="007A54B0" w:rsidP="007A54B0">
      <w:pPr>
        <w:pStyle w:val="ListParagraph"/>
      </w:pPr>
      <w:r>
        <w:t>ONR will apply the concept of a meaningful assessment throughout the GDA process. This means that:</w:t>
      </w:r>
    </w:p>
    <w:p w14:paraId="57467585" w14:textId="77777777" w:rsidR="007A54B0" w:rsidRDefault="007A54B0" w:rsidP="007A54B0">
      <w:pPr>
        <w:pStyle w:val="Bulletlist1"/>
      </w:pPr>
      <w:r>
        <w:t xml:space="preserve">A key input to the agreement of the GDA scope during Step 1 will be consideration of whether the resulting GDA assessment can be considered meaningful, and therefore warrants the deployment of regulatory resources. </w:t>
      </w:r>
    </w:p>
    <w:p w14:paraId="45175A64" w14:textId="77777777" w:rsidR="007A54B0" w:rsidRDefault="007A54B0" w:rsidP="007A54B0">
      <w:pPr>
        <w:pStyle w:val="Bulletlist1"/>
      </w:pPr>
      <w:r>
        <w:t xml:space="preserve">At any point whilst undertaking a GDA, if ONR considers that the assessment is unlikely to be meaningful then this will need to be resolved through agreement with the RP, which may lead to changes to the GDA scope. </w:t>
      </w:r>
    </w:p>
    <w:p w14:paraId="2BF37776" w14:textId="77777777" w:rsidR="007A54B0" w:rsidRDefault="007A54B0" w:rsidP="007A54B0">
      <w:pPr>
        <w:pStyle w:val="Bulletlist1"/>
      </w:pPr>
      <w:r>
        <w:t xml:space="preserve">An important part of the decision to move between steps will be confirmation that the assessment, both completed to that point and planned during the next step, remains meaningful. </w:t>
      </w:r>
    </w:p>
    <w:p w14:paraId="363AA822" w14:textId="77777777" w:rsidR="007A54B0" w:rsidRDefault="007A54B0" w:rsidP="007A54B0">
      <w:pPr>
        <w:pStyle w:val="Bulletlist1"/>
      </w:pPr>
      <w:r>
        <w:t>In exceptional circumstances, and for limited durations, ONR may agree to extend a step in order to ensure its assessment remains meaningful.</w:t>
      </w:r>
    </w:p>
    <w:p w14:paraId="77CEAD98" w14:textId="77777777" w:rsidR="00EE06B5" w:rsidRDefault="00EE06B5" w:rsidP="007A54B0">
      <w:pPr>
        <w:pStyle w:val="ListParagraph"/>
        <w:sectPr w:rsidR="00EE06B5" w:rsidSect="00EE06B5">
          <w:pgSz w:w="11906" w:h="16838" w:code="9"/>
          <w:pgMar w:top="1440" w:right="1440" w:bottom="1440" w:left="1440" w:header="431" w:footer="567" w:gutter="0"/>
          <w:cols w:space="708"/>
          <w:docGrid w:linePitch="360"/>
        </w:sectPr>
      </w:pPr>
    </w:p>
    <w:p w14:paraId="0350F806" w14:textId="77777777" w:rsidR="007A54B0" w:rsidRDefault="007A54B0" w:rsidP="007A54B0">
      <w:pPr>
        <w:pStyle w:val="ListParagraph"/>
      </w:pPr>
      <w:r>
        <w:lastRenderedPageBreak/>
        <w:t xml:space="preserve">It is vital that the RP provides submissions of high quality, to an agreed schedule. Crucial to the delivery of a meaningful GDA is clarity on what documents constitute the RP’s GDA submissions (as included in the MDSL), and how the information they contain addresses the requirements in this guidance document. </w:t>
      </w:r>
    </w:p>
    <w:p w14:paraId="54479F39" w14:textId="77777777" w:rsidR="007A54B0" w:rsidRDefault="007A54B0" w:rsidP="007A54B0">
      <w:pPr>
        <w:pStyle w:val="ListParagraph"/>
      </w:pPr>
      <w:r>
        <w:t xml:space="preserve">The breadth and depth of ONR’s assessment is unlikely to be the same across all technical assessment topics, as this will depend on the relevance of each topic to the generic safety and security cases and the GDA scope. However, ONR will need to be satisfied that the sampling assessment it has carried out is sufficient to allow a balanced judgement on the overall acceptability of the safety and security of the generic design. </w:t>
      </w:r>
    </w:p>
    <w:p w14:paraId="5AB42B85" w14:textId="418489A4" w:rsidR="007A54B0" w:rsidRDefault="007A54B0" w:rsidP="007A54B0">
      <w:pPr>
        <w:pStyle w:val="ListParagraph"/>
      </w:pPr>
      <w:r>
        <w:t xml:space="preserve">As described </w:t>
      </w:r>
      <w:r w:rsidRPr="0017761E">
        <w:t xml:space="preserve">earlier </w:t>
      </w:r>
      <w:r w:rsidR="006D3033">
        <w:t>in s</w:t>
      </w:r>
      <w:r w:rsidRPr="0017761E">
        <w:t xml:space="preserve">ection </w:t>
      </w:r>
      <w:r w:rsidR="006D3033">
        <w:fldChar w:fldCharType="begin"/>
      </w:r>
      <w:r w:rsidR="006D3033">
        <w:instrText xml:space="preserve"> REF _Ref173225381 \r \h </w:instrText>
      </w:r>
      <w:r w:rsidR="006D3033">
        <w:fldChar w:fldCharType="separate"/>
      </w:r>
      <w:r w:rsidR="006D3033">
        <w:rPr>
          <w:cs/>
        </w:rPr>
        <w:t>‎</w:t>
      </w:r>
      <w:r w:rsidR="006D3033">
        <w:t>2.2</w:t>
      </w:r>
      <w:r w:rsidR="006D3033">
        <w:fldChar w:fldCharType="end"/>
      </w:r>
      <w:r>
        <w:t>,</w:t>
      </w:r>
      <w:r w:rsidRPr="0017761E">
        <w:t xml:space="preserve"> an</w:t>
      </w:r>
      <w:r>
        <w:t xml:space="preserve"> important requirement of Step 1 is to agree the GDA scope. At the more detailed level below this, the scope of what is included within the assessment is dependent on the information supplied by the RP, which in some instances may be constrained by the availability of data before </w:t>
      </w:r>
      <w:r w:rsidRPr="0025194B">
        <w:t xml:space="preserve">the site-specific procurement and construction </w:t>
      </w:r>
      <w:r>
        <w:t xml:space="preserve">phases. The information that is provided still needs to be sufficient to allow ONR to undertake a meaningful assessment of the generic safety and security cases for the design. If ONR considers that the RP’s information is too narrow or excludes essential information, the scope of the GDA submissions will need to be expanded to address such shortfalls. </w:t>
      </w:r>
    </w:p>
    <w:p w14:paraId="4CF667AE" w14:textId="7BC4C5DA" w:rsidR="007A54B0" w:rsidRPr="001C0825" w:rsidRDefault="007A54B0" w:rsidP="007A54B0">
      <w:pPr>
        <w:pStyle w:val="Heading2"/>
      </w:pPr>
      <w:r>
        <w:t>The sampling process</w:t>
      </w:r>
    </w:p>
    <w:p w14:paraId="23F45A4D" w14:textId="77777777" w:rsidR="007A54B0" w:rsidRDefault="007A54B0" w:rsidP="007A54B0">
      <w:pPr>
        <w:pStyle w:val="ListParagraph"/>
      </w:pPr>
      <w:r>
        <w:t xml:space="preserve">In line with ONR’s regulatory assessment </w:t>
      </w:r>
      <w:r w:rsidRPr="0017761E">
        <w:t>approach, and to be able to reach an independent and informed judgement on the adequacy of the safety and security cases, ONR will cho</w:t>
      </w:r>
      <w:r>
        <w:t>o</w:t>
      </w:r>
      <w:r w:rsidRPr="0017761E">
        <w:t xml:space="preserve">se to sample aspects of the RP’s generic safety and security cases. Sampling is </w:t>
      </w:r>
      <w:r>
        <w:t xml:space="preserve">used </w:t>
      </w:r>
      <w:r w:rsidRPr="0008053F">
        <w:t>to improve the overall efficiency of the assessment process</w:t>
      </w:r>
      <w:r>
        <w:t xml:space="preserve"> and to </w:t>
      </w:r>
      <w:r w:rsidRPr="0008053F">
        <w:t xml:space="preserve">reveal </w:t>
      </w:r>
      <w:r>
        <w:t xml:space="preserve">if there are any </w:t>
      </w:r>
      <w:r w:rsidRPr="0008053F">
        <w:t>generic weaknesses in the case as a whole.</w:t>
      </w:r>
    </w:p>
    <w:p w14:paraId="7038F883" w14:textId="77777777" w:rsidR="007A54B0" w:rsidRDefault="007A54B0" w:rsidP="007A54B0">
      <w:pPr>
        <w:pStyle w:val="ListParagraph"/>
      </w:pPr>
      <w:r>
        <w:t xml:space="preserve">The breadth and depth of ONR’s sampling will be informed by the GDA scope, by the findings of its assessment, and will evolve as GDA progresses. In general, ONR would expect to conduct a broad review of the highest level claims and arguments (and associated safety and security case documentation), while undertaking sampling in areas of high significance, </w:t>
      </w:r>
      <w:r w:rsidRPr="0008053F">
        <w:t>since weaknesses in these areas are potentially very serious</w:t>
      </w:r>
      <w:r>
        <w:t>. Some</w:t>
      </w:r>
      <w:r w:rsidRPr="0008053F">
        <w:t xml:space="preserve"> </w:t>
      </w:r>
      <w:r>
        <w:t xml:space="preserve">may also be </w:t>
      </w:r>
      <w:r w:rsidRPr="0008053F">
        <w:t xml:space="preserve">taken from lower significance areas </w:t>
      </w:r>
      <w:r>
        <w:t>or areas where the risks appear least well controlled</w:t>
      </w:r>
      <w:r w:rsidRPr="0008053F">
        <w:t>.</w:t>
      </w:r>
      <w:r>
        <w:t xml:space="preserve"> </w:t>
      </w:r>
    </w:p>
    <w:p w14:paraId="54A2B0CD" w14:textId="14A13AF6" w:rsidR="007A54B0" w:rsidRDefault="007A54B0" w:rsidP="007A54B0">
      <w:pPr>
        <w:pStyle w:val="ListParagraph"/>
      </w:pPr>
      <w:r>
        <w:t xml:space="preserve">ONR will identify to the RP its intentions for the assessment sample. </w:t>
      </w:r>
      <w:r w:rsidR="006D3033">
        <w:br/>
      </w:r>
      <w:r>
        <w:t>This should be used by the RP to prioritise and schedule the agreed submissions for each GDA step, but should not be interpreted as the entirety or focus for what the RP may need to do.</w:t>
      </w:r>
      <w:r w:rsidRPr="000D0AEE">
        <w:t xml:space="preserve"> </w:t>
      </w:r>
    </w:p>
    <w:p w14:paraId="00658204" w14:textId="77777777" w:rsidR="007A54B0" w:rsidRDefault="007A54B0" w:rsidP="007A54B0">
      <w:pPr>
        <w:pStyle w:val="ListParagraph"/>
      </w:pPr>
      <w:r>
        <w:lastRenderedPageBreak/>
        <w:t>The sampling process and the step-wise nature of GDA work together to achieve the gradual reduction of regulatory uncertainty and project risk expected. This is inherent in the GDA process and why ONR focuses on, in broad terms:</w:t>
      </w:r>
    </w:p>
    <w:p w14:paraId="51398940" w14:textId="77777777" w:rsidR="007A54B0" w:rsidRDefault="007A54B0" w:rsidP="007A54B0">
      <w:pPr>
        <w:pStyle w:val="Bulletlist1"/>
      </w:pPr>
      <w:r>
        <w:t>the adequacy of the RP’s arrangement during Step 1, and their application in later steps</w:t>
      </w:r>
    </w:p>
    <w:p w14:paraId="27534621" w14:textId="77777777" w:rsidR="007A54B0" w:rsidRDefault="007A54B0" w:rsidP="007A54B0">
      <w:pPr>
        <w:pStyle w:val="Bulletlist1"/>
      </w:pPr>
      <w:r>
        <w:t xml:space="preserve">the overall design and safety and security claims, as well as the </w:t>
      </w:r>
      <w:r w:rsidRPr="00C422D9">
        <w:t>methodologies, approaches, codes, standards and philosophies</w:t>
      </w:r>
      <w:r>
        <w:t xml:space="preserve"> during Step 2</w:t>
      </w:r>
    </w:p>
    <w:p w14:paraId="40B614BD" w14:textId="77777777" w:rsidR="007A54B0" w:rsidRDefault="007A54B0" w:rsidP="007A54B0">
      <w:pPr>
        <w:pStyle w:val="Bulletlist1"/>
      </w:pPr>
      <w:r>
        <w:t xml:space="preserve">the substantiation and evidence for the application of those </w:t>
      </w:r>
      <w:r w:rsidRPr="00C422D9">
        <w:t>methodologies, approaches, codes, standards and philosophies</w:t>
      </w:r>
      <w:r>
        <w:t xml:space="preserve"> in Step 3, including where ONR may also choose to undertake confirmatory analysis for selected aspects of the safety case</w:t>
      </w:r>
    </w:p>
    <w:p w14:paraId="24466BB5" w14:textId="0EEAB0CB" w:rsidR="007A54B0" w:rsidRPr="001C0825" w:rsidRDefault="007A54B0" w:rsidP="007A54B0">
      <w:pPr>
        <w:pStyle w:val="Heading2"/>
      </w:pPr>
      <w:r>
        <w:t>Nuclear safety assessment</w:t>
      </w:r>
    </w:p>
    <w:p w14:paraId="3C9EB873" w14:textId="6C62BB62" w:rsidR="007A54B0" w:rsidRPr="001C0825" w:rsidRDefault="007A54B0" w:rsidP="007A54B0">
      <w:pPr>
        <w:pStyle w:val="Heading3"/>
      </w:pPr>
      <w:r>
        <w:t>Regulatory framework</w:t>
      </w:r>
    </w:p>
    <w:p w14:paraId="3016E85F" w14:textId="73C970D4" w:rsidR="007A54B0" w:rsidRDefault="007A54B0" w:rsidP="007A54B0">
      <w:pPr>
        <w:pStyle w:val="ListParagraph"/>
      </w:pPr>
      <w:r>
        <w:t xml:space="preserve">The GDA process is undertaken within the existing nuclear safety regulatory </w:t>
      </w:r>
      <w:r w:rsidRPr="0017761E">
        <w:t xml:space="preserve">framework for GB, which is described in </w:t>
      </w:r>
      <w:r>
        <w:t>‘</w:t>
      </w:r>
      <w:r w:rsidRPr="0017761E">
        <w:t>A guide to Nuclear Regulation in the UK</w:t>
      </w:r>
      <w:r>
        <w:t>’</w:t>
      </w:r>
      <w:r w:rsidRPr="0017761E">
        <w:t xml:space="preserve"> </w:t>
      </w:r>
      <w:sdt>
        <w:sdtPr>
          <w:id w:val="-1911679873"/>
          <w:citation/>
        </w:sdtPr>
        <w:sdtEndPr/>
        <w:sdtContent>
          <w:r w:rsidR="006D3033">
            <w:fldChar w:fldCharType="begin"/>
          </w:r>
          <w:r w:rsidR="006D3033">
            <w:instrText xml:space="preserve"> CITATION ONR1610 \l 2057 </w:instrText>
          </w:r>
          <w:r w:rsidR="006D3033">
            <w:fldChar w:fldCharType="separate"/>
          </w:r>
          <w:r w:rsidR="00181C9E" w:rsidRPr="00181C9E">
            <w:rPr>
              <w:noProof/>
            </w:rPr>
            <w:t>[13]</w:t>
          </w:r>
          <w:r w:rsidR="006D3033">
            <w:fldChar w:fldCharType="end"/>
          </w:r>
        </w:sdtContent>
      </w:sdt>
      <w:r w:rsidRPr="0017761E">
        <w:t>. The legal framework is based around the Health and Safety at Work etc. Act 1974</w:t>
      </w:r>
      <w:r>
        <w:t xml:space="preserve"> (HSWA), the Energy Act 2013 and the Nuclear Installations Act 1965 (NIA65). NIA65 sets down the requirement to obtain a nuclear site licence from ONR before installing a nuclear reactor on a site. HSWA places a fundamental responsibility on duty holders to reduce risk to ALARP. </w:t>
      </w:r>
    </w:p>
    <w:p w14:paraId="79DD611F" w14:textId="30DAB868" w:rsidR="007A54B0" w:rsidRPr="0017761E" w:rsidRDefault="007A54B0" w:rsidP="007A54B0">
      <w:pPr>
        <w:pStyle w:val="ListParagraph"/>
      </w:pPr>
      <w:r w:rsidRPr="0017761E">
        <w:t>When assessing GDA submissions</w:t>
      </w:r>
      <w:r>
        <w:t>,</w:t>
      </w:r>
      <w:r w:rsidRPr="0017761E">
        <w:t xml:space="preserve"> ONR will also take into account other </w:t>
      </w:r>
      <w:r>
        <w:t>legislation</w:t>
      </w:r>
      <w:r w:rsidRPr="0017761E">
        <w:t xml:space="preserve"> (as described in </w:t>
      </w:r>
      <w:sdt>
        <w:sdtPr>
          <w:id w:val="-1149126943"/>
          <w:citation/>
        </w:sdtPr>
        <w:sdtEndPr/>
        <w:sdtContent>
          <w:r w:rsidR="006D3033">
            <w:fldChar w:fldCharType="begin"/>
          </w:r>
          <w:r w:rsidR="006D3033">
            <w:instrText xml:space="preserve"> CITATION ONR1610 \l 2057 </w:instrText>
          </w:r>
          <w:r w:rsidR="006D3033">
            <w:fldChar w:fldCharType="separate"/>
          </w:r>
          <w:r w:rsidR="00181C9E" w:rsidRPr="00181C9E">
            <w:rPr>
              <w:noProof/>
            </w:rPr>
            <w:t>[13]</w:t>
          </w:r>
          <w:r w:rsidR="006D3033">
            <w:fldChar w:fldCharType="end"/>
          </w:r>
        </w:sdtContent>
      </w:sdt>
      <w:r w:rsidRPr="0017761E">
        <w:t>) including the Ionising Radiations Regulations 2017.</w:t>
      </w:r>
    </w:p>
    <w:p w14:paraId="3CE3CF95" w14:textId="128ADA4F" w:rsidR="007A54B0" w:rsidRPr="001C0825" w:rsidRDefault="007A54B0" w:rsidP="007A54B0">
      <w:pPr>
        <w:pStyle w:val="Heading3"/>
      </w:pPr>
      <w:r>
        <w:t>Reducing risks to as low as reasonably practicable</w:t>
      </w:r>
      <w:r w:rsidRPr="001C0825">
        <w:t xml:space="preserve"> </w:t>
      </w:r>
    </w:p>
    <w:p w14:paraId="0A9F6192" w14:textId="27AB6660" w:rsidR="007A54B0" w:rsidRPr="0017761E" w:rsidRDefault="007A54B0" w:rsidP="007A54B0">
      <w:pPr>
        <w:pStyle w:val="ListParagraph"/>
      </w:pPr>
      <w:r w:rsidRPr="0017761E">
        <w:t xml:space="preserve">ONR's decision making process is based on </w:t>
      </w:r>
      <w:r w:rsidR="007667A7">
        <w:t>a risk informed approach</w:t>
      </w:r>
      <w:r w:rsidRPr="0017761E">
        <w:t xml:space="preserve">. </w:t>
      </w:r>
      <w:r w:rsidR="007667A7">
        <w:br/>
      </w:r>
      <w:r w:rsidRPr="0017761E">
        <w:t xml:space="preserve">The way in which ONR will assess claims from the RP that they have reduced risks to ALARP is set out in detail in the associated TAG </w:t>
      </w:r>
      <w:sdt>
        <w:sdtPr>
          <w:id w:val="-935975443"/>
          <w:citation/>
        </w:sdtPr>
        <w:sdtEndPr/>
        <w:sdtContent>
          <w:r w:rsidR="006D3033">
            <w:fldChar w:fldCharType="begin"/>
          </w:r>
          <w:r w:rsidR="006D3033">
            <w:instrText xml:space="preserve"> CITATION ONR100 \l 2057 </w:instrText>
          </w:r>
          <w:r w:rsidR="006D3033">
            <w:fldChar w:fldCharType="separate"/>
          </w:r>
          <w:r w:rsidR="00181C9E" w:rsidRPr="00181C9E">
            <w:rPr>
              <w:noProof/>
            </w:rPr>
            <w:t>[9]</w:t>
          </w:r>
          <w:r w:rsidR="006D3033">
            <w:fldChar w:fldCharType="end"/>
          </w:r>
        </w:sdtContent>
      </w:sdt>
      <w:r w:rsidRPr="0017761E">
        <w:t xml:space="preserve">. </w:t>
      </w:r>
      <w:r w:rsidR="007667A7">
        <w:br/>
      </w:r>
      <w:r w:rsidRPr="0017761E">
        <w:t>Note that for ONR's safety assessment purposes the terms ALARP, and the legal term of So Far As Is Reasonably Practicable (SFAIRP)</w:t>
      </w:r>
      <w:r>
        <w:t>,</w:t>
      </w:r>
      <w:r w:rsidRPr="0017761E">
        <w:t xml:space="preserve"> are interchangeable and require the same tests to be applied. </w:t>
      </w:r>
    </w:p>
    <w:p w14:paraId="4EE6A451" w14:textId="77777777" w:rsidR="00EE06B5" w:rsidRDefault="00EE06B5" w:rsidP="007A54B0">
      <w:pPr>
        <w:pStyle w:val="ListParagraph"/>
        <w:sectPr w:rsidR="00EE06B5" w:rsidSect="00EE06B5">
          <w:pgSz w:w="11906" w:h="16838" w:code="9"/>
          <w:pgMar w:top="1440" w:right="1440" w:bottom="1440" w:left="1440" w:header="431" w:footer="567" w:gutter="0"/>
          <w:cols w:space="708"/>
          <w:docGrid w:linePitch="360"/>
        </w:sectPr>
      </w:pPr>
    </w:p>
    <w:p w14:paraId="1F6EDABC" w14:textId="77777777" w:rsidR="007A54B0" w:rsidRDefault="007A54B0" w:rsidP="007A54B0">
      <w:pPr>
        <w:pStyle w:val="ListParagraph"/>
      </w:pPr>
      <w:r>
        <w:lastRenderedPageBreak/>
        <w:t>It is important that the information provided by the RP in the safety case is suitable and sufficient to demonstrate to ONR that risks have been reduced to ALARP. As part of this demonstration, the RP will be required to show that the technical standards it has used result in a design in which risk has been reduced to ALARP. This will need to include consideration of any updates to those technical standards since the original design and safety analysis were completed.</w:t>
      </w:r>
    </w:p>
    <w:p w14:paraId="73E5B188" w14:textId="77777777" w:rsidR="007A54B0" w:rsidRDefault="007A54B0" w:rsidP="007A54B0">
      <w:pPr>
        <w:pStyle w:val="ListParagraph"/>
        <w:sectPr w:rsidR="007A54B0" w:rsidSect="00EE06B5">
          <w:pgSz w:w="11906" w:h="16838" w:code="9"/>
          <w:pgMar w:top="1440" w:right="1440" w:bottom="1440" w:left="1440" w:header="431" w:footer="567" w:gutter="0"/>
          <w:cols w:space="708"/>
          <w:docGrid w:linePitch="360"/>
        </w:sectPr>
      </w:pPr>
    </w:p>
    <w:p w14:paraId="7ACA16B7" w14:textId="77777777" w:rsidR="007A54B0" w:rsidRDefault="007A54B0" w:rsidP="007A54B0">
      <w:pPr>
        <w:pStyle w:val="ListParagraph"/>
      </w:pPr>
      <w:r>
        <w:t xml:space="preserve">While meeting good practice is a fundamental requirement for safety cases, this is expected to be supported by a demonstration of how risk assessments have been used to identify any potential weaknesses in the design and operation of the proposed facility, showing where improvements have been considered and to demonstrate that safety is not unduly reliant on a small set of particular safety features. </w:t>
      </w:r>
    </w:p>
    <w:p w14:paraId="35D66211" w14:textId="4E7F4208" w:rsidR="007A54B0" w:rsidRPr="001C0825" w:rsidRDefault="00EE06B5" w:rsidP="00EE06B5">
      <w:pPr>
        <w:pStyle w:val="Heading3"/>
      </w:pPr>
      <w:r>
        <w:t>Relevant ONR standards and guidance</w:t>
      </w:r>
      <w:r w:rsidR="007A54B0" w:rsidRPr="001C0825">
        <w:t xml:space="preserve"> </w:t>
      </w:r>
      <w:r w:rsidR="007A54B0">
        <w:t>- SAP</w:t>
      </w:r>
      <w:r w:rsidR="007A54B0" w:rsidRPr="00B1774A">
        <w:t>s</w:t>
      </w:r>
      <w:r w:rsidR="007A54B0" w:rsidRPr="001C0825">
        <w:t>, TAG</w:t>
      </w:r>
      <w:r w:rsidR="007A54B0" w:rsidRPr="00B1774A">
        <w:t>s</w:t>
      </w:r>
      <w:r w:rsidR="007A54B0" w:rsidRPr="001C0825">
        <w:t xml:space="preserve"> and TIG</w:t>
      </w:r>
      <w:r w:rsidR="007A54B0" w:rsidRPr="00B1774A">
        <w:t>s</w:t>
      </w:r>
    </w:p>
    <w:p w14:paraId="7C7CFC1D" w14:textId="0CA8A718" w:rsidR="007A54B0" w:rsidRDefault="007A54B0" w:rsidP="00EE06B5">
      <w:pPr>
        <w:pStyle w:val="ListParagraph"/>
      </w:pPr>
      <w:r w:rsidRPr="0017761E">
        <w:t xml:space="preserve">ONR’s judgement on the adequacy of the RP’s generic safety case are guided by the SAPs </w:t>
      </w:r>
      <w:sdt>
        <w:sdtPr>
          <w:id w:val="2083328901"/>
          <w:citation/>
        </w:sdtPr>
        <w:sdtEndPr/>
        <w:sdtContent>
          <w:r w:rsidR="006D3033">
            <w:fldChar w:fldCharType="begin"/>
          </w:r>
          <w:r w:rsidR="006D3033">
            <w:instrText xml:space="preserve"> CITATION ONR173 \l 2057 </w:instrText>
          </w:r>
          <w:r w:rsidR="006D3033">
            <w:fldChar w:fldCharType="separate"/>
          </w:r>
          <w:r w:rsidR="00181C9E" w:rsidRPr="00181C9E">
            <w:rPr>
              <w:noProof/>
            </w:rPr>
            <w:t>[10]</w:t>
          </w:r>
          <w:r w:rsidR="006D3033">
            <w:fldChar w:fldCharType="end"/>
          </w:r>
        </w:sdtContent>
      </w:sdt>
      <w:r w:rsidRPr="0017761E">
        <w:t>, which set out relevant good practice for a wide range of nuclear facilities. The SAPs are not criteria or a design tool, but are an aid to consistent</w:t>
      </w:r>
      <w:r>
        <w:t xml:space="preserve"> regulatory judgement. Similarly, the SAPs are not sufficient to be used as an outline for, or as the determinant of, the scope and depth of any safety case. The RP should note that not all SAPs are intended for use in the assessment of a new NPP, nor are all the SAPs relevant for the GDA process. To ensure consistency with international requirements, the SAPs have been benchmarked against the nuclear safety standards of the IAEA and WENRA guidance. Where appropriate, ONR will also assess against such international standards. </w:t>
      </w:r>
    </w:p>
    <w:p w14:paraId="61E0F1D9" w14:textId="77777777" w:rsidR="007A54B0" w:rsidRDefault="007A54B0" w:rsidP="00EE06B5">
      <w:pPr>
        <w:pStyle w:val="ListParagraph"/>
      </w:pPr>
      <w:r>
        <w:t>In ONR’s assessment, priority is given to achieving an overall balance of safety rather than satisfying each principle or making an ALARP judgement against each principle. The principles themselves are applied in a reasonably practicable manner and the judgement made is always subject to consideration of ALARP.</w:t>
      </w:r>
    </w:p>
    <w:p w14:paraId="0DAB01DA" w14:textId="77777777" w:rsidR="007A54B0" w:rsidRDefault="007A54B0" w:rsidP="00EE06B5">
      <w:pPr>
        <w:pStyle w:val="ListParagraph"/>
      </w:pPr>
      <w:r>
        <w:t xml:space="preserve">Examination of the SAPs will allow the RP to inform themselves of the regulatory principles against which their generic safety case will be judged by ONR. This may allow the RP to anticipate any issues or shortfalls, and to include in their submissions explanations as to how the safety goals underlying the SAPs are met, or by providing evidence that equivalent safety is achieved by other means. ONR does not expect an explicit comparison of the RP’s generic safety case against the SAPs to form part of a safety submission. </w:t>
      </w:r>
    </w:p>
    <w:p w14:paraId="013A9A43" w14:textId="77777777" w:rsidR="00EE06B5" w:rsidRDefault="00EE06B5" w:rsidP="00EE06B5">
      <w:pPr>
        <w:pStyle w:val="ListParagraph"/>
        <w:sectPr w:rsidR="00EE06B5" w:rsidSect="00EE06B5">
          <w:type w:val="continuous"/>
          <w:pgSz w:w="11906" w:h="16838" w:code="9"/>
          <w:pgMar w:top="1440" w:right="1440" w:bottom="1440" w:left="1440" w:header="431" w:footer="567" w:gutter="0"/>
          <w:cols w:space="708"/>
          <w:docGrid w:linePitch="360"/>
        </w:sectPr>
      </w:pPr>
    </w:p>
    <w:p w14:paraId="7472D0DF" w14:textId="77777777" w:rsidR="007A54B0" w:rsidRDefault="007A54B0" w:rsidP="00EE06B5">
      <w:pPr>
        <w:pStyle w:val="ListParagraph"/>
      </w:pPr>
      <w:r>
        <w:lastRenderedPageBreak/>
        <w:t>Additional guidance to ONR’s assessors on interpretation of the SAPs is given in associated TAGs. These give detailed interpretation of the SAPs and guidance in their application. The SAPs and TAGs are an integrated suite of guidance to ONR's nuclear inspectors carrying out assessment of safety cases and these will be used for GDA.</w:t>
      </w:r>
      <w:r w:rsidRPr="00E25021">
        <w:t xml:space="preserve"> </w:t>
      </w:r>
      <w:r>
        <w:t>Technical Inspection Guides (TIGs) are mainly aimed at nuclear site inspectors carrying out Licence Condition compliance inspections, but as the GDA process will involve ONR carrying out inspections of the RP’s processes, some of these guides may therefore be relevant.</w:t>
      </w:r>
    </w:p>
    <w:p w14:paraId="73C4028E" w14:textId="1EF9E7E6" w:rsidR="007A54B0" w:rsidRDefault="007A54B0" w:rsidP="00EE06B5">
      <w:pPr>
        <w:pStyle w:val="ListParagraph"/>
      </w:pPr>
      <w:r>
        <w:t xml:space="preserve">In addition, ONR has produced additional technical guidance for </w:t>
      </w:r>
      <w:r w:rsidRPr="0017761E">
        <w:t>GDA</w:t>
      </w:r>
      <w:r w:rsidR="006D3033">
        <w:t xml:space="preserve"> </w:t>
      </w:r>
      <w:sdt>
        <w:sdtPr>
          <w:id w:val="304293459"/>
          <w:citation/>
        </w:sdtPr>
        <w:sdtEndPr/>
        <w:sdtContent>
          <w:r w:rsidR="006D3033">
            <w:fldChar w:fldCharType="begin"/>
          </w:r>
          <w:r w:rsidR="006D3033">
            <w:instrText xml:space="preserve"> CITATION ONR1910 \l 2057 </w:instrText>
          </w:r>
          <w:r w:rsidR="006D3033">
            <w:fldChar w:fldCharType="separate"/>
          </w:r>
          <w:r w:rsidR="00181C9E" w:rsidRPr="00181C9E">
            <w:rPr>
              <w:noProof/>
            </w:rPr>
            <w:t>[4]</w:t>
          </w:r>
          <w:r w:rsidR="006D3033">
            <w:fldChar w:fldCharType="end"/>
          </w:r>
        </w:sdtContent>
      </w:sdt>
      <w:r w:rsidR="006D3033">
        <w:t>.</w:t>
      </w:r>
      <w:r>
        <w:t xml:space="preserve"> </w:t>
      </w:r>
    </w:p>
    <w:p w14:paraId="41A2F20E" w14:textId="751441B6" w:rsidR="007A54B0" w:rsidRPr="001C0825" w:rsidRDefault="00EE06B5" w:rsidP="00EE06B5">
      <w:pPr>
        <w:pStyle w:val="Heading2"/>
      </w:pPr>
      <w:r>
        <w:t>Conventional health and safety assessment</w:t>
      </w:r>
    </w:p>
    <w:p w14:paraId="232CCF4A" w14:textId="30A62242" w:rsidR="007A54B0" w:rsidRPr="001C0825" w:rsidRDefault="00EE06B5" w:rsidP="00EE06B5">
      <w:pPr>
        <w:pStyle w:val="Heading3"/>
      </w:pPr>
      <w:r>
        <w:t>Regulatory framework</w:t>
      </w:r>
    </w:p>
    <w:p w14:paraId="0919194F" w14:textId="77777777" w:rsidR="007A54B0" w:rsidRPr="0017761E" w:rsidRDefault="007A54B0" w:rsidP="00EE06B5">
      <w:pPr>
        <w:pStyle w:val="ListParagraph"/>
      </w:pPr>
      <w:r>
        <w:t xml:space="preserve">In addition to nuclear safety, ONR also has responsibility for regulating non-nuclear, or conventional, health and safety matters on nuclear licensed sites. The overall aim is to ensure that the site has reduced risks to employees and other persons so far as is reasonably practicable (or to ALARP). The legal framework is based around HSWA, but there are many relevant statutory provisions that apply. During a GDA, ONR considers these in the context of the Conventional Health and Safety and Conventional Fire Safety technical assessment topics, where the aim is to ensure that the proposed design is capable of meeting UK regulatory expectations for protecting the health and safety of personnel.  </w:t>
      </w:r>
    </w:p>
    <w:p w14:paraId="22ECB3DB" w14:textId="77777777" w:rsidR="007A54B0" w:rsidRDefault="007A54B0" w:rsidP="00EE06B5">
      <w:pPr>
        <w:pStyle w:val="ListParagraph"/>
      </w:pPr>
      <w:r>
        <w:t>For Conventional Health and Safety, given the breadth of this topic, the approach is to sample a number of known risk areas (for example, work at height, confined spaces or lifting operations) and the RP’s responsibilities under the</w:t>
      </w:r>
      <w:r w:rsidRPr="00AA2517">
        <w:t xml:space="preserve"> Const</w:t>
      </w:r>
      <w:r>
        <w:t xml:space="preserve">ruction (Design and Management) </w:t>
      </w:r>
      <w:r w:rsidRPr="00AA2517">
        <w:t>Regulations</w:t>
      </w:r>
      <w:r>
        <w:t xml:space="preserve"> 2015 (CDM).</w:t>
      </w:r>
    </w:p>
    <w:p w14:paraId="6DBCAF53" w14:textId="77777777" w:rsidR="007A54B0" w:rsidRDefault="007A54B0" w:rsidP="00EE06B5">
      <w:pPr>
        <w:pStyle w:val="ListParagraph"/>
      </w:pPr>
      <w:r>
        <w:t xml:space="preserve">For Conventional Fire Safety the approach is to consider Fire Safety design </w:t>
      </w:r>
      <w:r w:rsidRPr="005264F2">
        <w:t>against existing UK published guidance for building</w:t>
      </w:r>
      <w:r>
        <w:t>,</w:t>
      </w:r>
      <w:r w:rsidRPr="005264F2">
        <w:t xml:space="preserve"> design, use and management. </w:t>
      </w:r>
      <w:r>
        <w:t>The f</w:t>
      </w:r>
      <w:r w:rsidRPr="005264F2">
        <w:t>ire engineering principles</w:t>
      </w:r>
      <w:r>
        <w:t xml:space="preserve"> used by the RP in the design</w:t>
      </w:r>
      <w:r w:rsidRPr="005264F2">
        <w:t xml:space="preserve"> for achieving adequate life safety protection from fire </w:t>
      </w:r>
      <w:r>
        <w:t>are</w:t>
      </w:r>
      <w:r w:rsidRPr="005264F2">
        <w:t xml:space="preserve"> assessed utilising existing UK codes of practice.</w:t>
      </w:r>
      <w:r>
        <w:t xml:space="preserve">   </w:t>
      </w:r>
    </w:p>
    <w:p w14:paraId="7A9EEA07" w14:textId="258DC921" w:rsidR="007A54B0" w:rsidRPr="001C0825" w:rsidRDefault="00EE06B5" w:rsidP="00EE06B5">
      <w:pPr>
        <w:pStyle w:val="Heading3"/>
      </w:pPr>
      <w:r>
        <w:t>Relevant standards and guidance</w:t>
      </w:r>
    </w:p>
    <w:p w14:paraId="3D84F785" w14:textId="77777777" w:rsidR="007A54B0" w:rsidRPr="0017761E" w:rsidRDefault="007A54B0" w:rsidP="00EE06B5">
      <w:pPr>
        <w:pStyle w:val="ListParagraph"/>
      </w:pPr>
      <w:r>
        <w:t>Relevant documented sources of good practice against which ONR will assess the proposed design include relevant Approved Codes of Practice (ACOPs), Health and Safety Executive’s (HSE) guidance on legal standards and relevant international and British Standards.</w:t>
      </w:r>
    </w:p>
    <w:p w14:paraId="31186F3A" w14:textId="25821FDB" w:rsidR="007A54B0" w:rsidRPr="001C0825" w:rsidRDefault="00EE06B5" w:rsidP="00EE06B5">
      <w:pPr>
        <w:pStyle w:val="Heading2"/>
      </w:pPr>
      <w:r>
        <w:lastRenderedPageBreak/>
        <w:t>Security assessment</w:t>
      </w:r>
    </w:p>
    <w:p w14:paraId="116FC99B" w14:textId="288079E2" w:rsidR="007A54B0" w:rsidRPr="001C0825" w:rsidRDefault="00EE06B5" w:rsidP="00EE06B5">
      <w:pPr>
        <w:pStyle w:val="Heading3"/>
      </w:pPr>
      <w:r>
        <w:t>Regulatory framework</w:t>
      </w:r>
    </w:p>
    <w:p w14:paraId="0896085E" w14:textId="77777777" w:rsidR="007A54B0" w:rsidRDefault="007A54B0" w:rsidP="00EE06B5">
      <w:pPr>
        <w:pStyle w:val="ListParagraph"/>
      </w:pPr>
      <w:r>
        <w:t xml:space="preserve">‘A guide to Nuclear Regulation in the </w:t>
      </w:r>
      <w:r w:rsidRPr="0017761E">
        <w:t>UK</w:t>
      </w:r>
      <w:r>
        <w:t>’</w:t>
      </w:r>
      <w:r w:rsidRPr="0017761E">
        <w:t xml:space="preserve"> (Ref. 1</w:t>
      </w:r>
      <w:r>
        <w:t>5</w:t>
      </w:r>
      <w:r w:rsidRPr="0017761E">
        <w:t>) describes the nuclear security framework which is also used as the basis for a GDA. The Nuclear Industries Security Regulations 2003 (as amended) (NISR) place significant</w:t>
      </w:r>
      <w:r w:rsidRPr="004422D3">
        <w:t xml:space="preserve"> obligations on the operators of civil license</w:t>
      </w:r>
      <w:r w:rsidRPr="0017761E">
        <w:t xml:space="preserve">d nuclear sites with regard to physical security measures for facilities, nuclear material and the security of Sensitive Nuclear Information (SNI). NISR also covers the vetting of permanent staff and contractors, the movement of nuclear material by road and rail within the UK and globally in UK flagged vessels. This legislation requires all civil nuclear operators to produce and implement </w:t>
      </w:r>
      <w:r>
        <w:t xml:space="preserve">a </w:t>
      </w:r>
      <w:r w:rsidRPr="004422D3">
        <w:t>robust NSSP.</w:t>
      </w:r>
    </w:p>
    <w:p w14:paraId="63D0A7D8" w14:textId="77777777" w:rsidR="00EE06B5" w:rsidRDefault="00EE06B5" w:rsidP="00EE06B5">
      <w:pPr>
        <w:pStyle w:val="ListParagraph"/>
        <w:sectPr w:rsidR="00EE06B5" w:rsidSect="00EE06B5">
          <w:pgSz w:w="11906" w:h="16838" w:code="9"/>
          <w:pgMar w:top="1440" w:right="1440" w:bottom="1440" w:left="1440" w:header="431" w:footer="567" w:gutter="0"/>
          <w:cols w:space="708"/>
          <w:docGrid w:linePitch="360"/>
        </w:sectPr>
      </w:pPr>
    </w:p>
    <w:p w14:paraId="7ECBB571" w14:textId="77777777" w:rsidR="007A54B0" w:rsidRDefault="007A54B0" w:rsidP="00EE06B5">
      <w:pPr>
        <w:pStyle w:val="ListParagraph"/>
      </w:pPr>
      <w:r>
        <w:t>It is important to note that, for</w:t>
      </w:r>
      <w:r w:rsidRPr="00774B2C">
        <w:t xml:space="preserve"> security, the threat is determined by the UK </w:t>
      </w:r>
      <w:r>
        <w:t>g</w:t>
      </w:r>
      <w:r w:rsidRPr="00774B2C">
        <w:t>overnment and stems from an ‘intelligent adversary’ who acts in a deliberate, planned fashion that is not amenable to numerical risk estimation in the way that many safety concerns are. Hence the risk informed framework around ALARP is not used in making regulator</w:t>
      </w:r>
      <w:r>
        <w:t>y decisions on security matters</w:t>
      </w:r>
      <w:r w:rsidRPr="0017761E">
        <w:t xml:space="preserve">. </w:t>
      </w:r>
    </w:p>
    <w:p w14:paraId="67FCB233" w14:textId="036122FC" w:rsidR="007A54B0" w:rsidRPr="00984E07" w:rsidRDefault="00EE06B5" w:rsidP="00EE06B5">
      <w:pPr>
        <w:pStyle w:val="Heading3"/>
      </w:pPr>
      <w:r>
        <w:t>Relevant ONR standards and guidance</w:t>
      </w:r>
      <w:r w:rsidR="007A54B0" w:rsidRPr="00984E07">
        <w:t xml:space="preserve"> – SyAP</w:t>
      </w:r>
      <w:r w:rsidR="007A54B0" w:rsidRPr="00B1774A">
        <w:t>s</w:t>
      </w:r>
      <w:r w:rsidR="007A54B0" w:rsidRPr="00984E07">
        <w:t>, TAG</w:t>
      </w:r>
      <w:r w:rsidR="007A54B0">
        <w:t>s</w:t>
      </w:r>
      <w:r w:rsidR="007A54B0" w:rsidRPr="00984E07">
        <w:t xml:space="preserve"> and TIG</w:t>
      </w:r>
      <w:r w:rsidR="007A54B0">
        <w:t>s</w:t>
      </w:r>
    </w:p>
    <w:p w14:paraId="644D3BFF" w14:textId="71D8EC77" w:rsidR="007A54B0" w:rsidRPr="00106305" w:rsidRDefault="007A54B0" w:rsidP="00EE06B5">
      <w:pPr>
        <w:pStyle w:val="ListParagraph"/>
      </w:pPr>
      <w:r>
        <w:t>ONR use</w:t>
      </w:r>
      <w:r w:rsidRPr="00106305">
        <w:t xml:space="preserve"> the SyAPs, together with supporting TAGs, to </w:t>
      </w:r>
      <w:r>
        <w:t xml:space="preserve">guide regulatory judgements </w:t>
      </w:r>
      <w:r w:rsidRPr="00106305">
        <w:t xml:space="preserve">when undertaking assessments of </w:t>
      </w:r>
      <w:r>
        <w:t xml:space="preserve">the RP’s </w:t>
      </w:r>
      <w:r w:rsidRPr="00106305">
        <w:t>security submissions</w:t>
      </w:r>
      <w:r>
        <w:t xml:space="preserve">. </w:t>
      </w:r>
      <w:r w:rsidRPr="00222B33">
        <w:t>These will form the bas</w:t>
      </w:r>
      <w:r>
        <w:t xml:space="preserve">is of ONR’s judgement of the GSR, although not all of the SyAPs are entirely applicable during a GDA. </w:t>
      </w:r>
    </w:p>
    <w:p w14:paraId="02038DF1" w14:textId="29F47A48" w:rsidR="007A54B0" w:rsidRDefault="007A54B0" w:rsidP="00EE06B5">
      <w:pPr>
        <w:pStyle w:val="ListParagraph"/>
      </w:pPr>
      <w:r w:rsidRPr="00106305">
        <w:t xml:space="preserve">The SyAPs provide the essential foundation for the introduction of outcome focussed regulation for all constituent security disciplines: physical, personnel, transport, and cyber security and information assurance. </w:t>
      </w:r>
      <w:r w:rsidR="006D3033">
        <w:br/>
      </w:r>
      <w:r w:rsidRPr="00B1772C">
        <w:t xml:space="preserve">The primary purpose of the SyAPs is to provide ONR with a framework for making consistent regulatory judgements on the adequacy of security arrangements. Although it is not their primary purpose, the SyAPs may also provide guidance to </w:t>
      </w:r>
      <w:r>
        <w:t>RPs</w:t>
      </w:r>
      <w:r w:rsidRPr="00B1772C">
        <w:t xml:space="preserve"> on the appropriate content of security plans, clarifying </w:t>
      </w:r>
      <w:r>
        <w:t>its</w:t>
      </w:r>
      <w:r w:rsidRPr="00B1772C">
        <w:t xml:space="preserve"> expectations in this regard. However, they are not sufficient on their own to be used as design or operational standards, nor are they intended for that purpose.</w:t>
      </w:r>
    </w:p>
    <w:p w14:paraId="5D690408" w14:textId="7BAF9255" w:rsidR="007A54B0" w:rsidRPr="0017761E" w:rsidRDefault="007A54B0" w:rsidP="00EE06B5">
      <w:pPr>
        <w:pStyle w:val="ListParagraph"/>
      </w:pPr>
      <w:r w:rsidRPr="00325D58">
        <w:t xml:space="preserve">The </w:t>
      </w:r>
      <w:r>
        <w:t>SyAPs</w:t>
      </w:r>
      <w:r w:rsidRPr="00325D58">
        <w:t xml:space="preserve"> are supported by </w:t>
      </w:r>
      <w:r>
        <w:t xml:space="preserve">a series of </w:t>
      </w:r>
      <w:r w:rsidRPr="00325D58">
        <w:t>TAGs</w:t>
      </w:r>
      <w:r>
        <w:t xml:space="preserve"> and TIGs</w:t>
      </w:r>
      <w:r w:rsidRPr="00325D58">
        <w:t xml:space="preserve"> to further assist decision making within the nuclear securit</w:t>
      </w:r>
      <w:r>
        <w:t xml:space="preserve">y regulatory assessment process; of particular relevance to GDA is the </w:t>
      </w:r>
      <w:r w:rsidR="006D3033">
        <w:t>g</w:t>
      </w:r>
      <w:r>
        <w:t xml:space="preserve">uidance on the </w:t>
      </w:r>
      <w:r w:rsidR="006D3033">
        <w:t>s</w:t>
      </w:r>
      <w:r>
        <w:t xml:space="preserve">ecurity </w:t>
      </w:r>
      <w:r w:rsidR="006D3033">
        <w:t>a</w:t>
      </w:r>
      <w:r>
        <w:t xml:space="preserve">ssessment of </w:t>
      </w:r>
      <w:r w:rsidR="006D3033">
        <w:t>g</w:t>
      </w:r>
      <w:r>
        <w:t xml:space="preserve">eneric </w:t>
      </w:r>
      <w:r w:rsidR="006D3033">
        <w:t>n</w:t>
      </w:r>
      <w:r>
        <w:t xml:space="preserve">ew </w:t>
      </w:r>
      <w:r w:rsidR="006D3033">
        <w:t>n</w:t>
      </w:r>
      <w:r>
        <w:t xml:space="preserve">uclear </w:t>
      </w:r>
      <w:r w:rsidR="006D3033">
        <w:t>r</w:t>
      </w:r>
      <w:r>
        <w:t xml:space="preserve">eactor </w:t>
      </w:r>
      <w:r w:rsidR="006D3033">
        <w:t>d</w:t>
      </w:r>
      <w:r w:rsidRPr="0017761E">
        <w:t xml:space="preserve">esigns </w:t>
      </w:r>
      <w:sdt>
        <w:sdtPr>
          <w:id w:val="1526675118"/>
          <w:citation/>
        </w:sdtPr>
        <w:sdtEndPr/>
        <w:sdtContent>
          <w:r w:rsidR="006D3033">
            <w:fldChar w:fldCharType="begin"/>
          </w:r>
          <w:r w:rsidR="006D3033">
            <w:instrText xml:space="preserve"> CITATION ONR442 \l 2057 </w:instrText>
          </w:r>
          <w:r w:rsidR="006D3033">
            <w:fldChar w:fldCharType="separate"/>
          </w:r>
          <w:r w:rsidR="00181C9E" w:rsidRPr="00181C9E">
            <w:rPr>
              <w:noProof/>
            </w:rPr>
            <w:t>[11]</w:t>
          </w:r>
          <w:r w:rsidR="006D3033">
            <w:fldChar w:fldCharType="end"/>
          </w:r>
        </w:sdtContent>
      </w:sdt>
      <w:r w:rsidRPr="0017761E">
        <w:t>.</w:t>
      </w:r>
    </w:p>
    <w:p w14:paraId="7837D8F5" w14:textId="77777777" w:rsidR="006D3033" w:rsidRDefault="006D3033" w:rsidP="00EE06B5">
      <w:pPr>
        <w:pStyle w:val="Heading2"/>
        <w:sectPr w:rsidR="006D3033" w:rsidSect="00EE06B5">
          <w:type w:val="continuous"/>
          <w:pgSz w:w="11906" w:h="16838" w:code="9"/>
          <w:pgMar w:top="1440" w:right="1440" w:bottom="1440" w:left="1440" w:header="431" w:footer="567" w:gutter="0"/>
          <w:cols w:space="708"/>
          <w:docGrid w:linePitch="360"/>
        </w:sectPr>
      </w:pPr>
    </w:p>
    <w:p w14:paraId="20CC8A91" w14:textId="096A0F88" w:rsidR="007A54B0" w:rsidRPr="001C0825" w:rsidRDefault="00EE06B5" w:rsidP="00EE06B5">
      <w:pPr>
        <w:pStyle w:val="Heading2"/>
      </w:pPr>
      <w:r>
        <w:lastRenderedPageBreak/>
        <w:t>Use of t</w:t>
      </w:r>
      <w:r w:rsidR="007A54B0" w:rsidRPr="001C0825">
        <w:t xml:space="preserve">echnical </w:t>
      </w:r>
      <w:r>
        <w:t>s</w:t>
      </w:r>
      <w:r w:rsidR="007A54B0" w:rsidRPr="001C0825">
        <w:t xml:space="preserve">upport </w:t>
      </w:r>
      <w:r>
        <w:t>c</w:t>
      </w:r>
      <w:r w:rsidR="007A54B0" w:rsidRPr="001C0825">
        <w:t xml:space="preserve">ontractors </w:t>
      </w:r>
    </w:p>
    <w:p w14:paraId="61EC971E" w14:textId="77777777" w:rsidR="007A54B0" w:rsidRDefault="007A54B0" w:rsidP="00EE06B5">
      <w:pPr>
        <w:pStyle w:val="ListParagraph"/>
      </w:pPr>
      <w:r>
        <w:t>It is common practice for ONR to engage contractors to provide specialist technical support as an input to its regulatory assessments. In GDA, ONR may choose to place work packages with contractors, including organisations outside GB, to help it carry out its detailed technical assessment. ONR will make relevant RP’s documentation, including third party information, available to its technical support contractors. The costs of any such contracts will be charged to the RP as part of ONR’s costs.</w:t>
      </w:r>
    </w:p>
    <w:p w14:paraId="4C6E4DD0" w14:textId="77777777" w:rsidR="007A54B0" w:rsidRDefault="007A54B0" w:rsidP="00EE06B5">
      <w:pPr>
        <w:pStyle w:val="ListParagraph"/>
      </w:pPr>
      <w:r>
        <w:t xml:space="preserve">It is important to note that all regulatory decisions are made by ONR, based on its expert judgement on the adequacy of the generic safety and security cases including where specialist technical support is undertaken. </w:t>
      </w:r>
    </w:p>
    <w:p w14:paraId="44E29359" w14:textId="77777777" w:rsidR="00EE06B5" w:rsidRDefault="00EE06B5" w:rsidP="00EE06B5">
      <w:pPr>
        <w:pStyle w:val="Heading2"/>
        <w:sectPr w:rsidR="00EE06B5" w:rsidSect="006D3033">
          <w:pgSz w:w="11906" w:h="16838" w:code="9"/>
          <w:pgMar w:top="1440" w:right="1440" w:bottom="1440" w:left="1440" w:header="431" w:footer="567" w:gutter="0"/>
          <w:cols w:space="708"/>
          <w:docGrid w:linePitch="360"/>
        </w:sectPr>
      </w:pPr>
    </w:p>
    <w:p w14:paraId="3EABFE54" w14:textId="77777777" w:rsidR="007A54B0" w:rsidRPr="001C0825" w:rsidRDefault="007A54B0" w:rsidP="00EE06B5">
      <w:pPr>
        <w:pStyle w:val="Heading2"/>
      </w:pPr>
      <w:r w:rsidRPr="001C0825">
        <w:t xml:space="preserve">Research </w:t>
      </w:r>
    </w:p>
    <w:p w14:paraId="6748A738" w14:textId="77777777" w:rsidR="007A54B0" w:rsidRDefault="007A54B0" w:rsidP="00EE06B5">
      <w:pPr>
        <w:pStyle w:val="ListParagraph"/>
      </w:pPr>
      <w:r>
        <w:t xml:space="preserve">While ONR expects the RP to have undertaken its own research work, ONR may choose to carry out its own confirmatory research, using external contractors, to support its regulatory decisions, and the costs of such research will be charged to the RP. Factors affecting the need for such research include: </w:t>
      </w:r>
    </w:p>
    <w:p w14:paraId="6943ECDA" w14:textId="77777777" w:rsidR="007A54B0" w:rsidRDefault="007A54B0" w:rsidP="00EE06B5">
      <w:pPr>
        <w:pStyle w:val="Bulletlist1"/>
      </w:pPr>
      <w:r>
        <w:t xml:space="preserve">knowledge and experience of the technology in GB </w:t>
      </w:r>
    </w:p>
    <w:p w14:paraId="6DE25B68" w14:textId="77777777" w:rsidR="007A54B0" w:rsidRDefault="007A54B0" w:rsidP="00EE06B5">
      <w:pPr>
        <w:pStyle w:val="Bulletlist1"/>
      </w:pPr>
      <w:r>
        <w:t xml:space="preserve">issues arising during the assessment </w:t>
      </w:r>
    </w:p>
    <w:p w14:paraId="1FD99A6C" w14:textId="77777777" w:rsidR="007A54B0" w:rsidRDefault="007A54B0" w:rsidP="00EE06B5">
      <w:pPr>
        <w:pStyle w:val="Bulletlist1"/>
      </w:pPr>
      <w:r>
        <w:t xml:space="preserve">other research and development programmes, including research information from overseas regulators who have reviewed the design </w:t>
      </w:r>
    </w:p>
    <w:p w14:paraId="7A05DB9A" w14:textId="50822619" w:rsidR="007A54B0" w:rsidRDefault="00EE06B5" w:rsidP="00EE06B5">
      <w:pPr>
        <w:pStyle w:val="Heading2"/>
      </w:pPr>
      <w:r>
        <w:t>Confirmatory analysis</w:t>
      </w:r>
    </w:p>
    <w:p w14:paraId="4DC68FE4" w14:textId="77777777" w:rsidR="007A54B0" w:rsidRDefault="007A54B0" w:rsidP="00EE06B5">
      <w:pPr>
        <w:pStyle w:val="ListParagraph"/>
      </w:pPr>
      <w:r>
        <w:t xml:space="preserve">During Step 2 or 3, ONR may choose to undertake independent confirmatory analysis on selected aspects of the RP’s design or safety case. This is not intended to replace, supplement or be a substitute for the RP’s own analysis provided as part of the safety case. The decision to undertake this work is not a function of the adequacy or completeness of the RP’s analysis, but these factors may influence the scope of the confirmatory analyses conducted by ONR in supporting its regulatory decisions. </w:t>
      </w:r>
    </w:p>
    <w:p w14:paraId="558AFBDD" w14:textId="1D004F04" w:rsidR="007A54B0" w:rsidRPr="001C0825" w:rsidRDefault="00EE06B5" w:rsidP="00EE06B5">
      <w:pPr>
        <w:pStyle w:val="Heading2"/>
      </w:pPr>
      <w:r>
        <w:t>Taking benefit from overseas regulatory work</w:t>
      </w:r>
    </w:p>
    <w:p w14:paraId="4FED258D" w14:textId="77777777" w:rsidR="007A54B0" w:rsidRPr="005D3119" w:rsidRDefault="007A54B0" w:rsidP="00EE06B5">
      <w:pPr>
        <w:pStyle w:val="ListParagraph"/>
        <w:rPr>
          <w:lang w:eastAsia="en-GB"/>
        </w:rPr>
      </w:pPr>
      <w:r>
        <w:rPr>
          <w:lang w:eastAsia="en-GB"/>
        </w:rPr>
        <w:t xml:space="preserve">ONR’s strategy for working with overseas regulators is based </w:t>
      </w:r>
      <w:r w:rsidRPr="005D3119">
        <w:rPr>
          <w:lang w:eastAsia="en-GB"/>
        </w:rPr>
        <w:t>on three main strands:</w:t>
      </w:r>
    </w:p>
    <w:p w14:paraId="57C66B03" w14:textId="5C37F698" w:rsidR="007A54B0" w:rsidRDefault="007A54B0" w:rsidP="00EE06B5">
      <w:pPr>
        <w:pStyle w:val="Bulletlist1"/>
      </w:pPr>
      <w:r>
        <w:t>enabling the RP to make use of information that already exists (</w:t>
      </w:r>
      <w:r w:rsidR="00D95BE5">
        <w:t>refer to s</w:t>
      </w:r>
      <w:r>
        <w:t xml:space="preserve">ection </w:t>
      </w:r>
      <w:r w:rsidR="00D95BE5">
        <w:fldChar w:fldCharType="begin"/>
      </w:r>
      <w:r w:rsidR="00D95BE5">
        <w:instrText xml:space="preserve"> REF _Ref173231946 \r \h </w:instrText>
      </w:r>
      <w:r w:rsidR="00D95BE5">
        <w:fldChar w:fldCharType="separate"/>
      </w:r>
      <w:r w:rsidR="00D95BE5">
        <w:rPr>
          <w:cs/>
        </w:rPr>
        <w:t>‎</w:t>
      </w:r>
      <w:r w:rsidR="00D95BE5">
        <w:t>3.4.5</w:t>
      </w:r>
      <w:r w:rsidR="00D95BE5">
        <w:fldChar w:fldCharType="end"/>
      </w:r>
      <w:r>
        <w:t>)</w:t>
      </w:r>
    </w:p>
    <w:p w14:paraId="7204354B" w14:textId="77777777" w:rsidR="007A54B0" w:rsidRDefault="007A54B0" w:rsidP="00EE06B5">
      <w:pPr>
        <w:pStyle w:val="Bulletlist1"/>
      </w:pPr>
      <w:r>
        <w:lastRenderedPageBreak/>
        <w:t>working in co-operation with overseas regulators on new assessment work</w:t>
      </w:r>
    </w:p>
    <w:p w14:paraId="267D6AF8" w14:textId="77777777" w:rsidR="007A54B0" w:rsidRDefault="007A54B0" w:rsidP="00EE06B5">
      <w:pPr>
        <w:pStyle w:val="Bulletlist1"/>
      </w:pPr>
      <w:r>
        <w:t>participating in international forums for multi-national information sharing between regulators</w:t>
      </w:r>
    </w:p>
    <w:p w14:paraId="347D7526" w14:textId="77777777" w:rsidR="007A54B0" w:rsidRDefault="007A54B0" w:rsidP="00EE06B5">
      <w:pPr>
        <w:pStyle w:val="ListParagraph"/>
      </w:pPr>
      <w:r>
        <w:t>If the RP’s proposed design has been subject to assessment by nuclear regulators in other countries, ONR sees benefit from being able to draw on that experience, as well as sharing its own experiences. This is an extension of the normal information exchanges that take place between national nuclear regulators through bilateral arrangements and via organisations such as the IAEA. In addition, ONR is actively participating in the work of the Multinational Design Evaluation Programme (MDEP), alongside other similar organisations.</w:t>
      </w:r>
    </w:p>
    <w:p w14:paraId="2FE41D27" w14:textId="77777777" w:rsidR="00EE06B5" w:rsidRDefault="00EE06B5" w:rsidP="00EE06B5">
      <w:pPr>
        <w:pStyle w:val="ListParagraph"/>
        <w:sectPr w:rsidR="00EE06B5" w:rsidSect="00EE06B5">
          <w:type w:val="continuous"/>
          <w:pgSz w:w="11906" w:h="16838" w:code="9"/>
          <w:pgMar w:top="1440" w:right="1440" w:bottom="1440" w:left="1440" w:header="431" w:footer="567" w:gutter="0"/>
          <w:cols w:space="708"/>
          <w:docGrid w:linePitch="360"/>
        </w:sectPr>
      </w:pPr>
    </w:p>
    <w:p w14:paraId="4C041077" w14:textId="77777777" w:rsidR="007A54B0" w:rsidRDefault="007A54B0" w:rsidP="00EE06B5">
      <w:pPr>
        <w:pStyle w:val="ListParagraph"/>
      </w:pPr>
      <w:r>
        <w:t xml:space="preserve">Throughout the GDA process, ONR will seek to take advantage of information arising from such international working. However, it remains the responsibility of the RP to demonstrate the safety and security of its design, including highlighting and directing ONR to previous outputs and assessments of regulators in other countries. </w:t>
      </w:r>
    </w:p>
    <w:p w14:paraId="52F88104" w14:textId="69FC135C" w:rsidR="007A54B0" w:rsidRDefault="007A54B0" w:rsidP="00EE06B5">
      <w:pPr>
        <w:pStyle w:val="ListParagraph"/>
      </w:pPr>
      <w:r>
        <w:t>ONR considers there to be clear advantages in learning from international experience and considering this as part of regulatory decision making.</w:t>
      </w:r>
      <w:r w:rsidRPr="00BF0ED7">
        <w:t xml:space="preserve"> </w:t>
      </w:r>
      <w:r w:rsidR="00D95BE5">
        <w:br/>
      </w:r>
      <w:r>
        <w:t xml:space="preserve">When assessing new NPP designs as part of a GDA we aim to: </w:t>
      </w:r>
    </w:p>
    <w:p w14:paraId="227A63DA" w14:textId="77777777" w:rsidR="007A54B0" w:rsidRDefault="007A54B0" w:rsidP="00EE06B5">
      <w:pPr>
        <w:pStyle w:val="Bulletlist1"/>
      </w:pPr>
      <w:r>
        <w:t xml:space="preserve">take into account international good practice and international standards </w:t>
      </w:r>
    </w:p>
    <w:p w14:paraId="4C555D2A" w14:textId="77777777" w:rsidR="007A54B0" w:rsidRDefault="007A54B0" w:rsidP="00EE06B5">
      <w:pPr>
        <w:pStyle w:val="Bulletlist1"/>
      </w:pPr>
      <w:r>
        <w:t>work with overseas regulators to benefit from their work, wherever appropriate</w:t>
      </w:r>
    </w:p>
    <w:p w14:paraId="01E3EC3A" w14:textId="77777777" w:rsidR="007A54B0" w:rsidRDefault="007A54B0" w:rsidP="00EE06B5">
      <w:pPr>
        <w:pStyle w:val="Bulletlist1"/>
      </w:pPr>
      <w:r>
        <w:t xml:space="preserve">prevent unnecessary changes to designs </w:t>
      </w:r>
    </w:p>
    <w:p w14:paraId="1FEA29FD" w14:textId="77777777" w:rsidR="007A54B0" w:rsidRDefault="007A54B0" w:rsidP="00EE06B5">
      <w:pPr>
        <w:pStyle w:val="ListParagraph"/>
      </w:pPr>
      <w:r>
        <w:t xml:space="preserve">However, it is ONR’s responsibility to come to an informed and independent view on the adequacy of the safety and security of any design proposed for construction. This is also an international expectation, with both IAEA guidance and the Convention on Nuclear Safety, to which the UK is a signatory, stating that each country must make its own regulatory decisions about the safety of such facilities. </w:t>
      </w:r>
    </w:p>
    <w:p w14:paraId="75599C3C" w14:textId="77777777" w:rsidR="007A54B0" w:rsidRDefault="007A54B0" w:rsidP="00EE06B5">
      <w:pPr>
        <w:pStyle w:val="ListParagraph"/>
      </w:pPr>
      <w:r>
        <w:t xml:space="preserve">The extent to which overseas assessments can be taken into account as part of ONR’s assessment will depend on a number of factors including: </w:t>
      </w:r>
    </w:p>
    <w:p w14:paraId="09CBAC07" w14:textId="77777777" w:rsidR="007A54B0" w:rsidRDefault="007A54B0" w:rsidP="00EE06B5">
      <w:pPr>
        <w:pStyle w:val="Bulletlist1"/>
      </w:pPr>
      <w:r>
        <w:t>the date of the overseas assessment and its continuing validity</w:t>
      </w:r>
    </w:p>
    <w:p w14:paraId="65933054" w14:textId="77777777" w:rsidR="007A54B0" w:rsidRDefault="007A54B0" w:rsidP="00EE06B5">
      <w:pPr>
        <w:pStyle w:val="Bulletlist1"/>
      </w:pPr>
      <w:r>
        <w:t xml:space="preserve">the level of detail and the purpose of the overseas assessment </w:t>
      </w:r>
    </w:p>
    <w:p w14:paraId="5AB1F1A9" w14:textId="77777777" w:rsidR="007A54B0" w:rsidRDefault="007A54B0" w:rsidP="00EE06B5">
      <w:pPr>
        <w:pStyle w:val="Bulletlist1"/>
      </w:pPr>
      <w:r>
        <w:t xml:space="preserve">the depth of information provided including the evidence for resolution </w:t>
      </w:r>
    </w:p>
    <w:p w14:paraId="7790D6DA" w14:textId="77777777" w:rsidR="007A54B0" w:rsidRDefault="007A54B0" w:rsidP="00EE06B5">
      <w:pPr>
        <w:pStyle w:val="Bulletlist1"/>
      </w:pPr>
      <w:r>
        <w:t xml:space="preserve">whether assumptions will remain valid if the technology is adopted in GB </w:t>
      </w:r>
    </w:p>
    <w:p w14:paraId="0A8F7012" w14:textId="77777777" w:rsidR="007A54B0" w:rsidRDefault="007A54B0" w:rsidP="00EE06B5">
      <w:pPr>
        <w:pStyle w:val="Bulletlist1"/>
      </w:pPr>
      <w:r>
        <w:lastRenderedPageBreak/>
        <w:t>whether a demonstration can be made satisfying the requirement that the risks have been reduced to a level that is ALARP</w:t>
      </w:r>
    </w:p>
    <w:p w14:paraId="3BCB1438" w14:textId="77777777" w:rsidR="007A54B0" w:rsidRDefault="007A54B0" w:rsidP="00EE06B5">
      <w:pPr>
        <w:pStyle w:val="Bulletlist1"/>
      </w:pPr>
      <w:r>
        <w:t>the scope of ONR's formal information exchange agreements with the particular national regulator</w:t>
      </w:r>
    </w:p>
    <w:p w14:paraId="78D36C3A" w14:textId="77777777" w:rsidR="007A54B0" w:rsidRDefault="007A54B0" w:rsidP="00EE06B5">
      <w:pPr>
        <w:pStyle w:val="Bulletlist1"/>
      </w:pPr>
      <w:r>
        <w:t>ONR's knowledge of the overseas regulatory system</w:t>
      </w:r>
    </w:p>
    <w:p w14:paraId="61EBDCA3" w14:textId="77777777" w:rsidR="007A54B0" w:rsidRDefault="007A54B0" w:rsidP="00EE06B5">
      <w:pPr>
        <w:pStyle w:val="Bulletlist1"/>
      </w:pPr>
      <w:r>
        <w:t>the willingness of the national regulator to engage with ONR, including providing access to detailed information</w:t>
      </w:r>
    </w:p>
    <w:p w14:paraId="307C44E3" w14:textId="63937EBE" w:rsidR="007A54B0" w:rsidRDefault="007A54B0" w:rsidP="00EE06B5">
      <w:pPr>
        <w:pStyle w:val="ListParagraph"/>
      </w:pPr>
      <w:r>
        <w:t xml:space="preserve">Further information on how overseas assessments can be taken into account during GDA is provided in </w:t>
      </w:r>
      <w:hyperlink w:anchor="_Appendix_5_–" w:history="1">
        <w:r w:rsidRPr="00D95BE5">
          <w:rPr>
            <w:rStyle w:val="Hyperlink"/>
          </w:rPr>
          <w:t>Appendix 5</w:t>
        </w:r>
      </w:hyperlink>
      <w:r>
        <w:t>.</w:t>
      </w:r>
    </w:p>
    <w:p w14:paraId="2A6B92FB" w14:textId="5BA28619" w:rsidR="007A54B0" w:rsidRPr="001C0825" w:rsidRDefault="007A54B0" w:rsidP="00EE06B5">
      <w:pPr>
        <w:pStyle w:val="Heading2"/>
      </w:pPr>
      <w:r w:rsidRPr="001C0825">
        <w:t>Review of ONR decision</w:t>
      </w:r>
      <w:r w:rsidR="00EE06B5">
        <w:t>s</w:t>
      </w:r>
      <w:r w:rsidRPr="001C0825">
        <w:t xml:space="preserve"> </w:t>
      </w:r>
    </w:p>
    <w:p w14:paraId="7BF26AD7" w14:textId="291B2F25" w:rsidR="007A54B0" w:rsidRDefault="007A54B0" w:rsidP="00EE06B5">
      <w:pPr>
        <w:pStyle w:val="ListParagraph"/>
      </w:pPr>
      <w:r>
        <w:t>Where an RP is dissatisfied with a decision by ONR it may make representations to the appropriate ONR’s decision maker and their line management, and ultimately to the Chief Nuclear Inspector</w:t>
      </w:r>
      <w:r w:rsidR="00DA5C00">
        <w:t xml:space="preserve"> (CNI)</w:t>
      </w:r>
      <w:r>
        <w:t xml:space="preserve">. If the RP remains dissatisfied it may request a formal review by ONR of the process by which the decision was made. This decision review process is set out </w:t>
      </w:r>
      <w:r w:rsidRPr="0017761E">
        <w:t xml:space="preserve">in </w:t>
      </w:r>
      <w:r w:rsidR="00D95BE5">
        <w:t xml:space="preserve">ONR </w:t>
      </w:r>
      <w:r w:rsidR="00DA5C00">
        <w:t xml:space="preserve">documentation </w:t>
      </w:r>
      <w:sdt>
        <w:sdtPr>
          <w:id w:val="58997418"/>
          <w:citation/>
        </w:sdtPr>
        <w:sdtEndPr/>
        <w:sdtContent>
          <w:r w:rsidR="00D95BE5">
            <w:fldChar w:fldCharType="begin"/>
          </w:r>
          <w:r w:rsidR="00D95BE5">
            <w:instrText xml:space="preserve"> CITATION ONR225 \l 2057 </w:instrText>
          </w:r>
          <w:r w:rsidR="00D95BE5">
            <w:fldChar w:fldCharType="separate"/>
          </w:r>
          <w:r w:rsidR="00181C9E" w:rsidRPr="00181C9E">
            <w:rPr>
              <w:noProof/>
            </w:rPr>
            <w:t>[14]</w:t>
          </w:r>
          <w:r w:rsidR="00D95BE5">
            <w:fldChar w:fldCharType="end"/>
          </w:r>
        </w:sdtContent>
      </w:sdt>
      <w:r w:rsidRPr="0017761E">
        <w:t>.</w:t>
      </w:r>
    </w:p>
    <w:p w14:paraId="1DF9BB22" w14:textId="77777777" w:rsidR="007A54B0" w:rsidRDefault="007A54B0" w:rsidP="007A54B0">
      <w:pPr>
        <w:pStyle w:val="TSHeadingNumbered1"/>
        <w:rPr>
          <w:color w:val="56BFCA"/>
        </w:rPr>
        <w:sectPr w:rsidR="007A54B0" w:rsidSect="00EE06B5">
          <w:type w:val="continuous"/>
          <w:pgSz w:w="11906" w:h="16838" w:code="9"/>
          <w:pgMar w:top="1440" w:right="1440" w:bottom="1440" w:left="1440" w:header="431" w:footer="567" w:gutter="0"/>
          <w:cols w:space="708"/>
          <w:docGrid w:linePitch="360"/>
        </w:sectPr>
      </w:pPr>
    </w:p>
    <w:p w14:paraId="445B7DE4" w14:textId="77777777" w:rsidR="00EE06B5" w:rsidRDefault="00EE06B5" w:rsidP="007A54B0">
      <w:pPr>
        <w:pStyle w:val="Bulletlist1"/>
        <w:numPr>
          <w:ilvl w:val="0"/>
          <w:numId w:val="0"/>
        </w:numPr>
        <w:ind w:left="1276" w:hanging="357"/>
        <w:sectPr w:rsidR="00EE06B5" w:rsidSect="00EE06B5">
          <w:type w:val="continuous"/>
          <w:pgSz w:w="11906" w:h="16838" w:code="9"/>
          <w:pgMar w:top="1440" w:right="1440" w:bottom="1440" w:left="1440" w:header="397" w:footer="397" w:gutter="0"/>
          <w:cols w:space="312"/>
          <w:docGrid w:linePitch="360"/>
        </w:sectPr>
      </w:pPr>
    </w:p>
    <w:p w14:paraId="04F96295" w14:textId="635381C7" w:rsidR="00EE06B5" w:rsidRPr="002D2C5D" w:rsidRDefault="00EE06B5" w:rsidP="00EE06B5">
      <w:pPr>
        <w:pStyle w:val="Heading1"/>
      </w:pPr>
      <w:bookmarkStart w:id="31" w:name="_Toc528331659"/>
      <w:bookmarkStart w:id="32" w:name="_Toc173242845"/>
      <w:r w:rsidRPr="002D2C5D">
        <w:lastRenderedPageBreak/>
        <w:t xml:space="preserve">Facilitating </w:t>
      </w:r>
      <w:r>
        <w:t>GDA</w:t>
      </w:r>
      <w:bookmarkEnd w:id="31"/>
      <w:bookmarkEnd w:id="32"/>
    </w:p>
    <w:p w14:paraId="6E479DEE" w14:textId="77777777" w:rsidR="00EE06B5" w:rsidRPr="001C0825" w:rsidRDefault="00EE06B5" w:rsidP="00037D99">
      <w:pPr>
        <w:pStyle w:val="Heading2"/>
      </w:pPr>
      <w:r w:rsidRPr="001C0825">
        <w:t>Joint Programme Office</w:t>
      </w:r>
    </w:p>
    <w:p w14:paraId="4C82AF51" w14:textId="7FECCAB5" w:rsidR="00EE06B5" w:rsidRDefault="00EE06B5" w:rsidP="00037D99">
      <w:pPr>
        <w:pStyle w:val="ListParagraph"/>
      </w:pPr>
      <w:r>
        <w:t xml:space="preserve">To help administer both regulators’ GDA process, a Joint Programme Office (JPO) will be established. The function of the JPO is to act as a single point of contact between the RP and the regulators in order to facilitate the administrative matters necessary to undertake a GDA. </w:t>
      </w:r>
    </w:p>
    <w:p w14:paraId="4C8C9A01" w14:textId="50C98930" w:rsidR="00EE06B5" w:rsidRPr="001C0825" w:rsidRDefault="00037D99" w:rsidP="00037D99">
      <w:pPr>
        <w:pStyle w:val="Heading2"/>
      </w:pPr>
      <w:r>
        <w:t>RP</w:t>
      </w:r>
      <w:r w:rsidR="00EE06B5" w:rsidRPr="001C0825">
        <w:t xml:space="preserve"> project office </w:t>
      </w:r>
    </w:p>
    <w:p w14:paraId="48FD0190" w14:textId="3E5A8FE6" w:rsidR="00EE06B5" w:rsidRDefault="00EE06B5" w:rsidP="00037D99">
      <w:pPr>
        <w:pStyle w:val="ListParagraph"/>
      </w:pPr>
      <w:r>
        <w:t xml:space="preserve">The RP will be expected to establish a project office in GB for the day-to-day management of its GDA project and for interfacing with the regulators. </w:t>
      </w:r>
      <w:r w:rsidR="00DA5C00">
        <w:br/>
      </w:r>
      <w:r>
        <w:t>For administrative matters this interface with the regulators will be via the JPO.</w:t>
      </w:r>
    </w:p>
    <w:p w14:paraId="2D31CC0D" w14:textId="77777777" w:rsidR="00EE06B5" w:rsidRPr="001C0825" w:rsidRDefault="00EE06B5" w:rsidP="00037D99">
      <w:pPr>
        <w:pStyle w:val="Heading2"/>
      </w:pPr>
      <w:r w:rsidRPr="001C0825">
        <w:t xml:space="preserve">Interface arrangements </w:t>
      </w:r>
    </w:p>
    <w:p w14:paraId="6A6DE749" w14:textId="77777777" w:rsidR="00EE06B5" w:rsidRDefault="00EE06B5" w:rsidP="00037D99">
      <w:pPr>
        <w:pStyle w:val="ListParagraph"/>
      </w:pPr>
      <w:r>
        <w:t>An interface document will be developed by the regulators during Step 1 setting out the working arrangements with the RP. This will set out the agreed system for transmission and tracking of submissions, correspondence, meetings, and regulatory questions. Measures will be developed and used to monitor the performance of the regulators and the RP against the agreed GDA programme. The interface document will be agreed with the RP in Step 1.</w:t>
      </w:r>
    </w:p>
    <w:p w14:paraId="154ED030" w14:textId="3A91AACA" w:rsidR="00EE06B5" w:rsidRPr="001C0825" w:rsidRDefault="00037D99" w:rsidP="00037D99">
      <w:pPr>
        <w:pStyle w:val="Heading2"/>
      </w:pPr>
      <w:r>
        <w:t>Submitted information</w:t>
      </w:r>
    </w:p>
    <w:p w14:paraId="0B956DCC" w14:textId="77777777" w:rsidR="00EE06B5" w:rsidRDefault="00EE06B5" w:rsidP="00037D99">
      <w:pPr>
        <w:pStyle w:val="ListParagraph"/>
      </w:pPr>
      <w:r>
        <w:t>All of the information submitted to the regulators should be in English. It must be made available to the regulators (and their technical support contractors, as required), via the JPO.</w:t>
      </w:r>
    </w:p>
    <w:p w14:paraId="7EA1F2F6" w14:textId="13DA92BE" w:rsidR="00EE06B5" w:rsidRPr="0017761E" w:rsidRDefault="00EE06B5" w:rsidP="00037D99">
      <w:pPr>
        <w:pStyle w:val="ListParagraph"/>
      </w:pPr>
      <w:r>
        <w:t xml:space="preserve">The regulators require that all the information submitted should carry an appropriate protective marking. The RP should use a protective marking scheme consistent with </w:t>
      </w:r>
      <w:r w:rsidRPr="0017761E">
        <w:t>the Government Security Classifications</w:t>
      </w:r>
      <w:r w:rsidR="00A12B03">
        <w:t xml:space="preserve"> </w:t>
      </w:r>
      <w:sdt>
        <w:sdtPr>
          <w:id w:val="1268959492"/>
          <w:citation/>
        </w:sdtPr>
        <w:sdtEndPr/>
        <w:sdtContent>
          <w:r w:rsidR="00473F1F">
            <w:fldChar w:fldCharType="begin"/>
          </w:r>
          <w:r w:rsidR="00473F1F">
            <w:instrText xml:space="preserve"> CITATION HMG233 \l 2057 </w:instrText>
          </w:r>
          <w:r w:rsidR="00473F1F">
            <w:fldChar w:fldCharType="separate"/>
          </w:r>
          <w:r w:rsidR="00181C9E" w:rsidRPr="00181C9E">
            <w:rPr>
              <w:noProof/>
            </w:rPr>
            <w:t>[15]</w:t>
          </w:r>
          <w:r w:rsidR="00473F1F">
            <w:fldChar w:fldCharType="end"/>
          </w:r>
        </w:sdtContent>
      </w:sdt>
      <w:r w:rsidRPr="0017761E">
        <w:t xml:space="preserve">.  </w:t>
      </w:r>
    </w:p>
    <w:p w14:paraId="25F2CEFD" w14:textId="77777777" w:rsidR="00EE06B5" w:rsidRDefault="00EE06B5" w:rsidP="00037D99">
      <w:pPr>
        <w:pStyle w:val="ListParagraph"/>
      </w:pPr>
      <w:r>
        <w:t>Where the RP considers that certain information should be protected because it is Sensitive Nuclear Information (SNI) or commercially confidential, or for other reasons, it should clearly mark it accordingly, and also give the reasons for designating the information in this manner. The RP should avoid overprotecting information as this can complicate the process for handling and may cause delays.</w:t>
      </w:r>
    </w:p>
    <w:p w14:paraId="0151D9A9" w14:textId="77777777" w:rsidR="00037D99" w:rsidRDefault="00037D99" w:rsidP="00037D99">
      <w:pPr>
        <w:pStyle w:val="ListParagraph"/>
        <w:sectPr w:rsidR="00037D99" w:rsidSect="00EE06B5">
          <w:pgSz w:w="11906" w:h="16838" w:code="9"/>
          <w:pgMar w:top="1440" w:right="1440" w:bottom="1440" w:left="1440" w:header="397" w:footer="397" w:gutter="0"/>
          <w:cols w:space="312"/>
          <w:docGrid w:linePitch="360"/>
        </w:sectPr>
      </w:pPr>
    </w:p>
    <w:p w14:paraId="6EFB910E" w14:textId="2AEE6C05" w:rsidR="00EE06B5" w:rsidRDefault="00EE06B5" w:rsidP="00037D99">
      <w:pPr>
        <w:pStyle w:val="ListParagraph"/>
      </w:pPr>
      <w:r>
        <w:lastRenderedPageBreak/>
        <w:t xml:space="preserve">It is the responsibility of the RP to ensure that all necessary arrangements are in place to share any commercial information, intellectual property or information on the design or safety and security cases with the regulators (and their technical support contractors), as required for its assessment. </w:t>
      </w:r>
      <w:r w:rsidR="00037D99">
        <w:br/>
      </w:r>
      <w:r>
        <w:t>This includes securing all necessary export control licenses for the transfer of relevant information to and from the UK. Delays in doing so can directly impact on the timeliness of the regulators’ assessments.</w:t>
      </w:r>
    </w:p>
    <w:p w14:paraId="43F8BB6C" w14:textId="23B55120" w:rsidR="00EE06B5" w:rsidRPr="001C0825" w:rsidRDefault="00037D99" w:rsidP="00037D99">
      <w:pPr>
        <w:pStyle w:val="Heading2"/>
      </w:pPr>
      <w:r>
        <w:t>Meetings</w:t>
      </w:r>
    </w:p>
    <w:p w14:paraId="383B0975" w14:textId="6A8C7EEE" w:rsidR="00EE06B5" w:rsidRDefault="00EE06B5" w:rsidP="00037D99">
      <w:pPr>
        <w:pStyle w:val="ListParagraph"/>
      </w:pPr>
      <w:r>
        <w:t xml:space="preserve">Throughout the course of a GDA it is expected that there will be the requirement to undertake many technical, progress and project meetings. </w:t>
      </w:r>
      <w:r w:rsidR="00037D99">
        <w:br/>
      </w:r>
      <w:r>
        <w:t>A graded approach to meetings will be used, as specified as part of the interface arrangements. The regulators expect that the majority of such meetings should take place in GB, although meetings may be held abroad as dictated by the project’s needs, and with the agreement of the regulators.</w:t>
      </w:r>
    </w:p>
    <w:p w14:paraId="4BE6A492" w14:textId="77777777" w:rsidR="00EE06B5" w:rsidRDefault="00EE06B5" w:rsidP="00037D99">
      <w:pPr>
        <w:pStyle w:val="ListParagraph"/>
      </w:pPr>
      <w:r>
        <w:t>ONR may choose to bring our contractors to meetings with the RP. Similarly, the RP may bring third-parties to interactions with the regulators, as necessary.</w:t>
      </w:r>
    </w:p>
    <w:p w14:paraId="6A44516C" w14:textId="77777777" w:rsidR="00EE06B5" w:rsidRDefault="00EE06B5" w:rsidP="00037D99">
      <w:pPr>
        <w:pStyle w:val="ListParagraph"/>
      </w:pPr>
      <w:r>
        <w:t>The RP will also be required to agree, in Step 1, to use a Regulatory Nuclear Interface Protocol (RNIP) that addresses the essential values and behaviours expected in all interactions between the RP and the regulators. These values and behaviours facilitate the achievement of effective ways of working and are expected to apply throughout GDA.</w:t>
      </w:r>
    </w:p>
    <w:p w14:paraId="59F49B03" w14:textId="7A5002E8" w:rsidR="00EE06B5" w:rsidRPr="001C0825" w:rsidRDefault="00EE06B5" w:rsidP="00037D99">
      <w:pPr>
        <w:pStyle w:val="Heading2"/>
      </w:pPr>
      <w:bookmarkStart w:id="33" w:name="_Ref173241342"/>
      <w:r w:rsidRPr="001C0825">
        <w:t xml:space="preserve">Regulatory </w:t>
      </w:r>
      <w:r w:rsidR="00037D99">
        <w:t>q</w:t>
      </w:r>
      <w:r w:rsidRPr="001C0825">
        <w:t>uestions</w:t>
      </w:r>
      <w:bookmarkEnd w:id="33"/>
    </w:p>
    <w:p w14:paraId="17EBA8D2" w14:textId="77777777" w:rsidR="00EE06B5" w:rsidRDefault="00EE06B5" w:rsidP="00037D99">
      <w:pPr>
        <w:pStyle w:val="ListParagraph"/>
      </w:pPr>
      <w:r>
        <w:t>Regulatory questions will arise throughout the GDA process. A management system for handling such questions will be agreed with the RP and set out in the interface arrangements. This will use a tiered approach as follows:</w:t>
      </w:r>
    </w:p>
    <w:p w14:paraId="46B834E3" w14:textId="77777777" w:rsidR="00EE06B5" w:rsidRDefault="00EE06B5" w:rsidP="00037D99">
      <w:pPr>
        <w:pStyle w:val="Bulletlist1"/>
      </w:pPr>
      <w:r>
        <w:t>Regulatory Query (RQ) – requests by the regulators for clarification and additional information and are not necessarily indicative of any perceived shortfall.</w:t>
      </w:r>
    </w:p>
    <w:p w14:paraId="23D1D5F0" w14:textId="77777777" w:rsidR="00EE06B5" w:rsidRDefault="00EE06B5" w:rsidP="00037D99">
      <w:pPr>
        <w:pStyle w:val="Bulletlist1"/>
      </w:pPr>
      <w:r>
        <w:t>Regulatory Observation (RO) – raised when the regulators identify a potential regulatory shortfall which requires action and new work by the RP for it to be resolved. Each RO can have several associated actions.</w:t>
      </w:r>
    </w:p>
    <w:p w14:paraId="44091A20" w14:textId="4AF6D710" w:rsidR="00EE06B5" w:rsidRDefault="00EE06B5" w:rsidP="00037D99">
      <w:pPr>
        <w:pStyle w:val="Bulletlist1"/>
      </w:pPr>
      <w:r>
        <w:t xml:space="preserve">Regulatory Issue (RI) – raised when the regulators identify a serious regulatory shortfall which has the potential to prevent provision of a DAC (or </w:t>
      </w:r>
      <w:r w:rsidR="007667A7">
        <w:t xml:space="preserve">a </w:t>
      </w:r>
      <w:proofErr w:type="spellStart"/>
      <w:r>
        <w:t>SoDA</w:t>
      </w:r>
      <w:proofErr w:type="spellEnd"/>
      <w:r>
        <w:t xml:space="preserve"> from the Environment Agency), and requires action and new work by the RP for it to be resolved. Each RI can have several associated actions.</w:t>
      </w:r>
    </w:p>
    <w:p w14:paraId="2C3C1179" w14:textId="77777777" w:rsidR="00EE06B5" w:rsidRDefault="00EE06B5" w:rsidP="00037D99">
      <w:pPr>
        <w:pStyle w:val="ListParagraph"/>
      </w:pPr>
      <w:r>
        <w:lastRenderedPageBreak/>
        <w:t>It is possible that a question raised as an RQ could escalate to an RO or to an RI if it is not satisfactorily addressed by the RP. This does not mean that all potential or identified shortfalls will be escalated in this manner, and shortfalls may instead be raised directly as an RO or RI depending on their significance.</w:t>
      </w:r>
    </w:p>
    <w:p w14:paraId="17770C40" w14:textId="600369BB" w:rsidR="00EE06B5" w:rsidRDefault="00EE06B5" w:rsidP="00037D99">
      <w:pPr>
        <w:pStyle w:val="ListParagraph"/>
      </w:pPr>
      <w:r>
        <w:t xml:space="preserve">The RP will need to submit resolution plans in response to ROs and RIs </w:t>
      </w:r>
      <w:r w:rsidR="00C472E7">
        <w:br/>
      </w:r>
      <w:r>
        <w:t xml:space="preserve">(and to GDA issues). The resolution plans should set out the work the RP intends to do to address the matters identified, define how long this work is expected to take and should recognise any work required to update the GDA submissions (including the DR and generic safety and security cases). Resolution plan contents will vary but will need to have sufficient detail to satisfy ONR that all relevant aspects can be addressed within the timeframe identified. However, the work and timeframe set out in a resolution plan should be treated as indicative since the RP may subsequently choose to adopt an alternative approach to achieving an acceptable safety and/or security outcome. </w:t>
      </w:r>
    </w:p>
    <w:p w14:paraId="4D1DBD0E" w14:textId="77777777" w:rsidR="00EE06B5" w:rsidRPr="001C0825" w:rsidRDefault="00EE06B5" w:rsidP="00037D99">
      <w:pPr>
        <w:pStyle w:val="Heading2"/>
      </w:pPr>
      <w:bookmarkStart w:id="34" w:name="_Ref173226987"/>
      <w:r w:rsidRPr="001C0825">
        <w:t>Openness, transparency, progress reporting and public Involvement</w:t>
      </w:r>
      <w:bookmarkEnd w:id="34"/>
      <w:r w:rsidRPr="001C0825">
        <w:t xml:space="preserve"> </w:t>
      </w:r>
    </w:p>
    <w:p w14:paraId="08EA98B5" w14:textId="6BC0655F" w:rsidR="00EE06B5" w:rsidRDefault="00EE06B5" w:rsidP="00037D99">
      <w:pPr>
        <w:pStyle w:val="ListParagraph"/>
      </w:pPr>
      <w:r>
        <w:t xml:space="preserve">Consistent with ONR’s commitment to openness and transparency in its decision-making process, progress updates will be issued during GDA. </w:t>
      </w:r>
      <w:r w:rsidR="00C472E7">
        <w:br/>
      </w:r>
      <w:r>
        <w:t>In addition, the regulators will publish their ROs, RIs, assessment reports and other associated documentation at appropriate points. Inevitably, these will contain some technical details, but commercial and security related information will be redacted.</w:t>
      </w:r>
    </w:p>
    <w:p w14:paraId="2AF10A55" w14:textId="77777777" w:rsidR="00EE06B5" w:rsidRDefault="00EE06B5" w:rsidP="00037D99">
      <w:pPr>
        <w:pStyle w:val="ListParagraph"/>
      </w:pPr>
      <w:r>
        <w:t xml:space="preserve">Arrangements will be agreed between the regulators and the RP, during Step 1, to enable the public to view information on the design, safety, security and environment protection cases (with the exception of commercially confidential and security sensitive information) on a website hosted by the RP. This will include the opportunity for the public to comment to the RP on that information, who will be expected to respond to any relevant issues raised. The regulators will give due consideration to relevant issues that are raised in the public comments process and to the RP's responses, but will remain wholly responsible for decisions on the acceptability or otherwise of the design put forward by the RP. </w:t>
      </w:r>
    </w:p>
    <w:p w14:paraId="4000DF21" w14:textId="468E740B" w:rsidR="00037D99" w:rsidRDefault="00EE06B5" w:rsidP="00037D99">
      <w:pPr>
        <w:pStyle w:val="ListParagraph"/>
        <w:sectPr w:rsidR="00037D99" w:rsidSect="00EE06B5">
          <w:pgSz w:w="11906" w:h="16838" w:code="9"/>
          <w:pgMar w:top="1440" w:right="1440" w:bottom="1440" w:left="1440" w:header="397" w:footer="397" w:gutter="0"/>
          <w:cols w:space="312"/>
          <w:docGrid w:linePitch="360"/>
        </w:sectPr>
      </w:pPr>
      <w:r>
        <w:t xml:space="preserve">The regulators also have duties to provide information to the public when requested to do so </w:t>
      </w:r>
      <w:r w:rsidRPr="0017761E">
        <w:t xml:space="preserve">under the Freedom of Information Act 2000 </w:t>
      </w:r>
      <w:r w:rsidR="007354B4">
        <w:t>A</w:t>
      </w:r>
      <w:r w:rsidRPr="0017761E">
        <w:t xml:space="preserve">nd the Environmental Information Regulations 2004 </w:t>
      </w:r>
      <w:sdt>
        <w:sdtPr>
          <w:id w:val="-2096231200"/>
          <w:citation/>
        </w:sdtPr>
        <w:sdtEndPr/>
        <w:sdtContent>
          <w:r w:rsidR="007354B4">
            <w:fldChar w:fldCharType="begin"/>
          </w:r>
          <w:r w:rsidR="007354B4">
            <w:instrText xml:space="preserve"> CITATION ONR17 \l 2057 </w:instrText>
          </w:r>
          <w:r w:rsidR="007354B4">
            <w:fldChar w:fldCharType="separate"/>
          </w:r>
          <w:r w:rsidR="00181C9E" w:rsidRPr="00181C9E">
            <w:rPr>
              <w:noProof/>
            </w:rPr>
            <w:t>[16]</w:t>
          </w:r>
          <w:r w:rsidR="007354B4">
            <w:fldChar w:fldCharType="end"/>
          </w:r>
        </w:sdtContent>
      </w:sdt>
      <w:r w:rsidRPr="0017761E">
        <w:t>. Even if the information is protectively marked,</w:t>
      </w:r>
      <w:r>
        <w:t xml:space="preserve"> the regulators will still be obliged to consider whether it is in the public interest for it to be released.</w:t>
      </w:r>
    </w:p>
    <w:p w14:paraId="6B2F75CA" w14:textId="471EC533" w:rsidR="007A54B0" w:rsidRDefault="00037D99" w:rsidP="00037D99">
      <w:pPr>
        <w:pStyle w:val="Heading1"/>
        <w:numPr>
          <w:ilvl w:val="0"/>
          <w:numId w:val="0"/>
        </w:numPr>
        <w:ind w:left="851" w:hanging="851"/>
      </w:pPr>
      <w:bookmarkStart w:id="35" w:name="_Appendix_1_–"/>
      <w:bookmarkStart w:id="36" w:name="_Toc173242846"/>
      <w:bookmarkEnd w:id="35"/>
      <w:r>
        <w:lastRenderedPageBreak/>
        <w:t>Appendix 1 – The GDA process</w:t>
      </w:r>
      <w:bookmarkEnd w:id="36"/>
    </w:p>
    <w:p w14:paraId="0054A190" w14:textId="77777777" w:rsidR="00037D99" w:rsidRDefault="00037D99" w:rsidP="00037D99">
      <w:pPr>
        <w:jc w:val="center"/>
        <w:sectPr w:rsidR="00037D99" w:rsidSect="00037D99">
          <w:pgSz w:w="16838" w:h="11906" w:orient="landscape" w:code="9"/>
          <w:pgMar w:top="1440" w:right="1440" w:bottom="1440" w:left="1440" w:header="397" w:footer="397" w:gutter="0"/>
          <w:cols w:space="312"/>
          <w:docGrid w:linePitch="360"/>
        </w:sectPr>
      </w:pPr>
      <w:r>
        <w:rPr>
          <w:noProof/>
          <w:lang w:val="fr-FR"/>
        </w:rPr>
        <w:drawing>
          <wp:inline distT="0" distB="0" distL="0" distR="0" wp14:anchorId="747CABFE" wp14:editId="7D4720D3">
            <wp:extent cx="7440771" cy="4924425"/>
            <wp:effectExtent l="0" t="0" r="8255" b="0"/>
            <wp:docPr id="35" name="Picture 35" descr="Image of the GDA process, showing the three steps of th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the GDA process, showing the three steps of the assess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49161" cy="4929977"/>
                    </a:xfrm>
                    <a:prstGeom prst="rect">
                      <a:avLst/>
                    </a:prstGeom>
                    <a:noFill/>
                  </pic:spPr>
                </pic:pic>
              </a:graphicData>
            </a:graphic>
          </wp:inline>
        </w:drawing>
      </w:r>
    </w:p>
    <w:p w14:paraId="04170F21" w14:textId="4F58EDE0" w:rsidR="00037D99" w:rsidRDefault="00037D99" w:rsidP="00037D99">
      <w:pPr>
        <w:pStyle w:val="Heading1"/>
        <w:numPr>
          <w:ilvl w:val="0"/>
          <w:numId w:val="0"/>
        </w:numPr>
        <w:ind w:left="851" w:hanging="851"/>
      </w:pPr>
      <w:bookmarkStart w:id="37" w:name="_Appendix_2_–"/>
      <w:bookmarkStart w:id="38" w:name="_Toc173242847"/>
      <w:bookmarkEnd w:id="37"/>
      <w:r>
        <w:lastRenderedPageBreak/>
        <w:t>Appendix 2 – Step 1: Initiation</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016"/>
      </w:tblGrid>
      <w:tr w:rsidR="00C02C0B" w:rsidRPr="00C02C0B" w14:paraId="4CD79A32" w14:textId="77777777" w:rsidTr="00C02C0B">
        <w:tc>
          <w:tcPr>
            <w:tcW w:w="9016" w:type="dxa"/>
            <w:shd w:val="clear" w:color="auto" w:fill="007C6D"/>
          </w:tcPr>
          <w:p w14:paraId="5A781C04" w14:textId="77777777" w:rsidR="00C02C0B" w:rsidRPr="00C02C0B" w:rsidRDefault="00C02C0B" w:rsidP="00005841">
            <w:pPr>
              <w:pStyle w:val="TSNumberedParagraph11"/>
              <w:numPr>
                <w:ilvl w:val="0"/>
                <w:numId w:val="0"/>
              </w:numPr>
              <w:spacing w:after="0"/>
              <w:rPr>
                <w:b/>
                <w:color w:val="FFFFFF"/>
                <w:sz w:val="24"/>
              </w:rPr>
            </w:pPr>
            <w:r w:rsidRPr="00C02C0B">
              <w:rPr>
                <w:b/>
                <w:color w:val="FFFFFF"/>
                <w:sz w:val="24"/>
              </w:rPr>
              <w:t>Description</w:t>
            </w:r>
          </w:p>
        </w:tc>
      </w:tr>
      <w:tr w:rsidR="00C02C0B" w:rsidRPr="00C02C0B" w14:paraId="60FBDD32" w14:textId="77777777" w:rsidTr="00C02C0B">
        <w:tc>
          <w:tcPr>
            <w:tcW w:w="9016" w:type="dxa"/>
            <w:shd w:val="clear" w:color="auto" w:fill="auto"/>
          </w:tcPr>
          <w:p w14:paraId="06435AB7" w14:textId="77777777" w:rsidR="00C02C0B" w:rsidRPr="00C02C0B" w:rsidRDefault="00C02C0B" w:rsidP="00005841">
            <w:pPr>
              <w:pStyle w:val="TSNumberedParagraph11"/>
              <w:numPr>
                <w:ilvl w:val="0"/>
                <w:numId w:val="0"/>
              </w:numPr>
              <w:spacing w:after="120"/>
              <w:rPr>
                <w:sz w:val="24"/>
              </w:rPr>
            </w:pPr>
            <w:r w:rsidRPr="00C02C0B">
              <w:rPr>
                <w:sz w:val="24"/>
              </w:rPr>
              <w:t>Step 1 is the project initiation part of the design assessment process. This will involve the RP establishing its project management and technical teams, its arrangements for undertaking a GDA and preparing and submitting submissions during Step 1 and for the commencement of Step 2. It will also involve discussions between the RP and ONR to ensure a full understanding of the requirements and processes that will be applied, in particular if gaps are evident in meeting regulatory expectations and what will be done to resolve them.</w:t>
            </w:r>
          </w:p>
        </w:tc>
      </w:tr>
      <w:tr w:rsidR="00C02C0B" w:rsidRPr="00C02C0B" w14:paraId="719B52D5" w14:textId="77777777" w:rsidTr="00C02C0B">
        <w:tc>
          <w:tcPr>
            <w:tcW w:w="9016" w:type="dxa"/>
            <w:shd w:val="clear" w:color="auto" w:fill="98C030"/>
          </w:tcPr>
          <w:p w14:paraId="3961A247" w14:textId="77777777" w:rsidR="00C02C0B" w:rsidRPr="00C02C0B" w:rsidRDefault="00C02C0B" w:rsidP="00005841">
            <w:pPr>
              <w:pStyle w:val="TSNumberedParagraph11"/>
              <w:numPr>
                <w:ilvl w:val="0"/>
                <w:numId w:val="0"/>
              </w:numPr>
              <w:spacing w:after="0"/>
              <w:rPr>
                <w:b/>
                <w:color w:val="FFFFFF"/>
                <w:sz w:val="24"/>
              </w:rPr>
            </w:pPr>
            <w:r w:rsidRPr="006D6707">
              <w:rPr>
                <w:b/>
                <w:sz w:val="24"/>
              </w:rPr>
              <w:t>Objective</w:t>
            </w:r>
          </w:p>
        </w:tc>
      </w:tr>
      <w:tr w:rsidR="00C02C0B" w:rsidRPr="00C02C0B" w14:paraId="323B7DCD" w14:textId="77777777" w:rsidTr="00C02C0B">
        <w:tc>
          <w:tcPr>
            <w:tcW w:w="9016" w:type="dxa"/>
            <w:shd w:val="clear" w:color="auto" w:fill="auto"/>
          </w:tcPr>
          <w:p w14:paraId="6EC5BBCC" w14:textId="77777777" w:rsidR="00C02C0B" w:rsidRPr="00C02C0B" w:rsidRDefault="00C02C0B" w:rsidP="00005841">
            <w:pPr>
              <w:pStyle w:val="TSNumberedParagraph11"/>
              <w:numPr>
                <w:ilvl w:val="0"/>
                <w:numId w:val="0"/>
              </w:numPr>
              <w:spacing w:after="120"/>
              <w:rPr>
                <w:sz w:val="24"/>
              </w:rPr>
            </w:pPr>
            <w:r w:rsidRPr="00C02C0B">
              <w:rPr>
                <w:sz w:val="24"/>
              </w:rPr>
              <w:t>The objectives for Step 1 are for ONR and the RP to agree:</w:t>
            </w:r>
          </w:p>
          <w:p w14:paraId="32C27C38" w14:textId="77777777" w:rsidR="00C02C0B" w:rsidRPr="00C02C0B" w:rsidRDefault="00C02C0B" w:rsidP="00071C2C">
            <w:pPr>
              <w:pStyle w:val="TSNumberedParagraph11"/>
              <w:numPr>
                <w:ilvl w:val="0"/>
                <w:numId w:val="8"/>
              </w:numPr>
              <w:spacing w:after="120"/>
              <w:rPr>
                <w:sz w:val="24"/>
              </w:rPr>
            </w:pPr>
            <w:r w:rsidRPr="00C02C0B">
              <w:rPr>
                <w:sz w:val="24"/>
              </w:rPr>
              <w:t>the GDA scope</w:t>
            </w:r>
          </w:p>
          <w:p w14:paraId="6A24349A" w14:textId="77777777" w:rsidR="00C02C0B" w:rsidRPr="00C02C0B" w:rsidRDefault="00C02C0B" w:rsidP="00071C2C">
            <w:pPr>
              <w:pStyle w:val="TSNumberedParagraph11"/>
              <w:numPr>
                <w:ilvl w:val="0"/>
                <w:numId w:val="8"/>
              </w:numPr>
              <w:spacing w:after="120"/>
              <w:rPr>
                <w:sz w:val="24"/>
              </w:rPr>
            </w:pPr>
            <w:r w:rsidRPr="00C02C0B">
              <w:rPr>
                <w:sz w:val="24"/>
              </w:rPr>
              <w:t>the documentary basis for the generic safety and security cases that will be submitted for assessment throughout GDA</w:t>
            </w:r>
          </w:p>
          <w:p w14:paraId="0A02E3FF" w14:textId="77777777" w:rsidR="00C02C0B" w:rsidRPr="00C02C0B" w:rsidRDefault="00C02C0B" w:rsidP="00071C2C">
            <w:pPr>
              <w:pStyle w:val="TSNumberedParagraph11"/>
              <w:numPr>
                <w:ilvl w:val="0"/>
                <w:numId w:val="8"/>
              </w:numPr>
              <w:spacing w:after="120"/>
              <w:rPr>
                <w:sz w:val="24"/>
              </w:rPr>
            </w:pPr>
            <w:r w:rsidRPr="00C02C0B">
              <w:rPr>
                <w:sz w:val="24"/>
              </w:rPr>
              <w:t>the gaps that have been identified by the RP in meeting regulatory expectations and the resolution plans for how these may be resolved</w:t>
            </w:r>
          </w:p>
          <w:p w14:paraId="2BF15E44" w14:textId="77777777" w:rsidR="00C02C0B" w:rsidRPr="00C02C0B" w:rsidRDefault="00C02C0B" w:rsidP="00071C2C">
            <w:pPr>
              <w:pStyle w:val="TSNumberedParagraph11"/>
              <w:numPr>
                <w:ilvl w:val="0"/>
                <w:numId w:val="8"/>
              </w:numPr>
              <w:spacing w:after="120"/>
              <w:rPr>
                <w:sz w:val="24"/>
              </w:rPr>
            </w:pPr>
            <w:r w:rsidRPr="00C02C0B">
              <w:rPr>
                <w:sz w:val="24"/>
              </w:rPr>
              <w:t>the RP’s arrangements necessary to undertake the GDA</w:t>
            </w:r>
          </w:p>
          <w:p w14:paraId="65BA2C1F" w14:textId="77777777" w:rsidR="00C02C0B" w:rsidRPr="00C02C0B" w:rsidRDefault="00C02C0B" w:rsidP="00071C2C">
            <w:pPr>
              <w:pStyle w:val="TSNumberedParagraph11"/>
              <w:numPr>
                <w:ilvl w:val="0"/>
                <w:numId w:val="8"/>
              </w:numPr>
              <w:spacing w:after="120"/>
              <w:rPr>
                <w:sz w:val="24"/>
              </w:rPr>
            </w:pPr>
            <w:r w:rsidRPr="00C02C0B">
              <w:rPr>
                <w:sz w:val="24"/>
              </w:rPr>
              <w:t>the schedule and associated programme for subsequent steps</w:t>
            </w:r>
          </w:p>
        </w:tc>
      </w:tr>
      <w:tr w:rsidR="00C02C0B" w:rsidRPr="00C02C0B" w14:paraId="0CB74A5B" w14:textId="77777777" w:rsidTr="00C02C0B">
        <w:tc>
          <w:tcPr>
            <w:tcW w:w="9016" w:type="dxa"/>
            <w:shd w:val="clear" w:color="auto" w:fill="EA5B0C"/>
          </w:tcPr>
          <w:p w14:paraId="2F55E176" w14:textId="77777777" w:rsidR="00C02C0B" w:rsidRPr="00C02C0B" w:rsidRDefault="00C02C0B" w:rsidP="00005841">
            <w:pPr>
              <w:pStyle w:val="TSNumberedParagraph11"/>
              <w:numPr>
                <w:ilvl w:val="0"/>
                <w:numId w:val="0"/>
              </w:numPr>
              <w:spacing w:after="0"/>
              <w:rPr>
                <w:b/>
                <w:color w:val="FFFFFF"/>
                <w:sz w:val="24"/>
              </w:rPr>
            </w:pPr>
            <w:r w:rsidRPr="006D6707">
              <w:rPr>
                <w:b/>
                <w:sz w:val="24"/>
              </w:rPr>
              <w:t>Prerequisites</w:t>
            </w:r>
          </w:p>
        </w:tc>
      </w:tr>
      <w:tr w:rsidR="00C02C0B" w:rsidRPr="00C02C0B" w14:paraId="01204512" w14:textId="77777777" w:rsidTr="00C02C0B">
        <w:tc>
          <w:tcPr>
            <w:tcW w:w="9016" w:type="dxa"/>
            <w:shd w:val="clear" w:color="auto" w:fill="auto"/>
          </w:tcPr>
          <w:p w14:paraId="6EAC3A68" w14:textId="77777777" w:rsidR="00C02C0B" w:rsidRPr="00C02C0B" w:rsidRDefault="00C02C0B" w:rsidP="00005841">
            <w:pPr>
              <w:pStyle w:val="TSNumberedParagraph11"/>
              <w:numPr>
                <w:ilvl w:val="0"/>
                <w:numId w:val="0"/>
              </w:numPr>
              <w:spacing w:after="120"/>
              <w:rPr>
                <w:sz w:val="24"/>
              </w:rPr>
            </w:pPr>
            <w:r w:rsidRPr="00C02C0B">
              <w:rPr>
                <w:sz w:val="24"/>
              </w:rPr>
              <w:t>In order to start Step 1 it is necessary for:</w:t>
            </w:r>
          </w:p>
          <w:p w14:paraId="60498E35" w14:textId="77777777" w:rsidR="00C02C0B" w:rsidRPr="00C02C0B" w:rsidRDefault="00C02C0B" w:rsidP="00071C2C">
            <w:pPr>
              <w:pStyle w:val="TSNumberedParagraph11"/>
              <w:numPr>
                <w:ilvl w:val="0"/>
                <w:numId w:val="9"/>
              </w:numPr>
              <w:spacing w:after="120"/>
              <w:rPr>
                <w:sz w:val="24"/>
              </w:rPr>
            </w:pPr>
            <w:r w:rsidRPr="00C02C0B">
              <w:rPr>
                <w:sz w:val="24"/>
              </w:rPr>
              <w:t>ONR and the RP to have signed a cost recovery agreement</w:t>
            </w:r>
          </w:p>
          <w:p w14:paraId="00E16CC9" w14:textId="77777777" w:rsidR="00C02C0B" w:rsidRPr="00C02C0B" w:rsidRDefault="00C02C0B" w:rsidP="00071C2C">
            <w:pPr>
              <w:pStyle w:val="TSNumberedParagraph11"/>
              <w:numPr>
                <w:ilvl w:val="0"/>
                <w:numId w:val="9"/>
              </w:numPr>
              <w:spacing w:after="120"/>
              <w:rPr>
                <w:sz w:val="24"/>
              </w:rPr>
            </w:pPr>
            <w:r w:rsidRPr="00C02C0B">
              <w:rPr>
                <w:sz w:val="24"/>
              </w:rPr>
              <w:t>ONR to obtain confirmation that the required GTGAs are in place</w:t>
            </w:r>
          </w:p>
          <w:p w14:paraId="63171337" w14:textId="77777777" w:rsidR="00C02C0B" w:rsidRPr="00C02C0B" w:rsidRDefault="00C02C0B" w:rsidP="00071C2C">
            <w:pPr>
              <w:pStyle w:val="TSNumberedParagraph11"/>
              <w:numPr>
                <w:ilvl w:val="0"/>
                <w:numId w:val="9"/>
              </w:numPr>
              <w:spacing w:after="120"/>
              <w:rPr>
                <w:sz w:val="24"/>
              </w:rPr>
            </w:pPr>
            <w:r w:rsidRPr="00C02C0B">
              <w:rPr>
                <w:sz w:val="24"/>
              </w:rPr>
              <w:t xml:space="preserve">ONR to have received a request from DESNZ to begin a GDA on the design proposed by the RP </w:t>
            </w:r>
          </w:p>
          <w:p w14:paraId="074907AA" w14:textId="77777777" w:rsidR="00C02C0B" w:rsidRPr="00C02C0B" w:rsidRDefault="00C02C0B" w:rsidP="00071C2C">
            <w:pPr>
              <w:pStyle w:val="TSNumberedParagraph11"/>
              <w:numPr>
                <w:ilvl w:val="0"/>
                <w:numId w:val="9"/>
              </w:numPr>
              <w:spacing w:after="120"/>
              <w:rPr>
                <w:sz w:val="24"/>
              </w:rPr>
            </w:pPr>
            <w:r w:rsidRPr="00C02C0B">
              <w:rPr>
                <w:sz w:val="24"/>
              </w:rPr>
              <w:t>ONR to have mobilised sufficient management, assessment and JPO resource</w:t>
            </w:r>
          </w:p>
          <w:p w14:paraId="17B7CC2B" w14:textId="77777777" w:rsidR="00C02C0B" w:rsidRPr="00C02C0B" w:rsidRDefault="00C02C0B" w:rsidP="00071C2C">
            <w:pPr>
              <w:pStyle w:val="TSNumberedParagraph11"/>
              <w:numPr>
                <w:ilvl w:val="0"/>
                <w:numId w:val="9"/>
              </w:numPr>
              <w:spacing w:after="120"/>
              <w:rPr>
                <w:sz w:val="24"/>
              </w:rPr>
            </w:pPr>
            <w:r w:rsidRPr="00C02C0B">
              <w:rPr>
                <w:sz w:val="24"/>
              </w:rPr>
              <w:t>ONR to publish a statement indicating that it has decided to start a GDA for the proposed design</w:t>
            </w:r>
          </w:p>
        </w:tc>
      </w:tr>
      <w:tr w:rsidR="00C02C0B" w:rsidRPr="00C02C0B" w14:paraId="6B720AB5" w14:textId="77777777" w:rsidTr="00C02C0B">
        <w:tc>
          <w:tcPr>
            <w:tcW w:w="9016" w:type="dxa"/>
            <w:shd w:val="clear" w:color="auto" w:fill="AE136E"/>
          </w:tcPr>
          <w:p w14:paraId="4E0686E6" w14:textId="77777777" w:rsidR="00C02C0B" w:rsidRPr="00C02C0B" w:rsidRDefault="00C02C0B" w:rsidP="00005841">
            <w:pPr>
              <w:pStyle w:val="TSNumberedParagraph11"/>
              <w:numPr>
                <w:ilvl w:val="0"/>
                <w:numId w:val="0"/>
              </w:numPr>
              <w:spacing w:after="0"/>
              <w:rPr>
                <w:b/>
                <w:color w:val="FFFFFF"/>
                <w:sz w:val="24"/>
              </w:rPr>
            </w:pPr>
            <w:r w:rsidRPr="00C02C0B">
              <w:rPr>
                <w:b/>
                <w:color w:val="FFFFFF"/>
                <w:sz w:val="24"/>
              </w:rPr>
              <w:t>The RP is required to, during the step</w:t>
            </w:r>
          </w:p>
        </w:tc>
      </w:tr>
      <w:tr w:rsidR="00C02C0B" w:rsidRPr="00C02C0B" w14:paraId="6E7E6BC5" w14:textId="77777777" w:rsidTr="00C02C0B">
        <w:tc>
          <w:tcPr>
            <w:tcW w:w="9016" w:type="dxa"/>
            <w:shd w:val="clear" w:color="auto" w:fill="auto"/>
          </w:tcPr>
          <w:p w14:paraId="1111AF4D"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Agree with ONR</w:t>
            </w:r>
            <w:r w:rsidRPr="00C02C0B">
              <w:rPr>
                <w:sz w:val="24"/>
              </w:rPr>
              <w:t xml:space="preserve"> interface arrangements to be applied throughout GDA</w:t>
            </w:r>
          </w:p>
          <w:p w14:paraId="6E7EE606"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Agree with ONR</w:t>
            </w:r>
            <w:r w:rsidRPr="00C02C0B">
              <w:rPr>
                <w:sz w:val="24"/>
              </w:rPr>
              <w:t xml:space="preserve"> the GDA scope, to ensure that the assessment is meaningful </w:t>
            </w:r>
          </w:p>
          <w:p w14:paraId="154B7835"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Agree with ONR</w:t>
            </w:r>
            <w:r w:rsidRPr="00C02C0B">
              <w:rPr>
                <w:sz w:val="24"/>
              </w:rPr>
              <w:t xml:space="preserve"> the overall GDA timescales and associated schedule, including subsequent steps</w:t>
            </w:r>
          </w:p>
          <w:p w14:paraId="0B4F3ED5"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Put arrangements in place</w:t>
            </w:r>
            <w:r w:rsidRPr="00C02C0B">
              <w:rPr>
                <w:sz w:val="24"/>
              </w:rPr>
              <w:t xml:space="preserve"> to ensure that ONR will have full access to any commercially confidential information necessary for it to complete its assessments at each step; this must also include relevant commercial </w:t>
            </w:r>
            <w:r w:rsidRPr="00C02C0B">
              <w:rPr>
                <w:sz w:val="24"/>
              </w:rPr>
              <w:lastRenderedPageBreak/>
              <w:t xml:space="preserve">information which is the property of third parties. ONR expects this information to be made available in ONR’s offices </w:t>
            </w:r>
          </w:p>
          <w:p w14:paraId="7A2A1FFB"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Put arrangements in place</w:t>
            </w:r>
            <w:r w:rsidRPr="00C02C0B">
              <w:rPr>
                <w:sz w:val="24"/>
              </w:rPr>
              <w:t xml:space="preserve"> for handling and protecting security marked documentation, including identifying any SNI. ONR expects the RP’s document classification scheme to be compatible with the Government Security Classifications (Ref. 18) </w:t>
            </w:r>
          </w:p>
          <w:p w14:paraId="3D19DFA3"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Obtain</w:t>
            </w:r>
            <w:r w:rsidRPr="00C02C0B">
              <w:rPr>
                <w:sz w:val="24"/>
              </w:rPr>
              <w:t xml:space="preserve"> all necessary personnel security clearances for all staff who will be supporting GDA</w:t>
            </w:r>
          </w:p>
          <w:p w14:paraId="24A54902"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Obtain</w:t>
            </w:r>
            <w:r w:rsidRPr="00C02C0B">
              <w:rPr>
                <w:sz w:val="24"/>
              </w:rPr>
              <w:t xml:space="preserve"> all necessary export licenses to ensure that information can be transferred to and from the UK, and other relevant countries where information transfer is necessary as part of GDA</w:t>
            </w:r>
          </w:p>
          <w:p w14:paraId="73EE8E91"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Submit to ONR</w:t>
            </w:r>
            <w:r w:rsidRPr="00C02C0B">
              <w:rPr>
                <w:sz w:val="24"/>
              </w:rPr>
              <w:t xml:space="preserve"> design familiarisation information. This should include sufficient information to provide ONR with an overall understanding of the safety and security of the proposed design, in line with the agreed scope for GDA. This should also include information on the current status of the design and the identification of any aspects where development is still required, alongside an indication of what this may entail and likely timescales. The RP should identify any distinguishing features of the design</w:t>
            </w:r>
          </w:p>
          <w:p w14:paraId="21E03D66"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Submit to ONR</w:t>
            </w:r>
            <w:r w:rsidRPr="00C02C0B">
              <w:rPr>
                <w:sz w:val="24"/>
              </w:rPr>
              <w:t xml:space="preserve"> information on assessments performed by other regulators on the proposed design, including the current status of any reviews, any findings and any changes made or proposed as a result, including a judgement on their significance</w:t>
            </w:r>
          </w:p>
          <w:p w14:paraId="32A03B1C"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Submit to ONR</w:t>
            </w:r>
            <w:r w:rsidRPr="00C02C0B">
              <w:rPr>
                <w:sz w:val="24"/>
              </w:rPr>
              <w:t xml:space="preserve"> a description of the fundamental design philosophy and identification of the main safety and security claims including identification of hazards, control measures and protection systems </w:t>
            </w:r>
          </w:p>
          <w:p w14:paraId="48087ED5"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Submit to ONR</w:t>
            </w:r>
            <w:r w:rsidRPr="00C02C0B">
              <w:rPr>
                <w:sz w:val="24"/>
              </w:rPr>
              <w:t xml:space="preserve"> a description of the process being adopted by the RP to demonstrate compliance with the legal duty to ensure that the risks to human health arising from the operation of a power station based on the proposed design are reduced to ALARP</w:t>
            </w:r>
          </w:p>
          <w:p w14:paraId="08F68D2B"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 xml:space="preserve">Submit to ONR </w:t>
            </w:r>
            <w:r w:rsidRPr="00C02C0B">
              <w:rPr>
                <w:sz w:val="24"/>
              </w:rPr>
              <w:t>a description of the process being adopted by the RP to demonstrate compliance with the requirements of the Nuclear Industries Security Regulations (NISR)</w:t>
            </w:r>
          </w:p>
          <w:p w14:paraId="759271A6"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Submit to ONR</w:t>
            </w:r>
            <w:r w:rsidRPr="00C02C0B">
              <w:rPr>
                <w:sz w:val="24"/>
              </w:rPr>
              <w:t xml:space="preserve"> evidence of the RP’s understanding of the nuclear regulatory framework and regulatory principles and how these have been (or will be) considered as part of the design and generic safety and security cases for the proposed design. This should include matters such as: </w:t>
            </w:r>
          </w:p>
          <w:p w14:paraId="0E1EF501" w14:textId="77777777" w:rsidR="00C02C0B" w:rsidRPr="00C02C0B" w:rsidRDefault="00C02C0B" w:rsidP="00071C2C">
            <w:pPr>
              <w:pStyle w:val="TSNumberedParagraph11"/>
              <w:numPr>
                <w:ilvl w:val="1"/>
                <w:numId w:val="10"/>
              </w:numPr>
              <w:spacing w:after="120"/>
              <w:rPr>
                <w:sz w:val="24"/>
              </w:rPr>
            </w:pPr>
            <w:r w:rsidRPr="00C02C0B">
              <w:rPr>
                <w:sz w:val="24"/>
              </w:rPr>
              <w:t>the approach to categorisation of safety functions and classification of structures, systems and components</w:t>
            </w:r>
          </w:p>
          <w:p w14:paraId="54A9D90A" w14:textId="77777777" w:rsidR="00C02C0B" w:rsidRPr="00C02C0B" w:rsidRDefault="00C02C0B" w:rsidP="00071C2C">
            <w:pPr>
              <w:pStyle w:val="TSNumberedParagraph11"/>
              <w:numPr>
                <w:ilvl w:val="1"/>
                <w:numId w:val="10"/>
              </w:numPr>
              <w:spacing w:after="120"/>
              <w:rPr>
                <w:sz w:val="24"/>
              </w:rPr>
            </w:pPr>
            <w:r w:rsidRPr="00C02C0B">
              <w:rPr>
                <w:sz w:val="24"/>
              </w:rPr>
              <w:t>the development of a schedule of faults (including internal events and internal and external hazards), including protection and mitigation measures and the links this has to the associated engineering</w:t>
            </w:r>
          </w:p>
          <w:p w14:paraId="12F83EE2" w14:textId="77777777" w:rsidR="00C02C0B" w:rsidRPr="00C02C0B" w:rsidRDefault="00C02C0B" w:rsidP="00071C2C">
            <w:pPr>
              <w:pStyle w:val="TSNumberedParagraph11"/>
              <w:numPr>
                <w:ilvl w:val="1"/>
                <w:numId w:val="10"/>
              </w:numPr>
              <w:spacing w:after="120"/>
              <w:rPr>
                <w:sz w:val="24"/>
              </w:rPr>
            </w:pPr>
            <w:r w:rsidRPr="00C02C0B">
              <w:rPr>
                <w:sz w:val="24"/>
              </w:rPr>
              <w:t xml:space="preserve">an understanding of the approach adopted to defence in depth and the hierarchy of controls, including consideration of matters such as common cause failure, segregation, redundancy and diversity </w:t>
            </w:r>
          </w:p>
          <w:p w14:paraId="58912D4E"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lastRenderedPageBreak/>
              <w:t>Submit to ONR</w:t>
            </w:r>
            <w:r w:rsidRPr="00C02C0B">
              <w:rPr>
                <w:sz w:val="24"/>
              </w:rPr>
              <w:t xml:space="preserve"> information about the reference design (or designs) on which the generic safety and security cases are based, if appropriate</w:t>
            </w:r>
          </w:p>
          <w:p w14:paraId="5483F4EF"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Submit to ONR</w:t>
            </w:r>
            <w:r w:rsidRPr="00C02C0B">
              <w:rPr>
                <w:sz w:val="24"/>
              </w:rPr>
              <w:t xml:space="preserve"> the RP’s own design, security and safety principles adopted in the proposed design</w:t>
            </w:r>
          </w:p>
          <w:p w14:paraId="6558485E"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Submit to ONR</w:t>
            </w:r>
            <w:r w:rsidRPr="00C02C0B">
              <w:rPr>
                <w:sz w:val="24"/>
              </w:rPr>
              <w:t xml:space="preserve"> a definition of the site characteristics to be used as the basis for the safety analysis (the 'generic site envelope')</w:t>
            </w:r>
          </w:p>
          <w:p w14:paraId="06DD2C4C"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Submit to ONR</w:t>
            </w:r>
            <w:r w:rsidRPr="00C02C0B">
              <w:rPr>
                <w:sz w:val="24"/>
              </w:rPr>
              <w:t xml:space="preserve"> a description of the codes and standards which have been used as part of the proposed design, including the identification of any non-conformances</w:t>
            </w:r>
          </w:p>
          <w:p w14:paraId="6DF91388"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Put arrangements in place</w:t>
            </w:r>
            <w:r w:rsidRPr="00C02C0B">
              <w:rPr>
                <w:i/>
                <w:sz w:val="24"/>
              </w:rPr>
              <w:t xml:space="preserve"> </w:t>
            </w:r>
            <w:r w:rsidRPr="00C02C0B">
              <w:rPr>
                <w:sz w:val="24"/>
              </w:rPr>
              <w:t>for development of the safety and security cases</w:t>
            </w:r>
            <w:r w:rsidRPr="00C02C0B">
              <w:rPr>
                <w:i/>
                <w:sz w:val="24"/>
              </w:rPr>
              <w:t xml:space="preserve">. </w:t>
            </w:r>
            <w:r w:rsidRPr="00C02C0B">
              <w:rPr>
                <w:i/>
                <w:sz w:val="24"/>
                <w:u w:val="single"/>
              </w:rPr>
              <w:t>Agree with ONR</w:t>
            </w:r>
            <w:r w:rsidRPr="00C02C0B">
              <w:rPr>
                <w:sz w:val="24"/>
              </w:rPr>
              <w:t xml:space="preserve"> the approach for structuring the generic safety and security cases and their format, including the intentions for using existing information throughout GDA. This should include details of existing safety and security case information and its availability. Where existing information is to be used the scope, background and regulatory basis of this information should be specified</w:t>
            </w:r>
          </w:p>
          <w:p w14:paraId="076F43E4"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Agree with ONR</w:t>
            </w:r>
            <w:r w:rsidRPr="00C02C0B">
              <w:rPr>
                <w:sz w:val="24"/>
              </w:rPr>
              <w:t xml:space="preserve"> a schedule of generic safety and security case information which will be submitted to ONR ahead of, and during Step 2. </w:t>
            </w:r>
            <w:r w:rsidRPr="00C02C0B">
              <w:rPr>
                <w:i/>
                <w:sz w:val="24"/>
                <w:u w:val="single"/>
              </w:rPr>
              <w:t>Submit to ONR</w:t>
            </w:r>
            <w:r w:rsidRPr="00C02C0B">
              <w:rPr>
                <w:sz w:val="24"/>
              </w:rPr>
              <w:t xml:space="preserve"> any information agreed for submission during Step 1 </w:t>
            </w:r>
          </w:p>
          <w:p w14:paraId="528C427E"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Undertake</w:t>
            </w:r>
            <w:r w:rsidRPr="00C02C0B">
              <w:rPr>
                <w:sz w:val="24"/>
              </w:rPr>
              <w:t xml:space="preserve"> a gap analysis of the submissions identified to support Step 2 against regulatory expectations. Where gaps are identified the RP should </w:t>
            </w:r>
            <w:r w:rsidRPr="00C02C0B">
              <w:rPr>
                <w:i/>
                <w:sz w:val="24"/>
                <w:u w:val="single"/>
              </w:rPr>
              <w:t>agree with ONR</w:t>
            </w:r>
            <w:r w:rsidRPr="00C02C0B">
              <w:rPr>
                <w:sz w:val="24"/>
              </w:rPr>
              <w:t xml:space="preserve"> a resolution plan which identifies what those gaps are, how they may be resolved and the timescales for doing so. For any gaps which are within the GDA scope, any identified additional submissions should be made at a time agreed with ONR during Step 2</w:t>
            </w:r>
          </w:p>
          <w:p w14:paraId="69DFAC3F"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Agree with ONR</w:t>
            </w:r>
            <w:r w:rsidRPr="00C02C0B">
              <w:rPr>
                <w:i/>
                <w:sz w:val="24"/>
              </w:rPr>
              <w:t xml:space="preserve"> </w:t>
            </w:r>
            <w:r w:rsidRPr="00C02C0B">
              <w:rPr>
                <w:sz w:val="24"/>
              </w:rPr>
              <w:t xml:space="preserve">the scope and contents (template) of the Master Document Submission List (MDSL) and any required arrangements for handling it, including provision of routine updates. </w:t>
            </w:r>
            <w:r w:rsidRPr="00C02C0B">
              <w:rPr>
                <w:i/>
                <w:sz w:val="24"/>
                <w:u w:val="single"/>
              </w:rPr>
              <w:t>Submit to ONR</w:t>
            </w:r>
            <w:r w:rsidRPr="00C02C0B">
              <w:rPr>
                <w:sz w:val="24"/>
              </w:rPr>
              <w:t xml:space="preserve"> the MDSL in accordance with the RP’s arrangements and any updates necessary throughout the step</w:t>
            </w:r>
          </w:p>
          <w:p w14:paraId="44DFC9DF"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Agree with ONR</w:t>
            </w:r>
            <w:r w:rsidRPr="00C02C0B">
              <w:rPr>
                <w:sz w:val="24"/>
              </w:rPr>
              <w:t xml:space="preserve"> the scope and contents of the Design Reference (DR) and any required arrangements for handling it, including routine updates, and the intent for the Design Reference Point (DRP) </w:t>
            </w:r>
          </w:p>
          <w:p w14:paraId="585059CF"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Put arrangements in place</w:t>
            </w:r>
            <w:r w:rsidRPr="00C02C0B">
              <w:rPr>
                <w:sz w:val="24"/>
              </w:rPr>
              <w:t xml:space="preserve"> for capturing commitments, assumptions and requirements identified in the generic safety and security cases. This should include matters relating to information which will need to be implemented in operational documentation; including operating limits, maintenance schedule, procedures (normal operation, emergency and accident management), training programmes, emergency preparedness, radiation protection arrangements for operators, lifetime records, construction and commissioning requirements etc. </w:t>
            </w:r>
            <w:r w:rsidRPr="00C02C0B">
              <w:rPr>
                <w:i/>
                <w:sz w:val="24"/>
                <w:u w:val="single"/>
              </w:rPr>
              <w:t>Submit to ONR</w:t>
            </w:r>
            <w:r w:rsidRPr="00C02C0B">
              <w:rPr>
                <w:sz w:val="24"/>
              </w:rPr>
              <w:t xml:space="preserve"> a description of those arrangements and a demonstration of their adequacy for GDA</w:t>
            </w:r>
          </w:p>
          <w:p w14:paraId="1D924653"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Submit to ONR</w:t>
            </w:r>
            <w:r w:rsidRPr="00C02C0B">
              <w:rPr>
                <w:sz w:val="24"/>
              </w:rPr>
              <w:t xml:space="preserve"> responses to any questions raised by ONR during its assessment (RQs, ROs and RIs)</w:t>
            </w:r>
          </w:p>
          <w:p w14:paraId="0FA095C1"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lastRenderedPageBreak/>
              <w:t>Obtain</w:t>
            </w:r>
            <w:r w:rsidRPr="00C02C0B">
              <w:rPr>
                <w:sz w:val="24"/>
              </w:rPr>
              <w:t xml:space="preserve"> sufficient resources to support completion of GDA. This should include technical, regulatory, front office, interface and management resources, as necessary, and may include third-party support. The RP should </w:t>
            </w:r>
            <w:r w:rsidRPr="00C02C0B">
              <w:rPr>
                <w:i/>
                <w:sz w:val="24"/>
                <w:u w:val="single"/>
              </w:rPr>
              <w:t>submit to ONR</w:t>
            </w:r>
            <w:r w:rsidRPr="00C02C0B">
              <w:rPr>
                <w:sz w:val="24"/>
              </w:rPr>
              <w:t xml:space="preserve"> information regarding its intentions for evolution of its GDA resources and a demonstration of the on-going sufficiency of resources to be applied through the step</w:t>
            </w:r>
          </w:p>
          <w:p w14:paraId="1E9DB80D"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Put arrangements in place</w:t>
            </w:r>
            <w:r w:rsidRPr="00C02C0B">
              <w:rPr>
                <w:sz w:val="24"/>
              </w:rPr>
              <w:t xml:space="preserve"> to facilitate meetings between ONR and relevant RP’s personnel to share information and discuss technical matters </w:t>
            </w:r>
          </w:p>
          <w:p w14:paraId="23AA8146"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Submit to ONR</w:t>
            </w:r>
            <w:r w:rsidRPr="00C02C0B">
              <w:rPr>
                <w:sz w:val="24"/>
              </w:rPr>
              <w:t xml:space="preserve"> a demonstration of the adequacy of the RP’s arrangements, including: </w:t>
            </w:r>
          </w:p>
          <w:p w14:paraId="5F2E16E5" w14:textId="77777777" w:rsidR="00C02C0B" w:rsidRPr="00C02C0B" w:rsidRDefault="00C02C0B" w:rsidP="00071C2C">
            <w:pPr>
              <w:pStyle w:val="TSNumberedParagraph11"/>
              <w:numPr>
                <w:ilvl w:val="1"/>
                <w:numId w:val="10"/>
              </w:numPr>
              <w:spacing w:after="120"/>
              <w:rPr>
                <w:sz w:val="24"/>
              </w:rPr>
            </w:pPr>
            <w:r w:rsidRPr="00C02C0B">
              <w:rPr>
                <w:sz w:val="24"/>
              </w:rPr>
              <w:t xml:space="preserve">project management arrangements and quality management system </w:t>
            </w:r>
          </w:p>
          <w:p w14:paraId="06313F70" w14:textId="77777777" w:rsidR="00C02C0B" w:rsidRPr="00C02C0B" w:rsidRDefault="00C02C0B" w:rsidP="00071C2C">
            <w:pPr>
              <w:pStyle w:val="TSNumberedParagraph11"/>
              <w:numPr>
                <w:ilvl w:val="1"/>
                <w:numId w:val="10"/>
              </w:numPr>
              <w:spacing w:after="120"/>
              <w:rPr>
                <w:sz w:val="24"/>
              </w:rPr>
            </w:pPr>
            <w:r w:rsidRPr="00C02C0B">
              <w:rPr>
                <w:sz w:val="24"/>
              </w:rPr>
              <w:t xml:space="preserve">the DR change control process to be applied during GDA, including the RP’s decision making arrangements for safety and security related matters </w:t>
            </w:r>
          </w:p>
          <w:p w14:paraId="2A5B62E9" w14:textId="77777777" w:rsidR="00C02C0B" w:rsidRPr="00C02C0B" w:rsidRDefault="00C02C0B" w:rsidP="00071C2C">
            <w:pPr>
              <w:pStyle w:val="TSNumberedParagraph11"/>
              <w:numPr>
                <w:ilvl w:val="1"/>
                <w:numId w:val="10"/>
              </w:numPr>
              <w:spacing w:after="120"/>
              <w:rPr>
                <w:sz w:val="24"/>
              </w:rPr>
            </w:pPr>
            <w:r w:rsidRPr="00C02C0B">
              <w:rPr>
                <w:sz w:val="24"/>
              </w:rPr>
              <w:t xml:space="preserve">arrangements and timescales for responding to ONR assessment </w:t>
            </w:r>
          </w:p>
          <w:p w14:paraId="0EEE5977" w14:textId="77777777" w:rsidR="00C02C0B" w:rsidRPr="00C02C0B" w:rsidRDefault="00C02C0B" w:rsidP="00071C2C">
            <w:pPr>
              <w:pStyle w:val="TSNumberedParagraph11"/>
              <w:numPr>
                <w:ilvl w:val="1"/>
                <w:numId w:val="10"/>
              </w:numPr>
              <w:spacing w:after="120"/>
              <w:rPr>
                <w:sz w:val="24"/>
              </w:rPr>
            </w:pPr>
            <w:r w:rsidRPr="00C02C0B">
              <w:rPr>
                <w:sz w:val="24"/>
              </w:rPr>
              <w:t>arrangements for ensuring that the designers, and generic safety and security case authors and approvers are suitably qualified and experienced persons</w:t>
            </w:r>
          </w:p>
          <w:p w14:paraId="68EAF562" w14:textId="77777777" w:rsidR="00C02C0B" w:rsidRPr="00C02C0B" w:rsidRDefault="00C02C0B" w:rsidP="00071C2C">
            <w:pPr>
              <w:pStyle w:val="TSNumberedParagraph11"/>
              <w:numPr>
                <w:ilvl w:val="1"/>
                <w:numId w:val="10"/>
              </w:numPr>
              <w:spacing w:after="120"/>
              <w:rPr>
                <w:sz w:val="24"/>
              </w:rPr>
            </w:pPr>
            <w:r w:rsidRPr="00C02C0B">
              <w:rPr>
                <w:sz w:val="24"/>
              </w:rPr>
              <w:t>the generic safety and security case developer's quality control, including peer review arrangements</w:t>
            </w:r>
          </w:p>
          <w:p w14:paraId="18D49190"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Put arrangements in place</w:t>
            </w:r>
            <w:r w:rsidRPr="00C02C0B">
              <w:rPr>
                <w:sz w:val="24"/>
              </w:rPr>
              <w:t xml:space="preserve"> to facilitate a public comment process which should run for the duration of GDA. This should include:</w:t>
            </w:r>
          </w:p>
          <w:p w14:paraId="2DE0F670" w14:textId="77777777" w:rsidR="00C02C0B" w:rsidRPr="00C02C0B" w:rsidRDefault="00C02C0B" w:rsidP="00071C2C">
            <w:pPr>
              <w:pStyle w:val="TSNumberedParagraph11"/>
              <w:numPr>
                <w:ilvl w:val="1"/>
                <w:numId w:val="10"/>
              </w:numPr>
              <w:spacing w:after="120"/>
              <w:rPr>
                <w:sz w:val="24"/>
              </w:rPr>
            </w:pPr>
            <w:r w:rsidRPr="00C02C0B">
              <w:rPr>
                <w:sz w:val="24"/>
              </w:rPr>
              <w:t>Host a public website containing information on the proposed design and generic safety and security cases, and including the means to submit comments</w:t>
            </w:r>
          </w:p>
          <w:p w14:paraId="2A5AF836" w14:textId="77777777" w:rsidR="00C02C0B" w:rsidRPr="00C02C0B" w:rsidRDefault="00C02C0B" w:rsidP="00071C2C">
            <w:pPr>
              <w:pStyle w:val="TSNumberedParagraph11"/>
              <w:numPr>
                <w:ilvl w:val="1"/>
                <w:numId w:val="10"/>
              </w:numPr>
              <w:spacing w:after="120"/>
              <w:rPr>
                <w:sz w:val="24"/>
              </w:rPr>
            </w:pPr>
            <w:r w:rsidRPr="00C02C0B">
              <w:rPr>
                <w:i/>
                <w:sz w:val="24"/>
                <w:u w:val="single"/>
              </w:rPr>
              <w:t>Agree with ONR</w:t>
            </w:r>
            <w:r w:rsidRPr="00C02C0B">
              <w:rPr>
                <w:sz w:val="24"/>
              </w:rPr>
              <w:t xml:space="preserve"> what information will be published on the RP’s website (following removal of commercial and security related information) to allow comments to be made by the public during GDA, including updates when a significant change is made to the information submitted to ONR</w:t>
            </w:r>
          </w:p>
          <w:p w14:paraId="7EF0FB11" w14:textId="77777777" w:rsidR="00C02C0B" w:rsidRPr="00C02C0B" w:rsidRDefault="00C02C0B" w:rsidP="00071C2C">
            <w:pPr>
              <w:pStyle w:val="TSNumberedParagraph11"/>
              <w:numPr>
                <w:ilvl w:val="1"/>
                <w:numId w:val="10"/>
              </w:numPr>
              <w:spacing w:after="120"/>
              <w:rPr>
                <w:sz w:val="24"/>
              </w:rPr>
            </w:pPr>
            <w:r w:rsidRPr="00C02C0B">
              <w:rPr>
                <w:i/>
                <w:sz w:val="24"/>
                <w:u w:val="single"/>
              </w:rPr>
              <w:t>Agree with ONR</w:t>
            </w:r>
            <w:r w:rsidRPr="00C02C0B">
              <w:rPr>
                <w:sz w:val="24"/>
              </w:rPr>
              <w:t xml:space="preserve"> the process and timescales to be adopted for responding to public comments</w:t>
            </w:r>
          </w:p>
          <w:p w14:paraId="7DDCB801"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Agree with ONR</w:t>
            </w:r>
            <w:r w:rsidRPr="00C02C0B">
              <w:rPr>
                <w:sz w:val="24"/>
              </w:rPr>
              <w:t xml:space="preserve"> any extended or revised cost recovery agreements. This should cover the remainder of all subsequent steps</w:t>
            </w:r>
          </w:p>
          <w:p w14:paraId="178BEFE2" w14:textId="77777777" w:rsidR="00C02C0B" w:rsidRPr="00C02C0B" w:rsidRDefault="00C02C0B" w:rsidP="00071C2C">
            <w:pPr>
              <w:pStyle w:val="TSNumberedParagraph11"/>
              <w:numPr>
                <w:ilvl w:val="0"/>
                <w:numId w:val="10"/>
              </w:numPr>
              <w:spacing w:after="120"/>
              <w:ind w:hanging="720"/>
              <w:rPr>
                <w:sz w:val="24"/>
              </w:rPr>
            </w:pPr>
            <w:r w:rsidRPr="00C02C0B">
              <w:rPr>
                <w:i/>
                <w:sz w:val="24"/>
                <w:u w:val="single"/>
              </w:rPr>
              <w:t>Undertake</w:t>
            </w:r>
            <w:r w:rsidRPr="00C02C0B">
              <w:rPr>
                <w:sz w:val="24"/>
              </w:rPr>
              <w:t xml:space="preserve"> a review of its readiness to begin Step 2 and </w:t>
            </w:r>
            <w:r w:rsidRPr="00C02C0B">
              <w:rPr>
                <w:i/>
                <w:sz w:val="24"/>
                <w:u w:val="single"/>
              </w:rPr>
              <w:t>submit to ONR</w:t>
            </w:r>
            <w:r w:rsidRPr="00C02C0B">
              <w:rPr>
                <w:sz w:val="24"/>
              </w:rPr>
              <w:t xml:space="preserve"> evidence to support the outcomes</w:t>
            </w:r>
          </w:p>
        </w:tc>
      </w:tr>
      <w:tr w:rsidR="00C02C0B" w:rsidRPr="00C02C0B" w14:paraId="30267EBB" w14:textId="77777777" w:rsidTr="00C02C0B">
        <w:tc>
          <w:tcPr>
            <w:tcW w:w="9016" w:type="dxa"/>
            <w:shd w:val="clear" w:color="auto" w:fill="56BFCA"/>
          </w:tcPr>
          <w:p w14:paraId="02F94707" w14:textId="77777777" w:rsidR="00C02C0B" w:rsidRPr="00C02C0B" w:rsidRDefault="00C02C0B" w:rsidP="00005841">
            <w:pPr>
              <w:pStyle w:val="TSNumberedParagraph11"/>
              <w:numPr>
                <w:ilvl w:val="0"/>
                <w:numId w:val="0"/>
              </w:numPr>
              <w:spacing w:after="0"/>
              <w:rPr>
                <w:b/>
                <w:color w:val="FFFFFF"/>
                <w:sz w:val="24"/>
              </w:rPr>
            </w:pPr>
            <w:r w:rsidRPr="006D6707">
              <w:rPr>
                <w:b/>
                <w:sz w:val="24"/>
              </w:rPr>
              <w:lastRenderedPageBreak/>
              <w:t>ONR will, during the step</w:t>
            </w:r>
          </w:p>
        </w:tc>
      </w:tr>
      <w:tr w:rsidR="00C02C0B" w:rsidRPr="00C02C0B" w14:paraId="60AC8B16" w14:textId="77777777" w:rsidTr="00C02C0B">
        <w:tc>
          <w:tcPr>
            <w:tcW w:w="9016" w:type="dxa"/>
            <w:shd w:val="clear" w:color="auto" w:fill="auto"/>
          </w:tcPr>
          <w:p w14:paraId="4FD8A5B3" w14:textId="77777777" w:rsidR="00C02C0B" w:rsidRPr="00C02C0B" w:rsidRDefault="00C02C0B" w:rsidP="00071C2C">
            <w:pPr>
              <w:pStyle w:val="TSNumberedParagraph11"/>
              <w:numPr>
                <w:ilvl w:val="0"/>
                <w:numId w:val="10"/>
              </w:numPr>
              <w:spacing w:after="120"/>
              <w:ind w:hanging="720"/>
              <w:rPr>
                <w:sz w:val="24"/>
              </w:rPr>
            </w:pPr>
            <w:r w:rsidRPr="00C02C0B">
              <w:rPr>
                <w:sz w:val="24"/>
              </w:rPr>
              <w:t>Assess the submissions made to ONR during the step, in line with relevant standards and guidance, and provide feedback to the RP. This will specifically include:</w:t>
            </w:r>
          </w:p>
          <w:p w14:paraId="4559A5BC" w14:textId="77777777" w:rsidR="00C02C0B" w:rsidRPr="00C02C0B" w:rsidRDefault="00C02C0B" w:rsidP="00071C2C">
            <w:pPr>
              <w:pStyle w:val="TSNumberedParagraph11"/>
              <w:numPr>
                <w:ilvl w:val="1"/>
                <w:numId w:val="10"/>
              </w:numPr>
              <w:spacing w:after="120"/>
              <w:rPr>
                <w:sz w:val="24"/>
              </w:rPr>
            </w:pPr>
            <w:r w:rsidRPr="00C02C0B">
              <w:rPr>
                <w:sz w:val="24"/>
              </w:rPr>
              <w:t xml:space="preserve">The overall safety and security case scope, approach and extent </w:t>
            </w:r>
          </w:p>
          <w:p w14:paraId="1B37F1BE" w14:textId="77777777" w:rsidR="00C02C0B" w:rsidRPr="00C02C0B" w:rsidRDefault="00C02C0B" w:rsidP="00071C2C">
            <w:pPr>
              <w:pStyle w:val="TSNumberedParagraph11"/>
              <w:numPr>
                <w:ilvl w:val="1"/>
                <w:numId w:val="10"/>
              </w:numPr>
              <w:spacing w:after="120"/>
              <w:rPr>
                <w:sz w:val="24"/>
              </w:rPr>
            </w:pPr>
            <w:r w:rsidRPr="00C02C0B">
              <w:rPr>
                <w:sz w:val="24"/>
              </w:rPr>
              <w:lastRenderedPageBreak/>
              <w:t xml:space="preserve">The fundamental design safety and security philosophy, codes, standards and criteria used </w:t>
            </w:r>
          </w:p>
          <w:p w14:paraId="4C41D4B3" w14:textId="77777777" w:rsidR="00C02C0B" w:rsidRPr="00C02C0B" w:rsidRDefault="00C02C0B" w:rsidP="00071C2C">
            <w:pPr>
              <w:pStyle w:val="TSNumberedParagraph11"/>
              <w:numPr>
                <w:ilvl w:val="1"/>
                <w:numId w:val="10"/>
              </w:numPr>
              <w:spacing w:after="120"/>
              <w:rPr>
                <w:sz w:val="24"/>
              </w:rPr>
            </w:pPr>
            <w:r w:rsidRPr="00C02C0B">
              <w:rPr>
                <w:sz w:val="24"/>
              </w:rPr>
              <w:t>The approach to demonstrating compliance with the nuclear safety and security framework, including demonstrating risks are reduced to ALARP and the general concept of security operations</w:t>
            </w:r>
          </w:p>
          <w:p w14:paraId="1489A63B" w14:textId="77777777" w:rsidR="00C02C0B" w:rsidRPr="00C02C0B" w:rsidRDefault="00C02C0B" w:rsidP="00071C2C">
            <w:pPr>
              <w:pStyle w:val="TSNumberedParagraph11"/>
              <w:numPr>
                <w:ilvl w:val="1"/>
                <w:numId w:val="10"/>
              </w:numPr>
              <w:spacing w:after="120"/>
              <w:rPr>
                <w:sz w:val="24"/>
              </w:rPr>
            </w:pPr>
            <w:r w:rsidRPr="00C02C0B">
              <w:rPr>
                <w:sz w:val="24"/>
              </w:rPr>
              <w:t>The generic site envelope and its links to the safety case</w:t>
            </w:r>
          </w:p>
          <w:p w14:paraId="7FBAD8AE" w14:textId="77777777" w:rsidR="00C02C0B" w:rsidRPr="00C02C0B" w:rsidRDefault="00C02C0B" w:rsidP="00071C2C">
            <w:pPr>
              <w:pStyle w:val="TSNumberedParagraph11"/>
              <w:numPr>
                <w:ilvl w:val="1"/>
                <w:numId w:val="10"/>
              </w:numPr>
              <w:spacing w:after="120"/>
              <w:rPr>
                <w:sz w:val="24"/>
              </w:rPr>
            </w:pPr>
            <w:r w:rsidRPr="00C02C0B">
              <w:rPr>
                <w:sz w:val="24"/>
              </w:rPr>
              <w:t xml:space="preserve">Whether the assessment remains meaningful, and if not, what changes are necessary to resolve this </w:t>
            </w:r>
          </w:p>
          <w:p w14:paraId="3E1794B4" w14:textId="77777777" w:rsidR="00C02C0B" w:rsidRPr="00C02C0B" w:rsidRDefault="00C02C0B" w:rsidP="00071C2C">
            <w:pPr>
              <w:numPr>
                <w:ilvl w:val="0"/>
                <w:numId w:val="10"/>
              </w:numPr>
              <w:spacing w:before="0" w:line="240" w:lineRule="auto"/>
              <w:ind w:hanging="720"/>
              <w:rPr>
                <w:szCs w:val="24"/>
              </w:rPr>
            </w:pPr>
            <w:r w:rsidRPr="00C02C0B">
              <w:rPr>
                <w:szCs w:val="24"/>
              </w:rPr>
              <w:t>Raise with the RP regulatory questions and assess the responses, including reviewing resolution plans for ROs and RIs</w:t>
            </w:r>
          </w:p>
          <w:p w14:paraId="29B0A338" w14:textId="77777777" w:rsidR="00C02C0B" w:rsidRPr="00C02C0B" w:rsidRDefault="00C02C0B" w:rsidP="00071C2C">
            <w:pPr>
              <w:pStyle w:val="TSNumberedParagraph11"/>
              <w:numPr>
                <w:ilvl w:val="0"/>
                <w:numId w:val="10"/>
              </w:numPr>
              <w:spacing w:after="120"/>
              <w:ind w:hanging="720"/>
              <w:rPr>
                <w:sz w:val="24"/>
              </w:rPr>
            </w:pPr>
            <w:r w:rsidRPr="00C02C0B">
              <w:rPr>
                <w:sz w:val="24"/>
              </w:rPr>
              <w:t>Publish all ROs, RIs and associated RP’s resolution plans, including confirmations once these have been satisfactorily resolved. This includes the resolution plan identified in [1.20]</w:t>
            </w:r>
          </w:p>
          <w:p w14:paraId="78726F69" w14:textId="77777777" w:rsidR="00C02C0B" w:rsidRPr="00C02C0B" w:rsidRDefault="00C02C0B" w:rsidP="00071C2C">
            <w:pPr>
              <w:pStyle w:val="TSNumberedParagraph11"/>
              <w:numPr>
                <w:ilvl w:val="0"/>
                <w:numId w:val="10"/>
              </w:numPr>
              <w:spacing w:after="120"/>
              <w:ind w:hanging="720"/>
              <w:rPr>
                <w:sz w:val="24"/>
              </w:rPr>
            </w:pPr>
            <w:r w:rsidRPr="00C02C0B">
              <w:rPr>
                <w:sz w:val="24"/>
              </w:rPr>
              <w:t>Confirm the acceptability of the proposed agreements reached between ONR and the RP. This includes those relating to the GDA scope, submission plans and schedule</w:t>
            </w:r>
          </w:p>
          <w:p w14:paraId="592907B4" w14:textId="77777777" w:rsidR="00C02C0B" w:rsidRPr="00C02C0B" w:rsidRDefault="00C02C0B" w:rsidP="00071C2C">
            <w:pPr>
              <w:pStyle w:val="TSNumberedParagraph11"/>
              <w:numPr>
                <w:ilvl w:val="0"/>
                <w:numId w:val="10"/>
              </w:numPr>
              <w:spacing w:after="120"/>
              <w:ind w:hanging="720"/>
              <w:rPr>
                <w:sz w:val="24"/>
              </w:rPr>
            </w:pPr>
            <w:r w:rsidRPr="00C02C0B">
              <w:rPr>
                <w:sz w:val="24"/>
              </w:rPr>
              <w:t>Provide advice and guidance to the RP on likely gaps to meeting regulatory expectations, including the development of the resolution plan identified in [1.20]</w:t>
            </w:r>
          </w:p>
          <w:p w14:paraId="16196846" w14:textId="77777777" w:rsidR="00C02C0B" w:rsidRPr="00C02C0B" w:rsidRDefault="00C02C0B" w:rsidP="00071C2C">
            <w:pPr>
              <w:pStyle w:val="TSNumberedParagraph11"/>
              <w:numPr>
                <w:ilvl w:val="0"/>
                <w:numId w:val="10"/>
              </w:numPr>
              <w:spacing w:after="120"/>
              <w:ind w:hanging="720"/>
              <w:rPr>
                <w:sz w:val="24"/>
              </w:rPr>
            </w:pPr>
            <w:r w:rsidRPr="00C02C0B">
              <w:rPr>
                <w:sz w:val="24"/>
              </w:rPr>
              <w:t xml:space="preserve">Engage with relevant overseas regulators to obtain information on assessments or design reviews conducted or underway on the design proposed by the RP </w:t>
            </w:r>
          </w:p>
          <w:p w14:paraId="67C1FDC6" w14:textId="77777777" w:rsidR="00C02C0B" w:rsidRPr="00C02C0B" w:rsidRDefault="00C02C0B" w:rsidP="00071C2C">
            <w:pPr>
              <w:pStyle w:val="TSNumberedParagraph11"/>
              <w:numPr>
                <w:ilvl w:val="0"/>
                <w:numId w:val="10"/>
              </w:numPr>
              <w:spacing w:after="120"/>
              <w:ind w:hanging="720"/>
              <w:rPr>
                <w:sz w:val="24"/>
              </w:rPr>
            </w:pPr>
            <w:r w:rsidRPr="00C02C0B">
              <w:rPr>
                <w:sz w:val="24"/>
              </w:rPr>
              <w:t>Agree the cost recovery for later steps (if necessary)</w:t>
            </w:r>
          </w:p>
          <w:p w14:paraId="1831858D" w14:textId="77777777" w:rsidR="00C02C0B" w:rsidRPr="00C02C0B" w:rsidRDefault="00C02C0B" w:rsidP="00071C2C">
            <w:pPr>
              <w:pStyle w:val="TSNumberedParagraph11"/>
              <w:numPr>
                <w:ilvl w:val="0"/>
                <w:numId w:val="10"/>
              </w:numPr>
              <w:spacing w:after="120"/>
              <w:ind w:hanging="720"/>
              <w:rPr>
                <w:sz w:val="24"/>
              </w:rPr>
            </w:pPr>
            <w:r w:rsidRPr="00C02C0B">
              <w:rPr>
                <w:sz w:val="24"/>
              </w:rPr>
              <w:t>Obtain any necessary export control licenses</w:t>
            </w:r>
          </w:p>
          <w:p w14:paraId="3EDD25EC" w14:textId="77777777" w:rsidR="00C02C0B" w:rsidRPr="00C02C0B" w:rsidRDefault="00C02C0B" w:rsidP="00071C2C">
            <w:pPr>
              <w:pStyle w:val="TSNumberedParagraph11"/>
              <w:numPr>
                <w:ilvl w:val="0"/>
                <w:numId w:val="10"/>
              </w:numPr>
              <w:spacing w:after="120"/>
              <w:ind w:hanging="720"/>
              <w:rPr>
                <w:sz w:val="24"/>
              </w:rPr>
            </w:pPr>
            <w:r w:rsidRPr="00C02C0B">
              <w:rPr>
                <w:sz w:val="24"/>
              </w:rPr>
              <w:t>Undertake a readiness review to determine if the RP can proceed to Step 2. This will include consideration of both ONR’s and the RP’s readiness to continue, and also whether Step 1 can be considered completed to ONR’s satisfaction. Where improvement actions on the RP are identified the resolution and timescales for resolving these will be agreed with the RP. ONR will consider whether the resulting assessment will remain meaningful, and warrants the continued deployment of regulatory resources</w:t>
            </w:r>
          </w:p>
          <w:p w14:paraId="4504B550" w14:textId="77777777" w:rsidR="00C02C0B" w:rsidRPr="00C02C0B" w:rsidRDefault="00C02C0B" w:rsidP="00071C2C">
            <w:pPr>
              <w:pStyle w:val="TSNumberedParagraph11"/>
              <w:numPr>
                <w:ilvl w:val="0"/>
                <w:numId w:val="10"/>
              </w:numPr>
              <w:spacing w:after="120"/>
              <w:ind w:hanging="720"/>
              <w:rPr>
                <w:sz w:val="24"/>
              </w:rPr>
            </w:pPr>
            <w:r w:rsidRPr="00C02C0B">
              <w:rPr>
                <w:sz w:val="24"/>
              </w:rPr>
              <w:t>Develop detailed assessment plans for Step 2 for each technical assessment topic, including any requirement for specialist technical support contracts</w:t>
            </w:r>
          </w:p>
        </w:tc>
      </w:tr>
      <w:tr w:rsidR="00C02C0B" w:rsidRPr="00C02C0B" w14:paraId="58CDA0F1" w14:textId="77777777" w:rsidTr="00C02C0B">
        <w:tc>
          <w:tcPr>
            <w:tcW w:w="9016" w:type="dxa"/>
            <w:shd w:val="clear" w:color="auto" w:fill="007C6D"/>
          </w:tcPr>
          <w:p w14:paraId="5660C0B4" w14:textId="77777777" w:rsidR="00C02C0B" w:rsidRPr="00C02C0B" w:rsidRDefault="00C02C0B" w:rsidP="00005841">
            <w:pPr>
              <w:pStyle w:val="TSNumberedParagraph11"/>
              <w:numPr>
                <w:ilvl w:val="0"/>
                <w:numId w:val="0"/>
              </w:numPr>
              <w:spacing w:after="0"/>
              <w:rPr>
                <w:b/>
                <w:color w:val="FFFFFF"/>
                <w:sz w:val="24"/>
              </w:rPr>
            </w:pPr>
            <w:r w:rsidRPr="00C02C0B">
              <w:rPr>
                <w:b/>
                <w:color w:val="FFFFFF"/>
                <w:sz w:val="24"/>
              </w:rPr>
              <w:lastRenderedPageBreak/>
              <w:t>ONR will, at the end of the step</w:t>
            </w:r>
          </w:p>
        </w:tc>
      </w:tr>
      <w:tr w:rsidR="00C02C0B" w:rsidRPr="00C02C0B" w14:paraId="09724F3D" w14:textId="77777777" w:rsidTr="00C02C0B">
        <w:tc>
          <w:tcPr>
            <w:tcW w:w="9016" w:type="dxa"/>
            <w:shd w:val="clear" w:color="auto" w:fill="auto"/>
          </w:tcPr>
          <w:p w14:paraId="63A41870" w14:textId="77777777" w:rsidR="00C02C0B" w:rsidRPr="00C02C0B" w:rsidRDefault="00C02C0B" w:rsidP="00071C2C">
            <w:pPr>
              <w:pStyle w:val="TSNumberedParagraph11"/>
              <w:numPr>
                <w:ilvl w:val="0"/>
                <w:numId w:val="10"/>
              </w:numPr>
              <w:spacing w:after="120"/>
              <w:ind w:hanging="720"/>
              <w:rPr>
                <w:sz w:val="24"/>
              </w:rPr>
            </w:pPr>
            <w:r w:rsidRPr="00C02C0B">
              <w:rPr>
                <w:sz w:val="24"/>
              </w:rPr>
              <w:t xml:space="preserve">Produce and publish a report to record the completion and outcome of Step 1, compiling the assessment undertaken and including the decision on whether to proceed to Step 2 or not. </w:t>
            </w:r>
          </w:p>
          <w:p w14:paraId="294A6731" w14:textId="77777777" w:rsidR="00C02C0B" w:rsidRPr="00C02C0B" w:rsidRDefault="00C02C0B" w:rsidP="00071C2C">
            <w:pPr>
              <w:pStyle w:val="TSNumberedParagraph11"/>
              <w:numPr>
                <w:ilvl w:val="0"/>
                <w:numId w:val="10"/>
              </w:numPr>
              <w:spacing w:after="120"/>
              <w:ind w:hanging="720"/>
              <w:rPr>
                <w:sz w:val="24"/>
              </w:rPr>
            </w:pPr>
            <w:r w:rsidRPr="00C02C0B">
              <w:rPr>
                <w:sz w:val="24"/>
              </w:rPr>
              <w:t>Produce and publish a GDA statement summarising:</w:t>
            </w:r>
          </w:p>
          <w:p w14:paraId="266588DC" w14:textId="77777777" w:rsidR="00C02C0B" w:rsidRPr="00C02C0B" w:rsidRDefault="00C02C0B" w:rsidP="00071C2C">
            <w:pPr>
              <w:pStyle w:val="TSNumberedParagraph11"/>
              <w:numPr>
                <w:ilvl w:val="1"/>
                <w:numId w:val="10"/>
              </w:numPr>
              <w:spacing w:after="120"/>
              <w:rPr>
                <w:sz w:val="24"/>
              </w:rPr>
            </w:pPr>
            <w:r w:rsidRPr="00C02C0B">
              <w:rPr>
                <w:sz w:val="24"/>
              </w:rPr>
              <w:t>details of the GDA scope that has been agreed, and the output from the GDA that is sought by the RP</w:t>
            </w:r>
          </w:p>
          <w:p w14:paraId="20403365" w14:textId="77777777" w:rsidR="00C02C0B" w:rsidRPr="00C02C0B" w:rsidRDefault="00C02C0B" w:rsidP="00071C2C">
            <w:pPr>
              <w:pStyle w:val="TSNumberedParagraph11"/>
              <w:numPr>
                <w:ilvl w:val="1"/>
                <w:numId w:val="10"/>
              </w:numPr>
              <w:spacing w:after="120"/>
              <w:rPr>
                <w:sz w:val="24"/>
              </w:rPr>
            </w:pPr>
            <w:r w:rsidRPr="00C02C0B">
              <w:rPr>
                <w:sz w:val="24"/>
              </w:rPr>
              <w:lastRenderedPageBreak/>
              <w:t>details of the status of the design and associated generic safety and security cases to support GDA, including the MDSL</w:t>
            </w:r>
          </w:p>
          <w:p w14:paraId="5A006A81" w14:textId="77777777" w:rsidR="00C02C0B" w:rsidRPr="00C02C0B" w:rsidRDefault="00C02C0B" w:rsidP="00071C2C">
            <w:pPr>
              <w:pStyle w:val="TSNumberedParagraph11"/>
              <w:numPr>
                <w:ilvl w:val="1"/>
                <w:numId w:val="10"/>
              </w:numPr>
              <w:spacing w:after="120"/>
              <w:rPr>
                <w:sz w:val="24"/>
              </w:rPr>
            </w:pPr>
            <w:r w:rsidRPr="00C02C0B">
              <w:rPr>
                <w:sz w:val="24"/>
              </w:rPr>
              <w:t>information on the agreed resources, submissions and timescales for subsequent steps</w:t>
            </w:r>
          </w:p>
          <w:p w14:paraId="5D02B545" w14:textId="77777777" w:rsidR="00C02C0B" w:rsidRPr="00C02C0B" w:rsidRDefault="00C02C0B" w:rsidP="00071C2C">
            <w:pPr>
              <w:pStyle w:val="TSNumberedParagraph11"/>
              <w:numPr>
                <w:ilvl w:val="1"/>
                <w:numId w:val="10"/>
              </w:numPr>
              <w:spacing w:after="120"/>
              <w:rPr>
                <w:sz w:val="24"/>
              </w:rPr>
            </w:pPr>
            <w:r w:rsidRPr="00C02C0B">
              <w:rPr>
                <w:sz w:val="24"/>
              </w:rPr>
              <w:t xml:space="preserve">the assessment of the submissions provided by the RP during Step 1, including the gap analysis against regulatory expectations provided by the RP together with its resolution plan </w:t>
            </w:r>
          </w:p>
          <w:p w14:paraId="4BF1132C" w14:textId="77777777" w:rsidR="00C02C0B" w:rsidRPr="00C02C0B" w:rsidRDefault="00C02C0B" w:rsidP="00071C2C">
            <w:pPr>
              <w:pStyle w:val="TSNumberedParagraph11"/>
              <w:numPr>
                <w:ilvl w:val="1"/>
                <w:numId w:val="10"/>
              </w:numPr>
              <w:spacing w:after="120"/>
              <w:rPr>
                <w:sz w:val="24"/>
              </w:rPr>
            </w:pPr>
            <w:r w:rsidRPr="00C02C0B">
              <w:rPr>
                <w:sz w:val="24"/>
              </w:rPr>
              <w:t>details of the readiness review conducted to determine if the RP can continue to Step 2 and its outcome</w:t>
            </w:r>
          </w:p>
          <w:p w14:paraId="7A796987" w14:textId="77777777" w:rsidR="00C02C0B" w:rsidRPr="00C02C0B" w:rsidRDefault="00C02C0B" w:rsidP="00071C2C">
            <w:pPr>
              <w:pStyle w:val="TSNumberedParagraph11"/>
              <w:numPr>
                <w:ilvl w:val="1"/>
                <w:numId w:val="10"/>
              </w:numPr>
              <w:spacing w:after="120"/>
              <w:rPr>
                <w:sz w:val="24"/>
              </w:rPr>
            </w:pPr>
            <w:r w:rsidRPr="00C02C0B">
              <w:rPr>
                <w:sz w:val="24"/>
              </w:rPr>
              <w:t>any open regulatory questions (RQs, ROs and RIs)</w:t>
            </w:r>
          </w:p>
          <w:p w14:paraId="1ED26B7D" w14:textId="77777777" w:rsidR="00C02C0B" w:rsidRPr="00C02C0B" w:rsidRDefault="00C02C0B" w:rsidP="00071C2C">
            <w:pPr>
              <w:pStyle w:val="TSNumberedParagraph11"/>
              <w:numPr>
                <w:ilvl w:val="1"/>
                <w:numId w:val="10"/>
              </w:numPr>
              <w:spacing w:after="120"/>
              <w:rPr>
                <w:sz w:val="24"/>
              </w:rPr>
            </w:pPr>
            <w:r w:rsidRPr="00C02C0B">
              <w:rPr>
                <w:sz w:val="24"/>
              </w:rPr>
              <w:t>any areas of regulatory concern to be taken forward in later steps</w:t>
            </w:r>
          </w:p>
        </w:tc>
      </w:tr>
    </w:tbl>
    <w:p w14:paraId="5E918E77" w14:textId="77777777" w:rsidR="00FB581E" w:rsidRDefault="00FB581E" w:rsidP="00037D99">
      <w:pPr>
        <w:pStyle w:val="TSNumberedParagraph11"/>
        <w:numPr>
          <w:ilvl w:val="0"/>
          <w:numId w:val="0"/>
        </w:numPr>
        <w:spacing w:before="60" w:after="60" w:line="259" w:lineRule="auto"/>
        <w:rPr>
          <w:rFonts w:asciiTheme="minorHAnsi" w:hAnsiTheme="minorHAnsi" w:cstheme="minorHAnsi"/>
          <w:b/>
          <w:color w:val="FFFFFF"/>
          <w:sz w:val="24"/>
        </w:rPr>
        <w:sectPr w:rsidR="00FB581E" w:rsidSect="00037D99">
          <w:pgSz w:w="11906" w:h="16838" w:code="9"/>
          <w:pgMar w:top="1440" w:right="1440" w:bottom="1440" w:left="1440" w:header="397" w:footer="397" w:gutter="0"/>
          <w:cols w:space="312"/>
          <w:docGrid w:linePitch="360"/>
        </w:sectPr>
      </w:pPr>
    </w:p>
    <w:p w14:paraId="23EFD70E" w14:textId="6DE0547B" w:rsidR="00037D99" w:rsidRDefault="00037D99" w:rsidP="00037D99">
      <w:pPr>
        <w:pStyle w:val="Heading1"/>
        <w:numPr>
          <w:ilvl w:val="0"/>
          <w:numId w:val="0"/>
        </w:numPr>
      </w:pPr>
      <w:bookmarkStart w:id="39" w:name="_Appendix_3_–"/>
      <w:bookmarkStart w:id="40" w:name="_Toc173242848"/>
      <w:bookmarkEnd w:id="39"/>
      <w:r>
        <w:lastRenderedPageBreak/>
        <w:t>Appendix 3 – Step 2: Fundamental assessment</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016"/>
      </w:tblGrid>
      <w:tr w:rsidR="00A108B0" w:rsidRPr="00647D4D" w14:paraId="65ED326E" w14:textId="77777777" w:rsidTr="00A108B0">
        <w:tc>
          <w:tcPr>
            <w:tcW w:w="9016" w:type="dxa"/>
            <w:shd w:val="clear" w:color="auto" w:fill="007C6D"/>
          </w:tcPr>
          <w:p w14:paraId="72A603D0" w14:textId="77777777" w:rsidR="00A108B0" w:rsidRPr="00647D4D" w:rsidRDefault="00A108B0" w:rsidP="00005841">
            <w:pPr>
              <w:pStyle w:val="TSNumberedParagraph11"/>
              <w:numPr>
                <w:ilvl w:val="0"/>
                <w:numId w:val="0"/>
              </w:numPr>
              <w:spacing w:after="0"/>
              <w:rPr>
                <w:b/>
                <w:color w:val="FFFFFF"/>
                <w:sz w:val="24"/>
              </w:rPr>
            </w:pPr>
            <w:r w:rsidRPr="00647D4D">
              <w:rPr>
                <w:b/>
                <w:color w:val="FFFFFF"/>
                <w:sz w:val="24"/>
              </w:rPr>
              <w:t>Description</w:t>
            </w:r>
          </w:p>
        </w:tc>
      </w:tr>
      <w:tr w:rsidR="00A108B0" w:rsidRPr="00647D4D" w14:paraId="43B16078" w14:textId="77777777" w:rsidTr="00A108B0">
        <w:tc>
          <w:tcPr>
            <w:tcW w:w="9016" w:type="dxa"/>
            <w:shd w:val="clear" w:color="auto" w:fill="auto"/>
          </w:tcPr>
          <w:p w14:paraId="57B48724" w14:textId="37BFB28D" w:rsidR="00A108B0" w:rsidRPr="00647D4D" w:rsidRDefault="00A108B0" w:rsidP="00005841">
            <w:pPr>
              <w:pStyle w:val="TSNumberedParagraph11"/>
              <w:numPr>
                <w:ilvl w:val="0"/>
                <w:numId w:val="0"/>
              </w:numPr>
              <w:spacing w:after="120"/>
              <w:rPr>
                <w:sz w:val="24"/>
              </w:rPr>
            </w:pPr>
            <w:r w:rsidRPr="00647D4D">
              <w:rPr>
                <w:sz w:val="24"/>
              </w:rPr>
              <w:t xml:space="preserve">Step 2 is the first substantive technical assessment step. The focus of the assessment in this step is towards the fundamental adequacy of the design and safety and security cases, and the suitability of the methodologies, approaches, codes, standards and philosophies which form the building blocks for the design and generic safety and security cases. This is expected to be undertaken at a breadth and depth of assessment akin to ONR’s </w:t>
            </w:r>
            <w:r w:rsidR="00647D4D">
              <w:rPr>
                <w:sz w:val="24"/>
              </w:rPr>
              <w:t>a</w:t>
            </w:r>
            <w:r w:rsidRPr="00647D4D">
              <w:rPr>
                <w:sz w:val="24"/>
              </w:rPr>
              <w:t xml:space="preserve">ssessment </w:t>
            </w:r>
            <w:r w:rsidR="00647D4D">
              <w:rPr>
                <w:sz w:val="24"/>
              </w:rPr>
              <w:t>p</w:t>
            </w:r>
            <w:r w:rsidRPr="00647D4D">
              <w:rPr>
                <w:sz w:val="24"/>
              </w:rPr>
              <w:t xml:space="preserve">rinciples (SAPs </w:t>
            </w:r>
            <w:sdt>
              <w:sdtPr>
                <w:rPr>
                  <w:sz w:val="24"/>
                </w:rPr>
                <w:id w:val="317931340"/>
                <w:citation/>
              </w:sdtPr>
              <w:sdtEndPr/>
              <w:sdtContent>
                <w:r w:rsidR="00647D4D">
                  <w:rPr>
                    <w:sz w:val="24"/>
                  </w:rPr>
                  <w:fldChar w:fldCharType="begin"/>
                </w:r>
                <w:r w:rsidR="00647D4D">
                  <w:rPr>
                    <w:sz w:val="24"/>
                  </w:rPr>
                  <w:instrText xml:space="preserve"> CITATION ONR2013 \l 2057 </w:instrText>
                </w:r>
                <w:r w:rsidR="00647D4D">
                  <w:rPr>
                    <w:sz w:val="24"/>
                  </w:rPr>
                  <w:fldChar w:fldCharType="separate"/>
                </w:r>
                <w:r w:rsidR="00181C9E" w:rsidRPr="00181C9E">
                  <w:rPr>
                    <w:noProof/>
                    <w:sz w:val="24"/>
                  </w:rPr>
                  <w:t>[8]</w:t>
                </w:r>
                <w:r w:rsidR="00647D4D">
                  <w:rPr>
                    <w:sz w:val="24"/>
                  </w:rPr>
                  <w:fldChar w:fldCharType="end"/>
                </w:r>
              </w:sdtContent>
            </w:sdt>
            <w:r w:rsidR="00647D4D">
              <w:rPr>
                <w:sz w:val="24"/>
              </w:rPr>
              <w:t xml:space="preserve"> </w:t>
            </w:r>
            <w:r w:rsidRPr="00647D4D">
              <w:rPr>
                <w:sz w:val="24"/>
              </w:rPr>
              <w:t>and SyAPs)</w:t>
            </w:r>
            <w:r w:rsidR="00647D4D">
              <w:rPr>
                <w:sz w:val="24"/>
              </w:rPr>
              <w:t xml:space="preserve"> </w:t>
            </w:r>
            <w:sdt>
              <w:sdtPr>
                <w:rPr>
                  <w:sz w:val="24"/>
                </w:rPr>
                <w:id w:val="34004759"/>
                <w:citation/>
              </w:sdtPr>
              <w:sdtEndPr/>
              <w:sdtContent>
                <w:r w:rsidR="00647D4D">
                  <w:rPr>
                    <w:sz w:val="24"/>
                  </w:rPr>
                  <w:fldChar w:fldCharType="begin"/>
                </w:r>
                <w:r w:rsidR="00647D4D">
                  <w:rPr>
                    <w:sz w:val="24"/>
                  </w:rPr>
                  <w:instrText xml:space="preserve"> CITATION ONR173 \l 2057 </w:instrText>
                </w:r>
                <w:r w:rsidR="00647D4D">
                  <w:rPr>
                    <w:sz w:val="24"/>
                  </w:rPr>
                  <w:fldChar w:fldCharType="separate"/>
                </w:r>
                <w:r w:rsidR="00181C9E" w:rsidRPr="00181C9E">
                  <w:rPr>
                    <w:noProof/>
                    <w:sz w:val="24"/>
                  </w:rPr>
                  <w:t>[10]</w:t>
                </w:r>
                <w:r w:rsidR="00647D4D">
                  <w:rPr>
                    <w:sz w:val="24"/>
                  </w:rPr>
                  <w:fldChar w:fldCharType="end"/>
                </w:r>
              </w:sdtContent>
            </w:sdt>
            <w:r w:rsidRPr="00647D4D">
              <w:rPr>
                <w:sz w:val="24"/>
              </w:rPr>
              <w:t>, with limited use of the detailed TAGs. During this step it is expected that the RP will complete its understanding of the regulatory approach and incorporate this into submissions which resolve any gaps in meeting regulatory expectations, as identified during Step 1.</w:t>
            </w:r>
          </w:p>
        </w:tc>
      </w:tr>
      <w:tr w:rsidR="00A108B0" w:rsidRPr="00647D4D" w14:paraId="45B9967A" w14:textId="77777777" w:rsidTr="00A108B0">
        <w:tc>
          <w:tcPr>
            <w:tcW w:w="9016" w:type="dxa"/>
            <w:shd w:val="clear" w:color="auto" w:fill="98C030"/>
          </w:tcPr>
          <w:p w14:paraId="06CEC71F" w14:textId="77777777" w:rsidR="00A108B0" w:rsidRPr="00647D4D" w:rsidRDefault="00A108B0" w:rsidP="00005841">
            <w:pPr>
              <w:pStyle w:val="TSNumberedParagraph11"/>
              <w:numPr>
                <w:ilvl w:val="0"/>
                <w:numId w:val="0"/>
              </w:numPr>
              <w:spacing w:after="0"/>
              <w:rPr>
                <w:b/>
                <w:color w:val="FFFFFF"/>
                <w:sz w:val="24"/>
              </w:rPr>
            </w:pPr>
            <w:r w:rsidRPr="006D6707">
              <w:rPr>
                <w:b/>
                <w:sz w:val="24"/>
              </w:rPr>
              <w:t>Objective</w:t>
            </w:r>
          </w:p>
        </w:tc>
      </w:tr>
      <w:tr w:rsidR="00A108B0" w:rsidRPr="00647D4D" w14:paraId="36AF1EB0" w14:textId="77777777" w:rsidTr="00A108B0">
        <w:tc>
          <w:tcPr>
            <w:tcW w:w="9016" w:type="dxa"/>
            <w:shd w:val="clear" w:color="auto" w:fill="auto"/>
          </w:tcPr>
          <w:p w14:paraId="7BCE9238" w14:textId="77777777" w:rsidR="00A108B0" w:rsidRPr="00647D4D" w:rsidRDefault="00A108B0" w:rsidP="00005841">
            <w:pPr>
              <w:pStyle w:val="TSNumberedParagraph11"/>
              <w:numPr>
                <w:ilvl w:val="0"/>
                <w:numId w:val="0"/>
              </w:numPr>
              <w:spacing w:after="120"/>
              <w:rPr>
                <w:sz w:val="24"/>
              </w:rPr>
            </w:pPr>
            <w:r w:rsidRPr="00647D4D">
              <w:rPr>
                <w:sz w:val="24"/>
              </w:rPr>
              <w:t>The objectives for Step 2 are for:</w:t>
            </w:r>
          </w:p>
          <w:p w14:paraId="3ECC6E9F" w14:textId="77777777" w:rsidR="00A108B0" w:rsidRPr="00647D4D" w:rsidRDefault="00A108B0" w:rsidP="00647D4D">
            <w:pPr>
              <w:pStyle w:val="Bulletlist1"/>
              <w:ind w:left="362"/>
            </w:pPr>
            <w:r w:rsidRPr="00647D4D">
              <w:t>ONR to undertake an assessment of the design against regulatory expectations to identify any fundamental safety or security shortfalls that could prevent ONR permissioning the construction of a power station based on the design; and</w:t>
            </w:r>
          </w:p>
          <w:p w14:paraId="43BCA267" w14:textId="77777777" w:rsidR="00A108B0" w:rsidRPr="00647D4D" w:rsidRDefault="00A108B0" w:rsidP="00647D4D">
            <w:pPr>
              <w:pStyle w:val="Bulletlist1"/>
              <w:ind w:left="362"/>
            </w:pPr>
            <w:r w:rsidRPr="00647D4D">
              <w:t>The RP to complete production of the submissions required to support the assessment during Step 2, as well as future submissions required to support Step 3 if necessary. This includes, but not limited to, any additional documentation identified in Step 1 as being necessary to resolve gaps in meeting regulatory expectations</w:t>
            </w:r>
          </w:p>
        </w:tc>
      </w:tr>
      <w:tr w:rsidR="00A108B0" w:rsidRPr="00647D4D" w14:paraId="63D5BA5D" w14:textId="77777777" w:rsidTr="00A108B0">
        <w:tc>
          <w:tcPr>
            <w:tcW w:w="9016" w:type="dxa"/>
            <w:shd w:val="clear" w:color="auto" w:fill="EA5B0C"/>
          </w:tcPr>
          <w:p w14:paraId="77391489" w14:textId="77777777" w:rsidR="00A108B0" w:rsidRPr="00647D4D" w:rsidRDefault="00A108B0" w:rsidP="00005841">
            <w:pPr>
              <w:pStyle w:val="TSNumberedParagraph11"/>
              <w:numPr>
                <w:ilvl w:val="0"/>
                <w:numId w:val="0"/>
              </w:numPr>
              <w:spacing w:after="0"/>
              <w:rPr>
                <w:b/>
                <w:color w:val="FFFFFF"/>
                <w:sz w:val="24"/>
              </w:rPr>
            </w:pPr>
            <w:r w:rsidRPr="006D6707">
              <w:rPr>
                <w:b/>
                <w:sz w:val="24"/>
              </w:rPr>
              <w:t>Prerequisites</w:t>
            </w:r>
          </w:p>
        </w:tc>
      </w:tr>
      <w:tr w:rsidR="00A108B0" w:rsidRPr="00647D4D" w14:paraId="09BEDF45" w14:textId="77777777" w:rsidTr="00A108B0">
        <w:tc>
          <w:tcPr>
            <w:tcW w:w="9016" w:type="dxa"/>
            <w:shd w:val="clear" w:color="auto" w:fill="auto"/>
          </w:tcPr>
          <w:p w14:paraId="195B5F86" w14:textId="77777777" w:rsidR="00A108B0" w:rsidRPr="00647D4D" w:rsidRDefault="00A108B0" w:rsidP="00005841">
            <w:pPr>
              <w:pStyle w:val="TSNumberedParagraph11"/>
              <w:numPr>
                <w:ilvl w:val="0"/>
                <w:numId w:val="0"/>
              </w:numPr>
              <w:spacing w:after="120"/>
              <w:rPr>
                <w:sz w:val="24"/>
              </w:rPr>
            </w:pPr>
            <w:r w:rsidRPr="00647D4D">
              <w:rPr>
                <w:sz w:val="24"/>
              </w:rPr>
              <w:t>In order to start Step 2 it is necessary for:</w:t>
            </w:r>
          </w:p>
          <w:p w14:paraId="616C5412" w14:textId="77777777" w:rsidR="00A108B0" w:rsidRPr="00647D4D" w:rsidRDefault="00A108B0" w:rsidP="00647D4D">
            <w:pPr>
              <w:pStyle w:val="Bulletlist1"/>
              <w:ind w:left="362"/>
            </w:pPr>
            <w:r w:rsidRPr="00647D4D">
              <w:t xml:space="preserve">ONR and the RP to have a cost recovery agreement in place </w:t>
            </w:r>
          </w:p>
          <w:p w14:paraId="13E21FD1" w14:textId="77777777" w:rsidR="00A108B0" w:rsidRPr="00647D4D" w:rsidRDefault="00A108B0" w:rsidP="00647D4D">
            <w:pPr>
              <w:pStyle w:val="Bulletlist1"/>
              <w:ind w:left="362"/>
            </w:pPr>
            <w:r w:rsidRPr="00647D4D">
              <w:t>ONR to have fully mobilised the management, JPO and assessment resources required</w:t>
            </w:r>
          </w:p>
          <w:p w14:paraId="64EB5044" w14:textId="77777777" w:rsidR="00A108B0" w:rsidRPr="00647D4D" w:rsidRDefault="00A108B0" w:rsidP="00647D4D">
            <w:pPr>
              <w:pStyle w:val="Bulletlist1"/>
              <w:ind w:left="362"/>
            </w:pPr>
            <w:r w:rsidRPr="00647D4D">
              <w:t>the RP to have submitted the information necessary to start the step, including a credible plan for submissions to be made during the step</w:t>
            </w:r>
          </w:p>
          <w:p w14:paraId="32733B83" w14:textId="77777777" w:rsidR="00A108B0" w:rsidRPr="00647D4D" w:rsidRDefault="00A108B0" w:rsidP="00647D4D">
            <w:pPr>
              <w:pStyle w:val="Bulletlist1"/>
              <w:ind w:left="362"/>
            </w:pPr>
            <w:r w:rsidRPr="00647D4D">
              <w:t xml:space="preserve">ONR to have published a GDA statement from Step 1, confirming the readiness of the RP to proceed to Step 2 </w:t>
            </w:r>
          </w:p>
        </w:tc>
      </w:tr>
      <w:tr w:rsidR="00A108B0" w:rsidRPr="00647D4D" w14:paraId="4EE43188" w14:textId="77777777" w:rsidTr="00A108B0">
        <w:tc>
          <w:tcPr>
            <w:tcW w:w="9016" w:type="dxa"/>
            <w:shd w:val="clear" w:color="auto" w:fill="AE136E"/>
          </w:tcPr>
          <w:p w14:paraId="7A8802E6" w14:textId="77777777" w:rsidR="00A108B0" w:rsidRPr="00647D4D" w:rsidRDefault="00A108B0" w:rsidP="00005841">
            <w:pPr>
              <w:pStyle w:val="TSNumberedParagraph11"/>
              <w:numPr>
                <w:ilvl w:val="0"/>
                <w:numId w:val="0"/>
              </w:numPr>
              <w:spacing w:after="0"/>
              <w:rPr>
                <w:b/>
                <w:color w:val="FFFFFF"/>
                <w:sz w:val="24"/>
              </w:rPr>
            </w:pPr>
            <w:r w:rsidRPr="00647D4D">
              <w:rPr>
                <w:b/>
                <w:color w:val="FFFFFF"/>
                <w:sz w:val="24"/>
              </w:rPr>
              <w:t>The RP is required to, during the step</w:t>
            </w:r>
          </w:p>
        </w:tc>
      </w:tr>
      <w:tr w:rsidR="00A108B0" w:rsidRPr="00647D4D" w14:paraId="7CC90F80" w14:textId="77777777" w:rsidTr="00A108B0">
        <w:tc>
          <w:tcPr>
            <w:tcW w:w="9016" w:type="dxa"/>
            <w:shd w:val="clear" w:color="auto" w:fill="auto"/>
          </w:tcPr>
          <w:p w14:paraId="234D118A" w14:textId="77777777" w:rsidR="00A108B0" w:rsidRPr="00647D4D" w:rsidRDefault="00A108B0" w:rsidP="00071C2C">
            <w:pPr>
              <w:pStyle w:val="TSNumberedParagraph11"/>
              <w:numPr>
                <w:ilvl w:val="0"/>
                <w:numId w:val="11"/>
              </w:numPr>
              <w:spacing w:after="120"/>
              <w:ind w:hanging="720"/>
              <w:rPr>
                <w:sz w:val="24"/>
              </w:rPr>
            </w:pPr>
            <w:r w:rsidRPr="00647D4D">
              <w:rPr>
                <w:i/>
                <w:sz w:val="24"/>
                <w:u w:val="single"/>
              </w:rPr>
              <w:t>Agree with ONR</w:t>
            </w:r>
            <w:r w:rsidRPr="00647D4D">
              <w:rPr>
                <w:sz w:val="24"/>
              </w:rPr>
              <w:t xml:space="preserve"> any changes necessary to the GDA scope, to ensure that the assessment remains meaningful</w:t>
            </w:r>
          </w:p>
          <w:p w14:paraId="5EA69A85" w14:textId="77777777" w:rsidR="00A108B0" w:rsidRPr="00647D4D" w:rsidRDefault="00A108B0" w:rsidP="00071C2C">
            <w:pPr>
              <w:pStyle w:val="TSNumberedParagraph11"/>
              <w:numPr>
                <w:ilvl w:val="0"/>
                <w:numId w:val="11"/>
              </w:numPr>
              <w:spacing w:after="120"/>
              <w:ind w:hanging="720"/>
              <w:rPr>
                <w:sz w:val="24"/>
              </w:rPr>
            </w:pPr>
            <w:r w:rsidRPr="00647D4D">
              <w:rPr>
                <w:i/>
                <w:sz w:val="24"/>
                <w:u w:val="single"/>
              </w:rPr>
              <w:lastRenderedPageBreak/>
              <w:t>Agree with ONR</w:t>
            </w:r>
            <w:r w:rsidRPr="00647D4D">
              <w:rPr>
                <w:sz w:val="24"/>
              </w:rPr>
              <w:t xml:space="preserve"> any changes to the overall GDA timescales and associated schedule, including subsequent steps</w:t>
            </w:r>
          </w:p>
          <w:p w14:paraId="3882D3C8" w14:textId="77777777" w:rsidR="00A108B0" w:rsidRPr="00647D4D" w:rsidRDefault="00A108B0" w:rsidP="00071C2C">
            <w:pPr>
              <w:pStyle w:val="TSNumberedParagraph11"/>
              <w:numPr>
                <w:ilvl w:val="0"/>
                <w:numId w:val="11"/>
              </w:numPr>
              <w:spacing w:after="120"/>
              <w:ind w:hanging="720"/>
              <w:rPr>
                <w:sz w:val="24"/>
              </w:rPr>
            </w:pPr>
            <w:r w:rsidRPr="00647D4D">
              <w:rPr>
                <w:i/>
                <w:sz w:val="24"/>
                <w:u w:val="single"/>
              </w:rPr>
              <w:t>Submit to ONR</w:t>
            </w:r>
            <w:r w:rsidRPr="00647D4D">
              <w:rPr>
                <w:sz w:val="24"/>
              </w:rPr>
              <w:t xml:space="preserve"> any additional relevant information which arises due to on-going assessments performed by other regulators on the proposed design, including any significant findings and any changes made or proposed as a result</w:t>
            </w:r>
          </w:p>
          <w:p w14:paraId="0E0375FA" w14:textId="77777777" w:rsidR="00A108B0" w:rsidRPr="00647D4D" w:rsidRDefault="00A108B0" w:rsidP="00071C2C">
            <w:pPr>
              <w:pStyle w:val="TSNumberedParagraph11"/>
              <w:numPr>
                <w:ilvl w:val="0"/>
                <w:numId w:val="11"/>
              </w:numPr>
              <w:spacing w:after="120"/>
              <w:ind w:hanging="720"/>
              <w:rPr>
                <w:sz w:val="24"/>
              </w:rPr>
            </w:pPr>
            <w:r w:rsidRPr="00647D4D">
              <w:rPr>
                <w:i/>
                <w:sz w:val="24"/>
                <w:u w:val="single"/>
              </w:rPr>
              <w:t>Submit to ONR</w:t>
            </w:r>
            <w:r w:rsidRPr="00647D4D">
              <w:rPr>
                <w:sz w:val="24"/>
              </w:rPr>
              <w:t xml:space="preserve"> a demonstration that the proposed design is likely to reduce risks to human health to ALARP</w:t>
            </w:r>
          </w:p>
          <w:p w14:paraId="35D1B4E3" w14:textId="2F05380D" w:rsidR="00A108B0" w:rsidRPr="00647D4D" w:rsidRDefault="00A108B0" w:rsidP="00071C2C">
            <w:pPr>
              <w:pStyle w:val="TSNumberedParagraph11"/>
              <w:numPr>
                <w:ilvl w:val="0"/>
                <w:numId w:val="11"/>
              </w:numPr>
              <w:spacing w:after="120"/>
              <w:ind w:hanging="720"/>
              <w:rPr>
                <w:sz w:val="24"/>
              </w:rPr>
            </w:pPr>
            <w:r w:rsidRPr="00647D4D">
              <w:rPr>
                <w:i/>
                <w:sz w:val="24"/>
                <w:u w:val="single"/>
              </w:rPr>
              <w:t>Submit to ONR</w:t>
            </w:r>
            <w:r w:rsidRPr="00647D4D">
              <w:rPr>
                <w:sz w:val="24"/>
              </w:rPr>
              <w:t xml:space="preserve"> a demonstration that the proposed design is likely to be compliant with the Nuclear Industries Security Regulations (NISR)</w:t>
            </w:r>
            <w:r w:rsidR="00647D4D">
              <w:rPr>
                <w:sz w:val="24"/>
              </w:rPr>
              <w:t xml:space="preserve"> 2003 </w:t>
            </w:r>
            <w:sdt>
              <w:sdtPr>
                <w:rPr>
                  <w:sz w:val="24"/>
                </w:rPr>
                <w:id w:val="-567501847"/>
                <w:citation/>
              </w:sdtPr>
              <w:sdtEndPr/>
              <w:sdtContent>
                <w:r w:rsidR="00647D4D">
                  <w:rPr>
                    <w:sz w:val="24"/>
                  </w:rPr>
                  <w:fldChar w:fldCharType="begin"/>
                </w:r>
                <w:r w:rsidR="00647D4D">
                  <w:rPr>
                    <w:sz w:val="24"/>
                  </w:rPr>
                  <w:instrText xml:space="preserve"> CITATION HMG032 \l 2057 </w:instrText>
                </w:r>
                <w:r w:rsidR="00647D4D">
                  <w:rPr>
                    <w:sz w:val="24"/>
                  </w:rPr>
                  <w:fldChar w:fldCharType="separate"/>
                </w:r>
                <w:r w:rsidR="00181C9E" w:rsidRPr="00181C9E">
                  <w:rPr>
                    <w:noProof/>
                    <w:sz w:val="24"/>
                  </w:rPr>
                  <w:t>[6]</w:t>
                </w:r>
                <w:r w:rsidR="00647D4D">
                  <w:rPr>
                    <w:sz w:val="24"/>
                  </w:rPr>
                  <w:fldChar w:fldCharType="end"/>
                </w:r>
              </w:sdtContent>
            </w:sdt>
            <w:r w:rsidR="00647D4D">
              <w:rPr>
                <w:sz w:val="24"/>
              </w:rPr>
              <w:t>.</w:t>
            </w:r>
          </w:p>
          <w:p w14:paraId="491543BA" w14:textId="77777777" w:rsidR="00A108B0" w:rsidRPr="00647D4D" w:rsidRDefault="00A108B0" w:rsidP="00071C2C">
            <w:pPr>
              <w:pStyle w:val="TSNumberedParagraph11"/>
              <w:numPr>
                <w:ilvl w:val="0"/>
                <w:numId w:val="11"/>
              </w:numPr>
              <w:spacing w:after="120"/>
              <w:ind w:hanging="720"/>
              <w:rPr>
                <w:sz w:val="24"/>
              </w:rPr>
            </w:pPr>
            <w:r w:rsidRPr="00647D4D">
              <w:rPr>
                <w:i/>
                <w:sz w:val="24"/>
                <w:u w:val="single"/>
              </w:rPr>
              <w:t>Submit to ONR</w:t>
            </w:r>
            <w:r w:rsidRPr="00647D4D">
              <w:rPr>
                <w:sz w:val="24"/>
              </w:rPr>
              <w:t xml:space="preserve"> a demonstration of the application of the RP’s categorisation of safety functions and classification of structures, systems and components within the proposed design</w:t>
            </w:r>
          </w:p>
          <w:p w14:paraId="4FD4198D" w14:textId="77777777" w:rsidR="00A108B0" w:rsidRPr="00647D4D" w:rsidRDefault="00A108B0" w:rsidP="00071C2C">
            <w:pPr>
              <w:pStyle w:val="TSNumberedParagraph11"/>
              <w:numPr>
                <w:ilvl w:val="0"/>
                <w:numId w:val="11"/>
              </w:numPr>
              <w:spacing w:after="120"/>
              <w:ind w:hanging="720"/>
              <w:rPr>
                <w:sz w:val="24"/>
              </w:rPr>
            </w:pPr>
            <w:r w:rsidRPr="00647D4D">
              <w:rPr>
                <w:i/>
                <w:sz w:val="24"/>
                <w:u w:val="single"/>
              </w:rPr>
              <w:t>Submit to ONR</w:t>
            </w:r>
            <w:r w:rsidRPr="00647D4D">
              <w:rPr>
                <w:sz w:val="24"/>
              </w:rPr>
              <w:t xml:space="preserve"> a schedule of faults (including internal events, internal and external hazards), including protection and mitigation measures and the links this has to the associated engineering</w:t>
            </w:r>
          </w:p>
          <w:p w14:paraId="16E50E0B" w14:textId="77777777" w:rsidR="00A108B0" w:rsidRPr="00647D4D" w:rsidRDefault="00A108B0" w:rsidP="00071C2C">
            <w:pPr>
              <w:pStyle w:val="TSNumberedParagraph11"/>
              <w:numPr>
                <w:ilvl w:val="0"/>
                <w:numId w:val="11"/>
              </w:numPr>
              <w:spacing w:after="120"/>
              <w:ind w:hanging="720"/>
              <w:rPr>
                <w:sz w:val="24"/>
              </w:rPr>
            </w:pPr>
            <w:r w:rsidRPr="00647D4D">
              <w:rPr>
                <w:i/>
                <w:sz w:val="24"/>
                <w:u w:val="single"/>
              </w:rPr>
              <w:t>Submit to ONR</w:t>
            </w:r>
            <w:r w:rsidRPr="00647D4D">
              <w:rPr>
                <w:sz w:val="24"/>
              </w:rPr>
              <w:t xml:space="preserve"> a demonstration of the application of the RP’s approach adopted to defence in depth and the hierarchy of controls, including consideration of matters such as common cause failure, segregation, redundancy and diversity within the proposed design</w:t>
            </w:r>
          </w:p>
          <w:p w14:paraId="6C586AF9" w14:textId="77777777" w:rsidR="00A108B0" w:rsidRPr="00647D4D" w:rsidRDefault="00A108B0" w:rsidP="00071C2C">
            <w:pPr>
              <w:pStyle w:val="TSNumberedParagraph11"/>
              <w:numPr>
                <w:ilvl w:val="0"/>
                <w:numId w:val="11"/>
              </w:numPr>
              <w:spacing w:after="120"/>
              <w:ind w:hanging="720"/>
              <w:rPr>
                <w:sz w:val="24"/>
              </w:rPr>
            </w:pPr>
            <w:r w:rsidRPr="00647D4D">
              <w:rPr>
                <w:i/>
                <w:sz w:val="24"/>
                <w:u w:val="single"/>
              </w:rPr>
              <w:t>Submit to ONR</w:t>
            </w:r>
            <w:r w:rsidRPr="00647D4D">
              <w:rPr>
                <w:sz w:val="24"/>
              </w:rPr>
              <w:t xml:space="preserve"> a demonstration of how the RP’s own design, security and safety principles have been adopted in the proposed design</w:t>
            </w:r>
          </w:p>
          <w:p w14:paraId="170CCE64" w14:textId="77777777" w:rsidR="00A108B0" w:rsidRPr="00647D4D" w:rsidRDefault="00A108B0" w:rsidP="00071C2C">
            <w:pPr>
              <w:numPr>
                <w:ilvl w:val="0"/>
                <w:numId w:val="11"/>
              </w:numPr>
              <w:spacing w:before="0" w:line="240" w:lineRule="auto"/>
              <w:ind w:left="714" w:hanging="720"/>
              <w:rPr>
                <w:szCs w:val="24"/>
              </w:rPr>
            </w:pPr>
            <w:r w:rsidRPr="00647D4D">
              <w:rPr>
                <w:i/>
                <w:szCs w:val="24"/>
                <w:u w:val="single"/>
              </w:rPr>
              <w:t>Submit to ONR</w:t>
            </w:r>
            <w:r w:rsidRPr="00647D4D">
              <w:rPr>
                <w:szCs w:val="24"/>
              </w:rPr>
              <w:t xml:space="preserve"> information on the methodologies to be adopted for the identification of Vital Areas, the analysis of cyber security risks and the approach to security related defence in depth</w:t>
            </w:r>
          </w:p>
          <w:p w14:paraId="61569696" w14:textId="7C2C2441" w:rsidR="00A108B0" w:rsidRPr="00647D4D" w:rsidRDefault="00A108B0" w:rsidP="00071C2C">
            <w:pPr>
              <w:pStyle w:val="TSNumberedParagraph11"/>
              <w:numPr>
                <w:ilvl w:val="0"/>
                <w:numId w:val="11"/>
              </w:numPr>
              <w:spacing w:after="120"/>
              <w:ind w:hanging="720"/>
              <w:rPr>
                <w:sz w:val="24"/>
              </w:rPr>
            </w:pPr>
            <w:r w:rsidRPr="00647D4D">
              <w:rPr>
                <w:i/>
                <w:sz w:val="24"/>
                <w:u w:val="single"/>
              </w:rPr>
              <w:t>Submit to ONR</w:t>
            </w:r>
            <w:r w:rsidRPr="00647D4D">
              <w:rPr>
                <w:sz w:val="24"/>
              </w:rPr>
              <w:t xml:space="preserve"> the agreed submissions, which align with the expectations given in the discipline technical guidance </w:t>
            </w:r>
            <w:sdt>
              <w:sdtPr>
                <w:rPr>
                  <w:sz w:val="24"/>
                </w:rPr>
                <w:id w:val="822164117"/>
                <w:citation/>
              </w:sdtPr>
              <w:sdtEndPr/>
              <w:sdtContent>
                <w:r w:rsidRPr="00647D4D">
                  <w:rPr>
                    <w:sz w:val="24"/>
                  </w:rPr>
                  <w:fldChar w:fldCharType="begin"/>
                </w:r>
                <w:r w:rsidRPr="00647D4D">
                  <w:rPr>
                    <w:sz w:val="24"/>
                  </w:rPr>
                  <w:instrText xml:space="preserve"> CITATION ONR1910 \l 2057 </w:instrText>
                </w:r>
                <w:r w:rsidRPr="00647D4D">
                  <w:rPr>
                    <w:sz w:val="24"/>
                  </w:rPr>
                  <w:fldChar w:fldCharType="separate"/>
                </w:r>
                <w:r w:rsidR="00181C9E" w:rsidRPr="00181C9E">
                  <w:rPr>
                    <w:noProof/>
                    <w:sz w:val="24"/>
                  </w:rPr>
                  <w:t>[4]</w:t>
                </w:r>
                <w:r w:rsidRPr="00647D4D">
                  <w:rPr>
                    <w:sz w:val="24"/>
                  </w:rPr>
                  <w:fldChar w:fldCharType="end"/>
                </w:r>
              </w:sdtContent>
            </w:sdt>
            <w:r w:rsidRPr="00647D4D">
              <w:rPr>
                <w:sz w:val="24"/>
              </w:rPr>
              <w:t xml:space="preserve">, in accordance with the GDA scope. </w:t>
            </w:r>
            <w:r w:rsidRPr="00647D4D">
              <w:rPr>
                <w:sz w:val="24"/>
              </w:rPr>
              <w:br/>
              <w:t>This should include:</w:t>
            </w:r>
          </w:p>
          <w:p w14:paraId="51DBE48A" w14:textId="0A4EF23B" w:rsidR="00A108B0" w:rsidRPr="00647D4D" w:rsidRDefault="00A108B0" w:rsidP="00071C2C">
            <w:pPr>
              <w:pStyle w:val="TSNumberedParagraph11"/>
              <w:numPr>
                <w:ilvl w:val="1"/>
                <w:numId w:val="15"/>
              </w:numPr>
              <w:spacing w:after="120"/>
              <w:rPr>
                <w:sz w:val="24"/>
              </w:rPr>
            </w:pPr>
            <w:r w:rsidRPr="00647D4D">
              <w:rPr>
                <w:sz w:val="24"/>
              </w:rPr>
              <w:t>Sufficient detail for ONR to satisfy itself that relevant assessment principles (i.e., SAP</w:t>
            </w:r>
            <w:r w:rsidR="00647D4D">
              <w:rPr>
                <w:sz w:val="24"/>
              </w:rPr>
              <w:t>s</w:t>
            </w:r>
            <w:r w:rsidRPr="00647D4D">
              <w:rPr>
                <w:sz w:val="24"/>
              </w:rPr>
              <w:t xml:space="preserve"> and SyAPs) are likely to be satisfied;</w:t>
            </w:r>
          </w:p>
          <w:p w14:paraId="7BDB591F" w14:textId="77777777" w:rsidR="00A108B0" w:rsidRPr="00647D4D" w:rsidRDefault="00A108B0" w:rsidP="00071C2C">
            <w:pPr>
              <w:pStyle w:val="TSNumberedParagraph11"/>
              <w:numPr>
                <w:ilvl w:val="1"/>
                <w:numId w:val="15"/>
              </w:numPr>
              <w:spacing w:after="120"/>
              <w:rPr>
                <w:sz w:val="24"/>
              </w:rPr>
            </w:pPr>
            <w:r w:rsidRPr="00647D4D">
              <w:rPr>
                <w:sz w:val="24"/>
              </w:rPr>
              <w:t>A safety and security case ‘head document’, or equivalent, which provides the overall safety and security narrative and structure; including a demonstration that the design will meet the safety and security objectives before construction or installation commences, and that sufficient analysis and engineering substantiation has been performed to prove that the operational plant will be adequately safe and secure;</w:t>
            </w:r>
          </w:p>
          <w:p w14:paraId="28F6F60C" w14:textId="77777777" w:rsidR="00A108B0" w:rsidRPr="00647D4D" w:rsidRDefault="00A108B0" w:rsidP="00071C2C">
            <w:pPr>
              <w:pStyle w:val="TSNumberedParagraph11"/>
              <w:numPr>
                <w:ilvl w:val="1"/>
                <w:numId w:val="15"/>
              </w:numPr>
              <w:spacing w:after="120"/>
              <w:rPr>
                <w:sz w:val="24"/>
              </w:rPr>
            </w:pPr>
            <w:r w:rsidRPr="00647D4D">
              <w:rPr>
                <w:sz w:val="24"/>
              </w:rPr>
              <w:t>Details on the methodologies, approaches, codes, standards and philosophies used and a justification that these are consistent with what would be considered as Relevant Good Practice (RGP). Identification and explanation of any deviations, including how these have been resolved or demonstrated to reduce risks to ALARP;</w:t>
            </w:r>
          </w:p>
          <w:p w14:paraId="2549E089" w14:textId="77777777" w:rsidR="00A108B0" w:rsidRPr="00647D4D" w:rsidRDefault="00A108B0" w:rsidP="00071C2C">
            <w:pPr>
              <w:pStyle w:val="TSNumberedParagraph11"/>
              <w:numPr>
                <w:ilvl w:val="1"/>
                <w:numId w:val="15"/>
              </w:numPr>
              <w:spacing w:after="120"/>
              <w:rPr>
                <w:sz w:val="24"/>
              </w:rPr>
            </w:pPr>
            <w:r w:rsidRPr="00647D4D">
              <w:rPr>
                <w:sz w:val="24"/>
              </w:rPr>
              <w:lastRenderedPageBreak/>
              <w:t>Supporting safety analysis, including deterministic and probabilistic safety analyses to cover the GDA scope;</w:t>
            </w:r>
          </w:p>
          <w:p w14:paraId="1E37A7C3" w14:textId="77777777" w:rsidR="00A108B0" w:rsidRPr="00647D4D" w:rsidRDefault="00A108B0" w:rsidP="00071C2C">
            <w:pPr>
              <w:pStyle w:val="TSNumberedParagraph11"/>
              <w:numPr>
                <w:ilvl w:val="1"/>
                <w:numId w:val="15"/>
              </w:numPr>
              <w:spacing w:after="120"/>
              <w:rPr>
                <w:sz w:val="24"/>
              </w:rPr>
            </w:pPr>
            <w:r w:rsidRPr="00647D4D">
              <w:rPr>
                <w:sz w:val="24"/>
              </w:rPr>
              <w:t>Details of the verification and validation of any software or computer codes used within the supporting analysis;</w:t>
            </w:r>
          </w:p>
          <w:p w14:paraId="582B9BF6" w14:textId="77777777" w:rsidR="00A108B0" w:rsidRPr="00647D4D" w:rsidRDefault="00A108B0" w:rsidP="00071C2C">
            <w:pPr>
              <w:pStyle w:val="TSNumberedParagraph11"/>
              <w:numPr>
                <w:ilvl w:val="1"/>
                <w:numId w:val="15"/>
              </w:numPr>
              <w:spacing w:after="120"/>
              <w:rPr>
                <w:sz w:val="24"/>
              </w:rPr>
            </w:pPr>
            <w:r w:rsidRPr="00647D4D">
              <w:rPr>
                <w:sz w:val="24"/>
              </w:rPr>
              <w:t>Detailed descriptions of system architectures and key structures, systems and components, their safety or security functions, and reliability and availability requirements; and</w:t>
            </w:r>
          </w:p>
          <w:p w14:paraId="1C0B0815" w14:textId="77777777" w:rsidR="00A108B0" w:rsidRPr="00647D4D" w:rsidRDefault="00A108B0" w:rsidP="00071C2C">
            <w:pPr>
              <w:pStyle w:val="TSNumberedParagraph11"/>
              <w:numPr>
                <w:ilvl w:val="1"/>
                <w:numId w:val="15"/>
              </w:numPr>
              <w:spacing w:after="120"/>
              <w:rPr>
                <w:sz w:val="24"/>
              </w:rPr>
            </w:pPr>
            <w:r w:rsidRPr="00647D4D">
              <w:rPr>
                <w:sz w:val="24"/>
              </w:rPr>
              <w:t>Identification of the safe operating envelope and the operating regime that maintains the integrity of that envelope.</w:t>
            </w:r>
          </w:p>
          <w:p w14:paraId="6E41CDB1" w14:textId="77777777" w:rsidR="00A108B0" w:rsidRPr="00647D4D" w:rsidRDefault="00A108B0" w:rsidP="00071C2C">
            <w:pPr>
              <w:numPr>
                <w:ilvl w:val="0"/>
                <w:numId w:val="11"/>
              </w:numPr>
              <w:spacing w:before="0" w:line="240" w:lineRule="auto"/>
              <w:ind w:left="714" w:hanging="714"/>
              <w:rPr>
                <w:szCs w:val="24"/>
              </w:rPr>
            </w:pPr>
            <w:r w:rsidRPr="00647D4D">
              <w:rPr>
                <w:i/>
                <w:szCs w:val="24"/>
                <w:u w:val="single"/>
              </w:rPr>
              <w:t>Submit to ONR</w:t>
            </w:r>
            <w:r w:rsidRPr="00647D4D">
              <w:rPr>
                <w:szCs w:val="24"/>
              </w:rPr>
              <w:t xml:space="preserve"> the documentation identified within the resolution plans produced in response to the gap analysis against regulatory expectations [1.20]</w:t>
            </w:r>
          </w:p>
          <w:p w14:paraId="6D7CE4C0" w14:textId="77777777" w:rsidR="00A108B0" w:rsidRPr="00647D4D" w:rsidRDefault="00A108B0" w:rsidP="00071C2C">
            <w:pPr>
              <w:pStyle w:val="TSNumberedParagraph11"/>
              <w:numPr>
                <w:ilvl w:val="0"/>
                <w:numId w:val="11"/>
              </w:numPr>
              <w:spacing w:after="120"/>
              <w:ind w:left="714" w:hanging="714"/>
              <w:rPr>
                <w:sz w:val="24"/>
              </w:rPr>
            </w:pPr>
            <w:r w:rsidRPr="00647D4D">
              <w:rPr>
                <w:i/>
                <w:sz w:val="24"/>
                <w:u w:val="single"/>
              </w:rPr>
              <w:t>Submit to ONR</w:t>
            </w:r>
            <w:r w:rsidRPr="00647D4D">
              <w:rPr>
                <w:sz w:val="24"/>
              </w:rPr>
              <w:t xml:space="preserve"> information regarding any outstanding information in the generic safety and security cases that remains to be developed and its significance</w:t>
            </w:r>
          </w:p>
          <w:p w14:paraId="6B6097DA" w14:textId="77777777" w:rsidR="00A108B0" w:rsidRPr="00647D4D" w:rsidRDefault="00A108B0" w:rsidP="00071C2C">
            <w:pPr>
              <w:pStyle w:val="TSNumberedParagraph11"/>
              <w:numPr>
                <w:ilvl w:val="0"/>
                <w:numId w:val="11"/>
              </w:numPr>
              <w:spacing w:after="120"/>
              <w:ind w:hanging="714"/>
              <w:rPr>
                <w:sz w:val="24"/>
              </w:rPr>
            </w:pPr>
            <w:r w:rsidRPr="00647D4D">
              <w:rPr>
                <w:i/>
                <w:sz w:val="24"/>
                <w:u w:val="single"/>
              </w:rPr>
              <w:t>Agree with ONR</w:t>
            </w:r>
            <w:r w:rsidRPr="00647D4D">
              <w:rPr>
                <w:sz w:val="24"/>
              </w:rPr>
              <w:t xml:space="preserve"> a schedule of generic safety and security case information which will be submitted to ONR prior to the start of Step 3</w:t>
            </w:r>
          </w:p>
          <w:p w14:paraId="73AE7B01" w14:textId="77777777" w:rsidR="00A108B0" w:rsidRPr="00647D4D" w:rsidRDefault="00A108B0" w:rsidP="00071C2C">
            <w:pPr>
              <w:pStyle w:val="TSNumberedParagraph11"/>
              <w:numPr>
                <w:ilvl w:val="0"/>
                <w:numId w:val="11"/>
              </w:numPr>
              <w:spacing w:after="120"/>
              <w:ind w:hanging="714"/>
              <w:rPr>
                <w:sz w:val="24"/>
              </w:rPr>
            </w:pPr>
            <w:r w:rsidRPr="00647D4D">
              <w:rPr>
                <w:i/>
                <w:sz w:val="24"/>
                <w:u w:val="single"/>
              </w:rPr>
              <w:t>Continue</w:t>
            </w:r>
            <w:r w:rsidRPr="00647D4D">
              <w:rPr>
                <w:sz w:val="24"/>
              </w:rPr>
              <w:t xml:space="preserve"> to maintain and update the Master Document Submission List (MDSL) in accordance with the RP’s arrangements produced during Step 1, at regular intervals throughout the step</w:t>
            </w:r>
          </w:p>
          <w:p w14:paraId="07B1DC76" w14:textId="77777777" w:rsidR="00A108B0" w:rsidRPr="00647D4D" w:rsidRDefault="00A108B0" w:rsidP="00071C2C">
            <w:pPr>
              <w:pStyle w:val="TSNumberedParagraph11"/>
              <w:numPr>
                <w:ilvl w:val="0"/>
                <w:numId w:val="11"/>
              </w:numPr>
              <w:spacing w:after="120"/>
              <w:ind w:hanging="714"/>
              <w:rPr>
                <w:sz w:val="24"/>
              </w:rPr>
            </w:pPr>
            <w:r w:rsidRPr="00647D4D">
              <w:rPr>
                <w:i/>
                <w:sz w:val="24"/>
                <w:u w:val="single"/>
              </w:rPr>
              <w:t>Submit to ONR</w:t>
            </w:r>
            <w:r w:rsidRPr="00647D4D">
              <w:rPr>
                <w:sz w:val="24"/>
              </w:rPr>
              <w:t xml:space="preserve"> the first Design Reference Point (DRP) in accordance with the RP’s arrangements produced during Step 1. </w:t>
            </w:r>
            <w:r w:rsidRPr="00647D4D">
              <w:rPr>
                <w:i/>
                <w:sz w:val="24"/>
                <w:u w:val="single"/>
              </w:rPr>
              <w:t>Continue</w:t>
            </w:r>
            <w:r w:rsidRPr="00647D4D">
              <w:rPr>
                <w:sz w:val="24"/>
              </w:rPr>
              <w:t xml:space="preserve"> to update this as necessary throughout the step</w:t>
            </w:r>
          </w:p>
          <w:p w14:paraId="4D636186" w14:textId="77777777" w:rsidR="00A108B0" w:rsidRPr="00647D4D" w:rsidRDefault="00A108B0" w:rsidP="00071C2C">
            <w:pPr>
              <w:pStyle w:val="TSNumberedParagraph11"/>
              <w:numPr>
                <w:ilvl w:val="0"/>
                <w:numId w:val="11"/>
              </w:numPr>
              <w:spacing w:after="120"/>
              <w:ind w:hanging="714"/>
              <w:rPr>
                <w:sz w:val="24"/>
              </w:rPr>
            </w:pPr>
            <w:r w:rsidRPr="00647D4D">
              <w:rPr>
                <w:i/>
                <w:sz w:val="24"/>
                <w:u w:val="single"/>
              </w:rPr>
              <w:t>Submit to ONR</w:t>
            </w:r>
            <w:r w:rsidRPr="00647D4D">
              <w:rPr>
                <w:sz w:val="24"/>
              </w:rPr>
              <w:t xml:space="preserve"> a demonstration that the arrangements for capturing assumptions, commitments and requirements from the safety and security cases have been applied. </w:t>
            </w:r>
            <w:r w:rsidRPr="00647D4D">
              <w:rPr>
                <w:i/>
                <w:sz w:val="24"/>
                <w:u w:val="single"/>
              </w:rPr>
              <w:t>Continue</w:t>
            </w:r>
            <w:r w:rsidRPr="00647D4D">
              <w:rPr>
                <w:sz w:val="24"/>
              </w:rPr>
              <w:t xml:space="preserve"> to apply these arrangements throughout the step </w:t>
            </w:r>
          </w:p>
          <w:p w14:paraId="78A13688" w14:textId="77777777" w:rsidR="00A108B0" w:rsidRPr="00647D4D" w:rsidRDefault="00A108B0" w:rsidP="00071C2C">
            <w:pPr>
              <w:numPr>
                <w:ilvl w:val="0"/>
                <w:numId w:val="11"/>
              </w:numPr>
              <w:spacing w:before="0" w:line="240" w:lineRule="auto"/>
              <w:ind w:hanging="720"/>
              <w:rPr>
                <w:szCs w:val="24"/>
              </w:rPr>
            </w:pPr>
            <w:r w:rsidRPr="00647D4D">
              <w:rPr>
                <w:i/>
                <w:szCs w:val="24"/>
                <w:u w:val="single"/>
              </w:rPr>
              <w:t>Continue</w:t>
            </w:r>
            <w:r w:rsidRPr="00647D4D">
              <w:rPr>
                <w:szCs w:val="24"/>
              </w:rPr>
              <w:t xml:space="preserve"> to apply the DR change control arrangements throughout the step. </w:t>
            </w:r>
            <w:r w:rsidRPr="00647D4D">
              <w:rPr>
                <w:i/>
                <w:szCs w:val="24"/>
                <w:u w:val="single"/>
              </w:rPr>
              <w:t>Submit to ONR</w:t>
            </w:r>
            <w:r w:rsidRPr="00647D4D">
              <w:rPr>
                <w:szCs w:val="24"/>
              </w:rPr>
              <w:t xml:space="preserve"> any design change information specified under these arrangements</w:t>
            </w:r>
          </w:p>
          <w:p w14:paraId="5BB5EBFA" w14:textId="77777777" w:rsidR="00A108B0" w:rsidRPr="00647D4D" w:rsidRDefault="00A108B0" w:rsidP="00071C2C">
            <w:pPr>
              <w:numPr>
                <w:ilvl w:val="0"/>
                <w:numId w:val="11"/>
              </w:numPr>
              <w:spacing w:before="0" w:line="240" w:lineRule="auto"/>
              <w:ind w:hanging="720"/>
              <w:rPr>
                <w:szCs w:val="24"/>
              </w:rPr>
            </w:pPr>
            <w:r w:rsidRPr="00647D4D">
              <w:rPr>
                <w:i/>
                <w:szCs w:val="24"/>
                <w:u w:val="single"/>
              </w:rPr>
              <w:t>Put arrangements in place</w:t>
            </w:r>
            <w:r w:rsidRPr="00647D4D">
              <w:rPr>
                <w:szCs w:val="24"/>
              </w:rPr>
              <w:t xml:space="preserve"> for developing the safety case into a site-specific Pre-Construction Safety Report which clearly demonstrates that this can be achieved by a future licensee. </w:t>
            </w:r>
            <w:r w:rsidRPr="00647D4D">
              <w:rPr>
                <w:i/>
                <w:szCs w:val="24"/>
                <w:u w:val="single"/>
              </w:rPr>
              <w:t>Submit to ONR</w:t>
            </w:r>
            <w:r w:rsidRPr="00647D4D">
              <w:rPr>
                <w:szCs w:val="24"/>
              </w:rPr>
              <w:t xml:space="preserve"> a description of those arrangements and a demonstration of their adequacy for GDA</w:t>
            </w:r>
          </w:p>
          <w:p w14:paraId="6D2AB74D" w14:textId="77777777" w:rsidR="00A108B0" w:rsidRPr="00647D4D" w:rsidRDefault="00A108B0" w:rsidP="00071C2C">
            <w:pPr>
              <w:pStyle w:val="TSNumberedParagraph11"/>
              <w:numPr>
                <w:ilvl w:val="0"/>
                <w:numId w:val="11"/>
              </w:numPr>
              <w:spacing w:after="120"/>
              <w:ind w:hanging="720"/>
              <w:rPr>
                <w:sz w:val="24"/>
              </w:rPr>
            </w:pPr>
            <w:r w:rsidRPr="00647D4D">
              <w:rPr>
                <w:i/>
                <w:sz w:val="24"/>
                <w:u w:val="single"/>
              </w:rPr>
              <w:t>Put arrangements in place</w:t>
            </w:r>
            <w:r w:rsidRPr="00647D4D">
              <w:rPr>
                <w:sz w:val="24"/>
              </w:rPr>
              <w:t xml:space="preserve"> for developing the security case into a Nuclear Site Security Plan for the operating site, which clearly demonstrates that this can be achieved by a future licensee. </w:t>
            </w:r>
            <w:r w:rsidRPr="00647D4D">
              <w:rPr>
                <w:i/>
                <w:sz w:val="24"/>
                <w:u w:val="single"/>
              </w:rPr>
              <w:t>Submit to ONR</w:t>
            </w:r>
            <w:r w:rsidRPr="00647D4D">
              <w:rPr>
                <w:sz w:val="24"/>
              </w:rPr>
              <w:t xml:space="preserve"> a description of those arrangements and a demonstration of their adequacy for GDA</w:t>
            </w:r>
          </w:p>
          <w:p w14:paraId="1AC6EAE1" w14:textId="77777777" w:rsidR="00A108B0" w:rsidRPr="00647D4D" w:rsidRDefault="00A108B0" w:rsidP="00071C2C">
            <w:pPr>
              <w:pStyle w:val="TSNumberedParagraph11"/>
              <w:numPr>
                <w:ilvl w:val="0"/>
                <w:numId w:val="11"/>
              </w:numPr>
              <w:spacing w:after="120"/>
              <w:ind w:hanging="720"/>
              <w:rPr>
                <w:sz w:val="24"/>
              </w:rPr>
            </w:pPr>
            <w:r w:rsidRPr="00647D4D">
              <w:rPr>
                <w:i/>
                <w:sz w:val="24"/>
                <w:u w:val="single"/>
              </w:rPr>
              <w:t>Submit to ONR</w:t>
            </w:r>
            <w:r w:rsidRPr="00647D4D">
              <w:rPr>
                <w:sz w:val="24"/>
              </w:rPr>
              <w:t xml:space="preserve"> responses to any questions raised by ONR during its assessment (RQs, ROs and RIs)</w:t>
            </w:r>
          </w:p>
          <w:p w14:paraId="5C2D6E69" w14:textId="77777777" w:rsidR="00A108B0" w:rsidRPr="00647D4D" w:rsidRDefault="00A108B0" w:rsidP="00071C2C">
            <w:pPr>
              <w:pStyle w:val="TSNumberedParagraph11"/>
              <w:numPr>
                <w:ilvl w:val="0"/>
                <w:numId w:val="11"/>
              </w:numPr>
              <w:spacing w:after="120"/>
              <w:ind w:hanging="720"/>
              <w:rPr>
                <w:sz w:val="24"/>
              </w:rPr>
            </w:pPr>
            <w:r w:rsidRPr="00647D4D">
              <w:rPr>
                <w:i/>
                <w:sz w:val="24"/>
                <w:u w:val="single"/>
              </w:rPr>
              <w:t>Submit to ONR</w:t>
            </w:r>
            <w:r w:rsidRPr="00647D4D">
              <w:rPr>
                <w:sz w:val="24"/>
              </w:rPr>
              <w:t xml:space="preserve"> information regarding its intentions for evolution of its GDA resources and a demonstration of the on-going sufficiency of resources to be applied through the step</w:t>
            </w:r>
          </w:p>
          <w:p w14:paraId="55F1A695" w14:textId="77777777" w:rsidR="00A108B0" w:rsidRPr="00647D4D" w:rsidRDefault="00A108B0" w:rsidP="00071C2C">
            <w:pPr>
              <w:pStyle w:val="TSNumberedParagraph11"/>
              <w:numPr>
                <w:ilvl w:val="0"/>
                <w:numId w:val="11"/>
              </w:numPr>
              <w:spacing w:after="120"/>
              <w:ind w:hanging="720"/>
              <w:rPr>
                <w:sz w:val="24"/>
              </w:rPr>
            </w:pPr>
            <w:r w:rsidRPr="00647D4D">
              <w:rPr>
                <w:i/>
                <w:sz w:val="24"/>
                <w:u w:val="single"/>
              </w:rPr>
              <w:lastRenderedPageBreak/>
              <w:t>Continue</w:t>
            </w:r>
            <w:r w:rsidRPr="00647D4D">
              <w:rPr>
                <w:sz w:val="24"/>
              </w:rPr>
              <w:t xml:space="preserve"> to facilitate meetings between ONR and relevant RP’s personnel to share information and discuss technical matters</w:t>
            </w:r>
          </w:p>
          <w:p w14:paraId="3290864F" w14:textId="77777777" w:rsidR="00A108B0" w:rsidRPr="00647D4D" w:rsidRDefault="00A108B0" w:rsidP="00071C2C">
            <w:pPr>
              <w:pStyle w:val="TSNumberedParagraph11"/>
              <w:numPr>
                <w:ilvl w:val="0"/>
                <w:numId w:val="11"/>
              </w:numPr>
              <w:spacing w:after="120"/>
              <w:ind w:hanging="720"/>
              <w:rPr>
                <w:sz w:val="24"/>
              </w:rPr>
            </w:pPr>
            <w:r w:rsidRPr="00647D4D">
              <w:rPr>
                <w:i/>
                <w:sz w:val="24"/>
                <w:u w:val="single"/>
              </w:rPr>
              <w:t>Continue</w:t>
            </w:r>
            <w:r w:rsidRPr="00647D4D">
              <w:rPr>
                <w:sz w:val="24"/>
              </w:rPr>
              <w:t xml:space="preserve"> to facilitate the public comment process including hosting a public website, containing relevant and updated generic safety and security cases, and responding to comments made by the public</w:t>
            </w:r>
          </w:p>
          <w:p w14:paraId="6D7D58EB" w14:textId="77777777" w:rsidR="00A108B0" w:rsidRPr="00647D4D" w:rsidRDefault="00A108B0" w:rsidP="00071C2C">
            <w:pPr>
              <w:pStyle w:val="TSNumberedParagraph11"/>
              <w:numPr>
                <w:ilvl w:val="0"/>
                <w:numId w:val="11"/>
              </w:numPr>
              <w:spacing w:after="120"/>
              <w:ind w:hanging="720"/>
              <w:rPr>
                <w:sz w:val="24"/>
              </w:rPr>
            </w:pPr>
            <w:r w:rsidRPr="00647D4D">
              <w:rPr>
                <w:i/>
                <w:sz w:val="24"/>
                <w:u w:val="single"/>
              </w:rPr>
              <w:t>Undertake</w:t>
            </w:r>
            <w:r w:rsidRPr="00647D4D">
              <w:rPr>
                <w:sz w:val="24"/>
              </w:rPr>
              <w:t xml:space="preserve"> a review of its readiness to begin Step 3 and </w:t>
            </w:r>
            <w:r w:rsidRPr="00647D4D">
              <w:rPr>
                <w:i/>
                <w:sz w:val="24"/>
                <w:u w:val="single"/>
              </w:rPr>
              <w:t>submit to ONR</w:t>
            </w:r>
            <w:r w:rsidRPr="00647D4D">
              <w:rPr>
                <w:sz w:val="24"/>
              </w:rPr>
              <w:t xml:space="preserve"> evidence to support the outcomes</w:t>
            </w:r>
          </w:p>
        </w:tc>
      </w:tr>
      <w:tr w:rsidR="00A108B0" w:rsidRPr="00647D4D" w14:paraId="57E14508" w14:textId="77777777" w:rsidTr="00A108B0">
        <w:tc>
          <w:tcPr>
            <w:tcW w:w="9016" w:type="dxa"/>
            <w:shd w:val="clear" w:color="auto" w:fill="56BFCA"/>
          </w:tcPr>
          <w:p w14:paraId="4864A380" w14:textId="77777777" w:rsidR="00A108B0" w:rsidRPr="00647D4D" w:rsidRDefault="00A108B0" w:rsidP="00005841">
            <w:pPr>
              <w:pStyle w:val="TSNumberedParagraph11"/>
              <w:numPr>
                <w:ilvl w:val="0"/>
                <w:numId w:val="0"/>
              </w:numPr>
              <w:spacing w:after="0"/>
              <w:rPr>
                <w:b/>
                <w:color w:val="FFFFFF"/>
                <w:sz w:val="24"/>
              </w:rPr>
            </w:pPr>
            <w:r w:rsidRPr="006D6707">
              <w:rPr>
                <w:b/>
                <w:sz w:val="24"/>
              </w:rPr>
              <w:lastRenderedPageBreak/>
              <w:t>ONR will, during the step</w:t>
            </w:r>
          </w:p>
        </w:tc>
      </w:tr>
      <w:tr w:rsidR="00A108B0" w:rsidRPr="00647D4D" w14:paraId="3DAF6104" w14:textId="77777777" w:rsidTr="00A108B0">
        <w:tc>
          <w:tcPr>
            <w:tcW w:w="9016" w:type="dxa"/>
            <w:shd w:val="clear" w:color="auto" w:fill="auto"/>
          </w:tcPr>
          <w:p w14:paraId="78223472" w14:textId="77777777" w:rsidR="00A108B0" w:rsidRPr="00647D4D" w:rsidRDefault="00A108B0" w:rsidP="00071C2C">
            <w:pPr>
              <w:pStyle w:val="TSNumberedParagraph11"/>
              <w:numPr>
                <w:ilvl w:val="0"/>
                <w:numId w:val="11"/>
              </w:numPr>
              <w:spacing w:after="120"/>
              <w:ind w:hanging="720"/>
              <w:rPr>
                <w:sz w:val="24"/>
              </w:rPr>
            </w:pPr>
            <w:r w:rsidRPr="00647D4D">
              <w:rPr>
                <w:sz w:val="24"/>
              </w:rPr>
              <w:t>Assess the adequacy of the submissions made to ONR during the step, in line with relevant standards and guidance, and provide feedback to the RP. The scope of ONR’s assessment will be partly defined by experience from Step 1, and also by experience in previous GDAs. This will specifically include consideration of:</w:t>
            </w:r>
          </w:p>
          <w:p w14:paraId="5342F2DF" w14:textId="77777777" w:rsidR="00A108B0" w:rsidRPr="00647D4D" w:rsidRDefault="00A108B0" w:rsidP="00071C2C">
            <w:pPr>
              <w:pStyle w:val="TSNumberedParagraph11"/>
              <w:numPr>
                <w:ilvl w:val="0"/>
                <w:numId w:val="16"/>
              </w:numPr>
              <w:spacing w:after="120"/>
              <w:rPr>
                <w:sz w:val="24"/>
              </w:rPr>
            </w:pPr>
            <w:r w:rsidRPr="00647D4D">
              <w:rPr>
                <w:sz w:val="24"/>
              </w:rPr>
              <w:t>any areas of regulatory concern identified during Step 1</w:t>
            </w:r>
          </w:p>
          <w:p w14:paraId="4A6C3FC9" w14:textId="77777777" w:rsidR="00A108B0" w:rsidRPr="00647D4D" w:rsidRDefault="00A108B0" w:rsidP="00071C2C">
            <w:pPr>
              <w:pStyle w:val="TSNumberedParagraph11"/>
              <w:numPr>
                <w:ilvl w:val="0"/>
                <w:numId w:val="16"/>
              </w:numPr>
              <w:spacing w:after="120"/>
              <w:rPr>
                <w:sz w:val="24"/>
              </w:rPr>
            </w:pPr>
            <w:r w:rsidRPr="00647D4D">
              <w:rPr>
                <w:sz w:val="24"/>
              </w:rPr>
              <w:t xml:space="preserve">identification of any significant issues that may prevent ONR from issuing a DAC </w:t>
            </w:r>
          </w:p>
          <w:p w14:paraId="35D7D5A4" w14:textId="77777777" w:rsidR="00A108B0" w:rsidRPr="00647D4D" w:rsidRDefault="00A108B0" w:rsidP="00071C2C">
            <w:pPr>
              <w:pStyle w:val="TSNumberedParagraph11"/>
              <w:numPr>
                <w:ilvl w:val="0"/>
                <w:numId w:val="16"/>
              </w:numPr>
              <w:spacing w:after="120"/>
              <w:rPr>
                <w:sz w:val="24"/>
              </w:rPr>
            </w:pPr>
            <w:r w:rsidRPr="00647D4D">
              <w:rPr>
                <w:sz w:val="24"/>
              </w:rPr>
              <w:t xml:space="preserve">identification of any matters that might be in conflict with Government policy </w:t>
            </w:r>
          </w:p>
          <w:p w14:paraId="342BC354" w14:textId="77777777" w:rsidR="00A108B0" w:rsidRPr="00647D4D" w:rsidRDefault="00A108B0" w:rsidP="00071C2C">
            <w:pPr>
              <w:pStyle w:val="TSNumberedParagraph11"/>
              <w:numPr>
                <w:ilvl w:val="0"/>
                <w:numId w:val="16"/>
              </w:numPr>
              <w:spacing w:after="120"/>
              <w:rPr>
                <w:sz w:val="24"/>
              </w:rPr>
            </w:pPr>
            <w:r w:rsidRPr="00647D4D">
              <w:rPr>
                <w:sz w:val="24"/>
              </w:rPr>
              <w:t xml:space="preserve">identifying the need for additional regulatory verification or analysis </w:t>
            </w:r>
          </w:p>
          <w:p w14:paraId="0DF143B0" w14:textId="77777777" w:rsidR="00A108B0" w:rsidRPr="00647D4D" w:rsidRDefault="00A108B0" w:rsidP="00071C2C">
            <w:pPr>
              <w:pStyle w:val="TSNumberedParagraph11"/>
              <w:numPr>
                <w:ilvl w:val="0"/>
                <w:numId w:val="16"/>
              </w:numPr>
              <w:spacing w:after="120"/>
              <w:rPr>
                <w:sz w:val="24"/>
              </w:rPr>
            </w:pPr>
            <w:r w:rsidRPr="00647D4D">
              <w:rPr>
                <w:sz w:val="24"/>
              </w:rPr>
              <w:t>identifying where the design may not meet regulatory expectations</w:t>
            </w:r>
          </w:p>
          <w:p w14:paraId="7BBE6610" w14:textId="77777777" w:rsidR="00A108B0" w:rsidRPr="00647D4D" w:rsidRDefault="00A108B0" w:rsidP="00071C2C">
            <w:pPr>
              <w:pStyle w:val="TSNumberedParagraph11"/>
              <w:numPr>
                <w:ilvl w:val="0"/>
                <w:numId w:val="16"/>
              </w:numPr>
              <w:spacing w:after="120"/>
              <w:rPr>
                <w:sz w:val="24"/>
              </w:rPr>
            </w:pPr>
            <w:r w:rsidRPr="00647D4D">
              <w:rPr>
                <w:sz w:val="24"/>
              </w:rPr>
              <w:t>the adequacy of the arrangements in place which will ensure that the design and safety and security cases are controlled and can be used by a future licensee. This includes the design change control arrangements, DRP, MDSL and transfer of the safety and security cases to an operating regime</w:t>
            </w:r>
          </w:p>
          <w:p w14:paraId="525E7DAE" w14:textId="77777777" w:rsidR="00A108B0" w:rsidRPr="00647D4D" w:rsidRDefault="00A108B0" w:rsidP="00071C2C">
            <w:pPr>
              <w:numPr>
                <w:ilvl w:val="0"/>
                <w:numId w:val="16"/>
              </w:numPr>
              <w:spacing w:before="0" w:line="240" w:lineRule="auto"/>
              <w:ind w:left="1434" w:hanging="357"/>
              <w:rPr>
                <w:szCs w:val="24"/>
              </w:rPr>
            </w:pPr>
            <w:r w:rsidRPr="00647D4D">
              <w:rPr>
                <w:szCs w:val="24"/>
              </w:rPr>
              <w:t xml:space="preserve">whether the assessment remains meaningful, and if not, what changes are necessary to resolve this </w:t>
            </w:r>
          </w:p>
          <w:p w14:paraId="0E085E72" w14:textId="77777777" w:rsidR="00A108B0" w:rsidRPr="00647D4D" w:rsidRDefault="00A108B0" w:rsidP="00071C2C">
            <w:pPr>
              <w:pStyle w:val="TSNumberedParagraph11"/>
              <w:numPr>
                <w:ilvl w:val="0"/>
                <w:numId w:val="11"/>
              </w:numPr>
              <w:spacing w:after="120"/>
              <w:ind w:hanging="720"/>
              <w:rPr>
                <w:sz w:val="24"/>
              </w:rPr>
            </w:pPr>
            <w:r w:rsidRPr="00647D4D">
              <w:rPr>
                <w:sz w:val="24"/>
              </w:rPr>
              <w:t xml:space="preserve">Raise with the RP regulatory questions and assess the responses, including reviewing resolution plans for ROs and RIs </w:t>
            </w:r>
          </w:p>
          <w:p w14:paraId="721BF3E8" w14:textId="77777777" w:rsidR="00A108B0" w:rsidRPr="00647D4D" w:rsidRDefault="00A108B0" w:rsidP="00071C2C">
            <w:pPr>
              <w:pStyle w:val="TSNumberedParagraph11"/>
              <w:numPr>
                <w:ilvl w:val="0"/>
                <w:numId w:val="11"/>
              </w:numPr>
              <w:spacing w:after="120"/>
              <w:ind w:hanging="720"/>
              <w:rPr>
                <w:sz w:val="24"/>
              </w:rPr>
            </w:pPr>
            <w:r w:rsidRPr="00647D4D">
              <w:rPr>
                <w:sz w:val="24"/>
              </w:rPr>
              <w:t>Publish all ROs, RIs and associated RP’s resolution plans, including confirmations once these have been satisfactorily resolved</w:t>
            </w:r>
          </w:p>
          <w:p w14:paraId="356909D6" w14:textId="77777777" w:rsidR="00A108B0" w:rsidRPr="00647D4D" w:rsidRDefault="00A108B0" w:rsidP="00071C2C">
            <w:pPr>
              <w:numPr>
                <w:ilvl w:val="0"/>
                <w:numId w:val="11"/>
              </w:numPr>
              <w:spacing w:before="0" w:line="240" w:lineRule="auto"/>
              <w:ind w:hanging="720"/>
              <w:rPr>
                <w:szCs w:val="24"/>
              </w:rPr>
            </w:pPr>
            <w:r w:rsidRPr="00647D4D">
              <w:rPr>
                <w:szCs w:val="24"/>
              </w:rPr>
              <w:t>Confirm the acceptability of the proposed agreements reached between ONR and the RP. This includes those relating to the GDA scope, submission plans and schedule</w:t>
            </w:r>
          </w:p>
          <w:p w14:paraId="19AB28A4" w14:textId="77777777" w:rsidR="00A108B0" w:rsidRPr="00647D4D" w:rsidRDefault="00A108B0" w:rsidP="00071C2C">
            <w:pPr>
              <w:pStyle w:val="TSNumberedParagraph11"/>
              <w:numPr>
                <w:ilvl w:val="0"/>
                <w:numId w:val="11"/>
              </w:numPr>
              <w:spacing w:after="120"/>
              <w:ind w:hanging="720"/>
              <w:rPr>
                <w:sz w:val="24"/>
              </w:rPr>
            </w:pPr>
            <w:r w:rsidRPr="00647D4D">
              <w:rPr>
                <w:sz w:val="24"/>
              </w:rPr>
              <w:t>Engage with relevant overseas regulators to obtain information and seek to make use of it as part of ONR’s assessment</w:t>
            </w:r>
          </w:p>
          <w:p w14:paraId="5642E382" w14:textId="77777777" w:rsidR="00A108B0" w:rsidRPr="00647D4D" w:rsidRDefault="00A108B0" w:rsidP="00071C2C">
            <w:pPr>
              <w:pStyle w:val="TSNumberedParagraph11"/>
              <w:numPr>
                <w:ilvl w:val="0"/>
                <w:numId w:val="11"/>
              </w:numPr>
              <w:spacing w:after="120"/>
              <w:ind w:hanging="720"/>
              <w:rPr>
                <w:sz w:val="24"/>
              </w:rPr>
            </w:pPr>
            <w:r w:rsidRPr="00647D4D">
              <w:rPr>
                <w:sz w:val="24"/>
              </w:rPr>
              <w:t>Undertake a readiness review to determine if the RP can proceed to Step 3. This will include consideration of both ONR’s and the RP’s readiness to continue, and also whether Step 2 can be considered completed to ONR’s satisfaction. Where improvement actions on the RP are identified the resolution and timescales for resolving these will be agreed with the RP</w:t>
            </w:r>
          </w:p>
          <w:p w14:paraId="5F1EDA73" w14:textId="77777777" w:rsidR="00A108B0" w:rsidRPr="00647D4D" w:rsidRDefault="00A108B0" w:rsidP="00071C2C">
            <w:pPr>
              <w:pStyle w:val="TSNumberedParagraph11"/>
              <w:numPr>
                <w:ilvl w:val="0"/>
                <w:numId w:val="11"/>
              </w:numPr>
              <w:spacing w:after="120"/>
              <w:ind w:hanging="720"/>
              <w:rPr>
                <w:sz w:val="24"/>
              </w:rPr>
            </w:pPr>
            <w:r w:rsidRPr="00647D4D">
              <w:rPr>
                <w:sz w:val="24"/>
              </w:rPr>
              <w:lastRenderedPageBreak/>
              <w:t>Develop detailed assessment plans for Step 3 for each technical assessment topic, including any required specialist technical support contracts</w:t>
            </w:r>
          </w:p>
        </w:tc>
      </w:tr>
      <w:tr w:rsidR="00A108B0" w:rsidRPr="00647D4D" w14:paraId="3873A6DD" w14:textId="77777777" w:rsidTr="00A108B0">
        <w:tc>
          <w:tcPr>
            <w:tcW w:w="9016" w:type="dxa"/>
            <w:shd w:val="clear" w:color="auto" w:fill="007C6D"/>
          </w:tcPr>
          <w:p w14:paraId="0C29BE3B" w14:textId="77777777" w:rsidR="00A108B0" w:rsidRPr="00647D4D" w:rsidRDefault="00A108B0" w:rsidP="00005841">
            <w:pPr>
              <w:pStyle w:val="TSNumberedParagraph11"/>
              <w:numPr>
                <w:ilvl w:val="0"/>
                <w:numId w:val="0"/>
              </w:numPr>
              <w:spacing w:after="0"/>
              <w:rPr>
                <w:b/>
                <w:color w:val="FFFFFF"/>
                <w:sz w:val="24"/>
              </w:rPr>
            </w:pPr>
            <w:r w:rsidRPr="00647D4D">
              <w:rPr>
                <w:b/>
                <w:color w:val="FFFFFF"/>
                <w:sz w:val="24"/>
              </w:rPr>
              <w:lastRenderedPageBreak/>
              <w:t>ONR will, at the end of the step</w:t>
            </w:r>
          </w:p>
        </w:tc>
      </w:tr>
      <w:tr w:rsidR="00A108B0" w:rsidRPr="00647D4D" w14:paraId="6C24C0C9" w14:textId="77777777" w:rsidTr="00A108B0">
        <w:tc>
          <w:tcPr>
            <w:tcW w:w="9016" w:type="dxa"/>
            <w:shd w:val="clear" w:color="auto" w:fill="auto"/>
          </w:tcPr>
          <w:p w14:paraId="47D5466C" w14:textId="77777777" w:rsidR="00A108B0" w:rsidRPr="00647D4D" w:rsidRDefault="00A108B0" w:rsidP="00071C2C">
            <w:pPr>
              <w:pStyle w:val="TSNumberedParagraph11"/>
              <w:numPr>
                <w:ilvl w:val="0"/>
                <w:numId w:val="11"/>
              </w:numPr>
              <w:spacing w:after="120"/>
              <w:ind w:hanging="720"/>
              <w:rPr>
                <w:sz w:val="24"/>
              </w:rPr>
            </w:pPr>
            <w:r w:rsidRPr="00647D4D">
              <w:rPr>
                <w:sz w:val="24"/>
              </w:rPr>
              <w:t xml:space="preserve">Produce and publish a report to record the completion and outcome of Step 2, compiling the assessment undertaken and including the decision on whether to proceed to Step 3 or not. </w:t>
            </w:r>
          </w:p>
          <w:p w14:paraId="5BFB8AC7" w14:textId="77777777" w:rsidR="00A108B0" w:rsidRPr="00647D4D" w:rsidRDefault="00A108B0" w:rsidP="00071C2C">
            <w:pPr>
              <w:pStyle w:val="TSNumberedParagraph11"/>
              <w:numPr>
                <w:ilvl w:val="0"/>
                <w:numId w:val="11"/>
              </w:numPr>
              <w:spacing w:after="120"/>
              <w:ind w:hanging="720"/>
              <w:rPr>
                <w:sz w:val="24"/>
              </w:rPr>
            </w:pPr>
            <w:r w:rsidRPr="00647D4D">
              <w:rPr>
                <w:sz w:val="24"/>
              </w:rPr>
              <w:t>Depending upon the agreed GDA scope, produce and publish assessment reports for the technical assessment topics considered</w:t>
            </w:r>
          </w:p>
          <w:p w14:paraId="5C07E38F" w14:textId="77777777" w:rsidR="00A108B0" w:rsidRPr="00647D4D" w:rsidRDefault="00A108B0" w:rsidP="00071C2C">
            <w:pPr>
              <w:pStyle w:val="TSNumberedParagraph11"/>
              <w:numPr>
                <w:ilvl w:val="0"/>
                <w:numId w:val="11"/>
              </w:numPr>
              <w:spacing w:after="120"/>
              <w:ind w:hanging="720"/>
              <w:rPr>
                <w:sz w:val="24"/>
              </w:rPr>
            </w:pPr>
            <w:r w:rsidRPr="00647D4D">
              <w:rPr>
                <w:sz w:val="24"/>
              </w:rPr>
              <w:t>Produce and publish a GDA statement summarising:</w:t>
            </w:r>
          </w:p>
          <w:p w14:paraId="35B1DB0A" w14:textId="77777777" w:rsidR="00A108B0" w:rsidRPr="00647D4D" w:rsidRDefault="00A108B0" w:rsidP="00071C2C">
            <w:pPr>
              <w:pStyle w:val="TSNumberedParagraph11"/>
              <w:numPr>
                <w:ilvl w:val="1"/>
                <w:numId w:val="17"/>
              </w:numPr>
              <w:spacing w:after="120"/>
              <w:rPr>
                <w:sz w:val="24"/>
              </w:rPr>
            </w:pPr>
            <w:r w:rsidRPr="00647D4D">
              <w:rPr>
                <w:sz w:val="24"/>
              </w:rPr>
              <w:t>details of the status of the design and associated generic safety and security cases, including the MDSL</w:t>
            </w:r>
            <w:r w:rsidRPr="00647D4D" w:rsidDel="00012C31">
              <w:rPr>
                <w:sz w:val="24"/>
              </w:rPr>
              <w:t xml:space="preserve"> </w:t>
            </w:r>
            <w:r w:rsidRPr="00647D4D">
              <w:rPr>
                <w:sz w:val="24"/>
              </w:rPr>
              <w:t>and DRP</w:t>
            </w:r>
          </w:p>
          <w:p w14:paraId="032CCC4E" w14:textId="77777777" w:rsidR="00A108B0" w:rsidRPr="00647D4D" w:rsidRDefault="00A108B0" w:rsidP="00071C2C">
            <w:pPr>
              <w:pStyle w:val="TSNumberedParagraph11"/>
              <w:numPr>
                <w:ilvl w:val="1"/>
                <w:numId w:val="17"/>
              </w:numPr>
              <w:spacing w:after="120"/>
              <w:rPr>
                <w:sz w:val="24"/>
              </w:rPr>
            </w:pPr>
            <w:r w:rsidRPr="00647D4D">
              <w:rPr>
                <w:sz w:val="24"/>
              </w:rPr>
              <w:t xml:space="preserve">the assessment of the submissions provided by the RP during Step 2 </w:t>
            </w:r>
          </w:p>
          <w:p w14:paraId="68A66C41" w14:textId="77777777" w:rsidR="00A108B0" w:rsidRPr="00647D4D" w:rsidRDefault="00A108B0" w:rsidP="00071C2C">
            <w:pPr>
              <w:pStyle w:val="TSNumberedParagraph11"/>
              <w:numPr>
                <w:ilvl w:val="1"/>
                <w:numId w:val="17"/>
              </w:numPr>
              <w:spacing w:after="120"/>
              <w:rPr>
                <w:sz w:val="24"/>
              </w:rPr>
            </w:pPr>
            <w:r w:rsidRPr="00647D4D">
              <w:rPr>
                <w:sz w:val="24"/>
              </w:rPr>
              <w:t>details of the readiness review conducted to determine if the RP can continue to Step 3</w:t>
            </w:r>
          </w:p>
          <w:p w14:paraId="5393E1FD" w14:textId="333640B0" w:rsidR="00A108B0" w:rsidRPr="00647D4D" w:rsidRDefault="00A108B0" w:rsidP="00071C2C">
            <w:pPr>
              <w:pStyle w:val="TSNumberedParagraph11"/>
              <w:numPr>
                <w:ilvl w:val="1"/>
                <w:numId w:val="17"/>
              </w:numPr>
              <w:spacing w:after="120"/>
              <w:rPr>
                <w:sz w:val="24"/>
              </w:rPr>
            </w:pPr>
            <w:r w:rsidRPr="00647D4D">
              <w:rPr>
                <w:sz w:val="24"/>
              </w:rPr>
              <w:t>any open regulatory questions (</w:t>
            </w:r>
            <w:r w:rsidR="002B1DD0">
              <w:rPr>
                <w:sz w:val="24"/>
              </w:rPr>
              <w:t xml:space="preserve">i.e., </w:t>
            </w:r>
            <w:r w:rsidRPr="00647D4D">
              <w:rPr>
                <w:sz w:val="24"/>
              </w:rPr>
              <w:t>RQs, ROs, and RIs)</w:t>
            </w:r>
          </w:p>
          <w:p w14:paraId="6B5198B9" w14:textId="77777777" w:rsidR="00A108B0" w:rsidRPr="00647D4D" w:rsidRDefault="00A108B0" w:rsidP="00071C2C">
            <w:pPr>
              <w:pStyle w:val="TSNumberedParagraph11"/>
              <w:numPr>
                <w:ilvl w:val="1"/>
                <w:numId w:val="17"/>
              </w:numPr>
              <w:spacing w:after="120"/>
              <w:rPr>
                <w:sz w:val="24"/>
              </w:rPr>
            </w:pPr>
            <w:r w:rsidRPr="00647D4D">
              <w:rPr>
                <w:sz w:val="24"/>
              </w:rPr>
              <w:t>any areas of regulatory concern to be taken forward in later steps</w:t>
            </w:r>
          </w:p>
          <w:p w14:paraId="345CEE0A" w14:textId="77777777" w:rsidR="00A108B0" w:rsidRPr="00647D4D" w:rsidRDefault="00A108B0" w:rsidP="00071C2C">
            <w:pPr>
              <w:pStyle w:val="TSNumberedParagraph11"/>
              <w:numPr>
                <w:ilvl w:val="1"/>
                <w:numId w:val="17"/>
              </w:numPr>
              <w:spacing w:after="120"/>
              <w:rPr>
                <w:sz w:val="24"/>
              </w:rPr>
            </w:pPr>
            <w:r w:rsidRPr="00647D4D">
              <w:rPr>
                <w:sz w:val="24"/>
              </w:rPr>
              <w:t xml:space="preserve">any significant issues that may prevent ONR from issuing a DAC, might prevent ONR permissioning construction of a NPP based upon that design or which might be in conflict with Government policy </w:t>
            </w:r>
          </w:p>
        </w:tc>
      </w:tr>
    </w:tbl>
    <w:p w14:paraId="5BDA270D" w14:textId="77777777" w:rsidR="00037D99" w:rsidRDefault="00037D99" w:rsidP="00037D99">
      <w:pPr>
        <w:sectPr w:rsidR="00037D99" w:rsidSect="00037D99">
          <w:pgSz w:w="11906" w:h="16838" w:code="9"/>
          <w:pgMar w:top="1440" w:right="1440" w:bottom="1440" w:left="1440" w:header="397" w:footer="397" w:gutter="0"/>
          <w:cols w:space="312"/>
          <w:docGrid w:linePitch="360"/>
        </w:sectPr>
      </w:pPr>
    </w:p>
    <w:p w14:paraId="7A1E52EE" w14:textId="0D65531D" w:rsidR="00037D99" w:rsidRDefault="00037D99" w:rsidP="00037D99">
      <w:pPr>
        <w:pStyle w:val="Heading1"/>
        <w:numPr>
          <w:ilvl w:val="0"/>
          <w:numId w:val="0"/>
        </w:numPr>
      </w:pPr>
      <w:bookmarkStart w:id="41" w:name="_Appendix_4_–"/>
      <w:bookmarkStart w:id="42" w:name="_Toc173242849"/>
      <w:bookmarkEnd w:id="41"/>
      <w:r>
        <w:lastRenderedPageBreak/>
        <w:t>Appendix 4 – Step 3: Detailed assessment</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016"/>
      </w:tblGrid>
      <w:tr w:rsidR="00EA029F" w:rsidRPr="00EA029F" w14:paraId="37359E4C" w14:textId="77777777" w:rsidTr="00EA029F">
        <w:tc>
          <w:tcPr>
            <w:tcW w:w="9016" w:type="dxa"/>
            <w:shd w:val="clear" w:color="auto" w:fill="007C6D"/>
          </w:tcPr>
          <w:p w14:paraId="01C9D679" w14:textId="77777777" w:rsidR="00EA029F" w:rsidRPr="00EA029F" w:rsidRDefault="00EA029F" w:rsidP="00005841">
            <w:pPr>
              <w:pStyle w:val="TSNumberedParagraph11"/>
              <w:numPr>
                <w:ilvl w:val="0"/>
                <w:numId w:val="0"/>
              </w:numPr>
              <w:spacing w:after="0"/>
              <w:rPr>
                <w:b/>
                <w:color w:val="FFFFFF"/>
                <w:sz w:val="24"/>
              </w:rPr>
            </w:pPr>
            <w:r w:rsidRPr="00EA029F">
              <w:rPr>
                <w:b/>
                <w:color w:val="FFFFFF"/>
                <w:sz w:val="24"/>
              </w:rPr>
              <w:t>Description</w:t>
            </w:r>
          </w:p>
        </w:tc>
      </w:tr>
      <w:tr w:rsidR="00EA029F" w:rsidRPr="00EA029F" w14:paraId="5D71532D" w14:textId="77777777" w:rsidTr="00EA029F">
        <w:tc>
          <w:tcPr>
            <w:tcW w:w="9016" w:type="dxa"/>
            <w:shd w:val="clear" w:color="auto" w:fill="auto"/>
          </w:tcPr>
          <w:p w14:paraId="1F06A840" w14:textId="446F96AA" w:rsidR="00EA029F" w:rsidRPr="00EA029F" w:rsidRDefault="00EA029F" w:rsidP="00005841">
            <w:pPr>
              <w:pStyle w:val="TSNumberedParagraph11"/>
              <w:numPr>
                <w:ilvl w:val="0"/>
                <w:numId w:val="0"/>
              </w:numPr>
              <w:spacing w:after="120"/>
              <w:rPr>
                <w:sz w:val="24"/>
              </w:rPr>
            </w:pPr>
            <w:r w:rsidRPr="00EA029F">
              <w:rPr>
                <w:sz w:val="24"/>
              </w:rPr>
              <w:t>Step 3 is the detailed assessment step. The focus of the assessment is an in</w:t>
            </w:r>
            <w:r w:rsidRPr="00EA029F">
              <w:rPr>
                <w:rFonts w:ascii="Cambria Math" w:hAnsi="Cambria Math" w:cs="Cambria Math"/>
                <w:sz w:val="24"/>
              </w:rPr>
              <w:t>‐</w:t>
            </w:r>
            <w:r w:rsidRPr="00EA029F">
              <w:rPr>
                <w:sz w:val="24"/>
              </w:rPr>
              <w:t>depth assessment of the design and safety and security cases. This will involve a fully detailed examination of the available evidence, on a sampling basis, provided in the safety and security submissions. This is expected to be undertaken at a level of assessment akin to the TAGs and will fully consider whether the proposed design reduces risks to ALARP and meets the requirements of the NISR</w:t>
            </w:r>
            <w:r>
              <w:rPr>
                <w:sz w:val="24"/>
              </w:rPr>
              <w:t xml:space="preserve"> </w:t>
            </w:r>
            <w:sdt>
              <w:sdtPr>
                <w:rPr>
                  <w:sz w:val="24"/>
                </w:rPr>
                <w:id w:val="772289402"/>
                <w:citation/>
              </w:sdtPr>
              <w:sdtEndPr/>
              <w:sdtContent>
                <w:r>
                  <w:rPr>
                    <w:sz w:val="24"/>
                  </w:rPr>
                  <w:fldChar w:fldCharType="begin"/>
                </w:r>
                <w:r>
                  <w:rPr>
                    <w:sz w:val="24"/>
                  </w:rPr>
                  <w:instrText xml:space="preserve"> CITATION HMG032 \l 2057 </w:instrText>
                </w:r>
                <w:r>
                  <w:rPr>
                    <w:sz w:val="24"/>
                  </w:rPr>
                  <w:fldChar w:fldCharType="separate"/>
                </w:r>
                <w:r w:rsidR="00181C9E" w:rsidRPr="00181C9E">
                  <w:rPr>
                    <w:noProof/>
                    <w:sz w:val="24"/>
                  </w:rPr>
                  <w:t>[6]</w:t>
                </w:r>
                <w:r>
                  <w:rPr>
                    <w:sz w:val="24"/>
                  </w:rPr>
                  <w:fldChar w:fldCharType="end"/>
                </w:r>
              </w:sdtContent>
            </w:sdt>
            <w:r w:rsidRPr="00EA029F">
              <w:rPr>
                <w:sz w:val="24"/>
              </w:rPr>
              <w:t xml:space="preserve">. To commence the step, it is expected that the RP will have submitted all of the required evidence, and will resolve regulatory questions in a timely manner throughout the step in order to support ONR’s assessment. Prior to the end of the step, the RP will need to consolidate the GDA submissions, and provide evidence for how these could be effectively used by a future licensee in producing their site-specific safety and security cases. </w:t>
            </w:r>
          </w:p>
        </w:tc>
      </w:tr>
      <w:tr w:rsidR="00EA029F" w:rsidRPr="00EA029F" w14:paraId="4E4E4E42" w14:textId="77777777" w:rsidTr="00EA029F">
        <w:tc>
          <w:tcPr>
            <w:tcW w:w="9016" w:type="dxa"/>
            <w:shd w:val="clear" w:color="auto" w:fill="98C030"/>
          </w:tcPr>
          <w:p w14:paraId="5F90BA77" w14:textId="77777777" w:rsidR="00EA029F" w:rsidRPr="00EA029F" w:rsidRDefault="00EA029F" w:rsidP="00005841">
            <w:pPr>
              <w:pStyle w:val="TSNumberedParagraph11"/>
              <w:numPr>
                <w:ilvl w:val="0"/>
                <w:numId w:val="0"/>
              </w:numPr>
              <w:spacing w:after="0"/>
              <w:rPr>
                <w:b/>
                <w:color w:val="FFFFFF"/>
                <w:sz w:val="24"/>
              </w:rPr>
            </w:pPr>
            <w:r w:rsidRPr="006D6707">
              <w:rPr>
                <w:b/>
                <w:sz w:val="24"/>
              </w:rPr>
              <w:t>Objective</w:t>
            </w:r>
          </w:p>
        </w:tc>
      </w:tr>
      <w:tr w:rsidR="00EA029F" w:rsidRPr="00EA029F" w14:paraId="3ED7B4A4" w14:textId="77777777" w:rsidTr="00EA029F">
        <w:tc>
          <w:tcPr>
            <w:tcW w:w="9016" w:type="dxa"/>
            <w:shd w:val="clear" w:color="auto" w:fill="auto"/>
          </w:tcPr>
          <w:p w14:paraId="4E26BAC3" w14:textId="6A6109F1" w:rsidR="00EA029F" w:rsidRPr="00EA029F" w:rsidRDefault="00EA029F" w:rsidP="00EA029F">
            <w:pPr>
              <w:pStyle w:val="TSNumberedParagraph11"/>
              <w:numPr>
                <w:ilvl w:val="0"/>
                <w:numId w:val="0"/>
              </w:numPr>
              <w:spacing w:after="120"/>
              <w:rPr>
                <w:sz w:val="24"/>
              </w:rPr>
            </w:pPr>
            <w:r w:rsidRPr="00EA029F">
              <w:rPr>
                <w:sz w:val="24"/>
              </w:rPr>
              <w:t>The objectives for Step 3 are for</w:t>
            </w:r>
            <w:r>
              <w:rPr>
                <w:sz w:val="24"/>
              </w:rPr>
              <w:t xml:space="preserve"> </w:t>
            </w:r>
            <w:r w:rsidRPr="00EA029F">
              <w:rPr>
                <w:sz w:val="24"/>
              </w:rPr>
              <w:t>ONR to undertake a detailed assessment of the design and supporting generic safety and security cases against regulatory expectations to come to a conclusion on the acceptability of the design for construction on a site bounded by the generic site envelope</w:t>
            </w:r>
          </w:p>
        </w:tc>
      </w:tr>
      <w:tr w:rsidR="00EA029F" w:rsidRPr="00EA029F" w14:paraId="66216A33" w14:textId="77777777" w:rsidTr="00EA029F">
        <w:tc>
          <w:tcPr>
            <w:tcW w:w="9016" w:type="dxa"/>
            <w:shd w:val="clear" w:color="auto" w:fill="EA5B0C"/>
          </w:tcPr>
          <w:p w14:paraId="7439BD55" w14:textId="77777777" w:rsidR="00EA029F" w:rsidRPr="00EA029F" w:rsidRDefault="00EA029F" w:rsidP="00005841">
            <w:pPr>
              <w:pStyle w:val="TSNumberedParagraph11"/>
              <w:numPr>
                <w:ilvl w:val="0"/>
                <w:numId w:val="0"/>
              </w:numPr>
              <w:spacing w:after="0"/>
              <w:rPr>
                <w:b/>
                <w:color w:val="FFFFFF"/>
                <w:sz w:val="24"/>
              </w:rPr>
            </w:pPr>
            <w:r w:rsidRPr="006D6707">
              <w:rPr>
                <w:b/>
                <w:sz w:val="24"/>
              </w:rPr>
              <w:t>Prerequisites</w:t>
            </w:r>
          </w:p>
        </w:tc>
      </w:tr>
      <w:tr w:rsidR="00EA029F" w:rsidRPr="00EA029F" w14:paraId="29F1FE9F" w14:textId="77777777" w:rsidTr="00EA029F">
        <w:tc>
          <w:tcPr>
            <w:tcW w:w="9016" w:type="dxa"/>
            <w:shd w:val="clear" w:color="auto" w:fill="auto"/>
          </w:tcPr>
          <w:p w14:paraId="2AF41E57" w14:textId="77777777" w:rsidR="00EA029F" w:rsidRPr="00EA029F" w:rsidRDefault="00EA029F" w:rsidP="00005841">
            <w:pPr>
              <w:pStyle w:val="TSNumberedParagraph11"/>
              <w:numPr>
                <w:ilvl w:val="0"/>
                <w:numId w:val="0"/>
              </w:numPr>
              <w:spacing w:after="120"/>
              <w:rPr>
                <w:sz w:val="24"/>
              </w:rPr>
            </w:pPr>
            <w:r w:rsidRPr="00EA029F">
              <w:rPr>
                <w:sz w:val="24"/>
              </w:rPr>
              <w:t>In order to start Step 3 it is necessary for:</w:t>
            </w:r>
          </w:p>
          <w:p w14:paraId="723CB416" w14:textId="77777777" w:rsidR="00EA029F" w:rsidRPr="00EA029F" w:rsidRDefault="00EA029F" w:rsidP="00EA029F">
            <w:pPr>
              <w:pStyle w:val="Bulletlist1"/>
              <w:ind w:left="362"/>
            </w:pPr>
            <w:r w:rsidRPr="00EA029F">
              <w:t>The RP to have submitted the information necessary to undertake the step</w:t>
            </w:r>
          </w:p>
          <w:p w14:paraId="1DD5B0F2" w14:textId="77777777" w:rsidR="00EA029F" w:rsidRPr="00EA029F" w:rsidRDefault="00EA029F" w:rsidP="00EA029F">
            <w:pPr>
              <w:pStyle w:val="Bulletlist1"/>
              <w:ind w:left="362"/>
            </w:pPr>
            <w:r w:rsidRPr="00EA029F">
              <w:t>ONR to have published a GDA statement from Step 2, confirming the readiness of the RP to proceed to Step 3</w:t>
            </w:r>
          </w:p>
        </w:tc>
      </w:tr>
      <w:tr w:rsidR="00EA029F" w:rsidRPr="00EA029F" w14:paraId="7D78487E" w14:textId="77777777" w:rsidTr="00EA029F">
        <w:tc>
          <w:tcPr>
            <w:tcW w:w="9016" w:type="dxa"/>
            <w:shd w:val="clear" w:color="auto" w:fill="AE136E"/>
          </w:tcPr>
          <w:p w14:paraId="43C1D0E9" w14:textId="77777777" w:rsidR="00EA029F" w:rsidRPr="00EA029F" w:rsidRDefault="00EA029F" w:rsidP="00005841">
            <w:pPr>
              <w:pStyle w:val="TSNumberedParagraph11"/>
              <w:numPr>
                <w:ilvl w:val="0"/>
                <w:numId w:val="0"/>
              </w:numPr>
              <w:spacing w:after="0"/>
              <w:rPr>
                <w:b/>
                <w:color w:val="FFFFFF"/>
                <w:sz w:val="24"/>
              </w:rPr>
            </w:pPr>
            <w:r w:rsidRPr="00EA029F">
              <w:rPr>
                <w:b/>
                <w:color w:val="FFFFFF"/>
                <w:sz w:val="24"/>
              </w:rPr>
              <w:t>The RP is required to, during the Step</w:t>
            </w:r>
          </w:p>
        </w:tc>
      </w:tr>
      <w:tr w:rsidR="00EA029F" w:rsidRPr="00EA029F" w14:paraId="1CA68E52" w14:textId="77777777" w:rsidTr="00EA029F">
        <w:tc>
          <w:tcPr>
            <w:tcW w:w="9016" w:type="dxa"/>
            <w:shd w:val="clear" w:color="auto" w:fill="auto"/>
          </w:tcPr>
          <w:p w14:paraId="0A81FF6A" w14:textId="77777777" w:rsidR="00EA029F" w:rsidRPr="00EA029F" w:rsidRDefault="00EA029F" w:rsidP="00071C2C">
            <w:pPr>
              <w:pStyle w:val="TSNumberedParagraph11"/>
              <w:numPr>
                <w:ilvl w:val="0"/>
                <w:numId w:val="18"/>
              </w:numPr>
              <w:spacing w:after="120"/>
              <w:ind w:hanging="720"/>
              <w:rPr>
                <w:sz w:val="24"/>
              </w:rPr>
            </w:pPr>
            <w:r w:rsidRPr="00EA029F">
              <w:rPr>
                <w:i/>
                <w:sz w:val="24"/>
                <w:u w:val="single"/>
              </w:rPr>
              <w:t>Agree with ONR</w:t>
            </w:r>
            <w:r w:rsidRPr="00EA029F">
              <w:rPr>
                <w:sz w:val="24"/>
              </w:rPr>
              <w:t xml:space="preserve"> any changes to the overall GDA timescales and associated schedule</w:t>
            </w:r>
          </w:p>
          <w:p w14:paraId="38303FE1" w14:textId="77777777" w:rsidR="00EA029F" w:rsidRPr="00EA029F" w:rsidRDefault="00EA029F" w:rsidP="00071C2C">
            <w:pPr>
              <w:pStyle w:val="TSNumberedParagraph11"/>
              <w:numPr>
                <w:ilvl w:val="0"/>
                <w:numId w:val="18"/>
              </w:numPr>
              <w:spacing w:after="120"/>
              <w:ind w:hanging="720"/>
              <w:rPr>
                <w:sz w:val="24"/>
              </w:rPr>
            </w:pPr>
            <w:r w:rsidRPr="00EA029F">
              <w:rPr>
                <w:i/>
                <w:sz w:val="24"/>
                <w:u w:val="single"/>
              </w:rPr>
              <w:t>Agree with ONR</w:t>
            </w:r>
            <w:r w:rsidRPr="00EA029F">
              <w:rPr>
                <w:sz w:val="24"/>
              </w:rPr>
              <w:t xml:space="preserve"> cut-off dates for responding to regulatory questions (RQs, ROs and RIs), providing submissions or including DR changes within GDA</w:t>
            </w:r>
          </w:p>
          <w:p w14:paraId="2E0F6152" w14:textId="77777777" w:rsidR="00EA029F" w:rsidRPr="00EA029F" w:rsidRDefault="00EA029F" w:rsidP="00071C2C">
            <w:pPr>
              <w:pStyle w:val="TSNumberedParagraph11"/>
              <w:numPr>
                <w:ilvl w:val="0"/>
                <w:numId w:val="18"/>
              </w:numPr>
              <w:spacing w:after="120"/>
              <w:ind w:hanging="720"/>
              <w:rPr>
                <w:sz w:val="24"/>
              </w:rPr>
            </w:pPr>
            <w:r w:rsidRPr="00EA029F">
              <w:rPr>
                <w:i/>
                <w:sz w:val="24"/>
                <w:u w:val="single"/>
              </w:rPr>
              <w:t>Submit to ONR</w:t>
            </w:r>
            <w:r w:rsidRPr="00EA029F">
              <w:rPr>
                <w:sz w:val="24"/>
              </w:rPr>
              <w:t xml:space="preserve"> any additional information which arises due to on-going assessments performed by other regulators on the proposed design, including any significant findings and any changes made or proposed as a result</w:t>
            </w:r>
          </w:p>
          <w:p w14:paraId="1F1564AD" w14:textId="77777777" w:rsidR="00EA029F" w:rsidRPr="00EA029F" w:rsidRDefault="00EA029F" w:rsidP="00071C2C">
            <w:pPr>
              <w:pStyle w:val="TSNumberedParagraph11"/>
              <w:numPr>
                <w:ilvl w:val="0"/>
                <w:numId w:val="18"/>
              </w:numPr>
              <w:spacing w:after="120"/>
              <w:ind w:hanging="720"/>
              <w:rPr>
                <w:sz w:val="24"/>
              </w:rPr>
            </w:pPr>
            <w:r w:rsidRPr="00EA029F">
              <w:rPr>
                <w:i/>
                <w:sz w:val="24"/>
                <w:u w:val="single"/>
              </w:rPr>
              <w:t>Submit to ONR</w:t>
            </w:r>
            <w:r w:rsidRPr="00EA029F">
              <w:rPr>
                <w:sz w:val="24"/>
              </w:rPr>
              <w:t>, to commence Step 3, any outstanding information, safety or security case material and research results that provide evidence to underpin the cases, in accordance with the agreed GDA scope</w:t>
            </w:r>
          </w:p>
          <w:p w14:paraId="12C40B2E" w14:textId="77777777" w:rsidR="00EA029F" w:rsidRPr="00EA029F" w:rsidRDefault="00EA029F" w:rsidP="00071C2C">
            <w:pPr>
              <w:pStyle w:val="TSNumberedParagraph11"/>
              <w:numPr>
                <w:ilvl w:val="0"/>
                <w:numId w:val="18"/>
              </w:numPr>
              <w:spacing w:after="120"/>
              <w:ind w:hanging="720"/>
              <w:rPr>
                <w:i/>
                <w:sz w:val="24"/>
                <w:u w:val="single"/>
              </w:rPr>
            </w:pPr>
            <w:r w:rsidRPr="00EA029F">
              <w:rPr>
                <w:i/>
                <w:sz w:val="24"/>
                <w:u w:val="single"/>
              </w:rPr>
              <w:lastRenderedPageBreak/>
              <w:t>Continue</w:t>
            </w:r>
            <w:r w:rsidRPr="00EA029F">
              <w:rPr>
                <w:sz w:val="24"/>
              </w:rPr>
              <w:t xml:space="preserve"> to maintain and update the Master Document Submission List (MDSL) throughout the step</w:t>
            </w:r>
          </w:p>
          <w:p w14:paraId="05ED9E62" w14:textId="77777777" w:rsidR="00EA029F" w:rsidRPr="00EA029F" w:rsidRDefault="00EA029F" w:rsidP="00071C2C">
            <w:pPr>
              <w:pStyle w:val="TSNumberedParagraph11"/>
              <w:numPr>
                <w:ilvl w:val="0"/>
                <w:numId w:val="18"/>
              </w:numPr>
              <w:spacing w:after="120"/>
              <w:ind w:hanging="720"/>
              <w:rPr>
                <w:i/>
                <w:sz w:val="24"/>
                <w:u w:val="single"/>
              </w:rPr>
            </w:pPr>
            <w:r w:rsidRPr="00EA029F">
              <w:rPr>
                <w:i/>
                <w:sz w:val="24"/>
                <w:u w:val="single"/>
              </w:rPr>
              <w:t>Continue</w:t>
            </w:r>
            <w:r w:rsidRPr="00EA029F">
              <w:rPr>
                <w:sz w:val="24"/>
              </w:rPr>
              <w:t xml:space="preserve"> to maintain and update the Design Reference Point (DRP) throughout the step</w:t>
            </w:r>
          </w:p>
          <w:p w14:paraId="07E1D1B3" w14:textId="77777777" w:rsidR="00EA029F" w:rsidRPr="00EA029F" w:rsidRDefault="00EA029F" w:rsidP="00071C2C">
            <w:pPr>
              <w:pStyle w:val="TSNumberedParagraph11"/>
              <w:numPr>
                <w:ilvl w:val="0"/>
                <w:numId w:val="18"/>
              </w:numPr>
              <w:spacing w:after="120"/>
              <w:ind w:hanging="720"/>
              <w:rPr>
                <w:sz w:val="24"/>
              </w:rPr>
            </w:pPr>
            <w:r w:rsidRPr="00EA029F">
              <w:rPr>
                <w:i/>
                <w:sz w:val="24"/>
                <w:u w:val="single"/>
              </w:rPr>
              <w:t>Continue</w:t>
            </w:r>
            <w:r w:rsidRPr="00EA029F">
              <w:rPr>
                <w:sz w:val="24"/>
              </w:rPr>
              <w:t xml:space="preserve"> to apply the arrangements for capturing assumptions, commitments and requirements from the safety and security cases throughout the step</w:t>
            </w:r>
          </w:p>
          <w:p w14:paraId="7D366710" w14:textId="77777777" w:rsidR="00EA029F" w:rsidRPr="00EA029F" w:rsidRDefault="00EA029F" w:rsidP="00071C2C">
            <w:pPr>
              <w:pStyle w:val="TSNumberedParagraph11"/>
              <w:numPr>
                <w:ilvl w:val="0"/>
                <w:numId w:val="18"/>
              </w:numPr>
              <w:spacing w:after="120"/>
              <w:ind w:hanging="720"/>
              <w:rPr>
                <w:sz w:val="24"/>
              </w:rPr>
            </w:pPr>
            <w:r w:rsidRPr="00EA029F">
              <w:rPr>
                <w:i/>
                <w:sz w:val="24"/>
                <w:u w:val="single"/>
              </w:rPr>
              <w:t>Continue</w:t>
            </w:r>
            <w:r w:rsidRPr="00EA029F">
              <w:rPr>
                <w:sz w:val="24"/>
              </w:rPr>
              <w:t xml:space="preserve"> to apply the DR change control arrangements throughout the step. </w:t>
            </w:r>
            <w:r w:rsidRPr="00EA029F">
              <w:rPr>
                <w:i/>
                <w:sz w:val="24"/>
                <w:u w:val="single"/>
              </w:rPr>
              <w:t>Submit to ONR</w:t>
            </w:r>
            <w:r w:rsidRPr="00EA029F">
              <w:rPr>
                <w:sz w:val="24"/>
              </w:rPr>
              <w:t xml:space="preserve"> any design change information specified under these arrangements</w:t>
            </w:r>
          </w:p>
          <w:p w14:paraId="2B1CC301" w14:textId="77777777" w:rsidR="00EA029F" w:rsidRPr="00EA029F" w:rsidRDefault="00EA029F" w:rsidP="00071C2C">
            <w:pPr>
              <w:pStyle w:val="TSNumberedParagraph11"/>
              <w:numPr>
                <w:ilvl w:val="0"/>
                <w:numId w:val="18"/>
              </w:numPr>
              <w:spacing w:after="120"/>
              <w:ind w:hanging="720"/>
              <w:rPr>
                <w:sz w:val="24"/>
              </w:rPr>
            </w:pPr>
            <w:r w:rsidRPr="00EA029F">
              <w:rPr>
                <w:i/>
                <w:sz w:val="24"/>
                <w:u w:val="single"/>
              </w:rPr>
              <w:t>Submit to ONR</w:t>
            </w:r>
            <w:r w:rsidRPr="00EA029F">
              <w:rPr>
                <w:sz w:val="24"/>
              </w:rPr>
              <w:t xml:space="preserve"> a demonstration that the arrangements for developing the safety case into a site-specific Pre-Construction Safety Report have been applied</w:t>
            </w:r>
          </w:p>
          <w:p w14:paraId="0971D050" w14:textId="77777777" w:rsidR="00EA029F" w:rsidRPr="00EA029F" w:rsidRDefault="00EA029F" w:rsidP="00071C2C">
            <w:pPr>
              <w:pStyle w:val="TSNumberedParagraph11"/>
              <w:numPr>
                <w:ilvl w:val="0"/>
                <w:numId w:val="18"/>
              </w:numPr>
              <w:spacing w:after="120"/>
              <w:ind w:hanging="720"/>
              <w:rPr>
                <w:sz w:val="24"/>
              </w:rPr>
            </w:pPr>
            <w:r w:rsidRPr="00EA029F">
              <w:rPr>
                <w:i/>
                <w:sz w:val="24"/>
                <w:u w:val="single"/>
              </w:rPr>
              <w:t>Submit to ONR</w:t>
            </w:r>
            <w:r w:rsidRPr="00EA029F">
              <w:rPr>
                <w:sz w:val="24"/>
              </w:rPr>
              <w:t xml:space="preserve"> a demonstration that the arrangements for developing the security case into a Nuclear Site Security Plan for the operating site have been applied</w:t>
            </w:r>
          </w:p>
          <w:p w14:paraId="6E514375" w14:textId="77777777" w:rsidR="00EA029F" w:rsidRPr="00EA029F" w:rsidRDefault="00EA029F" w:rsidP="00071C2C">
            <w:pPr>
              <w:pStyle w:val="TSNumberedParagraph11"/>
              <w:numPr>
                <w:ilvl w:val="0"/>
                <w:numId w:val="18"/>
              </w:numPr>
              <w:spacing w:after="120"/>
              <w:ind w:hanging="720"/>
              <w:rPr>
                <w:sz w:val="24"/>
              </w:rPr>
            </w:pPr>
            <w:r w:rsidRPr="00EA029F">
              <w:rPr>
                <w:i/>
                <w:sz w:val="24"/>
                <w:u w:val="single"/>
              </w:rPr>
              <w:t>Submit to ONR</w:t>
            </w:r>
            <w:r w:rsidRPr="00EA029F">
              <w:rPr>
                <w:sz w:val="24"/>
              </w:rPr>
              <w:t xml:space="preserve"> responses to any questions raised by ONR during its assessment (RQs, ROs and RIs)</w:t>
            </w:r>
          </w:p>
          <w:p w14:paraId="3E95DAC3" w14:textId="77777777" w:rsidR="00EA029F" w:rsidRPr="00EA029F" w:rsidRDefault="00EA029F" w:rsidP="00071C2C">
            <w:pPr>
              <w:pStyle w:val="TSNumberedParagraph11"/>
              <w:numPr>
                <w:ilvl w:val="0"/>
                <w:numId w:val="18"/>
              </w:numPr>
              <w:spacing w:after="120"/>
              <w:ind w:hanging="720"/>
              <w:rPr>
                <w:sz w:val="24"/>
              </w:rPr>
            </w:pPr>
            <w:r w:rsidRPr="00EA029F">
              <w:rPr>
                <w:i/>
                <w:sz w:val="24"/>
                <w:u w:val="single"/>
              </w:rPr>
              <w:t>Submit to ONR</w:t>
            </w:r>
            <w:r w:rsidRPr="00EA029F">
              <w:rPr>
                <w:sz w:val="24"/>
              </w:rPr>
              <w:t xml:space="preserve"> information regarding its intentions for evolution of its GDA resources and a demonstration of the on-going sufficiency of resources to be applied through the step</w:t>
            </w:r>
          </w:p>
          <w:p w14:paraId="15F63D0A" w14:textId="77777777" w:rsidR="00EA029F" w:rsidRPr="00EA029F" w:rsidRDefault="00EA029F" w:rsidP="00071C2C">
            <w:pPr>
              <w:pStyle w:val="TSNumberedParagraph11"/>
              <w:numPr>
                <w:ilvl w:val="0"/>
                <w:numId w:val="18"/>
              </w:numPr>
              <w:spacing w:after="120"/>
              <w:ind w:hanging="720"/>
              <w:rPr>
                <w:sz w:val="24"/>
              </w:rPr>
            </w:pPr>
            <w:r w:rsidRPr="00EA029F">
              <w:rPr>
                <w:i/>
                <w:sz w:val="24"/>
                <w:u w:val="single"/>
              </w:rPr>
              <w:t>Continue</w:t>
            </w:r>
            <w:r w:rsidRPr="00EA029F">
              <w:rPr>
                <w:sz w:val="24"/>
              </w:rPr>
              <w:t xml:space="preserve"> to facilitate meetings between ONR and relevant RP’s personnel to share information and discuss technical matters</w:t>
            </w:r>
          </w:p>
          <w:p w14:paraId="22906613" w14:textId="77777777" w:rsidR="00EA029F" w:rsidRPr="00EA029F" w:rsidRDefault="00EA029F" w:rsidP="00071C2C">
            <w:pPr>
              <w:pStyle w:val="TSNumberedParagraph11"/>
              <w:numPr>
                <w:ilvl w:val="0"/>
                <w:numId w:val="18"/>
              </w:numPr>
              <w:spacing w:after="120"/>
              <w:ind w:hanging="720"/>
              <w:rPr>
                <w:sz w:val="24"/>
              </w:rPr>
            </w:pPr>
            <w:r w:rsidRPr="00EA029F">
              <w:rPr>
                <w:i/>
                <w:sz w:val="24"/>
                <w:u w:val="single"/>
              </w:rPr>
              <w:t>Continue</w:t>
            </w:r>
            <w:r w:rsidRPr="00EA029F">
              <w:rPr>
                <w:sz w:val="24"/>
              </w:rPr>
              <w:t xml:space="preserve"> to facilitate the public comment process including hosting a public website, containing relevant and updated generic safety and security cases, and responding to comments made by the public</w:t>
            </w:r>
          </w:p>
          <w:p w14:paraId="18A8BEA5" w14:textId="77777777" w:rsidR="00EA029F" w:rsidRPr="00EA029F" w:rsidRDefault="00EA029F" w:rsidP="00071C2C">
            <w:pPr>
              <w:pStyle w:val="TSNumberedParagraph11"/>
              <w:numPr>
                <w:ilvl w:val="0"/>
                <w:numId w:val="18"/>
              </w:numPr>
              <w:spacing w:after="120"/>
              <w:ind w:hanging="720"/>
              <w:rPr>
                <w:sz w:val="24"/>
              </w:rPr>
            </w:pPr>
            <w:r w:rsidRPr="00EA029F">
              <w:rPr>
                <w:i/>
                <w:sz w:val="24"/>
                <w:u w:val="single"/>
              </w:rPr>
              <w:t>Submit to ONR</w:t>
            </w:r>
            <w:r w:rsidRPr="00EA029F">
              <w:rPr>
                <w:sz w:val="24"/>
              </w:rPr>
              <w:t>, prior to the end of the step, a consolidated GDA submission which rationalises the submissions into a consistent set of documentation and incorporates responses to regulatory questions and DR changes which have been agreed to be included within GDA. This should include the arrangements and outputs for ensuring the safety and security cases can be met in practice</w:t>
            </w:r>
          </w:p>
        </w:tc>
      </w:tr>
      <w:tr w:rsidR="00EA029F" w:rsidRPr="00EA029F" w14:paraId="104EA9A3" w14:textId="77777777" w:rsidTr="00EA029F">
        <w:tc>
          <w:tcPr>
            <w:tcW w:w="9016" w:type="dxa"/>
            <w:shd w:val="clear" w:color="auto" w:fill="56BFCA"/>
          </w:tcPr>
          <w:p w14:paraId="3CAE931E" w14:textId="77777777" w:rsidR="00EA029F" w:rsidRPr="00EA029F" w:rsidRDefault="00EA029F" w:rsidP="00005841">
            <w:pPr>
              <w:pStyle w:val="TSNumberedParagraph11"/>
              <w:numPr>
                <w:ilvl w:val="0"/>
                <w:numId w:val="0"/>
              </w:numPr>
              <w:spacing w:after="0"/>
              <w:rPr>
                <w:b/>
                <w:color w:val="FFFFFF"/>
                <w:sz w:val="24"/>
              </w:rPr>
            </w:pPr>
            <w:r w:rsidRPr="006D6707">
              <w:rPr>
                <w:b/>
                <w:sz w:val="24"/>
              </w:rPr>
              <w:lastRenderedPageBreak/>
              <w:t>ONR will, during the step</w:t>
            </w:r>
          </w:p>
        </w:tc>
      </w:tr>
      <w:tr w:rsidR="00EA029F" w:rsidRPr="00EA029F" w14:paraId="66B793F5" w14:textId="77777777" w:rsidTr="00EA029F">
        <w:tc>
          <w:tcPr>
            <w:tcW w:w="9016" w:type="dxa"/>
            <w:shd w:val="clear" w:color="auto" w:fill="auto"/>
          </w:tcPr>
          <w:p w14:paraId="34CE8D7C" w14:textId="77777777" w:rsidR="00EA029F" w:rsidRPr="00EA029F" w:rsidRDefault="00EA029F" w:rsidP="00071C2C">
            <w:pPr>
              <w:pStyle w:val="TSNumberedParagraph11"/>
              <w:numPr>
                <w:ilvl w:val="0"/>
                <w:numId w:val="18"/>
              </w:numPr>
              <w:spacing w:after="120"/>
              <w:ind w:hanging="720"/>
              <w:rPr>
                <w:sz w:val="24"/>
              </w:rPr>
            </w:pPr>
            <w:r w:rsidRPr="00EA029F">
              <w:rPr>
                <w:sz w:val="24"/>
              </w:rPr>
              <w:t>Undertake a detailed assessment on a sampling basis of the adequacy of the submissions made to ONR during the step, in line with relevant standards and guidance, and provide feedback to the RP. The scope of ONR’s assessment will be partly defined by experience from earlier steps, and also by experience in previous GDAs. This will specifically include consideration of:</w:t>
            </w:r>
          </w:p>
          <w:p w14:paraId="73169B85" w14:textId="77777777" w:rsidR="00EA029F" w:rsidRPr="00EA029F" w:rsidRDefault="00EA029F" w:rsidP="00071C2C">
            <w:pPr>
              <w:pStyle w:val="TSNumberedParagraph11"/>
              <w:numPr>
                <w:ilvl w:val="1"/>
                <w:numId w:val="19"/>
              </w:numPr>
              <w:spacing w:after="120"/>
              <w:rPr>
                <w:sz w:val="24"/>
              </w:rPr>
            </w:pPr>
            <w:r w:rsidRPr="00EA029F">
              <w:rPr>
                <w:sz w:val="24"/>
              </w:rPr>
              <w:t>any areas of regulatory concern identified during Step 2</w:t>
            </w:r>
          </w:p>
          <w:p w14:paraId="4559367A" w14:textId="77777777" w:rsidR="00EA029F" w:rsidRPr="00EA029F" w:rsidRDefault="00EA029F" w:rsidP="00071C2C">
            <w:pPr>
              <w:pStyle w:val="TSNumberedParagraph11"/>
              <w:numPr>
                <w:ilvl w:val="1"/>
                <w:numId w:val="19"/>
              </w:numPr>
              <w:spacing w:after="120"/>
              <w:rPr>
                <w:sz w:val="24"/>
              </w:rPr>
            </w:pPr>
            <w:r w:rsidRPr="00EA029F">
              <w:rPr>
                <w:sz w:val="24"/>
              </w:rPr>
              <w:t xml:space="preserve">identification of any significant issues that would prevent ONR from issuing a DAC </w:t>
            </w:r>
          </w:p>
          <w:p w14:paraId="0A8BB539" w14:textId="77777777" w:rsidR="00EA029F" w:rsidRPr="00EA029F" w:rsidRDefault="00EA029F" w:rsidP="00071C2C">
            <w:pPr>
              <w:pStyle w:val="TSNumberedParagraph11"/>
              <w:numPr>
                <w:ilvl w:val="1"/>
                <w:numId w:val="19"/>
              </w:numPr>
              <w:spacing w:after="120"/>
              <w:rPr>
                <w:sz w:val="24"/>
              </w:rPr>
            </w:pPr>
            <w:r w:rsidRPr="00EA029F">
              <w:rPr>
                <w:sz w:val="24"/>
              </w:rPr>
              <w:lastRenderedPageBreak/>
              <w:t xml:space="preserve">identification of any matters that are in conflict with Government policy </w:t>
            </w:r>
          </w:p>
          <w:p w14:paraId="2CB40973" w14:textId="77777777" w:rsidR="00EA029F" w:rsidRPr="00EA029F" w:rsidRDefault="00EA029F" w:rsidP="00071C2C">
            <w:pPr>
              <w:pStyle w:val="TSNumberedParagraph11"/>
              <w:numPr>
                <w:ilvl w:val="1"/>
                <w:numId w:val="19"/>
              </w:numPr>
              <w:spacing w:after="120"/>
              <w:rPr>
                <w:sz w:val="24"/>
              </w:rPr>
            </w:pPr>
            <w:r w:rsidRPr="00EA029F">
              <w:rPr>
                <w:sz w:val="24"/>
              </w:rPr>
              <w:t>identifying where the design does not meet regulatory expectations</w:t>
            </w:r>
          </w:p>
          <w:p w14:paraId="11DB4E08" w14:textId="77777777" w:rsidR="00EA029F" w:rsidRPr="00EA029F" w:rsidRDefault="00EA029F" w:rsidP="00071C2C">
            <w:pPr>
              <w:pStyle w:val="TSNumberedParagraph11"/>
              <w:numPr>
                <w:ilvl w:val="1"/>
                <w:numId w:val="19"/>
              </w:numPr>
              <w:spacing w:after="120"/>
              <w:rPr>
                <w:sz w:val="24"/>
              </w:rPr>
            </w:pPr>
            <w:r w:rsidRPr="00EA029F">
              <w:rPr>
                <w:sz w:val="24"/>
              </w:rPr>
              <w:t xml:space="preserve">establishing whether the system performance, safety classification, and reliability requirements are substantiated by the detailed engineering design </w:t>
            </w:r>
          </w:p>
          <w:p w14:paraId="254D46CD" w14:textId="77777777" w:rsidR="00EA029F" w:rsidRPr="00EA029F" w:rsidRDefault="00EA029F" w:rsidP="00071C2C">
            <w:pPr>
              <w:pStyle w:val="TSNumberedParagraph11"/>
              <w:numPr>
                <w:ilvl w:val="1"/>
                <w:numId w:val="19"/>
              </w:numPr>
              <w:spacing w:after="120"/>
              <w:rPr>
                <w:sz w:val="24"/>
              </w:rPr>
            </w:pPr>
            <w:r w:rsidRPr="00EA029F">
              <w:rPr>
                <w:sz w:val="24"/>
              </w:rPr>
              <w:t>establishing that the safety and security cases from GDA are suitable for moving to an operating regime</w:t>
            </w:r>
          </w:p>
          <w:p w14:paraId="20A1DB4D" w14:textId="77777777" w:rsidR="00EA029F" w:rsidRPr="00EA029F" w:rsidRDefault="00EA029F" w:rsidP="00071C2C">
            <w:pPr>
              <w:numPr>
                <w:ilvl w:val="1"/>
                <w:numId w:val="19"/>
              </w:numPr>
              <w:spacing w:before="0" w:line="240" w:lineRule="auto"/>
              <w:ind w:left="1434" w:hanging="357"/>
              <w:rPr>
                <w:szCs w:val="24"/>
              </w:rPr>
            </w:pPr>
            <w:r w:rsidRPr="00EA029F">
              <w:rPr>
                <w:szCs w:val="24"/>
              </w:rPr>
              <w:t xml:space="preserve">whether the assessment remains meaningful, and if not, what changes are necessary to resolve this </w:t>
            </w:r>
          </w:p>
          <w:p w14:paraId="7C66CE9E" w14:textId="77777777" w:rsidR="00EA029F" w:rsidRPr="00EA029F" w:rsidRDefault="00EA029F" w:rsidP="00071C2C">
            <w:pPr>
              <w:pStyle w:val="TSNumberedParagraph11"/>
              <w:numPr>
                <w:ilvl w:val="0"/>
                <w:numId w:val="18"/>
              </w:numPr>
              <w:spacing w:after="120"/>
              <w:ind w:left="714" w:hanging="714"/>
              <w:rPr>
                <w:sz w:val="24"/>
              </w:rPr>
            </w:pPr>
            <w:r w:rsidRPr="00EA029F">
              <w:rPr>
                <w:sz w:val="24"/>
              </w:rPr>
              <w:t xml:space="preserve">Raise with the RP regulatory questions and assess the responses, including reviewing resolution plans for ROs and RIs </w:t>
            </w:r>
          </w:p>
          <w:p w14:paraId="0F1185B4" w14:textId="77777777" w:rsidR="00EA029F" w:rsidRPr="00EA029F" w:rsidRDefault="00EA029F" w:rsidP="00071C2C">
            <w:pPr>
              <w:numPr>
                <w:ilvl w:val="0"/>
                <w:numId w:val="18"/>
              </w:numPr>
              <w:spacing w:before="0" w:line="240" w:lineRule="auto"/>
              <w:ind w:left="714" w:hanging="714"/>
              <w:rPr>
                <w:szCs w:val="24"/>
              </w:rPr>
            </w:pPr>
            <w:r w:rsidRPr="00EA029F">
              <w:rPr>
                <w:szCs w:val="24"/>
              </w:rPr>
              <w:t xml:space="preserve">Publish all ROs, RIs and associated RP’s resolution plans, including confirmations once these have been satisfactorily resolved </w:t>
            </w:r>
          </w:p>
          <w:p w14:paraId="2E42F913" w14:textId="77777777" w:rsidR="00EA029F" w:rsidRPr="00EA029F" w:rsidRDefault="00EA029F" w:rsidP="00071C2C">
            <w:pPr>
              <w:numPr>
                <w:ilvl w:val="0"/>
                <w:numId w:val="18"/>
              </w:numPr>
              <w:spacing w:before="0" w:line="240" w:lineRule="auto"/>
              <w:ind w:left="714" w:hanging="714"/>
              <w:rPr>
                <w:szCs w:val="24"/>
              </w:rPr>
            </w:pPr>
            <w:r w:rsidRPr="00EA029F">
              <w:rPr>
                <w:szCs w:val="24"/>
              </w:rPr>
              <w:t>Confirm the acceptability of the proposed agreements reached between ONR and the RP. This includes those relating to the GDA scope, submission plans and schedule</w:t>
            </w:r>
          </w:p>
          <w:p w14:paraId="5A5A0799" w14:textId="77777777" w:rsidR="00EA029F" w:rsidRPr="00EA029F" w:rsidRDefault="00EA029F" w:rsidP="00071C2C">
            <w:pPr>
              <w:pStyle w:val="TSNumberedParagraph11"/>
              <w:numPr>
                <w:ilvl w:val="0"/>
                <w:numId w:val="18"/>
              </w:numPr>
              <w:spacing w:after="120"/>
              <w:ind w:hanging="720"/>
              <w:rPr>
                <w:sz w:val="24"/>
              </w:rPr>
            </w:pPr>
            <w:r w:rsidRPr="00EA029F">
              <w:rPr>
                <w:sz w:val="24"/>
              </w:rPr>
              <w:t>Continue to engage with relevant overseas regulators to obtain information and seek to make use of it as part of ONR’s assessment</w:t>
            </w:r>
          </w:p>
          <w:p w14:paraId="4AE24D2D" w14:textId="77777777" w:rsidR="00EA029F" w:rsidRPr="00EA029F" w:rsidRDefault="00EA029F" w:rsidP="00071C2C">
            <w:pPr>
              <w:pStyle w:val="TSNumberedParagraph11"/>
              <w:numPr>
                <w:ilvl w:val="0"/>
                <w:numId w:val="18"/>
              </w:numPr>
              <w:spacing w:after="120"/>
              <w:ind w:hanging="720"/>
              <w:rPr>
                <w:sz w:val="24"/>
              </w:rPr>
            </w:pPr>
            <w:r w:rsidRPr="00EA029F">
              <w:rPr>
                <w:sz w:val="24"/>
              </w:rPr>
              <w:t>Conclude any required specialist technical support contracts, including independent confirmatory analysis or substantiation</w:t>
            </w:r>
          </w:p>
        </w:tc>
      </w:tr>
      <w:tr w:rsidR="00EA029F" w:rsidRPr="00EA029F" w14:paraId="35234984" w14:textId="77777777" w:rsidTr="00EA029F">
        <w:tc>
          <w:tcPr>
            <w:tcW w:w="9016" w:type="dxa"/>
            <w:shd w:val="clear" w:color="auto" w:fill="007C6D"/>
          </w:tcPr>
          <w:p w14:paraId="2BB40B53" w14:textId="77777777" w:rsidR="00EA029F" w:rsidRPr="00EA029F" w:rsidRDefault="00EA029F" w:rsidP="00005841">
            <w:pPr>
              <w:pStyle w:val="TSNumberedParagraph11"/>
              <w:numPr>
                <w:ilvl w:val="0"/>
                <w:numId w:val="0"/>
              </w:numPr>
              <w:spacing w:after="0"/>
              <w:rPr>
                <w:b/>
                <w:color w:val="FFFFFF"/>
                <w:sz w:val="24"/>
              </w:rPr>
            </w:pPr>
            <w:r w:rsidRPr="00EA029F">
              <w:rPr>
                <w:b/>
                <w:color w:val="FFFFFF"/>
                <w:sz w:val="24"/>
              </w:rPr>
              <w:lastRenderedPageBreak/>
              <w:t>ONR will, at the end of the step</w:t>
            </w:r>
          </w:p>
        </w:tc>
      </w:tr>
      <w:tr w:rsidR="00EA029F" w:rsidRPr="00EA029F" w14:paraId="794320F7" w14:textId="77777777" w:rsidTr="00EA029F">
        <w:tc>
          <w:tcPr>
            <w:tcW w:w="9016" w:type="dxa"/>
            <w:shd w:val="clear" w:color="auto" w:fill="auto"/>
          </w:tcPr>
          <w:p w14:paraId="25C8290B" w14:textId="77777777" w:rsidR="00EA029F" w:rsidRPr="00EA029F" w:rsidRDefault="00EA029F" w:rsidP="00071C2C">
            <w:pPr>
              <w:numPr>
                <w:ilvl w:val="0"/>
                <w:numId w:val="18"/>
              </w:numPr>
              <w:spacing w:before="0" w:line="240" w:lineRule="auto"/>
              <w:ind w:hanging="720"/>
              <w:rPr>
                <w:szCs w:val="24"/>
              </w:rPr>
            </w:pPr>
            <w:r w:rsidRPr="00EA029F">
              <w:rPr>
                <w:szCs w:val="24"/>
              </w:rPr>
              <w:t xml:space="preserve">Produce and publish a report to record the completion and outcome of Step 3, compiling the assessment undertaken </w:t>
            </w:r>
          </w:p>
          <w:p w14:paraId="0ADB478B" w14:textId="77777777" w:rsidR="00EA029F" w:rsidRPr="00EA029F" w:rsidRDefault="00EA029F" w:rsidP="00071C2C">
            <w:pPr>
              <w:numPr>
                <w:ilvl w:val="0"/>
                <w:numId w:val="18"/>
              </w:numPr>
              <w:spacing w:before="0" w:line="240" w:lineRule="auto"/>
              <w:ind w:hanging="720"/>
              <w:rPr>
                <w:szCs w:val="24"/>
              </w:rPr>
            </w:pPr>
            <w:r w:rsidRPr="00EA029F">
              <w:rPr>
                <w:szCs w:val="24"/>
              </w:rPr>
              <w:t xml:space="preserve">Produce and publish assessment reports for each of the technical assessment topics considered </w:t>
            </w:r>
          </w:p>
          <w:p w14:paraId="195449FC" w14:textId="77777777" w:rsidR="00EA029F" w:rsidRPr="00EA029F" w:rsidRDefault="00EA029F" w:rsidP="00071C2C">
            <w:pPr>
              <w:numPr>
                <w:ilvl w:val="0"/>
                <w:numId w:val="18"/>
              </w:numPr>
              <w:spacing w:before="0" w:line="240" w:lineRule="auto"/>
              <w:ind w:hanging="720"/>
              <w:rPr>
                <w:szCs w:val="24"/>
              </w:rPr>
            </w:pPr>
            <w:r w:rsidRPr="00EA029F">
              <w:rPr>
                <w:szCs w:val="24"/>
              </w:rPr>
              <w:t>Dependant on the agreed GDA scope, either:</w:t>
            </w:r>
          </w:p>
          <w:p w14:paraId="51A6FBA6" w14:textId="77777777" w:rsidR="00EA029F" w:rsidRPr="00EA029F" w:rsidRDefault="00EA029F" w:rsidP="00005841">
            <w:pPr>
              <w:pStyle w:val="TSNumberedParagraph11"/>
              <w:numPr>
                <w:ilvl w:val="0"/>
                <w:numId w:val="0"/>
              </w:numPr>
              <w:spacing w:after="120"/>
              <w:ind w:left="720"/>
              <w:rPr>
                <w:sz w:val="24"/>
              </w:rPr>
            </w:pPr>
            <w:r w:rsidRPr="00EA029F">
              <w:rPr>
                <w:sz w:val="24"/>
              </w:rPr>
              <w:t xml:space="preserve">Publish the decision on whether to grant a DAC, </w:t>
            </w:r>
            <w:proofErr w:type="spellStart"/>
            <w:r w:rsidRPr="00EA029F">
              <w:rPr>
                <w:sz w:val="24"/>
              </w:rPr>
              <w:t>iDAC</w:t>
            </w:r>
            <w:proofErr w:type="spellEnd"/>
            <w:r w:rsidRPr="00EA029F">
              <w:rPr>
                <w:sz w:val="24"/>
              </w:rPr>
              <w:t xml:space="preserve"> or no DAC. As appropriate, produce and publish a DAC or </w:t>
            </w:r>
            <w:proofErr w:type="spellStart"/>
            <w:r w:rsidRPr="00EA029F">
              <w:rPr>
                <w:sz w:val="24"/>
              </w:rPr>
              <w:t>iDAC</w:t>
            </w:r>
            <w:proofErr w:type="spellEnd"/>
            <w:r w:rsidRPr="00EA029F">
              <w:rPr>
                <w:sz w:val="24"/>
              </w:rPr>
              <w:t xml:space="preserve">. In the case of an </w:t>
            </w:r>
            <w:proofErr w:type="spellStart"/>
            <w:r w:rsidRPr="00EA029F">
              <w:rPr>
                <w:sz w:val="24"/>
              </w:rPr>
              <w:t>iDAC</w:t>
            </w:r>
            <w:proofErr w:type="spellEnd"/>
            <w:r w:rsidRPr="00EA029F">
              <w:rPr>
                <w:sz w:val="24"/>
              </w:rPr>
              <w:t xml:space="preserve"> ONR will also publish the GDA issues and associated RP’s resolution plans. Any DAC or </w:t>
            </w:r>
            <w:proofErr w:type="spellStart"/>
            <w:r w:rsidRPr="00EA029F">
              <w:rPr>
                <w:sz w:val="24"/>
              </w:rPr>
              <w:t>iDAC</w:t>
            </w:r>
            <w:proofErr w:type="spellEnd"/>
            <w:r w:rsidRPr="00EA029F">
              <w:rPr>
                <w:sz w:val="24"/>
              </w:rPr>
              <w:t xml:space="preserve"> will refer to the consolidated safety and security cases, the DR and MDSL.</w:t>
            </w:r>
          </w:p>
          <w:p w14:paraId="0E10E480" w14:textId="104978AA" w:rsidR="00EA029F" w:rsidRPr="007667A7" w:rsidRDefault="007667A7" w:rsidP="00005841">
            <w:pPr>
              <w:pStyle w:val="TSNumberedParagraph11"/>
              <w:numPr>
                <w:ilvl w:val="0"/>
                <w:numId w:val="0"/>
              </w:numPr>
              <w:spacing w:after="120"/>
              <w:ind w:left="720"/>
              <w:rPr>
                <w:b/>
                <w:bCs/>
                <w:sz w:val="24"/>
              </w:rPr>
            </w:pPr>
            <w:r w:rsidRPr="007667A7">
              <w:rPr>
                <w:b/>
                <w:bCs/>
                <w:sz w:val="24"/>
              </w:rPr>
              <w:t>or</w:t>
            </w:r>
          </w:p>
          <w:p w14:paraId="391ACA22" w14:textId="77777777" w:rsidR="00EA029F" w:rsidRPr="00EA029F" w:rsidRDefault="00EA029F" w:rsidP="00005841">
            <w:pPr>
              <w:pStyle w:val="TSNumberedParagraph11"/>
              <w:numPr>
                <w:ilvl w:val="0"/>
                <w:numId w:val="0"/>
              </w:numPr>
              <w:spacing w:after="120"/>
              <w:ind w:left="720"/>
              <w:rPr>
                <w:sz w:val="24"/>
              </w:rPr>
            </w:pPr>
            <w:r w:rsidRPr="00EA029F">
              <w:rPr>
                <w:sz w:val="24"/>
                <w:lang w:val="en-US"/>
              </w:rPr>
              <w:t xml:space="preserve">Produce and publish a GDA statement </w:t>
            </w:r>
            <w:r w:rsidRPr="00EA029F">
              <w:rPr>
                <w:sz w:val="24"/>
              </w:rPr>
              <w:t>summarising</w:t>
            </w:r>
            <w:r w:rsidRPr="00EA029F">
              <w:rPr>
                <w:sz w:val="24"/>
                <w:lang w:val="en-US"/>
              </w:rPr>
              <w:t>:</w:t>
            </w:r>
          </w:p>
          <w:p w14:paraId="53C946B4" w14:textId="77777777" w:rsidR="00EA029F" w:rsidRPr="00EA029F" w:rsidRDefault="00EA029F" w:rsidP="00071C2C">
            <w:pPr>
              <w:pStyle w:val="TSNumberedParagraph11"/>
              <w:numPr>
                <w:ilvl w:val="0"/>
                <w:numId w:val="20"/>
              </w:numPr>
              <w:spacing w:after="120"/>
              <w:rPr>
                <w:sz w:val="24"/>
              </w:rPr>
            </w:pPr>
            <w:r w:rsidRPr="00EA029F">
              <w:rPr>
                <w:sz w:val="24"/>
                <w:lang w:val="en-US"/>
              </w:rPr>
              <w:t>details of the status of the design and associated safety and security cases, including the MDSL and DRP</w:t>
            </w:r>
          </w:p>
          <w:p w14:paraId="6BAA44C0" w14:textId="77777777" w:rsidR="00EA029F" w:rsidRPr="00EA029F" w:rsidRDefault="00EA029F" w:rsidP="00071C2C">
            <w:pPr>
              <w:pStyle w:val="TSNumberedParagraph11"/>
              <w:numPr>
                <w:ilvl w:val="0"/>
                <w:numId w:val="20"/>
              </w:numPr>
              <w:spacing w:after="120"/>
              <w:rPr>
                <w:sz w:val="24"/>
              </w:rPr>
            </w:pPr>
            <w:r w:rsidRPr="00EA029F">
              <w:rPr>
                <w:sz w:val="24"/>
                <w:lang w:val="en-US"/>
              </w:rPr>
              <w:t xml:space="preserve">the assessment of the submissions provided by the RP during Step 3 </w:t>
            </w:r>
          </w:p>
          <w:p w14:paraId="7E1C6006" w14:textId="77777777" w:rsidR="00EA029F" w:rsidRPr="00EA029F" w:rsidRDefault="00EA029F" w:rsidP="00071C2C">
            <w:pPr>
              <w:pStyle w:val="TSNumberedParagraph11"/>
              <w:numPr>
                <w:ilvl w:val="0"/>
                <w:numId w:val="20"/>
              </w:numPr>
              <w:spacing w:after="120"/>
              <w:rPr>
                <w:sz w:val="24"/>
              </w:rPr>
            </w:pPr>
            <w:r w:rsidRPr="00EA029F">
              <w:rPr>
                <w:sz w:val="24"/>
              </w:rPr>
              <w:t>any open regulatory questions (RQs, ROs and RIs)</w:t>
            </w:r>
          </w:p>
          <w:p w14:paraId="219CC423" w14:textId="77777777" w:rsidR="00EA029F" w:rsidRPr="00EA029F" w:rsidRDefault="00EA029F" w:rsidP="00071C2C">
            <w:pPr>
              <w:pStyle w:val="TSNumberedParagraph11"/>
              <w:numPr>
                <w:ilvl w:val="0"/>
                <w:numId w:val="20"/>
              </w:numPr>
              <w:spacing w:after="120"/>
              <w:rPr>
                <w:sz w:val="24"/>
              </w:rPr>
            </w:pPr>
            <w:r w:rsidRPr="00EA029F">
              <w:rPr>
                <w:sz w:val="24"/>
                <w:lang w:val="en-US"/>
              </w:rPr>
              <w:t>any areas of regulatory concern that remain to be resolved</w:t>
            </w:r>
          </w:p>
          <w:p w14:paraId="161D333B" w14:textId="4200FB30" w:rsidR="00EA029F" w:rsidRPr="00EA029F" w:rsidRDefault="00EA029F" w:rsidP="00071C2C">
            <w:pPr>
              <w:pStyle w:val="TSNumberedParagraph11"/>
              <w:numPr>
                <w:ilvl w:val="0"/>
                <w:numId w:val="20"/>
              </w:numPr>
              <w:spacing w:after="120"/>
              <w:rPr>
                <w:sz w:val="24"/>
              </w:rPr>
            </w:pPr>
            <w:r w:rsidRPr="00EA029F">
              <w:rPr>
                <w:sz w:val="24"/>
                <w:lang w:val="en-US"/>
              </w:rPr>
              <w:lastRenderedPageBreak/>
              <w:t>any significant issues that may prevent ONR from issuing a DAC, might prevent ONR permissioning construction of a NPP based upon that design or which might be in conflict with Government policy</w:t>
            </w:r>
            <w:r w:rsidR="005E03CC">
              <w:rPr>
                <w:sz w:val="24"/>
                <w:lang w:val="en-US"/>
              </w:rPr>
              <w:t>.</w:t>
            </w:r>
          </w:p>
        </w:tc>
      </w:tr>
    </w:tbl>
    <w:p w14:paraId="64D5E2CC" w14:textId="77777777" w:rsidR="00037D99" w:rsidRDefault="00037D99" w:rsidP="00037D99">
      <w:pPr>
        <w:sectPr w:rsidR="00037D99" w:rsidSect="00037D99">
          <w:pgSz w:w="11906" w:h="16838" w:code="9"/>
          <w:pgMar w:top="1440" w:right="1440" w:bottom="1440" w:left="1440" w:header="397" w:footer="397" w:gutter="0"/>
          <w:cols w:space="312"/>
          <w:docGrid w:linePitch="360"/>
        </w:sectPr>
      </w:pPr>
      <w:bookmarkStart w:id="43" w:name="_Appendix_5_–"/>
      <w:bookmarkEnd w:id="43"/>
    </w:p>
    <w:p w14:paraId="5742A81B" w14:textId="0D964D50" w:rsidR="00037D99" w:rsidRDefault="00037D99" w:rsidP="00037D99">
      <w:pPr>
        <w:pStyle w:val="Heading1"/>
        <w:numPr>
          <w:ilvl w:val="0"/>
          <w:numId w:val="0"/>
        </w:numPr>
      </w:pPr>
      <w:bookmarkStart w:id="44" w:name="_Toc173242850"/>
      <w:r>
        <w:lastRenderedPageBreak/>
        <w:t>Appendix 5 – Leveraging international assessments</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016"/>
      </w:tblGrid>
      <w:tr w:rsidR="00037D99" w:rsidRPr="00037D99" w14:paraId="0AB371D5" w14:textId="77777777" w:rsidTr="00005841">
        <w:tc>
          <w:tcPr>
            <w:tcW w:w="9174" w:type="dxa"/>
            <w:shd w:val="clear" w:color="auto" w:fill="007C6D"/>
          </w:tcPr>
          <w:p w14:paraId="3F3C631F" w14:textId="77777777" w:rsidR="00037D99" w:rsidRPr="00037D99" w:rsidRDefault="00037D99" w:rsidP="00037D99">
            <w:pPr>
              <w:pStyle w:val="TSNumberedParagraph11"/>
              <w:numPr>
                <w:ilvl w:val="0"/>
                <w:numId w:val="0"/>
              </w:numPr>
              <w:spacing w:before="60" w:after="60" w:line="252" w:lineRule="auto"/>
              <w:rPr>
                <w:b/>
                <w:color w:val="FFFFFF"/>
                <w:sz w:val="24"/>
              </w:rPr>
            </w:pPr>
            <w:bookmarkStart w:id="45" w:name="_Toc164683201"/>
            <w:r w:rsidRPr="00037D99">
              <w:rPr>
                <w:b/>
                <w:color w:val="FFFFFF"/>
                <w:sz w:val="24"/>
              </w:rPr>
              <w:t>Introduction</w:t>
            </w:r>
          </w:p>
        </w:tc>
      </w:tr>
      <w:tr w:rsidR="00037D99" w:rsidRPr="00037D99" w14:paraId="4CA5E585" w14:textId="77777777" w:rsidTr="00005841">
        <w:tc>
          <w:tcPr>
            <w:tcW w:w="9174" w:type="dxa"/>
            <w:shd w:val="clear" w:color="auto" w:fill="auto"/>
          </w:tcPr>
          <w:p w14:paraId="2122BC7E" w14:textId="4EC03683" w:rsidR="00037D99" w:rsidRPr="00037D99" w:rsidRDefault="00037D99" w:rsidP="00037D99">
            <w:pPr>
              <w:pStyle w:val="TSNumberedParagraph11"/>
              <w:numPr>
                <w:ilvl w:val="0"/>
                <w:numId w:val="0"/>
              </w:numPr>
              <w:spacing w:before="60" w:after="60" w:line="252" w:lineRule="auto"/>
              <w:rPr>
                <w:sz w:val="24"/>
              </w:rPr>
            </w:pPr>
            <w:r w:rsidRPr="00037D99">
              <w:rPr>
                <w:sz w:val="24"/>
              </w:rPr>
              <w:t xml:space="preserve">ONR considers there to be clear advantages in learning from international experience and considering this as part of regulatory decision making. </w:t>
            </w:r>
            <w:r w:rsidR="005E03CC">
              <w:rPr>
                <w:sz w:val="24"/>
              </w:rPr>
              <w:br/>
            </w:r>
            <w:r w:rsidRPr="00037D99">
              <w:rPr>
                <w:sz w:val="24"/>
              </w:rPr>
              <w:t xml:space="preserve">Throughout the GDA process, ONR will seek to take advantage of information arising from assessment by nuclear regulators in other countries. This </w:t>
            </w:r>
            <w:r w:rsidR="005E03CC">
              <w:rPr>
                <w:sz w:val="24"/>
              </w:rPr>
              <w:t>a</w:t>
            </w:r>
            <w:r w:rsidRPr="00037D99">
              <w:rPr>
                <w:sz w:val="24"/>
              </w:rPr>
              <w:t>ppendix provides further guidance on how we will look to leverage such international working.</w:t>
            </w:r>
          </w:p>
        </w:tc>
      </w:tr>
      <w:tr w:rsidR="00037D99" w:rsidRPr="00037D99" w14:paraId="57CC3BE4" w14:textId="77777777" w:rsidTr="00005841">
        <w:tc>
          <w:tcPr>
            <w:tcW w:w="9174" w:type="dxa"/>
            <w:shd w:val="clear" w:color="auto" w:fill="98C030"/>
          </w:tcPr>
          <w:p w14:paraId="1362FE8E" w14:textId="77777777" w:rsidR="00037D99" w:rsidRPr="00037D99" w:rsidRDefault="00037D99" w:rsidP="00037D99">
            <w:pPr>
              <w:pStyle w:val="TSNumberedParagraph11"/>
              <w:numPr>
                <w:ilvl w:val="0"/>
                <w:numId w:val="0"/>
              </w:numPr>
              <w:spacing w:before="60" w:after="60" w:line="252" w:lineRule="auto"/>
              <w:rPr>
                <w:b/>
                <w:color w:val="FFFFFF"/>
                <w:sz w:val="24"/>
              </w:rPr>
            </w:pPr>
            <w:r w:rsidRPr="00C2561B">
              <w:rPr>
                <w:b/>
                <w:sz w:val="24"/>
              </w:rPr>
              <w:t>Use of prior international assessment</w:t>
            </w:r>
          </w:p>
        </w:tc>
      </w:tr>
      <w:tr w:rsidR="00037D99" w:rsidRPr="00037D99" w14:paraId="4D19619B" w14:textId="77777777" w:rsidTr="00005841">
        <w:tc>
          <w:tcPr>
            <w:tcW w:w="9174" w:type="dxa"/>
            <w:shd w:val="clear" w:color="auto" w:fill="auto"/>
          </w:tcPr>
          <w:p w14:paraId="51227D68" w14:textId="77777777" w:rsidR="00037D99" w:rsidRPr="00037D99" w:rsidRDefault="00037D99" w:rsidP="00037D99">
            <w:pPr>
              <w:pStyle w:val="TSNumberedParagraph11"/>
              <w:numPr>
                <w:ilvl w:val="0"/>
                <w:numId w:val="0"/>
              </w:numPr>
              <w:spacing w:before="60" w:after="60" w:line="252" w:lineRule="auto"/>
              <w:rPr>
                <w:sz w:val="24"/>
              </w:rPr>
            </w:pPr>
            <w:r w:rsidRPr="00037D99">
              <w:rPr>
                <w:sz w:val="24"/>
              </w:rPr>
              <w:t xml:space="preserve">When a reactor design has been assessed by an established nuclear regulator in another country (whether that be a generic design or a site-specific deployment), it is likely that aspects of the safety and security cases submitted to the relevant regulator could be used as the basis of submissions to the UK regulators. If the regulatory evaluations and conclusions on those submissions are available, it is also likely that they could significantly accelerate ONR’s ability to reach a conclusion on the adequacy of the safety and security case (and underpinning evidence) to meet internationally-recognised standards. The extent to which this is achievable would depend on the similarities and differences between regulatory requirements and expectations in the respective countries. Ultimately, a future site-specific safety and security case will need to explicitly demonstrate how activities on that site meet applicable UK regulatory requirements. The  objectives and potential implications of a GDA which results a judgement on acceptability of the design but defers the generation of UK-specific submissions to a later date is something that can be discussed with the Requesting Party and its stakeholders. </w:t>
            </w:r>
          </w:p>
          <w:p w14:paraId="3331E7FB" w14:textId="05F8D8A2" w:rsidR="00037D99" w:rsidRPr="00037D99" w:rsidRDefault="00037D99" w:rsidP="00037D99">
            <w:pPr>
              <w:pStyle w:val="TSNumberedParagraph11"/>
              <w:numPr>
                <w:ilvl w:val="0"/>
                <w:numId w:val="0"/>
              </w:numPr>
              <w:spacing w:before="60" w:after="60" w:line="252" w:lineRule="auto"/>
              <w:rPr>
                <w:sz w:val="24"/>
              </w:rPr>
            </w:pPr>
            <w:r w:rsidRPr="00037D99">
              <w:rPr>
                <w:sz w:val="24"/>
              </w:rPr>
              <w:t>For ONR to undertake an assessment based on submissions produced for another regulator, we require confidence that there is sufficient information available for us to undertake a meaningful assessment. The Requesting Party will need to undertake a gap analysis to demonstrate it has an appreciation of the extent to which the proposed submissions meet UK regulatory expectations, and that it has a plan to address any significant gaps that would challenge the value of any assessment conclusions. This could be undertaken during pre-GDA engagement with the regulators (for example a ‘preliminary design review’ under our process for early regulatory engagement), or as part of agreeing the scope and schedule for GDA during Step 1 (</w:t>
            </w:r>
            <w:r w:rsidR="00C2561B">
              <w:rPr>
                <w:sz w:val="24"/>
              </w:rPr>
              <w:t>refer to</w:t>
            </w:r>
            <w:r w:rsidRPr="00037D99">
              <w:rPr>
                <w:sz w:val="24"/>
              </w:rPr>
              <w:t xml:space="preserve"> paragraph </w:t>
            </w:r>
            <w:r w:rsidR="005E03CC">
              <w:rPr>
                <w:sz w:val="24"/>
              </w:rPr>
              <w:fldChar w:fldCharType="begin"/>
            </w:r>
            <w:r w:rsidR="005E03CC">
              <w:rPr>
                <w:sz w:val="24"/>
              </w:rPr>
              <w:instrText xml:space="preserve"> REF _Ref173241189 \r \h </w:instrText>
            </w:r>
            <w:r w:rsidR="005E03CC">
              <w:rPr>
                <w:sz w:val="24"/>
              </w:rPr>
            </w:r>
            <w:r w:rsidR="005E03CC">
              <w:rPr>
                <w:sz w:val="24"/>
              </w:rPr>
              <w:fldChar w:fldCharType="separate"/>
            </w:r>
            <w:r w:rsidR="005E03CC">
              <w:rPr>
                <w:sz w:val="24"/>
                <w:cs/>
              </w:rPr>
              <w:t>‎</w:t>
            </w:r>
            <w:r w:rsidR="005E03CC">
              <w:rPr>
                <w:sz w:val="24"/>
              </w:rPr>
              <w:t>15</w:t>
            </w:r>
            <w:r w:rsidR="005E03CC">
              <w:rPr>
                <w:sz w:val="24"/>
              </w:rPr>
              <w:fldChar w:fldCharType="end"/>
            </w:r>
            <w:r w:rsidRPr="00037D99">
              <w:rPr>
                <w:sz w:val="24"/>
              </w:rPr>
              <w:t xml:space="preserve"> and requirement [1.20]).</w:t>
            </w:r>
          </w:p>
          <w:p w14:paraId="1C9D62ED" w14:textId="77777777" w:rsidR="00037D99" w:rsidRPr="00037D99" w:rsidRDefault="00037D99" w:rsidP="00037D99">
            <w:pPr>
              <w:pStyle w:val="TSNumberedParagraph11"/>
              <w:numPr>
                <w:ilvl w:val="0"/>
                <w:numId w:val="0"/>
              </w:numPr>
              <w:spacing w:before="60" w:after="60" w:line="252" w:lineRule="auto"/>
              <w:rPr>
                <w:sz w:val="24"/>
              </w:rPr>
            </w:pPr>
            <w:r w:rsidRPr="00037D99">
              <w:rPr>
                <w:sz w:val="24"/>
              </w:rPr>
              <w:t>The extent to which we can take advantage of the evaluations of another regulator will depend on:</w:t>
            </w:r>
          </w:p>
          <w:p w14:paraId="5CE8D04C" w14:textId="77777777" w:rsidR="00037D99" w:rsidRPr="00037D99" w:rsidRDefault="00037D99" w:rsidP="00FA357A">
            <w:pPr>
              <w:pStyle w:val="Bulletlist1"/>
              <w:ind w:left="503"/>
            </w:pPr>
            <w:r w:rsidRPr="00037D99">
              <w:t>The availability to ONR of the regulator’s documented assessment (some regulators do not publish their assessments at all, or publish only in heavily redacted form);</w:t>
            </w:r>
          </w:p>
          <w:p w14:paraId="6A8BE845" w14:textId="77777777" w:rsidR="00037D99" w:rsidRPr="00037D99" w:rsidRDefault="00037D99" w:rsidP="00FA357A">
            <w:pPr>
              <w:pStyle w:val="Bulletlist1"/>
              <w:ind w:left="503"/>
            </w:pPr>
            <w:r w:rsidRPr="00037D99">
              <w:lastRenderedPageBreak/>
              <w:t>Its applicability to the design and methods proposed for the UK (the Requesting Party might be proposing a variation of the reactor design, a different construction method, or have updated its analysis techniques from those considered by the other regulator); and</w:t>
            </w:r>
          </w:p>
          <w:p w14:paraId="145A9827" w14:textId="77777777" w:rsidR="00037D99" w:rsidRPr="00037D99" w:rsidRDefault="00037D99" w:rsidP="00FA357A">
            <w:pPr>
              <w:pStyle w:val="Bulletlist1"/>
              <w:ind w:left="503"/>
            </w:pPr>
            <w:r w:rsidRPr="00037D99">
              <w:t>Whether that regulator is willing to collaborate with ONR and the availability of personnel with sufficient understanding of the design in question and the assessment outcomes (it is possible the reactor design has not gone forward to construction in that country and the regulator has disbanded its team)</w:t>
            </w:r>
          </w:p>
          <w:p w14:paraId="728BD805" w14:textId="77777777" w:rsidR="00037D99" w:rsidRPr="00037D99" w:rsidRDefault="00037D99" w:rsidP="00037D99">
            <w:pPr>
              <w:pStyle w:val="TSNumberedParagraph11"/>
              <w:numPr>
                <w:ilvl w:val="0"/>
                <w:numId w:val="0"/>
              </w:numPr>
              <w:spacing w:before="60" w:after="60" w:line="252" w:lineRule="auto"/>
              <w:ind w:left="720" w:hanging="720"/>
              <w:rPr>
                <w:sz w:val="24"/>
              </w:rPr>
            </w:pPr>
            <w:r w:rsidRPr="00037D99">
              <w:rPr>
                <w:sz w:val="24"/>
              </w:rPr>
              <w:t>The following would also need to be in place:</w:t>
            </w:r>
          </w:p>
          <w:p w14:paraId="79EB3F6F" w14:textId="77777777" w:rsidR="00037D99" w:rsidRPr="00037D99" w:rsidRDefault="00037D99" w:rsidP="00FA357A">
            <w:pPr>
              <w:pStyle w:val="Bulletlist1"/>
              <w:ind w:left="503"/>
            </w:pPr>
            <w:r w:rsidRPr="00037D99">
              <w:t>The Requesting Party should have an established UK-based organisation with sufficient capability and understanding of UK regulatory expectations to be able to explain the extent to which proposed GDA submissions demonstrate why the design can be deployed in GB;</w:t>
            </w:r>
          </w:p>
          <w:p w14:paraId="50ED7CD6" w14:textId="77777777" w:rsidR="00037D99" w:rsidRPr="00037D99" w:rsidRDefault="00037D99" w:rsidP="00FA357A">
            <w:pPr>
              <w:pStyle w:val="Bulletlist1"/>
              <w:ind w:left="503"/>
            </w:pPr>
            <w:r w:rsidRPr="00037D99">
              <w:t>ONR will need access to any relevant assessments produced by the international regulator and clarity on the reference design and submissions to which they apply (relative to what is proposed for GB). Agreement from the international regulator to share information and/or any overseas licensee/ operator to whom the regulatory judgements have been provided (if it is not the Requesting Party);</w:t>
            </w:r>
          </w:p>
          <w:p w14:paraId="41DAECCB" w14:textId="77777777" w:rsidR="00037D99" w:rsidRPr="00037D99" w:rsidRDefault="00037D99" w:rsidP="00FA357A">
            <w:pPr>
              <w:pStyle w:val="Bulletlist1"/>
              <w:ind w:left="503"/>
            </w:pPr>
            <w:r w:rsidRPr="00037D99">
              <w:t>ONR, the Requesting Party and potentially any collaborating international regulator(s) will need to secure the necessary export control licences to enable engagement and collaboration. Regulator-to-regulator information exchange agreements may also need to be in be in place; and</w:t>
            </w:r>
          </w:p>
          <w:p w14:paraId="06BAF36D" w14:textId="77777777" w:rsidR="00037D99" w:rsidRPr="00037D99" w:rsidRDefault="00037D99" w:rsidP="00FA357A">
            <w:pPr>
              <w:pStyle w:val="Bulletlist1"/>
              <w:ind w:left="503"/>
            </w:pPr>
            <w:r w:rsidRPr="00037D99">
              <w:t>The Requesting Party will need to identify and review any gaps in both overseas documentation and any available regulatory judgements against the agreed scope and objectives of the proposed GDA, and agree an assessment schedule with ONR that facilitates new submissions and regulatory assessment as necessary.</w:t>
            </w:r>
          </w:p>
        </w:tc>
      </w:tr>
      <w:tr w:rsidR="00037D99" w:rsidRPr="00037D99" w14:paraId="785C3D34" w14:textId="77777777" w:rsidTr="00005841">
        <w:tc>
          <w:tcPr>
            <w:tcW w:w="9174" w:type="dxa"/>
            <w:shd w:val="clear" w:color="auto" w:fill="EA5B0C"/>
          </w:tcPr>
          <w:p w14:paraId="61C25C4F" w14:textId="77777777" w:rsidR="00037D99" w:rsidRPr="00037D99" w:rsidRDefault="00037D99" w:rsidP="00037D99">
            <w:pPr>
              <w:pStyle w:val="TSNumberedParagraph11"/>
              <w:numPr>
                <w:ilvl w:val="0"/>
                <w:numId w:val="0"/>
              </w:numPr>
              <w:spacing w:before="60" w:after="60" w:line="252" w:lineRule="auto"/>
              <w:rPr>
                <w:b/>
                <w:color w:val="FFFFFF"/>
                <w:sz w:val="24"/>
              </w:rPr>
            </w:pPr>
            <w:r w:rsidRPr="006D6707">
              <w:rPr>
                <w:b/>
                <w:sz w:val="24"/>
              </w:rPr>
              <w:lastRenderedPageBreak/>
              <w:t>Parallel assessment</w:t>
            </w:r>
          </w:p>
        </w:tc>
      </w:tr>
      <w:tr w:rsidR="00037D99" w:rsidRPr="00037D99" w14:paraId="5FBEC206" w14:textId="77777777" w:rsidTr="00005841">
        <w:tc>
          <w:tcPr>
            <w:tcW w:w="9174" w:type="dxa"/>
            <w:shd w:val="clear" w:color="auto" w:fill="auto"/>
          </w:tcPr>
          <w:p w14:paraId="05A4F36C" w14:textId="77777777" w:rsidR="00037D99" w:rsidRPr="00037D99" w:rsidRDefault="00037D99" w:rsidP="00037D99">
            <w:pPr>
              <w:spacing w:before="60" w:after="60"/>
              <w:rPr>
                <w:szCs w:val="24"/>
              </w:rPr>
            </w:pPr>
            <w:r w:rsidRPr="00037D99">
              <w:rPr>
                <w:szCs w:val="24"/>
              </w:rPr>
              <w:t>In some cases a reactor design may be undergoing assessment in the UK concurrently with other countries. The assessment activities could be potentially aligned, enabling close collaboration between ONR and international regulators.</w:t>
            </w:r>
          </w:p>
          <w:p w14:paraId="241B2FB5" w14:textId="77777777" w:rsidR="00037D99" w:rsidRPr="00037D99" w:rsidRDefault="00037D99" w:rsidP="00037D99">
            <w:pPr>
              <w:spacing w:before="60" w:after="60"/>
              <w:rPr>
                <w:szCs w:val="24"/>
              </w:rPr>
            </w:pPr>
            <w:r w:rsidRPr="00037D99">
              <w:rPr>
                <w:szCs w:val="24"/>
              </w:rPr>
              <w:t>The exact nature of such collaboration will depend upon the scope of the regulatory assessments, the progress of the respective regulators, the commonality of the design and submission to the different regulators, and the ability of the Requesting Party to support parallel assessments by different regulators. One challenge can be that the technology vendor/ Requesting Party engaging in GDA might be different from the utility/ licensee engaging on a site-specific basis with the regulator in another country.</w:t>
            </w:r>
          </w:p>
          <w:p w14:paraId="4201F271" w14:textId="77777777" w:rsidR="00037D99" w:rsidRPr="00037D99" w:rsidRDefault="00037D99" w:rsidP="00037D99">
            <w:pPr>
              <w:spacing w:before="60" w:after="60"/>
              <w:rPr>
                <w:szCs w:val="24"/>
              </w:rPr>
            </w:pPr>
            <w:r w:rsidRPr="00037D99">
              <w:rPr>
                <w:szCs w:val="24"/>
              </w:rPr>
              <w:lastRenderedPageBreak/>
              <w:t>Therefore for any such collaboration to be undertaken efficiently, the Requesting Party and regulators would need to agree ways of working (in addition to those interface arrangements required for Step 1 [requirement 1.1] and the scope and timings of any joint engagements).</w:t>
            </w:r>
          </w:p>
        </w:tc>
      </w:tr>
      <w:bookmarkEnd w:id="45"/>
    </w:tbl>
    <w:p w14:paraId="20D1FD72" w14:textId="77777777" w:rsidR="00037D99" w:rsidRDefault="00037D99" w:rsidP="00037D99">
      <w:pPr>
        <w:sectPr w:rsidR="00037D99" w:rsidSect="00037D99">
          <w:pgSz w:w="11906" w:h="16838" w:code="9"/>
          <w:pgMar w:top="1440" w:right="1440" w:bottom="1440" w:left="1440" w:header="397" w:footer="397" w:gutter="0"/>
          <w:cols w:space="312"/>
          <w:docGrid w:linePitch="360"/>
        </w:sectPr>
      </w:pPr>
    </w:p>
    <w:p w14:paraId="7F77D3EC" w14:textId="616CD649" w:rsidR="00037D99" w:rsidRDefault="00037D99" w:rsidP="00037D99">
      <w:pPr>
        <w:pStyle w:val="Heading1"/>
        <w:numPr>
          <w:ilvl w:val="0"/>
          <w:numId w:val="0"/>
        </w:numPr>
        <w:ind w:left="851" w:hanging="851"/>
      </w:pPr>
      <w:bookmarkStart w:id="46" w:name="_Appendix_6_–"/>
      <w:bookmarkStart w:id="47" w:name="_Toc173242851"/>
      <w:bookmarkEnd w:id="46"/>
      <w:r>
        <w:lastRenderedPageBreak/>
        <w:t>Appendix 6 – Flexibility in GDA</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016"/>
      </w:tblGrid>
      <w:tr w:rsidR="00037D99" w:rsidRPr="00037D99" w14:paraId="2F2C41E4" w14:textId="77777777" w:rsidTr="00037D99">
        <w:tc>
          <w:tcPr>
            <w:tcW w:w="5000" w:type="pct"/>
            <w:shd w:val="clear" w:color="auto" w:fill="007C6D"/>
          </w:tcPr>
          <w:p w14:paraId="6E759043" w14:textId="77777777" w:rsidR="00037D99" w:rsidRPr="00037D99" w:rsidRDefault="00037D99" w:rsidP="00037D99">
            <w:pPr>
              <w:pStyle w:val="TSNumberedParagraph11"/>
              <w:numPr>
                <w:ilvl w:val="0"/>
                <w:numId w:val="0"/>
              </w:numPr>
              <w:spacing w:before="60" w:after="60" w:line="252" w:lineRule="auto"/>
              <w:rPr>
                <w:b/>
                <w:color w:val="FFFFFF"/>
                <w:sz w:val="24"/>
              </w:rPr>
            </w:pPr>
            <w:r w:rsidRPr="00037D99">
              <w:rPr>
                <w:b/>
                <w:color w:val="FFFFFF"/>
                <w:sz w:val="24"/>
              </w:rPr>
              <w:t>Introduction</w:t>
            </w:r>
          </w:p>
        </w:tc>
      </w:tr>
      <w:tr w:rsidR="00037D99" w:rsidRPr="00037D99" w14:paraId="2ABCECBA" w14:textId="77777777" w:rsidTr="00037D99">
        <w:tc>
          <w:tcPr>
            <w:tcW w:w="5000" w:type="pct"/>
            <w:shd w:val="clear" w:color="auto" w:fill="auto"/>
          </w:tcPr>
          <w:p w14:paraId="4FE8A2DE" w14:textId="3EF82425" w:rsidR="00037D99" w:rsidRPr="00037D99" w:rsidRDefault="00037D99" w:rsidP="00037D99">
            <w:pPr>
              <w:spacing w:before="60" w:after="60"/>
              <w:rPr>
                <w:szCs w:val="24"/>
              </w:rPr>
            </w:pPr>
            <w:r w:rsidRPr="00037D99">
              <w:rPr>
                <w:szCs w:val="24"/>
              </w:rPr>
              <w:t xml:space="preserve">The objective of GDA is to reduce regulatory uncertainty and project risk, and to be an enabler to future licensing, permitting, construction and regulatory activities. </w:t>
            </w:r>
            <w:r w:rsidR="005E03CC">
              <w:rPr>
                <w:szCs w:val="24"/>
              </w:rPr>
              <w:br/>
            </w:r>
            <w:r w:rsidRPr="00037D99">
              <w:rPr>
                <w:szCs w:val="24"/>
              </w:rPr>
              <w:t xml:space="preserve">To take into account differences in maturity, complexity, novelty and history of designs which are intended for deployment in the UK, GDA is a flexible process where the objectives and outputs can be tailored to the needs of the Requesting Party. This is outlined within </w:t>
            </w:r>
            <w:r>
              <w:rPr>
                <w:szCs w:val="24"/>
              </w:rPr>
              <w:fldChar w:fldCharType="begin"/>
            </w:r>
            <w:r>
              <w:rPr>
                <w:szCs w:val="24"/>
              </w:rPr>
              <w:instrText xml:space="preserve"> REF _Ref173225381 \h </w:instrText>
            </w:r>
            <w:r>
              <w:rPr>
                <w:szCs w:val="24"/>
              </w:rPr>
            </w:r>
            <w:r>
              <w:rPr>
                <w:szCs w:val="24"/>
              </w:rPr>
              <w:fldChar w:fldCharType="separate"/>
            </w:r>
            <w:r>
              <w:t>Agreement of GDA scope and outputs</w:t>
            </w:r>
            <w:r>
              <w:rPr>
                <w:szCs w:val="24"/>
              </w:rPr>
              <w:fldChar w:fldCharType="end"/>
            </w:r>
            <w:r w:rsidRPr="00037D99">
              <w:rPr>
                <w:szCs w:val="24"/>
              </w:rPr>
              <w:t>.</w:t>
            </w:r>
          </w:p>
        </w:tc>
      </w:tr>
      <w:tr w:rsidR="00037D99" w:rsidRPr="00037D99" w14:paraId="1CBBFF30" w14:textId="77777777" w:rsidTr="00037D99">
        <w:tc>
          <w:tcPr>
            <w:tcW w:w="5000" w:type="pct"/>
            <w:shd w:val="clear" w:color="auto" w:fill="98C030"/>
          </w:tcPr>
          <w:p w14:paraId="2CD25963" w14:textId="77777777" w:rsidR="00037D99" w:rsidRPr="00037D99" w:rsidRDefault="00037D99" w:rsidP="00037D99">
            <w:pPr>
              <w:pStyle w:val="TSNumberedParagraph11"/>
              <w:numPr>
                <w:ilvl w:val="0"/>
                <w:numId w:val="0"/>
              </w:numPr>
              <w:spacing w:before="60" w:after="60" w:line="252" w:lineRule="auto"/>
              <w:rPr>
                <w:b/>
                <w:color w:val="FFFFFF"/>
                <w:sz w:val="24"/>
              </w:rPr>
            </w:pPr>
            <w:r w:rsidRPr="006D6707">
              <w:rPr>
                <w:b/>
                <w:sz w:val="24"/>
              </w:rPr>
              <w:t>GDA scope</w:t>
            </w:r>
          </w:p>
        </w:tc>
      </w:tr>
      <w:tr w:rsidR="00037D99" w:rsidRPr="00037D99" w14:paraId="1B69C3F3" w14:textId="77777777" w:rsidTr="00037D99">
        <w:tc>
          <w:tcPr>
            <w:tcW w:w="5000" w:type="pct"/>
            <w:shd w:val="clear" w:color="auto" w:fill="auto"/>
          </w:tcPr>
          <w:p w14:paraId="73398E34" w14:textId="77777777" w:rsidR="00037D99" w:rsidRPr="00037D99" w:rsidRDefault="00037D99" w:rsidP="00037D99">
            <w:pPr>
              <w:spacing w:before="60" w:after="60"/>
              <w:rPr>
                <w:szCs w:val="24"/>
              </w:rPr>
            </w:pPr>
            <w:r w:rsidRPr="00037D99">
              <w:rPr>
                <w:szCs w:val="24"/>
              </w:rPr>
              <w:t>The scope and outputs of a GDA are agreed between the Requesting Parties and the regulators. Important factors that will determine the particular scope and outcomes of GDA (and the time this may take) include the maturity of the design and associated safety and security cases, the reduction in uncertainty and project risk that the Requesting Party wishes to achieve, and the extent to which that design has undergone, or is in the process of undergoing, assessment by an established regulator in another country.</w:t>
            </w:r>
          </w:p>
          <w:p w14:paraId="021162D2" w14:textId="397E02DF" w:rsidR="00037D99" w:rsidRPr="00037D99" w:rsidRDefault="00BA5CBD" w:rsidP="00037D99">
            <w:pPr>
              <w:spacing w:before="60" w:after="60"/>
              <w:rPr>
                <w:szCs w:val="24"/>
              </w:rPr>
            </w:pPr>
            <w:r>
              <w:rPr>
                <w:szCs w:val="24"/>
              </w:rPr>
              <w:fldChar w:fldCharType="begin"/>
            </w:r>
            <w:r>
              <w:rPr>
                <w:szCs w:val="24"/>
              </w:rPr>
              <w:instrText xml:space="preserve"> REF _Ref173241261 \h </w:instrText>
            </w:r>
            <w:r>
              <w:rPr>
                <w:szCs w:val="24"/>
              </w:rPr>
            </w:r>
            <w:r>
              <w:rPr>
                <w:szCs w:val="24"/>
              </w:rPr>
              <w:fldChar w:fldCharType="separate"/>
            </w:r>
            <w:r>
              <w:t xml:space="preserve">Table </w:t>
            </w:r>
            <w:r>
              <w:rPr>
                <w:noProof/>
              </w:rPr>
              <w:t>2</w:t>
            </w:r>
            <w:r>
              <w:t xml:space="preserve"> - </w:t>
            </w:r>
            <w:r w:rsidRPr="00D23AFC">
              <w:t xml:space="preserve">Examples of GDA </w:t>
            </w:r>
            <w:r>
              <w:t>a</w:t>
            </w:r>
            <w:r w:rsidRPr="00D23AFC">
              <w:t>ctivities</w:t>
            </w:r>
            <w:r>
              <w:rPr>
                <w:szCs w:val="24"/>
              </w:rPr>
              <w:fldChar w:fldCharType="end"/>
            </w:r>
            <w:r w:rsidR="00037D99" w:rsidRPr="00037D99">
              <w:rPr>
                <w:szCs w:val="24"/>
              </w:rPr>
              <w:t xml:space="preserve">, presents the range of GDA activities and potential outputs that are available to a Requesting Party. A Requesting Party may choose to submit a complete design or parts of a design for assessment, with the objective of achieving a GDA statement or DAC (depending upon the GDA scope). </w:t>
            </w:r>
          </w:p>
          <w:p w14:paraId="7008C490" w14:textId="77777777" w:rsidR="00037D99" w:rsidRPr="00037D99" w:rsidRDefault="00037D99" w:rsidP="00037D99">
            <w:pPr>
              <w:pStyle w:val="TSBullet1Square"/>
              <w:numPr>
                <w:ilvl w:val="0"/>
                <w:numId w:val="0"/>
              </w:numPr>
              <w:spacing w:before="60" w:after="60" w:line="252" w:lineRule="auto"/>
              <w:rPr>
                <w:sz w:val="24"/>
              </w:rPr>
            </w:pPr>
            <w:r w:rsidRPr="00037D99">
              <w:rPr>
                <w:sz w:val="24"/>
              </w:rPr>
              <w:t>Any significant aspects of the design and its supporting safety and security cases which are excluded from the scope of GDA could still require extensive regulatory scrutiny during future licensing or permissioning activities, and therefore be vulnerable to the risks and uncertainties GDA is intended to mitigate.</w:t>
            </w:r>
          </w:p>
        </w:tc>
      </w:tr>
      <w:tr w:rsidR="00037D99" w:rsidRPr="00037D99" w14:paraId="60168D5A" w14:textId="77777777" w:rsidTr="00037D99">
        <w:tc>
          <w:tcPr>
            <w:tcW w:w="5000" w:type="pct"/>
            <w:shd w:val="clear" w:color="auto" w:fill="EA5B0C"/>
          </w:tcPr>
          <w:p w14:paraId="438F0098" w14:textId="77777777" w:rsidR="00037D99" w:rsidRPr="00037D99" w:rsidRDefault="00037D99" w:rsidP="00037D99">
            <w:pPr>
              <w:pStyle w:val="TSNumberedParagraph11"/>
              <w:numPr>
                <w:ilvl w:val="0"/>
                <w:numId w:val="0"/>
              </w:numPr>
              <w:spacing w:before="60" w:after="60" w:line="252" w:lineRule="auto"/>
              <w:rPr>
                <w:b/>
                <w:color w:val="FFFFFF"/>
                <w:sz w:val="24"/>
              </w:rPr>
            </w:pPr>
            <w:r w:rsidRPr="006D6707">
              <w:rPr>
                <w:b/>
                <w:sz w:val="24"/>
              </w:rPr>
              <w:t>GDA timescales</w:t>
            </w:r>
          </w:p>
        </w:tc>
      </w:tr>
      <w:tr w:rsidR="00037D99" w:rsidRPr="00037D99" w14:paraId="2A380BEC" w14:textId="77777777" w:rsidTr="00037D99">
        <w:tc>
          <w:tcPr>
            <w:tcW w:w="5000" w:type="pct"/>
            <w:shd w:val="clear" w:color="auto" w:fill="auto"/>
          </w:tcPr>
          <w:p w14:paraId="5C399022" w14:textId="1C06BDEC" w:rsidR="00037D99" w:rsidRPr="00037D99" w:rsidRDefault="00037D99" w:rsidP="00037D99">
            <w:pPr>
              <w:spacing w:before="60" w:after="60"/>
              <w:rPr>
                <w:szCs w:val="24"/>
              </w:rPr>
            </w:pPr>
            <w:r w:rsidRPr="00037D99">
              <w:rPr>
                <w:szCs w:val="24"/>
              </w:rPr>
              <w:t xml:space="preserve">Table 1, GDA Process Timescales, presents indicative timescales for GDA, based on past experience, and assumes that ONR’s requirements detailed in Appendix 2 to 4 are fully met. Target assessment timescales would be agreed between ONR and the Requesting Party during Step 1. Paragraphs </w:t>
            </w:r>
            <w:r w:rsidR="00BA5CBD">
              <w:rPr>
                <w:szCs w:val="24"/>
              </w:rPr>
              <w:fldChar w:fldCharType="begin"/>
            </w:r>
            <w:r w:rsidR="00BA5CBD">
              <w:rPr>
                <w:szCs w:val="24"/>
              </w:rPr>
              <w:instrText xml:space="preserve"> REF _Ref173241277 \r \h </w:instrText>
            </w:r>
            <w:r w:rsidR="00BA5CBD">
              <w:rPr>
                <w:szCs w:val="24"/>
              </w:rPr>
            </w:r>
            <w:r w:rsidR="00BA5CBD">
              <w:rPr>
                <w:szCs w:val="24"/>
              </w:rPr>
              <w:fldChar w:fldCharType="separate"/>
            </w:r>
            <w:r w:rsidR="00BA5CBD">
              <w:rPr>
                <w:szCs w:val="24"/>
                <w:cs/>
              </w:rPr>
              <w:t>‎</w:t>
            </w:r>
            <w:r w:rsidR="00BA5CBD">
              <w:rPr>
                <w:szCs w:val="24"/>
              </w:rPr>
              <w:t>18</w:t>
            </w:r>
            <w:r w:rsidR="00BA5CBD">
              <w:rPr>
                <w:szCs w:val="24"/>
              </w:rPr>
              <w:fldChar w:fldCharType="end"/>
            </w:r>
            <w:r w:rsidR="00BA5CBD">
              <w:rPr>
                <w:szCs w:val="24"/>
              </w:rPr>
              <w:t xml:space="preserve"> </w:t>
            </w:r>
            <w:r w:rsidRPr="00037D99">
              <w:rPr>
                <w:szCs w:val="24"/>
              </w:rPr>
              <w:t xml:space="preserve">and </w:t>
            </w:r>
            <w:r w:rsidR="00BA5CBD">
              <w:rPr>
                <w:szCs w:val="24"/>
              </w:rPr>
              <w:fldChar w:fldCharType="begin"/>
            </w:r>
            <w:r w:rsidR="00BA5CBD">
              <w:rPr>
                <w:szCs w:val="24"/>
              </w:rPr>
              <w:instrText xml:space="preserve"> REF _Ref173241284 \r \h </w:instrText>
            </w:r>
            <w:r w:rsidR="00BA5CBD">
              <w:rPr>
                <w:szCs w:val="24"/>
              </w:rPr>
            </w:r>
            <w:r w:rsidR="00BA5CBD">
              <w:rPr>
                <w:szCs w:val="24"/>
              </w:rPr>
              <w:fldChar w:fldCharType="separate"/>
            </w:r>
            <w:r w:rsidR="00BA5CBD">
              <w:rPr>
                <w:szCs w:val="24"/>
                <w:cs/>
              </w:rPr>
              <w:t>‎</w:t>
            </w:r>
            <w:r w:rsidR="00BA5CBD">
              <w:rPr>
                <w:szCs w:val="24"/>
              </w:rPr>
              <w:t>19</w:t>
            </w:r>
            <w:r w:rsidR="00BA5CBD">
              <w:rPr>
                <w:szCs w:val="24"/>
              </w:rPr>
              <w:fldChar w:fldCharType="end"/>
            </w:r>
            <w:r w:rsidR="00BA5CBD">
              <w:rPr>
                <w:szCs w:val="24"/>
              </w:rPr>
              <w:t xml:space="preserve"> </w:t>
            </w:r>
            <w:r w:rsidRPr="00037D99">
              <w:rPr>
                <w:szCs w:val="24"/>
              </w:rPr>
              <w:t>describe some of the important factors that need to be considered when agreeing timescales.</w:t>
            </w:r>
          </w:p>
          <w:p w14:paraId="275B4B69" w14:textId="379C2919" w:rsidR="00037D99" w:rsidRPr="00037D99" w:rsidRDefault="00037D99" w:rsidP="00037D99">
            <w:pPr>
              <w:spacing w:before="60" w:after="60"/>
              <w:rPr>
                <w:szCs w:val="24"/>
              </w:rPr>
            </w:pPr>
            <w:r w:rsidRPr="00037D99">
              <w:rPr>
                <w:szCs w:val="24"/>
              </w:rPr>
              <w:t xml:space="preserve">If the requirements are fully met and the Requesting Party is fully resourced with a full suite of documentation available at the beginning of GDA, it may be possible to agree timescales which are shorter than those outlined in </w:t>
            </w:r>
            <w:r w:rsidR="00BA5CBD">
              <w:rPr>
                <w:szCs w:val="24"/>
              </w:rPr>
              <w:fldChar w:fldCharType="begin"/>
            </w:r>
            <w:r w:rsidR="00BA5CBD">
              <w:rPr>
                <w:szCs w:val="24"/>
              </w:rPr>
              <w:instrText xml:space="preserve"> REF _Ref173241298 \h </w:instrText>
            </w:r>
            <w:r w:rsidR="00BA5CBD">
              <w:rPr>
                <w:szCs w:val="24"/>
              </w:rPr>
            </w:r>
            <w:r w:rsidR="00BA5CBD">
              <w:rPr>
                <w:szCs w:val="24"/>
              </w:rPr>
              <w:fldChar w:fldCharType="separate"/>
            </w:r>
            <w:r w:rsidR="00BA5CBD">
              <w:t xml:space="preserve">Table </w:t>
            </w:r>
            <w:r w:rsidR="00BA5CBD">
              <w:rPr>
                <w:noProof/>
              </w:rPr>
              <w:t>1</w:t>
            </w:r>
            <w:r w:rsidR="00BA5CBD">
              <w:t xml:space="preserve"> - </w:t>
            </w:r>
            <w:r w:rsidR="00BA5CBD" w:rsidRPr="00FD7408">
              <w:t xml:space="preserve">The GDA </w:t>
            </w:r>
            <w:r w:rsidR="00BA5CBD">
              <w:t>process t</w:t>
            </w:r>
            <w:r w:rsidR="00BA5CBD" w:rsidRPr="00FD7408">
              <w:t>imescales</w:t>
            </w:r>
            <w:r w:rsidR="00BA5CBD">
              <w:rPr>
                <w:szCs w:val="24"/>
              </w:rPr>
              <w:fldChar w:fldCharType="end"/>
            </w:r>
            <w:r w:rsidRPr="00037D99">
              <w:rPr>
                <w:szCs w:val="24"/>
              </w:rPr>
              <w:t xml:space="preserve">. </w:t>
            </w:r>
          </w:p>
          <w:p w14:paraId="7468B390" w14:textId="77777777" w:rsidR="00037D99" w:rsidRPr="00037D99" w:rsidRDefault="00037D99" w:rsidP="00037D99">
            <w:pPr>
              <w:spacing w:before="60" w:after="60"/>
              <w:rPr>
                <w:szCs w:val="24"/>
              </w:rPr>
            </w:pPr>
            <w:r w:rsidRPr="00037D99">
              <w:rPr>
                <w:szCs w:val="24"/>
              </w:rPr>
              <w:t>However, if the requirements are not fully met, it is likely that the timescales will need to be increased to allow the Requesting Party time to develop their capability and arrangements.</w:t>
            </w:r>
          </w:p>
          <w:p w14:paraId="2484447A" w14:textId="77777777" w:rsidR="007667A7" w:rsidRDefault="007667A7" w:rsidP="00037D99">
            <w:pPr>
              <w:spacing w:before="60" w:after="60"/>
              <w:rPr>
                <w:szCs w:val="24"/>
              </w:rPr>
            </w:pPr>
          </w:p>
          <w:p w14:paraId="1ED29EBB" w14:textId="77777777" w:rsidR="007667A7" w:rsidRDefault="007667A7" w:rsidP="00037D99">
            <w:pPr>
              <w:spacing w:before="60" w:after="60"/>
              <w:rPr>
                <w:szCs w:val="24"/>
              </w:rPr>
            </w:pPr>
          </w:p>
          <w:p w14:paraId="6FBD92E5" w14:textId="0143BDBD" w:rsidR="00037D99" w:rsidRPr="00037D99" w:rsidRDefault="00037D99" w:rsidP="00037D99">
            <w:pPr>
              <w:spacing w:before="60" w:after="60"/>
              <w:rPr>
                <w:szCs w:val="24"/>
              </w:rPr>
            </w:pPr>
            <w:r w:rsidRPr="00037D99">
              <w:rPr>
                <w:szCs w:val="24"/>
              </w:rPr>
              <w:lastRenderedPageBreak/>
              <w:t>GDA timescales are largely driven by the Requesting Party’s schedule and the maturity of the design. A GDA for first-of-a-kind deployment of a novel technology, for which the evidence required to underpin the safety and security cases is not available at the start of the process, will likely present fewer opportunities for acceleration than a mature design which has previously been assessed by another regulatory body against recognised international standards.</w:t>
            </w:r>
          </w:p>
          <w:p w14:paraId="56B9577F" w14:textId="77777777" w:rsidR="00037D99" w:rsidRPr="00037D99" w:rsidRDefault="00037D99" w:rsidP="00037D99">
            <w:pPr>
              <w:spacing w:before="60" w:after="60"/>
              <w:rPr>
                <w:szCs w:val="24"/>
              </w:rPr>
            </w:pPr>
            <w:r w:rsidRPr="00037D99">
              <w:rPr>
                <w:szCs w:val="24"/>
              </w:rPr>
              <w:t xml:space="preserve">ONR’s view is that, subject to the maturity of the technology and design, and the level of comparability between the GDA process and those of other well-established regulatory bodies who have assessed the design against international standards, the maximum reduction in the indicative timescales for a full GDA, with the objective of achieving a DAC, that could be achieved is 50%. </w:t>
            </w:r>
          </w:p>
          <w:p w14:paraId="1F5E8A2A" w14:textId="77777777" w:rsidR="00037D99" w:rsidRPr="00037D99" w:rsidRDefault="00037D99" w:rsidP="00037D99">
            <w:pPr>
              <w:spacing w:before="60" w:after="60"/>
              <w:rPr>
                <w:szCs w:val="24"/>
              </w:rPr>
            </w:pPr>
            <w:r w:rsidRPr="00037D99">
              <w:rPr>
                <w:szCs w:val="24"/>
              </w:rPr>
              <w:t>The early engagement process can provide greater insight and clarity on what is required to fully meet the requirements and expectations of GDA, and the readiness of the design to undergo assessment.</w:t>
            </w:r>
          </w:p>
          <w:p w14:paraId="08E73DBC" w14:textId="77777777" w:rsidR="00037D99" w:rsidRPr="00037D99" w:rsidRDefault="00037D99" w:rsidP="00037D99">
            <w:pPr>
              <w:spacing w:before="60" w:after="60"/>
              <w:rPr>
                <w:szCs w:val="24"/>
              </w:rPr>
            </w:pPr>
            <w:r w:rsidRPr="00037D99">
              <w:rPr>
                <w:szCs w:val="24"/>
              </w:rPr>
              <w:t xml:space="preserve">If a Requesting Party is looking for regulatory confidence in only certain aspects of the design, and agrees a limited scope commensurate with these objectives, it is anticipated that it would be possible to reduce the time to complete a GDA. However, it should be noted that a reduced scope GDA would not achieve a DAC and remaining aspects would need to be addressed at a later time.  </w:t>
            </w:r>
          </w:p>
        </w:tc>
      </w:tr>
      <w:tr w:rsidR="00037D99" w:rsidRPr="00037D99" w14:paraId="5B94FDBE" w14:textId="77777777" w:rsidTr="00037D99">
        <w:tc>
          <w:tcPr>
            <w:tcW w:w="5000" w:type="pct"/>
            <w:shd w:val="clear" w:color="auto" w:fill="AE136E"/>
          </w:tcPr>
          <w:p w14:paraId="432E202C" w14:textId="77777777" w:rsidR="00037D99" w:rsidRPr="00037D99" w:rsidRDefault="00037D99" w:rsidP="00037D99">
            <w:pPr>
              <w:pStyle w:val="TSNumberedParagraph11"/>
              <w:numPr>
                <w:ilvl w:val="0"/>
                <w:numId w:val="0"/>
              </w:numPr>
              <w:spacing w:before="60" w:after="60" w:line="252" w:lineRule="auto"/>
              <w:rPr>
                <w:b/>
                <w:color w:val="FFFFFF"/>
                <w:sz w:val="24"/>
              </w:rPr>
            </w:pPr>
            <w:r w:rsidRPr="00037D99">
              <w:rPr>
                <w:b/>
                <w:color w:val="FFFFFF"/>
                <w:sz w:val="24"/>
              </w:rPr>
              <w:lastRenderedPageBreak/>
              <w:t>GDA and Nuclear Site Licencing</w:t>
            </w:r>
          </w:p>
        </w:tc>
      </w:tr>
      <w:tr w:rsidR="00037D99" w:rsidRPr="00037D99" w14:paraId="5AB529F0" w14:textId="77777777" w:rsidTr="00037D99">
        <w:tc>
          <w:tcPr>
            <w:tcW w:w="5000" w:type="pct"/>
            <w:shd w:val="clear" w:color="auto" w:fill="auto"/>
          </w:tcPr>
          <w:p w14:paraId="7DD73FFB" w14:textId="77777777" w:rsidR="00037D99" w:rsidRPr="00037D99" w:rsidRDefault="00037D99" w:rsidP="00037D99">
            <w:pPr>
              <w:spacing w:before="60" w:after="60"/>
              <w:rPr>
                <w:szCs w:val="24"/>
              </w:rPr>
            </w:pPr>
            <w:r w:rsidRPr="00037D99">
              <w:rPr>
                <w:szCs w:val="24"/>
              </w:rPr>
              <w:t>In order to construct and operate a nuclear power station in Great Britain, an operator requires a nuclear site licence from ONR (Nuclear Installations Act) along with other relevant permissions from other regulators. To support the granting of a nuclear site licence and to give permission for later activities on site, ONR will assess the design and associated safety and security cases to ensure that relevant standards and legal duties are met.</w:t>
            </w:r>
          </w:p>
          <w:p w14:paraId="45BE77D8" w14:textId="77777777" w:rsidR="00037D99" w:rsidRPr="00037D99" w:rsidRDefault="00037D99" w:rsidP="00037D99">
            <w:pPr>
              <w:spacing w:before="60" w:after="60"/>
              <w:rPr>
                <w:szCs w:val="24"/>
              </w:rPr>
            </w:pPr>
            <w:r w:rsidRPr="00037D99">
              <w:rPr>
                <w:szCs w:val="24"/>
              </w:rPr>
              <w:t xml:space="preserve">The Requesting Party will agree a GDA scope with ONR which defines the extent of regulatory assessment during GDA. </w:t>
            </w:r>
          </w:p>
          <w:p w14:paraId="37087675" w14:textId="270BA7CE" w:rsidR="00037D99" w:rsidRPr="00037D99" w:rsidRDefault="00037D99" w:rsidP="00037D99">
            <w:pPr>
              <w:pStyle w:val="TSNumberedParagraph11"/>
              <w:numPr>
                <w:ilvl w:val="0"/>
                <w:numId w:val="0"/>
              </w:numPr>
              <w:spacing w:before="60" w:after="60" w:line="252" w:lineRule="auto"/>
              <w:rPr>
                <w:sz w:val="24"/>
              </w:rPr>
            </w:pPr>
            <w:r w:rsidRPr="00037D99">
              <w:rPr>
                <w:sz w:val="24"/>
              </w:rPr>
              <w:t>In earlier GDAs, items in scope would be addressed by the Requesting Party, with aspects out of GDA scope (such as site specific analysis) to be conducted by the site licensee. The site licensee would also address any Assessment Findings raised at the conclusion of GDA. If a Requesting Party intends to submit a limited scope for assessment in GDA, with the objective of receiving a GDA statement rather than a DAC (</w:t>
            </w:r>
            <w:r w:rsidR="003D5B95">
              <w:rPr>
                <w:sz w:val="24"/>
              </w:rPr>
              <w:t>refer to</w:t>
            </w:r>
            <w:r w:rsidRPr="00037D99">
              <w:rPr>
                <w:sz w:val="24"/>
              </w:rPr>
              <w:t xml:space="preserve"> </w:t>
            </w:r>
            <w:r w:rsidR="003D5B95">
              <w:rPr>
                <w:sz w:val="24"/>
              </w:rPr>
              <w:fldChar w:fldCharType="begin"/>
            </w:r>
            <w:r w:rsidR="003D5B95">
              <w:rPr>
                <w:sz w:val="24"/>
              </w:rPr>
              <w:instrText xml:space="preserve"> REF _Ref173241261 \h </w:instrText>
            </w:r>
            <w:r w:rsidR="003D5B95">
              <w:rPr>
                <w:sz w:val="24"/>
              </w:rPr>
            </w:r>
            <w:r w:rsidR="003D5B95">
              <w:rPr>
                <w:sz w:val="24"/>
              </w:rPr>
              <w:fldChar w:fldCharType="separate"/>
            </w:r>
            <w:r w:rsidR="003D5B95">
              <w:t xml:space="preserve">Table </w:t>
            </w:r>
            <w:r w:rsidR="003D5B95">
              <w:rPr>
                <w:noProof/>
              </w:rPr>
              <w:t>2</w:t>
            </w:r>
            <w:r w:rsidR="003D5B95">
              <w:t xml:space="preserve"> - </w:t>
            </w:r>
            <w:r w:rsidR="003D5B95" w:rsidRPr="00D23AFC">
              <w:t xml:space="preserve">Examples of GDA </w:t>
            </w:r>
            <w:r w:rsidR="003D5B95">
              <w:t>a</w:t>
            </w:r>
            <w:r w:rsidR="003D5B95" w:rsidRPr="00D23AFC">
              <w:t>ctivities</w:t>
            </w:r>
            <w:r w:rsidR="003D5B95">
              <w:rPr>
                <w:sz w:val="24"/>
              </w:rPr>
              <w:fldChar w:fldCharType="end"/>
            </w:r>
            <w:r w:rsidRPr="00037D99">
              <w:rPr>
                <w:sz w:val="24"/>
              </w:rPr>
              <w:t>), it would be for the reactor vendor to establish who would address any aspects outside of GDA. It may be the Requesting Party, a parent company, a future licensee or some other relevant party.</w:t>
            </w:r>
          </w:p>
        </w:tc>
      </w:tr>
    </w:tbl>
    <w:p w14:paraId="11201FB7" w14:textId="77777777" w:rsidR="007667A7" w:rsidRDefault="007667A7" w:rsidP="00037D99">
      <w:pPr>
        <w:pStyle w:val="TSNumberedParagraph11"/>
        <w:numPr>
          <w:ilvl w:val="0"/>
          <w:numId w:val="0"/>
        </w:numPr>
        <w:spacing w:before="60" w:after="60" w:line="252" w:lineRule="auto"/>
        <w:rPr>
          <w:b/>
          <w:color w:val="FFFFFF"/>
          <w:sz w:val="24"/>
        </w:rPr>
        <w:sectPr w:rsidR="007667A7" w:rsidSect="00037D99">
          <w:pgSz w:w="11906" w:h="16838" w:code="9"/>
          <w:pgMar w:top="1440" w:right="1440" w:bottom="1440" w:left="1440" w:header="397" w:footer="397" w:gutter="0"/>
          <w:cols w:space="312"/>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016"/>
      </w:tblGrid>
      <w:tr w:rsidR="00037D99" w:rsidRPr="00037D99" w14:paraId="4C0F5CA9" w14:textId="77777777" w:rsidTr="00037D99">
        <w:tc>
          <w:tcPr>
            <w:tcW w:w="5000" w:type="pct"/>
            <w:shd w:val="clear" w:color="auto" w:fill="56BFCA"/>
          </w:tcPr>
          <w:p w14:paraId="7316C84E" w14:textId="77777777" w:rsidR="00037D99" w:rsidRPr="00037D99" w:rsidRDefault="00037D99" w:rsidP="00037D99">
            <w:pPr>
              <w:pStyle w:val="TSNumberedParagraph11"/>
              <w:numPr>
                <w:ilvl w:val="0"/>
                <w:numId w:val="0"/>
              </w:numPr>
              <w:spacing w:before="60" w:after="60" w:line="252" w:lineRule="auto"/>
              <w:rPr>
                <w:b/>
                <w:color w:val="FFFFFF"/>
                <w:sz w:val="24"/>
              </w:rPr>
            </w:pPr>
            <w:r w:rsidRPr="006D6707">
              <w:rPr>
                <w:b/>
                <w:sz w:val="24"/>
              </w:rPr>
              <w:lastRenderedPageBreak/>
              <w:t>Two-step GDA: outcomes and post-GDA activities</w:t>
            </w:r>
          </w:p>
        </w:tc>
      </w:tr>
      <w:tr w:rsidR="00037D99" w:rsidRPr="00037D99" w14:paraId="06749BF2" w14:textId="77777777" w:rsidTr="00037D99">
        <w:tc>
          <w:tcPr>
            <w:tcW w:w="5000" w:type="pct"/>
            <w:shd w:val="clear" w:color="auto" w:fill="auto"/>
          </w:tcPr>
          <w:p w14:paraId="046290D8" w14:textId="186D5BCE" w:rsidR="00037D99" w:rsidRPr="00037D99" w:rsidRDefault="00037D99" w:rsidP="007667A7">
            <w:pPr>
              <w:spacing w:before="60" w:after="60"/>
              <w:rPr>
                <w:szCs w:val="24"/>
              </w:rPr>
            </w:pPr>
            <w:r w:rsidRPr="00037D99">
              <w:rPr>
                <w:szCs w:val="24"/>
              </w:rPr>
              <w:t xml:space="preserve">For a three-step GDA that successfully concludes with the issue of a DAC, any residual matters considered significant to the future safety or security of the design, and which can only be site specific information and licensee choices, will be identified as </w:t>
            </w:r>
            <w:r w:rsidR="007667A7">
              <w:rPr>
                <w:szCs w:val="24"/>
              </w:rPr>
              <w:t>AFs</w:t>
            </w:r>
            <w:r w:rsidRPr="00037D99">
              <w:rPr>
                <w:szCs w:val="24"/>
              </w:rPr>
              <w:t xml:space="preserve">, which the nuclear site licensee will be required to resolve when the design is proposed for construction at a particular site. In circumstances where at the end of Step 3 there are still significant residual concerns or issues on the suitability of the generic design, ONR will issue an </w:t>
            </w:r>
            <w:proofErr w:type="spellStart"/>
            <w:r w:rsidRPr="00037D99">
              <w:rPr>
                <w:szCs w:val="24"/>
              </w:rPr>
              <w:t>iDAC</w:t>
            </w:r>
            <w:proofErr w:type="spellEnd"/>
            <w:r w:rsidRPr="00037D99">
              <w:rPr>
                <w:szCs w:val="24"/>
              </w:rPr>
              <w:t xml:space="preserve"> accompanied by GDA issues which the Requesting Party will be required to resolve before a DAC would be issued. The </w:t>
            </w:r>
            <w:proofErr w:type="spellStart"/>
            <w:r w:rsidRPr="00037D99">
              <w:rPr>
                <w:szCs w:val="24"/>
              </w:rPr>
              <w:t>iDAC</w:t>
            </w:r>
            <w:proofErr w:type="spellEnd"/>
            <w:r w:rsidRPr="00037D99">
              <w:rPr>
                <w:szCs w:val="24"/>
              </w:rPr>
              <w:t xml:space="preserve"> can also have Assessment Findings identified for a future licensee to address.</w:t>
            </w:r>
          </w:p>
          <w:p w14:paraId="545B72F4" w14:textId="77777777" w:rsidR="00037D99" w:rsidRPr="00037D99" w:rsidRDefault="00037D99" w:rsidP="00037D99">
            <w:pPr>
              <w:spacing w:before="60" w:after="60"/>
              <w:rPr>
                <w:szCs w:val="24"/>
              </w:rPr>
            </w:pPr>
            <w:r w:rsidRPr="00037D99">
              <w:rPr>
                <w:szCs w:val="24"/>
              </w:rPr>
              <w:t>For a two-step GDA which concludes on completion of a fundamental assessment, Assessment Findings and GDA issues are not judged to be appropriate outcomes. However, it is likely that at the end of Step 2 ONR will have identified regulatory shortfalls which would need to be resolved before design acceptance would be granted, or for a future licensee to be given regulatory permission to construct the reactor.</w:t>
            </w:r>
          </w:p>
          <w:p w14:paraId="5355D53A" w14:textId="75BED7A8" w:rsidR="00037D99" w:rsidRPr="00037D99" w:rsidRDefault="00037D99" w:rsidP="00037D99">
            <w:pPr>
              <w:spacing w:before="60" w:after="60"/>
              <w:rPr>
                <w:szCs w:val="24"/>
              </w:rPr>
            </w:pPr>
            <w:r w:rsidRPr="00037D99">
              <w:rPr>
                <w:szCs w:val="24"/>
              </w:rPr>
              <w:t xml:space="preserve">Any shortfalls identified during a two-step GDA will be captured in Regulatory Observations or Regulatory Issues, as appropriate. The significance of a shortfall, measured against the expectations for achieving a DAC, will determine whether it should be raised in an RO or an RI, consistent with the definitions in section </w:t>
            </w:r>
            <w:r w:rsidR="003D5B95">
              <w:rPr>
                <w:szCs w:val="24"/>
              </w:rPr>
              <w:fldChar w:fldCharType="begin"/>
            </w:r>
            <w:r w:rsidR="003D5B95">
              <w:rPr>
                <w:szCs w:val="24"/>
              </w:rPr>
              <w:instrText xml:space="preserve"> REF _Ref173241342 \r \h </w:instrText>
            </w:r>
            <w:r w:rsidR="003D5B95">
              <w:rPr>
                <w:szCs w:val="24"/>
              </w:rPr>
            </w:r>
            <w:r w:rsidR="003D5B95">
              <w:rPr>
                <w:szCs w:val="24"/>
              </w:rPr>
              <w:fldChar w:fldCharType="separate"/>
            </w:r>
            <w:r w:rsidR="003D5B95">
              <w:rPr>
                <w:szCs w:val="24"/>
                <w:cs/>
              </w:rPr>
              <w:t>‎</w:t>
            </w:r>
            <w:r w:rsidR="003D5B95">
              <w:rPr>
                <w:szCs w:val="24"/>
              </w:rPr>
              <w:t>5.6</w:t>
            </w:r>
            <w:r w:rsidR="003D5B95">
              <w:rPr>
                <w:szCs w:val="24"/>
              </w:rPr>
              <w:fldChar w:fldCharType="end"/>
            </w:r>
            <w:r w:rsidRPr="00037D99">
              <w:rPr>
                <w:szCs w:val="24"/>
              </w:rPr>
              <w:t xml:space="preserve">. The Requesting Party will be given the opportunity to develop a Resolution Plan for any RO/RI raised, and ONR will seek to reach agreement on any Resolution Plans provided before the end of Step 2. </w:t>
            </w:r>
          </w:p>
          <w:p w14:paraId="1EE20311" w14:textId="77777777" w:rsidR="00037D99" w:rsidRPr="00037D99" w:rsidRDefault="00037D99" w:rsidP="00FA357A">
            <w:pPr>
              <w:pStyle w:val="Bulletlist1"/>
              <w:ind w:left="503"/>
            </w:pPr>
            <w:r w:rsidRPr="00037D99">
              <w:t>Where the Resolution Plan identifies work to be undertaken within the GDA, the outputs will be taken into consideration within GDA and a judgement will be made on closure of the RO/RI (or closure of individual actions) within GDA; and</w:t>
            </w:r>
          </w:p>
          <w:p w14:paraId="5F9C535A" w14:textId="77777777" w:rsidR="00037D99" w:rsidRPr="00037D99" w:rsidRDefault="00037D99" w:rsidP="00FA357A">
            <w:pPr>
              <w:pStyle w:val="Bulletlist1"/>
              <w:ind w:left="503"/>
            </w:pPr>
            <w:r w:rsidRPr="00037D99">
              <w:t>Where the Resolution Plan identifies work that will be undertaken post GDA, ONR will make a judgement on whether it presents a credible plan for addressing the identified shortfall</w:t>
            </w:r>
          </w:p>
          <w:p w14:paraId="0B369C09" w14:textId="77777777" w:rsidR="00037D99" w:rsidRPr="00037D99" w:rsidRDefault="00037D99" w:rsidP="00037D99">
            <w:pPr>
              <w:spacing w:before="60" w:after="60"/>
              <w:rPr>
                <w:szCs w:val="24"/>
              </w:rPr>
            </w:pPr>
            <w:r w:rsidRPr="00037D99">
              <w:rPr>
                <w:szCs w:val="24"/>
              </w:rPr>
              <w:t>The Step 2 GDA statement will provide a clear narrative and summary of the assessment outcomes, including any ROs/ RIs raised and the extent to which any agreed Resolution Plans will resolve the identified shortfall. Where no Resolution Plan is proposed then the GDA statement will note that no agreement has been reached on resolution of the shortfall(s).</w:t>
            </w:r>
          </w:p>
          <w:p w14:paraId="490CADCE" w14:textId="77777777" w:rsidR="00037D99" w:rsidRPr="00037D99" w:rsidRDefault="00037D99" w:rsidP="00037D99">
            <w:pPr>
              <w:spacing w:before="60" w:after="60"/>
              <w:rPr>
                <w:szCs w:val="24"/>
              </w:rPr>
            </w:pPr>
            <w:r w:rsidRPr="00037D99">
              <w:rPr>
                <w:szCs w:val="24"/>
              </w:rPr>
              <w:t>Should the reactor design be taken forward for construction at a specific site then detailed assessment of the design, equivalent to that which would be undertaken during GDA Step 3, would be undertaken on a site specific basis. The nuclear site licensee would be required to resolve any ROs/RIs that were outstanding at the end of GDA Step 2, prior to permission being granted to nuclear construction to start.</w:t>
            </w:r>
          </w:p>
        </w:tc>
      </w:tr>
    </w:tbl>
    <w:p w14:paraId="3F7441CF" w14:textId="77777777" w:rsidR="007667A7" w:rsidRDefault="007667A7" w:rsidP="00037D99">
      <w:pPr>
        <w:pStyle w:val="TSNumberedParagraph11"/>
        <w:numPr>
          <w:ilvl w:val="0"/>
          <w:numId w:val="0"/>
        </w:numPr>
        <w:spacing w:before="60" w:after="60" w:line="252" w:lineRule="auto"/>
        <w:rPr>
          <w:b/>
          <w:color w:val="FFFFFF"/>
          <w:sz w:val="24"/>
        </w:rPr>
        <w:sectPr w:rsidR="007667A7" w:rsidSect="00037D99">
          <w:pgSz w:w="11906" w:h="16838" w:code="9"/>
          <w:pgMar w:top="1440" w:right="1440" w:bottom="1440" w:left="1440" w:header="397" w:footer="397" w:gutter="0"/>
          <w:cols w:space="312"/>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016"/>
      </w:tblGrid>
      <w:tr w:rsidR="00037D99" w:rsidRPr="00037D99" w14:paraId="0BA951BB" w14:textId="77777777" w:rsidTr="00037D99">
        <w:tc>
          <w:tcPr>
            <w:tcW w:w="5000" w:type="pct"/>
            <w:shd w:val="clear" w:color="auto" w:fill="007C6D"/>
          </w:tcPr>
          <w:p w14:paraId="428F39CD" w14:textId="77777777" w:rsidR="00037D99" w:rsidRPr="00037D99" w:rsidRDefault="00037D99" w:rsidP="00037D99">
            <w:pPr>
              <w:pStyle w:val="TSNumberedParagraph11"/>
              <w:numPr>
                <w:ilvl w:val="0"/>
                <w:numId w:val="0"/>
              </w:numPr>
              <w:spacing w:before="60" w:after="60" w:line="252" w:lineRule="auto"/>
              <w:rPr>
                <w:b/>
                <w:color w:val="FFFFFF"/>
                <w:sz w:val="24"/>
              </w:rPr>
            </w:pPr>
            <w:r w:rsidRPr="00037D99">
              <w:rPr>
                <w:b/>
                <w:color w:val="FFFFFF"/>
                <w:sz w:val="24"/>
              </w:rPr>
              <w:lastRenderedPageBreak/>
              <w:t>Early engagement</w:t>
            </w:r>
          </w:p>
        </w:tc>
      </w:tr>
      <w:tr w:rsidR="00037D99" w:rsidRPr="00037D99" w14:paraId="2AC4A5E0" w14:textId="77777777" w:rsidTr="00037D99">
        <w:tc>
          <w:tcPr>
            <w:tcW w:w="5000" w:type="pct"/>
            <w:shd w:val="clear" w:color="auto" w:fill="auto"/>
          </w:tcPr>
          <w:p w14:paraId="79B127C1" w14:textId="4A6A2172" w:rsidR="00037D99" w:rsidRPr="00037D99" w:rsidRDefault="00037D99" w:rsidP="00037D99">
            <w:pPr>
              <w:spacing w:before="60" w:after="60"/>
              <w:rPr>
                <w:szCs w:val="24"/>
              </w:rPr>
            </w:pPr>
            <w:r w:rsidRPr="00037D99">
              <w:rPr>
                <w:szCs w:val="24"/>
              </w:rPr>
              <w:t>ONR has developed an early engagement process for parties interested in deploying a reactor technology in Great Britain (</w:t>
            </w:r>
            <w:r w:rsidR="006E53BF">
              <w:rPr>
                <w:szCs w:val="24"/>
              </w:rPr>
              <w:t>r</w:t>
            </w:r>
            <w:r w:rsidRPr="00037D99">
              <w:rPr>
                <w:szCs w:val="24"/>
              </w:rPr>
              <w:t xml:space="preserve">efs. </w:t>
            </w:r>
            <w:sdt>
              <w:sdtPr>
                <w:rPr>
                  <w:szCs w:val="24"/>
                </w:rPr>
                <w:id w:val="-1707403026"/>
                <w:citation/>
              </w:sdtPr>
              <w:sdtEndPr/>
              <w:sdtContent>
                <w:r w:rsidR="006E53BF">
                  <w:rPr>
                    <w:szCs w:val="24"/>
                  </w:rPr>
                  <w:fldChar w:fldCharType="begin"/>
                </w:r>
                <w:r w:rsidR="006E53BF">
                  <w:rPr>
                    <w:szCs w:val="24"/>
                  </w:rPr>
                  <w:instrText xml:space="preserve"> CITATION ONR458 \l 2057 </w:instrText>
                </w:r>
                <w:r w:rsidR="006E53BF">
                  <w:rPr>
                    <w:szCs w:val="24"/>
                  </w:rPr>
                  <w:fldChar w:fldCharType="separate"/>
                </w:r>
                <w:r w:rsidR="00181C9E" w:rsidRPr="00181C9E">
                  <w:rPr>
                    <w:noProof/>
                    <w:szCs w:val="24"/>
                  </w:rPr>
                  <w:t>[17]</w:t>
                </w:r>
                <w:r w:rsidR="006E53BF">
                  <w:rPr>
                    <w:szCs w:val="24"/>
                  </w:rPr>
                  <w:fldChar w:fldCharType="end"/>
                </w:r>
              </w:sdtContent>
            </w:sdt>
            <w:r w:rsidRPr="00037D99">
              <w:rPr>
                <w:szCs w:val="24"/>
              </w:rPr>
              <w:t xml:space="preserve"> and </w:t>
            </w:r>
            <w:sdt>
              <w:sdtPr>
                <w:rPr>
                  <w:szCs w:val="24"/>
                </w:rPr>
                <w:id w:val="718866080"/>
                <w:citation/>
              </w:sdtPr>
              <w:sdtEndPr/>
              <w:sdtContent>
                <w:r w:rsidR="001150E4">
                  <w:rPr>
                    <w:szCs w:val="24"/>
                  </w:rPr>
                  <w:fldChar w:fldCharType="begin"/>
                </w:r>
                <w:r w:rsidR="00F903A9">
                  <w:rPr>
                    <w:szCs w:val="24"/>
                  </w:rPr>
                  <w:instrText xml:space="preserve">CITATION htt2 \l 2057 </w:instrText>
                </w:r>
                <w:r w:rsidR="001150E4">
                  <w:rPr>
                    <w:szCs w:val="24"/>
                  </w:rPr>
                  <w:fldChar w:fldCharType="separate"/>
                </w:r>
                <w:r w:rsidR="00181C9E" w:rsidRPr="00181C9E">
                  <w:rPr>
                    <w:noProof/>
                    <w:szCs w:val="24"/>
                  </w:rPr>
                  <w:t>[18]</w:t>
                </w:r>
                <w:r w:rsidR="001150E4">
                  <w:rPr>
                    <w:szCs w:val="24"/>
                  </w:rPr>
                  <w:fldChar w:fldCharType="end"/>
                </w:r>
              </w:sdtContent>
            </w:sdt>
            <w:r w:rsidRPr="00037D99">
              <w:rPr>
                <w:szCs w:val="24"/>
              </w:rPr>
              <w:t xml:space="preserve">). </w:t>
            </w:r>
          </w:p>
          <w:p w14:paraId="1C4F197E" w14:textId="77777777" w:rsidR="00037D99" w:rsidRPr="00037D99" w:rsidRDefault="00037D99" w:rsidP="00037D99">
            <w:pPr>
              <w:spacing w:before="60" w:after="60"/>
              <w:rPr>
                <w:szCs w:val="24"/>
              </w:rPr>
            </w:pPr>
            <w:r w:rsidRPr="00037D99">
              <w:rPr>
                <w:szCs w:val="24"/>
              </w:rPr>
              <w:t>The objectives for early engagement are:</w:t>
            </w:r>
          </w:p>
          <w:p w14:paraId="2191AC59" w14:textId="77777777" w:rsidR="00037D99" w:rsidRPr="00037D99" w:rsidRDefault="00037D99" w:rsidP="00FA357A">
            <w:pPr>
              <w:pStyle w:val="Bulletlist1"/>
              <w:ind w:left="503"/>
            </w:pPr>
            <w:r w:rsidRPr="00037D99">
              <w:t>to facilitate access to regulators as early as possible, prior to entering more formal processes, such that organisations can benefit from early advice and guidance</w:t>
            </w:r>
          </w:p>
          <w:p w14:paraId="6C8DA74C" w14:textId="77777777" w:rsidR="00037D99" w:rsidRPr="00037D99" w:rsidRDefault="00037D99" w:rsidP="00FA357A">
            <w:pPr>
              <w:pStyle w:val="Bulletlist1"/>
              <w:ind w:left="503"/>
            </w:pPr>
            <w:r w:rsidRPr="00037D99">
              <w:t>to gain early confidence in the potential for new nuclear projects to meet regulatory expectations, such that we can make informed decisions on the deployment of regulatory resource.</w:t>
            </w:r>
          </w:p>
          <w:p w14:paraId="11580E11" w14:textId="77777777" w:rsidR="00037D99" w:rsidRPr="00037D99" w:rsidRDefault="00037D99" w:rsidP="00037D99">
            <w:pPr>
              <w:spacing w:before="60" w:after="60"/>
              <w:rPr>
                <w:szCs w:val="24"/>
              </w:rPr>
            </w:pPr>
            <w:r w:rsidRPr="00037D99">
              <w:rPr>
                <w:szCs w:val="24"/>
              </w:rPr>
              <w:t>There are three approaches, or tiers, to early engagement:</w:t>
            </w:r>
          </w:p>
          <w:p w14:paraId="7A205499" w14:textId="77777777" w:rsidR="00037D99" w:rsidRPr="00037D99" w:rsidRDefault="00037D99" w:rsidP="00FA357A">
            <w:pPr>
              <w:pStyle w:val="Bulletlist1"/>
              <w:ind w:left="503"/>
            </w:pPr>
            <w:r w:rsidRPr="00037D99">
              <w:t>one-day engagement - an introductory engagement which is a pre-requisite for any subsequent engagement</w:t>
            </w:r>
          </w:p>
          <w:p w14:paraId="455A7B26" w14:textId="77777777" w:rsidR="00037D99" w:rsidRPr="00037D99" w:rsidRDefault="00037D99" w:rsidP="00FA357A">
            <w:pPr>
              <w:pStyle w:val="Bulletlist1"/>
              <w:ind w:left="503"/>
            </w:pPr>
            <w:r w:rsidRPr="00037D99">
              <w:t>process and technical engagements</w:t>
            </w:r>
          </w:p>
          <w:p w14:paraId="3B334D87" w14:textId="77777777" w:rsidR="00037D99" w:rsidRPr="00037D99" w:rsidRDefault="00037D99" w:rsidP="00FA357A">
            <w:pPr>
              <w:pStyle w:val="Bulletlist1"/>
              <w:ind w:left="503"/>
            </w:pPr>
            <w:r w:rsidRPr="00037D99">
              <w:t>preliminary design review</w:t>
            </w:r>
          </w:p>
          <w:p w14:paraId="3A31FD06" w14:textId="77777777" w:rsidR="00037D99" w:rsidRPr="00037D99" w:rsidRDefault="00037D99" w:rsidP="00037D99">
            <w:pPr>
              <w:spacing w:before="60" w:after="60"/>
              <w:rPr>
                <w:szCs w:val="24"/>
              </w:rPr>
            </w:pPr>
            <w:r w:rsidRPr="00037D99">
              <w:rPr>
                <w:szCs w:val="24"/>
              </w:rPr>
              <w:t>Undertaking early engagement via this process would give aspiring Requesting Parties access to the regulators to understand the requirements of GDA and the implications of decisions on the scope, depth and timings regulatory review to support deployment of a reactor technology.</w:t>
            </w:r>
          </w:p>
        </w:tc>
      </w:tr>
    </w:tbl>
    <w:p w14:paraId="0239D702" w14:textId="77777777" w:rsidR="00D765C8" w:rsidRDefault="00D765C8" w:rsidP="00037D99">
      <w:pPr>
        <w:sectPr w:rsidR="00D765C8" w:rsidSect="00037D99">
          <w:pgSz w:w="11906" w:h="16838" w:code="9"/>
          <w:pgMar w:top="1440" w:right="1440" w:bottom="1440" w:left="1440" w:header="397" w:footer="397" w:gutter="0"/>
          <w:cols w:space="312"/>
          <w:docGrid w:linePitch="360"/>
        </w:sectPr>
      </w:pPr>
    </w:p>
    <w:bookmarkStart w:id="48" w:name="_Toc173242852" w:displacedByCustomXml="next"/>
    <w:sdt>
      <w:sdtPr>
        <w:rPr>
          <w:color w:val="auto"/>
          <w:sz w:val="24"/>
        </w:rPr>
        <w:id w:val="994372109"/>
        <w:docPartObj>
          <w:docPartGallery w:val="Bibliographies"/>
          <w:docPartUnique/>
        </w:docPartObj>
      </w:sdtPr>
      <w:sdtEndPr/>
      <w:sdtContent>
        <w:p w14:paraId="562D2A08" w14:textId="2C92FA8A" w:rsidR="00D765C8" w:rsidRDefault="00D765C8" w:rsidP="00D765C8">
          <w:pPr>
            <w:pStyle w:val="Heading1"/>
            <w:numPr>
              <w:ilvl w:val="0"/>
              <w:numId w:val="0"/>
            </w:numPr>
            <w:ind w:left="851" w:hanging="851"/>
          </w:pPr>
          <w:r>
            <w:t>References</w:t>
          </w:r>
          <w:bookmarkEnd w:id="48"/>
        </w:p>
        <w:sdt>
          <w:sdtPr>
            <w:id w:val="-1940914688"/>
            <w:bibliography/>
          </w:sdtPr>
          <w:sdtEndPr/>
          <w:sdtContent>
            <w:p w14:paraId="194393CF" w14:textId="77777777" w:rsidR="007667A7" w:rsidRDefault="00D765C8">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7667A7" w14:paraId="5652393B" w14:textId="77777777" w:rsidTr="007667A7">
                <w:trPr>
                  <w:divId w:val="1834105108"/>
                  <w:cantSplit/>
                  <w:tblCellSpacing w:w="15" w:type="dxa"/>
                </w:trPr>
                <w:tc>
                  <w:tcPr>
                    <w:tcW w:w="368" w:type="pct"/>
                    <w:hideMark/>
                  </w:tcPr>
                  <w:p w14:paraId="5EBFB32D" w14:textId="3DEBC724" w:rsidR="007667A7" w:rsidRDefault="007667A7" w:rsidP="007667A7">
                    <w:pPr>
                      <w:pStyle w:val="Bibliography"/>
                      <w:spacing w:before="60" w:after="60" w:line="240" w:lineRule="auto"/>
                      <w:rPr>
                        <w:noProof/>
                        <w:szCs w:val="24"/>
                      </w:rPr>
                    </w:pPr>
                    <w:r>
                      <w:rPr>
                        <w:noProof/>
                      </w:rPr>
                      <w:t xml:space="preserve">[1] </w:t>
                    </w:r>
                  </w:p>
                </w:tc>
                <w:tc>
                  <w:tcPr>
                    <w:tcW w:w="4582" w:type="pct"/>
                    <w:hideMark/>
                  </w:tcPr>
                  <w:p w14:paraId="7B49B92F" w14:textId="77777777" w:rsidR="007667A7" w:rsidRDefault="007667A7" w:rsidP="007667A7">
                    <w:pPr>
                      <w:pStyle w:val="Bibliography"/>
                      <w:spacing w:before="60" w:after="60" w:line="240" w:lineRule="auto"/>
                      <w:rPr>
                        <w:noProof/>
                      </w:rPr>
                    </w:pPr>
                    <w:r>
                      <w:rPr>
                        <w:noProof/>
                      </w:rPr>
                      <w:t>EA, ONR and NRW, “New nuclear power plants: Generic Design Assessment guidance for Requesting Parties,” 29 October 2019. [Online]. Available: https://www.gov.uk/government/publications/new-nuclear-power-plants-generic-design-assessment-guidance-for-requesting-parties.</w:t>
                    </w:r>
                  </w:p>
                </w:tc>
              </w:tr>
              <w:tr w:rsidR="007667A7" w14:paraId="4EC5EBD1" w14:textId="77777777" w:rsidTr="007667A7">
                <w:trPr>
                  <w:divId w:val="1834105108"/>
                  <w:cantSplit/>
                  <w:tblCellSpacing w:w="15" w:type="dxa"/>
                </w:trPr>
                <w:tc>
                  <w:tcPr>
                    <w:tcW w:w="368" w:type="pct"/>
                    <w:hideMark/>
                  </w:tcPr>
                  <w:p w14:paraId="2B6A81B3" w14:textId="77777777" w:rsidR="007667A7" w:rsidRDefault="007667A7" w:rsidP="007667A7">
                    <w:pPr>
                      <w:pStyle w:val="Bibliography"/>
                      <w:spacing w:before="60" w:after="60" w:line="240" w:lineRule="auto"/>
                      <w:rPr>
                        <w:noProof/>
                      </w:rPr>
                    </w:pPr>
                    <w:r>
                      <w:rPr>
                        <w:noProof/>
                      </w:rPr>
                      <w:t xml:space="preserve">[2] </w:t>
                    </w:r>
                  </w:p>
                </w:tc>
                <w:tc>
                  <w:tcPr>
                    <w:tcW w:w="4582" w:type="pct"/>
                    <w:hideMark/>
                  </w:tcPr>
                  <w:p w14:paraId="2FFE6DC5" w14:textId="77777777" w:rsidR="007667A7" w:rsidRDefault="007667A7" w:rsidP="007667A7">
                    <w:pPr>
                      <w:pStyle w:val="Bibliography"/>
                      <w:spacing w:before="60" w:after="60" w:line="240" w:lineRule="auto"/>
                      <w:rPr>
                        <w:noProof/>
                      </w:rPr>
                    </w:pPr>
                    <w:r>
                      <w:rPr>
                        <w:noProof/>
                      </w:rPr>
                      <w:t>HM Government, “The Energy Challenge - Energy review: A report,” June 2006. [Online]. Available: https://assets.publishing.service.gov.uk/media/5a7c63eb40f0b62aff6c1579/6887.pdf.</w:t>
                    </w:r>
                  </w:p>
                </w:tc>
              </w:tr>
              <w:tr w:rsidR="007667A7" w14:paraId="7DBFB390" w14:textId="77777777" w:rsidTr="007667A7">
                <w:trPr>
                  <w:divId w:val="1834105108"/>
                  <w:cantSplit/>
                  <w:tblCellSpacing w:w="15" w:type="dxa"/>
                </w:trPr>
                <w:tc>
                  <w:tcPr>
                    <w:tcW w:w="368" w:type="pct"/>
                    <w:hideMark/>
                  </w:tcPr>
                  <w:p w14:paraId="19F4952F" w14:textId="77777777" w:rsidR="007667A7" w:rsidRDefault="007667A7" w:rsidP="007667A7">
                    <w:pPr>
                      <w:pStyle w:val="Bibliography"/>
                      <w:spacing w:before="60" w:after="60" w:line="240" w:lineRule="auto"/>
                      <w:rPr>
                        <w:noProof/>
                      </w:rPr>
                    </w:pPr>
                    <w:r>
                      <w:rPr>
                        <w:noProof/>
                      </w:rPr>
                      <w:t xml:space="preserve">[3] </w:t>
                    </w:r>
                  </w:p>
                </w:tc>
                <w:tc>
                  <w:tcPr>
                    <w:tcW w:w="4582" w:type="pct"/>
                    <w:hideMark/>
                  </w:tcPr>
                  <w:p w14:paraId="570BE0E6" w14:textId="77777777" w:rsidR="007667A7" w:rsidRDefault="007667A7" w:rsidP="007667A7">
                    <w:pPr>
                      <w:pStyle w:val="Bibliography"/>
                      <w:spacing w:before="60" w:after="60" w:line="240" w:lineRule="auto"/>
                      <w:rPr>
                        <w:noProof/>
                      </w:rPr>
                    </w:pPr>
                    <w:r>
                      <w:rPr>
                        <w:noProof/>
                      </w:rPr>
                      <w:t>HM Government, “Policy paper - Nuclear Sector Deal: A Sector Deal between government and the nuclear industry.,” 27 June 2018. [Online]. Available: https://www.gov.uk/government/publications/nuclear-sector-deal.</w:t>
                    </w:r>
                  </w:p>
                </w:tc>
              </w:tr>
              <w:tr w:rsidR="007667A7" w14:paraId="5F699052" w14:textId="77777777" w:rsidTr="007667A7">
                <w:trPr>
                  <w:divId w:val="1834105108"/>
                  <w:cantSplit/>
                  <w:tblCellSpacing w:w="15" w:type="dxa"/>
                </w:trPr>
                <w:tc>
                  <w:tcPr>
                    <w:tcW w:w="368" w:type="pct"/>
                    <w:hideMark/>
                  </w:tcPr>
                  <w:p w14:paraId="3E589D9D" w14:textId="77777777" w:rsidR="007667A7" w:rsidRDefault="007667A7" w:rsidP="007667A7">
                    <w:pPr>
                      <w:pStyle w:val="Bibliography"/>
                      <w:spacing w:before="60" w:after="60" w:line="240" w:lineRule="auto"/>
                      <w:rPr>
                        <w:noProof/>
                      </w:rPr>
                    </w:pPr>
                    <w:r>
                      <w:rPr>
                        <w:noProof/>
                      </w:rPr>
                      <w:t xml:space="preserve">[4] </w:t>
                    </w:r>
                  </w:p>
                </w:tc>
                <w:tc>
                  <w:tcPr>
                    <w:tcW w:w="4582" w:type="pct"/>
                    <w:hideMark/>
                  </w:tcPr>
                  <w:p w14:paraId="68A36514" w14:textId="77777777" w:rsidR="007667A7" w:rsidRDefault="007667A7" w:rsidP="007667A7">
                    <w:pPr>
                      <w:pStyle w:val="Bibliography"/>
                      <w:spacing w:before="60" w:after="60" w:line="240" w:lineRule="auto"/>
                      <w:rPr>
                        <w:noProof/>
                      </w:rPr>
                    </w:pPr>
                    <w:r>
                      <w:rPr>
                        <w:noProof/>
                      </w:rPr>
                      <w:t>ONR, “ONR-GDA-GD-007 - New Nuclear Power Plants: Generic Design Assessment (GDA) Technical Guidance (Revision 0),” May 2019. [Online]. Available: https://www.onr.org.uk/media/c2delysl/onr-gda-007.pdf.</w:t>
                    </w:r>
                  </w:p>
                </w:tc>
              </w:tr>
              <w:tr w:rsidR="007667A7" w14:paraId="512106F5" w14:textId="77777777" w:rsidTr="007667A7">
                <w:trPr>
                  <w:divId w:val="1834105108"/>
                  <w:cantSplit/>
                  <w:tblCellSpacing w:w="15" w:type="dxa"/>
                </w:trPr>
                <w:tc>
                  <w:tcPr>
                    <w:tcW w:w="368" w:type="pct"/>
                    <w:hideMark/>
                  </w:tcPr>
                  <w:p w14:paraId="6FD294BE" w14:textId="77777777" w:rsidR="007667A7" w:rsidRDefault="007667A7" w:rsidP="007667A7">
                    <w:pPr>
                      <w:pStyle w:val="Bibliography"/>
                      <w:spacing w:before="60" w:after="60" w:line="240" w:lineRule="auto"/>
                      <w:rPr>
                        <w:noProof/>
                      </w:rPr>
                    </w:pPr>
                    <w:r>
                      <w:rPr>
                        <w:noProof/>
                      </w:rPr>
                      <w:t xml:space="preserve">[5] </w:t>
                    </w:r>
                  </w:p>
                </w:tc>
                <w:tc>
                  <w:tcPr>
                    <w:tcW w:w="4582" w:type="pct"/>
                    <w:hideMark/>
                  </w:tcPr>
                  <w:p w14:paraId="7CA13FFF" w14:textId="77777777" w:rsidR="007667A7" w:rsidRDefault="007667A7" w:rsidP="007667A7">
                    <w:pPr>
                      <w:pStyle w:val="Bibliography"/>
                      <w:spacing w:before="60" w:after="60" w:line="240" w:lineRule="auto"/>
                      <w:rPr>
                        <w:noProof/>
                      </w:rPr>
                    </w:pPr>
                    <w:r>
                      <w:rPr>
                        <w:noProof/>
                      </w:rPr>
                      <w:t>HM Government, “Policy paper - Advanced Nuclear Technologies,” 15 August 2023. [Online]. Available: https://www.gov.uk/government/publications/advanced-nuclear-technologies/advanced-nuclear-technologies.</w:t>
                    </w:r>
                  </w:p>
                </w:tc>
              </w:tr>
              <w:tr w:rsidR="007667A7" w14:paraId="575F2BBE" w14:textId="77777777" w:rsidTr="007667A7">
                <w:trPr>
                  <w:divId w:val="1834105108"/>
                  <w:cantSplit/>
                  <w:tblCellSpacing w:w="15" w:type="dxa"/>
                </w:trPr>
                <w:tc>
                  <w:tcPr>
                    <w:tcW w:w="368" w:type="pct"/>
                    <w:hideMark/>
                  </w:tcPr>
                  <w:p w14:paraId="7B14BF70" w14:textId="77777777" w:rsidR="007667A7" w:rsidRDefault="007667A7" w:rsidP="007667A7">
                    <w:pPr>
                      <w:pStyle w:val="Bibliography"/>
                      <w:spacing w:before="60" w:after="60" w:line="240" w:lineRule="auto"/>
                      <w:rPr>
                        <w:noProof/>
                      </w:rPr>
                    </w:pPr>
                    <w:r>
                      <w:rPr>
                        <w:noProof/>
                      </w:rPr>
                      <w:t xml:space="preserve">[6] </w:t>
                    </w:r>
                  </w:p>
                </w:tc>
                <w:tc>
                  <w:tcPr>
                    <w:tcW w:w="4582" w:type="pct"/>
                    <w:hideMark/>
                  </w:tcPr>
                  <w:p w14:paraId="6601351B" w14:textId="77777777" w:rsidR="007667A7" w:rsidRDefault="007667A7" w:rsidP="007667A7">
                    <w:pPr>
                      <w:pStyle w:val="Bibliography"/>
                      <w:spacing w:before="60" w:after="60" w:line="240" w:lineRule="auto"/>
                      <w:rPr>
                        <w:noProof/>
                      </w:rPr>
                    </w:pPr>
                    <w:r>
                      <w:rPr>
                        <w:noProof/>
                      </w:rPr>
                      <w:t>HM Government, “The Nuclear Industries Security Regulations 2003 (NISR) (UK Statutory Instruments 2003 No. 403),” 2003. [Online]. Available: https://www.legislation.gov.uk/uksi/2003/403/contents/made.</w:t>
                    </w:r>
                  </w:p>
                </w:tc>
              </w:tr>
              <w:tr w:rsidR="007667A7" w14:paraId="6451FAB4" w14:textId="77777777" w:rsidTr="007667A7">
                <w:trPr>
                  <w:divId w:val="1834105108"/>
                  <w:cantSplit/>
                  <w:tblCellSpacing w:w="15" w:type="dxa"/>
                </w:trPr>
                <w:tc>
                  <w:tcPr>
                    <w:tcW w:w="368" w:type="pct"/>
                    <w:hideMark/>
                  </w:tcPr>
                  <w:p w14:paraId="791DF72E" w14:textId="77777777" w:rsidR="007667A7" w:rsidRDefault="007667A7" w:rsidP="007667A7">
                    <w:pPr>
                      <w:pStyle w:val="Bibliography"/>
                      <w:spacing w:before="60" w:after="60" w:line="240" w:lineRule="auto"/>
                      <w:rPr>
                        <w:noProof/>
                      </w:rPr>
                    </w:pPr>
                    <w:r>
                      <w:rPr>
                        <w:noProof/>
                      </w:rPr>
                      <w:t xml:space="preserve">[7] </w:t>
                    </w:r>
                  </w:p>
                </w:tc>
                <w:tc>
                  <w:tcPr>
                    <w:tcW w:w="4582" w:type="pct"/>
                    <w:hideMark/>
                  </w:tcPr>
                  <w:p w14:paraId="0DA093C7" w14:textId="77777777" w:rsidR="007667A7" w:rsidRDefault="007667A7" w:rsidP="007667A7">
                    <w:pPr>
                      <w:pStyle w:val="Bibliography"/>
                      <w:spacing w:before="60" w:after="60" w:line="240" w:lineRule="auto"/>
                      <w:rPr>
                        <w:noProof/>
                      </w:rPr>
                    </w:pPr>
                    <w:r>
                      <w:rPr>
                        <w:noProof/>
                      </w:rPr>
                      <w:t>ONR, “Licensing Nuclear Installations,” November 2021. [Online]. Available: https://www.onr.org.uk/media/30nh5c0f/licensing-nuclear-installations.pdf.</w:t>
                    </w:r>
                  </w:p>
                </w:tc>
              </w:tr>
              <w:tr w:rsidR="007667A7" w14:paraId="1492092A" w14:textId="77777777" w:rsidTr="007667A7">
                <w:trPr>
                  <w:divId w:val="1834105108"/>
                  <w:cantSplit/>
                  <w:tblCellSpacing w:w="15" w:type="dxa"/>
                </w:trPr>
                <w:tc>
                  <w:tcPr>
                    <w:tcW w:w="368" w:type="pct"/>
                    <w:hideMark/>
                  </w:tcPr>
                  <w:p w14:paraId="380BBB2F" w14:textId="77777777" w:rsidR="007667A7" w:rsidRDefault="007667A7" w:rsidP="007667A7">
                    <w:pPr>
                      <w:pStyle w:val="Bibliography"/>
                      <w:spacing w:before="60" w:after="60" w:line="240" w:lineRule="auto"/>
                      <w:rPr>
                        <w:noProof/>
                      </w:rPr>
                    </w:pPr>
                    <w:r>
                      <w:rPr>
                        <w:noProof/>
                      </w:rPr>
                      <w:t xml:space="preserve">[8] </w:t>
                    </w:r>
                  </w:p>
                </w:tc>
                <w:tc>
                  <w:tcPr>
                    <w:tcW w:w="4582" w:type="pct"/>
                    <w:hideMark/>
                  </w:tcPr>
                  <w:p w14:paraId="3518D437" w14:textId="77777777" w:rsidR="007667A7" w:rsidRDefault="007667A7" w:rsidP="007667A7">
                    <w:pPr>
                      <w:pStyle w:val="Bibliography"/>
                      <w:spacing w:before="60" w:after="60" w:line="240" w:lineRule="auto"/>
                      <w:rPr>
                        <w:noProof/>
                      </w:rPr>
                    </w:pPr>
                    <w:r>
                      <w:rPr>
                        <w:noProof/>
                      </w:rPr>
                      <w:t>ONR, “Safety Assessment Principles (SAPs) for Nuclear Facilities - 2014 Edition (Revision 1),” January 2020. [Online]. Available: https://www.onr.org.uk/media/pobf24xm/saps2014.pdf.</w:t>
                    </w:r>
                  </w:p>
                </w:tc>
              </w:tr>
              <w:tr w:rsidR="007667A7" w14:paraId="739FD436" w14:textId="77777777" w:rsidTr="007667A7">
                <w:trPr>
                  <w:divId w:val="1834105108"/>
                  <w:cantSplit/>
                  <w:tblCellSpacing w:w="15" w:type="dxa"/>
                </w:trPr>
                <w:tc>
                  <w:tcPr>
                    <w:tcW w:w="368" w:type="pct"/>
                    <w:hideMark/>
                  </w:tcPr>
                  <w:p w14:paraId="4176592A" w14:textId="77777777" w:rsidR="007667A7" w:rsidRDefault="007667A7" w:rsidP="007667A7">
                    <w:pPr>
                      <w:pStyle w:val="Bibliography"/>
                      <w:spacing w:before="60" w:after="60" w:line="240" w:lineRule="auto"/>
                      <w:rPr>
                        <w:noProof/>
                      </w:rPr>
                    </w:pPr>
                    <w:r>
                      <w:rPr>
                        <w:noProof/>
                      </w:rPr>
                      <w:t xml:space="preserve">[9] </w:t>
                    </w:r>
                  </w:p>
                </w:tc>
                <w:tc>
                  <w:tcPr>
                    <w:tcW w:w="4582" w:type="pct"/>
                    <w:hideMark/>
                  </w:tcPr>
                  <w:p w14:paraId="74476FFB" w14:textId="77777777" w:rsidR="007667A7" w:rsidRDefault="007667A7" w:rsidP="007667A7">
                    <w:pPr>
                      <w:pStyle w:val="Bibliography"/>
                      <w:spacing w:before="60" w:after="60" w:line="240" w:lineRule="auto"/>
                      <w:rPr>
                        <w:noProof/>
                      </w:rPr>
                    </w:pPr>
                    <w:r>
                      <w:rPr>
                        <w:noProof/>
                      </w:rPr>
                      <w:t>ONR, “NS-TAST-GD-005 - ONR Guidance on the Demonstration of ALARP,” [Online]. Available: https://www.onr.org.uk/publications/regulatory-guidance/regulatory-assessment-and-permissioning/technical-assessment-guides-tags/nuclear-safety-tags/technical-assessment-guides-tags-nuclear-safety-full-list/.</w:t>
                    </w:r>
                  </w:p>
                </w:tc>
              </w:tr>
              <w:tr w:rsidR="007667A7" w14:paraId="67E6C30E" w14:textId="77777777" w:rsidTr="007667A7">
                <w:trPr>
                  <w:divId w:val="1834105108"/>
                  <w:cantSplit/>
                  <w:tblCellSpacing w:w="15" w:type="dxa"/>
                </w:trPr>
                <w:tc>
                  <w:tcPr>
                    <w:tcW w:w="368" w:type="pct"/>
                    <w:hideMark/>
                  </w:tcPr>
                  <w:p w14:paraId="559D0856" w14:textId="77777777" w:rsidR="007667A7" w:rsidRDefault="007667A7" w:rsidP="007667A7">
                    <w:pPr>
                      <w:pStyle w:val="Bibliography"/>
                      <w:spacing w:before="60" w:after="60" w:line="240" w:lineRule="auto"/>
                      <w:rPr>
                        <w:noProof/>
                      </w:rPr>
                    </w:pPr>
                    <w:r>
                      <w:rPr>
                        <w:noProof/>
                      </w:rPr>
                      <w:t xml:space="preserve">[10] </w:t>
                    </w:r>
                  </w:p>
                </w:tc>
                <w:tc>
                  <w:tcPr>
                    <w:tcW w:w="4582" w:type="pct"/>
                    <w:hideMark/>
                  </w:tcPr>
                  <w:p w14:paraId="0455BAAA" w14:textId="77777777" w:rsidR="007667A7" w:rsidRDefault="007667A7" w:rsidP="007667A7">
                    <w:pPr>
                      <w:pStyle w:val="Bibliography"/>
                      <w:spacing w:before="60" w:after="60" w:line="240" w:lineRule="auto"/>
                      <w:rPr>
                        <w:noProof/>
                      </w:rPr>
                    </w:pPr>
                    <w:r>
                      <w:rPr>
                        <w:noProof/>
                      </w:rPr>
                      <w:t>ONR, “Security Assessment Principles (SyAPs) for the Civil Nuclear Industry,” 2017. [Online]. Available: https://www.onr.org.uk/publications/regulatory-guidance/regulatory-assessment-and-permissioning/security-assessment-principles-syaps/security-assessment-principles-syaps/.</w:t>
                    </w:r>
                  </w:p>
                </w:tc>
              </w:tr>
              <w:tr w:rsidR="007667A7" w14:paraId="39BDD21D" w14:textId="77777777" w:rsidTr="007667A7">
                <w:trPr>
                  <w:divId w:val="1834105108"/>
                  <w:cantSplit/>
                  <w:tblCellSpacing w:w="15" w:type="dxa"/>
                </w:trPr>
                <w:tc>
                  <w:tcPr>
                    <w:tcW w:w="368" w:type="pct"/>
                    <w:hideMark/>
                  </w:tcPr>
                  <w:p w14:paraId="1AD5CBE0" w14:textId="77777777" w:rsidR="007667A7" w:rsidRDefault="007667A7" w:rsidP="007667A7">
                    <w:pPr>
                      <w:pStyle w:val="Bibliography"/>
                      <w:spacing w:before="60" w:after="60" w:line="240" w:lineRule="auto"/>
                      <w:rPr>
                        <w:noProof/>
                      </w:rPr>
                    </w:pPr>
                    <w:r>
                      <w:rPr>
                        <w:noProof/>
                      </w:rPr>
                      <w:lastRenderedPageBreak/>
                      <w:t xml:space="preserve">[11] </w:t>
                    </w:r>
                  </w:p>
                </w:tc>
                <w:tc>
                  <w:tcPr>
                    <w:tcW w:w="4582" w:type="pct"/>
                    <w:hideMark/>
                  </w:tcPr>
                  <w:p w14:paraId="16FB1769" w14:textId="77777777" w:rsidR="007667A7" w:rsidRDefault="007667A7" w:rsidP="007667A7">
                    <w:pPr>
                      <w:pStyle w:val="Bibliography"/>
                      <w:spacing w:before="60" w:after="60" w:line="240" w:lineRule="auto"/>
                      <w:rPr>
                        <w:noProof/>
                      </w:rPr>
                    </w:pPr>
                    <w:r>
                      <w:rPr>
                        <w:noProof/>
                      </w:rPr>
                      <w:t>ONR, “CNSS-TAST-GD-11.1 - Guidance on Security Assessment of Generic New Nuclear Reactor Designs,” [Online]. Available: https://www.onr.org.uk/publications/regulatory-guidance/regulatory-assessment-and-permissioning/technical-assessment-guides-tags/nuclear-security-tags/technical-assessment-guides-tags-nuclear-security/.</w:t>
                    </w:r>
                  </w:p>
                </w:tc>
              </w:tr>
              <w:tr w:rsidR="007667A7" w14:paraId="7C0ABCFB" w14:textId="77777777" w:rsidTr="007667A7">
                <w:trPr>
                  <w:divId w:val="1834105108"/>
                  <w:cantSplit/>
                  <w:tblCellSpacing w:w="15" w:type="dxa"/>
                </w:trPr>
                <w:tc>
                  <w:tcPr>
                    <w:tcW w:w="368" w:type="pct"/>
                    <w:hideMark/>
                  </w:tcPr>
                  <w:p w14:paraId="42327A80" w14:textId="77777777" w:rsidR="007667A7" w:rsidRDefault="007667A7" w:rsidP="007667A7">
                    <w:pPr>
                      <w:pStyle w:val="Bibliography"/>
                      <w:spacing w:before="60" w:after="60" w:line="240" w:lineRule="auto"/>
                      <w:rPr>
                        <w:noProof/>
                      </w:rPr>
                    </w:pPr>
                    <w:r>
                      <w:rPr>
                        <w:noProof/>
                      </w:rPr>
                      <w:t xml:space="preserve">[12] </w:t>
                    </w:r>
                  </w:p>
                </w:tc>
                <w:tc>
                  <w:tcPr>
                    <w:tcW w:w="4582" w:type="pct"/>
                    <w:hideMark/>
                  </w:tcPr>
                  <w:p w14:paraId="259263C8" w14:textId="77777777" w:rsidR="007667A7" w:rsidRDefault="007667A7" w:rsidP="007667A7">
                    <w:pPr>
                      <w:pStyle w:val="Bibliography"/>
                      <w:spacing w:before="60" w:after="60" w:line="240" w:lineRule="auto"/>
                      <w:rPr>
                        <w:noProof/>
                      </w:rPr>
                    </w:pPr>
                    <w:r>
                      <w:rPr>
                        <w:noProof/>
                      </w:rPr>
                      <w:t>ONR, “Licence Condition Handbook,” 2017. [Online]. Available: https://www.onr.org.uk/media/gixbe2br/licence-condition-handbook.pdf.</w:t>
                    </w:r>
                  </w:p>
                </w:tc>
              </w:tr>
              <w:tr w:rsidR="007667A7" w14:paraId="10B5F118" w14:textId="77777777" w:rsidTr="007667A7">
                <w:trPr>
                  <w:divId w:val="1834105108"/>
                  <w:cantSplit/>
                  <w:tblCellSpacing w:w="15" w:type="dxa"/>
                </w:trPr>
                <w:tc>
                  <w:tcPr>
                    <w:tcW w:w="368" w:type="pct"/>
                    <w:hideMark/>
                  </w:tcPr>
                  <w:p w14:paraId="4300D468" w14:textId="77777777" w:rsidR="007667A7" w:rsidRDefault="007667A7" w:rsidP="007667A7">
                    <w:pPr>
                      <w:pStyle w:val="Bibliography"/>
                      <w:spacing w:before="60" w:after="60" w:line="240" w:lineRule="auto"/>
                      <w:rPr>
                        <w:noProof/>
                      </w:rPr>
                    </w:pPr>
                    <w:r>
                      <w:rPr>
                        <w:noProof/>
                      </w:rPr>
                      <w:t xml:space="preserve">[13] </w:t>
                    </w:r>
                  </w:p>
                </w:tc>
                <w:tc>
                  <w:tcPr>
                    <w:tcW w:w="4582" w:type="pct"/>
                    <w:hideMark/>
                  </w:tcPr>
                  <w:p w14:paraId="11E170ED" w14:textId="77777777" w:rsidR="007667A7" w:rsidRDefault="007667A7" w:rsidP="007667A7">
                    <w:pPr>
                      <w:pStyle w:val="Bibliography"/>
                      <w:spacing w:before="60" w:after="60" w:line="240" w:lineRule="auto"/>
                      <w:rPr>
                        <w:noProof/>
                      </w:rPr>
                    </w:pPr>
                    <w:r>
                      <w:rPr>
                        <w:noProof/>
                      </w:rPr>
                      <w:t>ONR, “A guide to nuclear regulation in the UK,” 2016. [Online]. Available: https://onr.org.uk/media/5hefhbol/202310045-1.pdf.</w:t>
                    </w:r>
                  </w:p>
                </w:tc>
              </w:tr>
              <w:tr w:rsidR="007667A7" w14:paraId="2BAA6339" w14:textId="77777777" w:rsidTr="007667A7">
                <w:trPr>
                  <w:divId w:val="1834105108"/>
                  <w:cantSplit/>
                  <w:tblCellSpacing w:w="15" w:type="dxa"/>
                </w:trPr>
                <w:tc>
                  <w:tcPr>
                    <w:tcW w:w="368" w:type="pct"/>
                    <w:hideMark/>
                  </w:tcPr>
                  <w:p w14:paraId="2EEED3A7" w14:textId="77777777" w:rsidR="007667A7" w:rsidRDefault="007667A7" w:rsidP="007667A7">
                    <w:pPr>
                      <w:pStyle w:val="Bibliography"/>
                      <w:spacing w:before="60" w:after="60" w:line="240" w:lineRule="auto"/>
                      <w:rPr>
                        <w:noProof/>
                      </w:rPr>
                    </w:pPr>
                    <w:r>
                      <w:rPr>
                        <w:noProof/>
                      </w:rPr>
                      <w:t xml:space="preserve">[14] </w:t>
                    </w:r>
                  </w:p>
                </w:tc>
                <w:tc>
                  <w:tcPr>
                    <w:tcW w:w="4582" w:type="pct"/>
                    <w:hideMark/>
                  </w:tcPr>
                  <w:p w14:paraId="1B3A6E69" w14:textId="77777777" w:rsidR="007667A7" w:rsidRDefault="007667A7" w:rsidP="007667A7">
                    <w:pPr>
                      <w:pStyle w:val="Bibliography"/>
                      <w:spacing w:before="60" w:after="60" w:line="240" w:lineRule="auto"/>
                      <w:rPr>
                        <w:noProof/>
                      </w:rPr>
                    </w:pPr>
                    <w:r>
                      <w:rPr>
                        <w:noProof/>
                      </w:rPr>
                      <w:t>ONR, “ONR-PER-IN-006 - Decision Review and Appeals Process”.</w:t>
                    </w:r>
                  </w:p>
                </w:tc>
              </w:tr>
              <w:tr w:rsidR="007667A7" w14:paraId="1C686938" w14:textId="77777777" w:rsidTr="007667A7">
                <w:trPr>
                  <w:divId w:val="1834105108"/>
                  <w:cantSplit/>
                  <w:tblCellSpacing w:w="15" w:type="dxa"/>
                </w:trPr>
                <w:tc>
                  <w:tcPr>
                    <w:tcW w:w="368" w:type="pct"/>
                    <w:hideMark/>
                  </w:tcPr>
                  <w:p w14:paraId="42AD5A92" w14:textId="77777777" w:rsidR="007667A7" w:rsidRDefault="007667A7" w:rsidP="007667A7">
                    <w:pPr>
                      <w:pStyle w:val="Bibliography"/>
                      <w:spacing w:before="60" w:after="60" w:line="240" w:lineRule="auto"/>
                      <w:rPr>
                        <w:noProof/>
                      </w:rPr>
                    </w:pPr>
                    <w:r>
                      <w:rPr>
                        <w:noProof/>
                      </w:rPr>
                      <w:t xml:space="preserve">[15] </w:t>
                    </w:r>
                  </w:p>
                </w:tc>
                <w:tc>
                  <w:tcPr>
                    <w:tcW w:w="4582" w:type="pct"/>
                    <w:hideMark/>
                  </w:tcPr>
                  <w:p w14:paraId="0F787D37" w14:textId="77777777" w:rsidR="007667A7" w:rsidRDefault="007667A7" w:rsidP="007667A7">
                    <w:pPr>
                      <w:pStyle w:val="Bibliography"/>
                      <w:spacing w:before="60" w:after="60" w:line="240" w:lineRule="auto"/>
                      <w:rPr>
                        <w:noProof/>
                      </w:rPr>
                    </w:pPr>
                    <w:r>
                      <w:rPr>
                        <w:noProof/>
                      </w:rPr>
                      <w:t>HM Government, “Government Security Classifications Policy,” 17 July 2023. [Online]. Available: https://www.gov.uk/government/publications/government-security-classifications/government-security-classifications-policy-html.</w:t>
                    </w:r>
                  </w:p>
                </w:tc>
              </w:tr>
              <w:tr w:rsidR="007667A7" w14:paraId="7F0B1FFA" w14:textId="77777777" w:rsidTr="007667A7">
                <w:trPr>
                  <w:divId w:val="1834105108"/>
                  <w:cantSplit/>
                  <w:tblCellSpacing w:w="15" w:type="dxa"/>
                </w:trPr>
                <w:tc>
                  <w:tcPr>
                    <w:tcW w:w="368" w:type="pct"/>
                    <w:hideMark/>
                  </w:tcPr>
                  <w:p w14:paraId="6C9952B2" w14:textId="77777777" w:rsidR="007667A7" w:rsidRDefault="007667A7" w:rsidP="007667A7">
                    <w:pPr>
                      <w:pStyle w:val="Bibliography"/>
                      <w:spacing w:before="60" w:after="60" w:line="240" w:lineRule="auto"/>
                      <w:rPr>
                        <w:noProof/>
                      </w:rPr>
                    </w:pPr>
                    <w:r>
                      <w:rPr>
                        <w:noProof/>
                      </w:rPr>
                      <w:t xml:space="preserve">[16] </w:t>
                    </w:r>
                  </w:p>
                </w:tc>
                <w:tc>
                  <w:tcPr>
                    <w:tcW w:w="4582" w:type="pct"/>
                    <w:hideMark/>
                  </w:tcPr>
                  <w:p w14:paraId="51067032" w14:textId="77777777" w:rsidR="007667A7" w:rsidRDefault="007667A7" w:rsidP="007667A7">
                    <w:pPr>
                      <w:pStyle w:val="Bibliography"/>
                      <w:spacing w:before="60" w:after="60" w:line="240" w:lineRule="auto"/>
                      <w:rPr>
                        <w:noProof/>
                      </w:rPr>
                    </w:pPr>
                    <w:r>
                      <w:rPr>
                        <w:noProof/>
                      </w:rPr>
                      <w:t>ONR, “Freedom of Information (FOI),” [Online]. Available: https://www.onr.org.uk/about-us/contact-us/freedom-of-information-foi/.</w:t>
                    </w:r>
                  </w:p>
                </w:tc>
              </w:tr>
              <w:tr w:rsidR="007667A7" w14:paraId="33E22C3F" w14:textId="77777777" w:rsidTr="007667A7">
                <w:trPr>
                  <w:divId w:val="1834105108"/>
                  <w:cantSplit/>
                  <w:tblCellSpacing w:w="15" w:type="dxa"/>
                </w:trPr>
                <w:tc>
                  <w:tcPr>
                    <w:tcW w:w="368" w:type="pct"/>
                    <w:hideMark/>
                  </w:tcPr>
                  <w:p w14:paraId="68D6B6A6" w14:textId="77777777" w:rsidR="007667A7" w:rsidRDefault="007667A7" w:rsidP="007667A7">
                    <w:pPr>
                      <w:pStyle w:val="Bibliography"/>
                      <w:spacing w:before="60" w:after="60" w:line="240" w:lineRule="auto"/>
                      <w:rPr>
                        <w:noProof/>
                      </w:rPr>
                    </w:pPr>
                    <w:r>
                      <w:rPr>
                        <w:noProof/>
                      </w:rPr>
                      <w:t xml:space="preserve">[17] </w:t>
                    </w:r>
                  </w:p>
                </w:tc>
                <w:tc>
                  <w:tcPr>
                    <w:tcW w:w="4582" w:type="pct"/>
                    <w:hideMark/>
                  </w:tcPr>
                  <w:p w14:paraId="1029EFD3" w14:textId="77777777" w:rsidR="007667A7" w:rsidRDefault="007667A7" w:rsidP="007667A7">
                    <w:pPr>
                      <w:pStyle w:val="Bibliography"/>
                      <w:spacing w:before="60" w:after="60" w:line="240" w:lineRule="auto"/>
                      <w:rPr>
                        <w:noProof/>
                      </w:rPr>
                    </w:pPr>
                    <w:r>
                      <w:rPr>
                        <w:noProof/>
                      </w:rPr>
                      <w:t>ONR, “GDA &gt; Early regulatory engagement on new nuclear projects,” [Online]. Available: https://www.onr.org.uk/generic-design-assessment/early-regulatory-engagement-on-new-nuclear-projects/.</w:t>
                    </w:r>
                  </w:p>
                </w:tc>
              </w:tr>
              <w:tr w:rsidR="007667A7" w14:paraId="661E8081" w14:textId="77777777" w:rsidTr="007667A7">
                <w:trPr>
                  <w:divId w:val="1834105108"/>
                  <w:cantSplit/>
                  <w:tblCellSpacing w:w="15" w:type="dxa"/>
                </w:trPr>
                <w:tc>
                  <w:tcPr>
                    <w:tcW w:w="368" w:type="pct"/>
                    <w:hideMark/>
                  </w:tcPr>
                  <w:p w14:paraId="06C84861" w14:textId="77777777" w:rsidR="007667A7" w:rsidRDefault="007667A7" w:rsidP="007667A7">
                    <w:pPr>
                      <w:pStyle w:val="Bibliography"/>
                      <w:spacing w:before="60" w:after="60" w:line="240" w:lineRule="auto"/>
                      <w:rPr>
                        <w:noProof/>
                      </w:rPr>
                    </w:pPr>
                    <w:r>
                      <w:rPr>
                        <w:noProof/>
                      </w:rPr>
                      <w:t xml:space="preserve">[18] </w:t>
                    </w:r>
                  </w:p>
                </w:tc>
                <w:tc>
                  <w:tcPr>
                    <w:tcW w:w="4582" w:type="pct"/>
                    <w:hideMark/>
                  </w:tcPr>
                  <w:p w14:paraId="4C8D5C66" w14:textId="77777777" w:rsidR="007667A7" w:rsidRDefault="007667A7" w:rsidP="007667A7">
                    <w:pPr>
                      <w:pStyle w:val="Bibliography"/>
                      <w:spacing w:before="60" w:after="60" w:line="240" w:lineRule="auto"/>
                      <w:rPr>
                        <w:noProof/>
                      </w:rPr>
                    </w:pPr>
                    <w:r>
                      <w:rPr>
                        <w:noProof/>
                      </w:rPr>
                      <w:t>ONR, “ONR-GDA-GD-009 - New nuclear power plants: Early engagement for regulatory pathways (Issue 1),” [Online]. Available: https://www.onr.org.uk/media/3i5av4rq/ants-onr-gda-gd-009-nnpps-early-eng.docx.</w:t>
                    </w:r>
                  </w:p>
                </w:tc>
              </w:tr>
            </w:tbl>
            <w:p w14:paraId="3B34D1B2" w14:textId="77777777" w:rsidR="007667A7" w:rsidRDefault="007667A7">
              <w:pPr>
                <w:divId w:val="1834105108"/>
                <w:rPr>
                  <w:rFonts w:eastAsia="Times New Roman"/>
                  <w:noProof/>
                </w:rPr>
              </w:pPr>
            </w:p>
            <w:p w14:paraId="1DB25531" w14:textId="3CCA00F1" w:rsidR="00D765C8" w:rsidRDefault="00D765C8">
              <w:r>
                <w:rPr>
                  <w:b/>
                  <w:bCs/>
                </w:rPr>
                <w:fldChar w:fldCharType="end"/>
              </w:r>
            </w:p>
          </w:sdtContent>
        </w:sdt>
      </w:sdtContent>
    </w:sdt>
    <w:p w14:paraId="2D74A1F2" w14:textId="77777777" w:rsidR="00037D99" w:rsidRPr="00037D99" w:rsidRDefault="00037D99" w:rsidP="00037D99"/>
    <w:sectPr w:rsidR="00037D99" w:rsidRPr="00037D99" w:rsidSect="00037D99">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QAAALM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3707B" w14:textId="77777777" w:rsidR="00774FAF" w:rsidRDefault="00774FAF" w:rsidP="007D199A">
      <w:pPr>
        <w:spacing w:after="0"/>
      </w:pPr>
      <w:r>
        <w:separator/>
      </w:r>
    </w:p>
    <w:p w14:paraId="23EF1B84" w14:textId="77777777" w:rsidR="00774FAF" w:rsidRDefault="00774FAF"/>
  </w:endnote>
  <w:endnote w:type="continuationSeparator" w:id="0">
    <w:p w14:paraId="2E5DC707" w14:textId="77777777" w:rsidR="00774FAF" w:rsidRDefault="00774FAF" w:rsidP="007D199A">
      <w:pPr>
        <w:spacing w:after="0"/>
      </w:pPr>
      <w:r>
        <w:continuationSeparator/>
      </w:r>
    </w:p>
    <w:p w14:paraId="5EA914E8" w14:textId="77777777" w:rsidR="00774FAF" w:rsidRDefault="00774F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MrEavesModOT">
    <w:altName w:val="Calibri"/>
    <w:panose1 w:val="00000000000000000000"/>
    <w:charset w:val="00"/>
    <w:family w:val="swiss"/>
    <w:notTrueType/>
    <w:pitch w:val="default"/>
    <w:sig w:usb0="00000003" w:usb1="00000000" w:usb2="00000000" w:usb3="00000000" w:csb0="00000001" w:csb1="00000000"/>
  </w:font>
  <w:font w:name="MrEavesModOT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79C8A024"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009D2911">
      <w:rPr>
        <w:szCs w:val="24"/>
      </w:rPr>
      <w:t>.</w:t>
    </w:r>
    <w:r w:rsidR="00806275">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78ED55B" w:rsidR="00CE6198" w:rsidRPr="009D2911" w:rsidRDefault="009D2911" w:rsidP="008229BA">
    <w:pPr>
      <w:pStyle w:val="Footer"/>
      <w:rPr>
        <w:rStyle w:val="PageNumber"/>
        <w:bCs/>
      </w:rPr>
    </w:pPr>
    <w:r w:rsidRPr="009D2911">
      <w:rPr>
        <w:rStyle w:val="PageNumber"/>
        <w:bCs/>
      </w:rPr>
      <w:t xml:space="preserve">Page | </w:t>
    </w:r>
    <w:r w:rsidRPr="009D2911">
      <w:rPr>
        <w:rStyle w:val="PageNumber"/>
        <w:bCs/>
      </w:rPr>
      <w:fldChar w:fldCharType="begin"/>
    </w:r>
    <w:r w:rsidRPr="009D2911">
      <w:rPr>
        <w:rStyle w:val="PageNumber"/>
        <w:bCs/>
      </w:rPr>
      <w:instrText>PAGE   \* MERGEFORMAT</w:instrText>
    </w:r>
    <w:r w:rsidRPr="009D2911">
      <w:rPr>
        <w:rStyle w:val="PageNumber"/>
        <w:bCs/>
      </w:rPr>
      <w:fldChar w:fldCharType="separate"/>
    </w:r>
    <w:r w:rsidRPr="009D2911">
      <w:rPr>
        <w:rStyle w:val="PageNumber"/>
        <w:bCs/>
      </w:rPr>
      <w:t>1</w:t>
    </w:r>
    <w:r w:rsidRPr="009D2911">
      <w:rPr>
        <w:rStyle w:val="PageNumbe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42210" w14:textId="77777777" w:rsidR="00774FAF" w:rsidRPr="005E0344" w:rsidRDefault="00774FAF" w:rsidP="005E0344">
      <w:pPr>
        <w:rPr>
          <w:color w:val="000000" w:themeColor="text2"/>
        </w:rPr>
      </w:pPr>
      <w:r w:rsidRPr="005E0344">
        <w:rPr>
          <w:color w:val="000000" w:themeColor="text2"/>
        </w:rPr>
        <w:separator/>
      </w:r>
    </w:p>
  </w:footnote>
  <w:footnote w:type="continuationSeparator" w:id="0">
    <w:p w14:paraId="4F1E28E3" w14:textId="77777777" w:rsidR="00774FAF" w:rsidRPr="005E0344" w:rsidRDefault="00774FAF" w:rsidP="0090581D">
      <w:pPr>
        <w:rPr>
          <w:color w:val="000000" w:themeColor="text2"/>
        </w:rPr>
      </w:pPr>
      <w:r w:rsidRPr="005E0344">
        <w:rPr>
          <w:color w:val="000000" w:themeColor="text2"/>
        </w:rPr>
        <w:continuationSeparator/>
      </w:r>
    </w:p>
    <w:p w14:paraId="53136148" w14:textId="77777777" w:rsidR="00774FAF" w:rsidRDefault="00774FAF"/>
  </w:footnote>
  <w:footnote w:type="continuationNotice" w:id="1">
    <w:p w14:paraId="605BBF71" w14:textId="77777777" w:rsidR="00774FAF" w:rsidRDefault="00774FAF">
      <w:pPr>
        <w:spacing w:after="0"/>
      </w:pPr>
    </w:p>
    <w:p w14:paraId="3ACC2D8A" w14:textId="77777777" w:rsidR="00774FAF" w:rsidRDefault="00774FAF"/>
  </w:footnote>
  <w:footnote w:id="2">
    <w:p w14:paraId="2C2F40A6" w14:textId="610F5D10" w:rsidR="004A649B" w:rsidRDefault="004A649B" w:rsidP="004A649B">
      <w:pPr>
        <w:pStyle w:val="FootnoteText"/>
        <w:ind w:left="0" w:firstLine="0"/>
      </w:pPr>
      <w:r w:rsidRPr="004A649B">
        <w:rPr>
          <w:rStyle w:val="FootnoteReference"/>
          <w:sz w:val="22"/>
          <w:szCs w:val="22"/>
        </w:rPr>
        <w:footnoteRef/>
      </w:r>
      <w:r w:rsidRPr="004A649B">
        <w:rPr>
          <w:sz w:val="22"/>
          <w:szCs w:val="22"/>
        </w:rPr>
        <w:t xml:space="preserve"> </w:t>
      </w:r>
      <w:r w:rsidRPr="004A649B">
        <w:rPr>
          <w:b/>
          <w:bCs/>
          <w:sz w:val="22"/>
          <w:szCs w:val="22"/>
        </w:rPr>
        <w:t>Note</w:t>
      </w:r>
      <w:r w:rsidRPr="004A649B">
        <w:rPr>
          <w:sz w:val="22"/>
          <w:szCs w:val="22"/>
        </w:rPr>
        <w:t>: It is ONR’s expectation that such a period will only be necessary by exception, and should not routinely form part of any GDA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2A9E034" w:rsidR="00177666" w:rsidRPr="003A7E1C" w:rsidRDefault="00B56AC4"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6C2925">
          <w:rPr>
            <w:sz w:val="20"/>
            <w:szCs w:val="24"/>
          </w:rPr>
          <w:t xml:space="preserve">Guidance to </w:t>
        </w:r>
        <w:r w:rsidR="00925E68">
          <w:rPr>
            <w:sz w:val="20"/>
            <w:szCs w:val="24"/>
          </w:rPr>
          <w:t>R</w:t>
        </w:r>
        <w:r w:rsidR="006C2925">
          <w:rPr>
            <w:sz w:val="20"/>
            <w:szCs w:val="24"/>
          </w:rPr>
          <w:t xml:space="preserve">equesting </w:t>
        </w:r>
        <w:r w:rsidR="00925E68">
          <w:rPr>
            <w:sz w:val="20"/>
            <w:szCs w:val="24"/>
          </w:rPr>
          <w:t>P</w:t>
        </w:r>
        <w:r w:rsidR="006C2925">
          <w:rPr>
            <w:sz w:val="20"/>
            <w:szCs w:val="24"/>
          </w:rPr>
          <w:t>arties on the Generic Design Assessment (GDA) process</w:t>
        </w:r>
        <w:r w:rsidR="00925E68">
          <w:rPr>
            <w:sz w:val="20"/>
            <w:szCs w:val="24"/>
          </w:rPr>
          <w:t xml:space="preserve"> for safety and security assessments of new Nuclear Power Plants (NPP)</w:t>
        </w:r>
      </w:sdtContent>
    </w:sdt>
    <w:r w:rsidR="004E3932" w:rsidRPr="003A7E1C">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C2925">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1478A"/>
    <w:multiLevelType w:val="hybridMultilevel"/>
    <w:tmpl w:val="88A6D572"/>
    <w:lvl w:ilvl="0" w:tplc="E804745A">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EB7979"/>
    <w:multiLevelType w:val="hybridMultilevel"/>
    <w:tmpl w:val="D64CB0DA"/>
    <w:lvl w:ilvl="0" w:tplc="FC667262">
      <w:start w:val="1"/>
      <w:numFmt w:val="lowerLetter"/>
      <w:lvlText w:val="%1."/>
      <w:lvlJc w:val="left"/>
      <w:pPr>
        <w:ind w:left="14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676417"/>
    <w:multiLevelType w:val="hybridMultilevel"/>
    <w:tmpl w:val="CC4278F6"/>
    <w:lvl w:ilvl="0" w:tplc="DBC48688">
      <w:start w:val="1"/>
      <w:numFmt w:val="decimal"/>
      <w:pStyle w:val="ONRNumberedParagraph1"/>
      <w:lvlText w:val="%1"/>
      <w:lvlJc w:val="left"/>
      <w:pPr>
        <w:tabs>
          <w:tab w:val="num" w:pos="907"/>
        </w:tabs>
        <w:ind w:left="907" w:firstLine="0"/>
      </w:pPr>
      <w:rPr>
        <w:rFonts w:ascii="Arial" w:hAnsi="Arial" w:hint="default"/>
        <w:sz w:val="22"/>
      </w:rPr>
    </w:lvl>
    <w:lvl w:ilvl="1" w:tplc="3774CFE8">
      <w:start w:val="1"/>
      <w:numFmt w:val="bullet"/>
      <w:lvlText w:val=""/>
      <w:lvlJc w:val="left"/>
      <w:pPr>
        <w:tabs>
          <w:tab w:val="num" w:pos="2160"/>
        </w:tabs>
        <w:ind w:left="2160" w:hanging="360"/>
      </w:pPr>
      <w:rPr>
        <w:rFonts w:ascii="Wingdings" w:hAnsi="Wingdings" w:hint="default"/>
        <w:caps w:val="0"/>
        <w:strike w:val="0"/>
        <w:dstrike w:val="0"/>
        <w:vanish w:val="0"/>
        <w:color w:val="333333"/>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2" w:tplc="528C4184">
      <w:numFmt w:val="bullet"/>
      <w:lvlText w:val="-"/>
      <w:lvlJc w:val="left"/>
      <w:pPr>
        <w:tabs>
          <w:tab w:val="num" w:pos="3060"/>
        </w:tabs>
        <w:ind w:left="3060" w:hanging="360"/>
      </w:pPr>
      <w:rPr>
        <w:rFonts w:ascii="Calibri" w:eastAsia="Times New Roman" w:hAnsi="Calibri" w:cs="Arial" w:hint="default"/>
      </w:rPr>
    </w:lvl>
    <w:lvl w:ilvl="3" w:tplc="1CD449B0">
      <w:numFmt w:val="bullet"/>
      <w:lvlText w:val="–"/>
      <w:lvlJc w:val="left"/>
      <w:pPr>
        <w:tabs>
          <w:tab w:val="num" w:pos="3600"/>
        </w:tabs>
        <w:ind w:left="3600" w:hanging="360"/>
      </w:pPr>
      <w:rPr>
        <w:rFonts w:ascii="Calibri" w:eastAsia="Times New Roman" w:hAnsi="Calibri" w:cs="Arial" w:hint="default"/>
      </w:r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 w15:restartNumberingAfterBreak="0">
    <w:nsid w:val="189426C5"/>
    <w:multiLevelType w:val="hybridMultilevel"/>
    <w:tmpl w:val="2F2AE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97276C"/>
    <w:multiLevelType w:val="hybridMultilevel"/>
    <w:tmpl w:val="AEC69686"/>
    <w:lvl w:ilvl="0" w:tplc="7E169A76">
      <w:start w:val="1"/>
      <w:numFmt w:val="decimal"/>
      <w:lvlText w:val="[3.%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9425CC"/>
    <w:multiLevelType w:val="hybridMultilevel"/>
    <w:tmpl w:val="918C3B06"/>
    <w:lvl w:ilvl="0" w:tplc="7E169A76">
      <w:start w:val="1"/>
      <w:numFmt w:val="decimal"/>
      <w:lvlText w:val="[3.%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6BF02CC"/>
    <w:multiLevelType w:val="hybridMultilevel"/>
    <w:tmpl w:val="F9468378"/>
    <w:lvl w:ilvl="0" w:tplc="5F72EEDA">
      <w:start w:val="1"/>
      <w:numFmt w:val="bullet"/>
      <w:pStyle w:val="ONRSquareBullet1"/>
      <w:lvlText w:val=""/>
      <w:lvlJc w:val="left"/>
      <w:pPr>
        <w:tabs>
          <w:tab w:val="num" w:pos="1418"/>
        </w:tabs>
        <w:ind w:left="1418" w:hanging="567"/>
      </w:pPr>
      <w:rPr>
        <w:rFonts w:ascii="Wingdings" w:hAnsi="Wingding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tentative="1">
      <w:start w:val="1"/>
      <w:numFmt w:val="bullet"/>
      <w:lvlText w:val="o"/>
      <w:lvlJc w:val="left"/>
      <w:pPr>
        <w:tabs>
          <w:tab w:val="num" w:pos="1440"/>
        </w:tabs>
        <w:ind w:left="1440" w:hanging="360"/>
      </w:pPr>
      <w:rPr>
        <w:rFonts w:ascii="Courier New" w:hAnsi="Courier New" w:cs="Courier New" w:hint="default"/>
      </w:rPr>
    </w:lvl>
    <w:lvl w:ilvl="2" w:tplc="528C4184" w:tentative="1">
      <w:start w:val="1"/>
      <w:numFmt w:val="bullet"/>
      <w:lvlText w:val=""/>
      <w:lvlJc w:val="left"/>
      <w:pPr>
        <w:tabs>
          <w:tab w:val="num" w:pos="2160"/>
        </w:tabs>
        <w:ind w:left="2160" w:hanging="360"/>
      </w:pPr>
      <w:rPr>
        <w:rFonts w:ascii="Wingdings" w:hAnsi="Wingdings" w:hint="default"/>
      </w:rPr>
    </w:lvl>
    <w:lvl w:ilvl="3" w:tplc="1CD449B0"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C87A38"/>
    <w:multiLevelType w:val="hybridMultilevel"/>
    <w:tmpl w:val="A3546F76"/>
    <w:lvl w:ilvl="0" w:tplc="18887498">
      <w:start w:val="1"/>
      <w:numFmt w:val="decimal"/>
      <w:lvlText w:val="[2.%1]"/>
      <w:lvlJc w:val="left"/>
      <w:pPr>
        <w:ind w:left="720" w:hanging="360"/>
      </w:pPr>
      <w:rPr>
        <w:rFonts w:hint="default"/>
      </w:rPr>
    </w:lvl>
    <w:lvl w:ilvl="1" w:tplc="FC66726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0B17CA"/>
    <w:multiLevelType w:val="multilevel"/>
    <w:tmpl w:val="AFA85E52"/>
    <w:styleLink w:val="StyleBulletedSymbolsymbolBefore19cmHanging063cm"/>
    <w:lvl w:ilvl="0">
      <w:start w:val="1"/>
      <w:numFmt w:val="decimal"/>
      <w:lvlText w:val="%1"/>
      <w:lvlJc w:val="left"/>
      <w:pPr>
        <w:tabs>
          <w:tab w:val="num" w:pos="1627"/>
        </w:tabs>
        <w:ind w:left="1627" w:hanging="720"/>
      </w:pPr>
      <w:rPr>
        <w:rFonts w:ascii="Arial" w:hAnsi="Arial" w:cs="Arial" w:hint="default"/>
        <w:b w:val="0"/>
        <w:bCs w:val="0"/>
        <w:i w:val="0"/>
        <w:iCs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440"/>
        </w:tabs>
        <w:ind w:left="1440" w:hanging="533"/>
      </w:pPr>
      <w:rPr>
        <w:rFonts w:ascii="Symbol" w:hAnsi="Symbol" w:cs="Times New Roman" w:hint="default"/>
        <w:sz w:val="22"/>
        <w:szCs w:val="22"/>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679172F5"/>
    <w:multiLevelType w:val="hybridMultilevel"/>
    <w:tmpl w:val="05CE0A80"/>
    <w:lvl w:ilvl="0" w:tplc="132615AC">
      <w:start w:val="1"/>
      <w:numFmt w:val="lowerLetter"/>
      <w:lvlText w:val="%1."/>
      <w:lvlJc w:val="left"/>
      <w:pPr>
        <w:tabs>
          <w:tab w:val="num" w:pos="1440"/>
        </w:tabs>
        <w:ind w:left="1440" w:hanging="360"/>
      </w:pPr>
    </w:lvl>
    <w:lvl w:ilvl="1" w:tplc="ED28A9E2" w:tentative="1">
      <w:start w:val="1"/>
      <w:numFmt w:val="lowerLetter"/>
      <w:lvlText w:val="%2."/>
      <w:lvlJc w:val="left"/>
      <w:pPr>
        <w:tabs>
          <w:tab w:val="num" w:pos="2160"/>
        </w:tabs>
        <w:ind w:left="2160" w:hanging="360"/>
      </w:pPr>
    </w:lvl>
    <w:lvl w:ilvl="2" w:tplc="EBD02FF2" w:tentative="1">
      <w:start w:val="1"/>
      <w:numFmt w:val="lowerLetter"/>
      <w:lvlText w:val="%3."/>
      <w:lvlJc w:val="left"/>
      <w:pPr>
        <w:tabs>
          <w:tab w:val="num" w:pos="2880"/>
        </w:tabs>
        <w:ind w:left="2880" w:hanging="360"/>
      </w:pPr>
    </w:lvl>
    <w:lvl w:ilvl="3" w:tplc="C72EA72E" w:tentative="1">
      <w:start w:val="1"/>
      <w:numFmt w:val="lowerLetter"/>
      <w:lvlText w:val="%4."/>
      <w:lvlJc w:val="left"/>
      <w:pPr>
        <w:tabs>
          <w:tab w:val="num" w:pos="3600"/>
        </w:tabs>
        <w:ind w:left="3600" w:hanging="360"/>
      </w:pPr>
    </w:lvl>
    <w:lvl w:ilvl="4" w:tplc="0794F6F6" w:tentative="1">
      <w:start w:val="1"/>
      <w:numFmt w:val="lowerLetter"/>
      <w:lvlText w:val="%5."/>
      <w:lvlJc w:val="left"/>
      <w:pPr>
        <w:tabs>
          <w:tab w:val="num" w:pos="4320"/>
        </w:tabs>
        <w:ind w:left="4320" w:hanging="360"/>
      </w:pPr>
    </w:lvl>
    <w:lvl w:ilvl="5" w:tplc="E4B45150" w:tentative="1">
      <w:start w:val="1"/>
      <w:numFmt w:val="lowerLetter"/>
      <w:lvlText w:val="%6."/>
      <w:lvlJc w:val="left"/>
      <w:pPr>
        <w:tabs>
          <w:tab w:val="num" w:pos="5040"/>
        </w:tabs>
        <w:ind w:left="5040" w:hanging="360"/>
      </w:pPr>
    </w:lvl>
    <w:lvl w:ilvl="6" w:tplc="D472C63E" w:tentative="1">
      <w:start w:val="1"/>
      <w:numFmt w:val="lowerLetter"/>
      <w:lvlText w:val="%7."/>
      <w:lvlJc w:val="left"/>
      <w:pPr>
        <w:tabs>
          <w:tab w:val="num" w:pos="5760"/>
        </w:tabs>
        <w:ind w:left="5760" w:hanging="360"/>
      </w:pPr>
    </w:lvl>
    <w:lvl w:ilvl="7" w:tplc="AE6609BA" w:tentative="1">
      <w:start w:val="1"/>
      <w:numFmt w:val="lowerLetter"/>
      <w:lvlText w:val="%8."/>
      <w:lvlJc w:val="left"/>
      <w:pPr>
        <w:tabs>
          <w:tab w:val="num" w:pos="6480"/>
        </w:tabs>
        <w:ind w:left="6480" w:hanging="360"/>
      </w:pPr>
    </w:lvl>
    <w:lvl w:ilvl="8" w:tplc="7A2C5068" w:tentative="1">
      <w:start w:val="1"/>
      <w:numFmt w:val="lowerLetter"/>
      <w:lvlText w:val="%9."/>
      <w:lvlJc w:val="left"/>
      <w:pPr>
        <w:tabs>
          <w:tab w:val="num" w:pos="7200"/>
        </w:tabs>
        <w:ind w:left="7200" w:hanging="360"/>
      </w:pPr>
    </w:lvl>
  </w:abstractNum>
  <w:abstractNum w:abstractNumId="12" w15:restartNumberingAfterBreak="0">
    <w:nsid w:val="69BD3F21"/>
    <w:multiLevelType w:val="hybridMultilevel"/>
    <w:tmpl w:val="7F789A24"/>
    <w:lvl w:ilvl="0" w:tplc="D9AAD318">
      <w:start w:val="1"/>
      <w:numFmt w:val="decimal"/>
      <w:pStyle w:val="List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C24655"/>
    <w:multiLevelType w:val="hybridMultilevel"/>
    <w:tmpl w:val="4BE030EE"/>
    <w:lvl w:ilvl="0" w:tplc="8FB6C630">
      <w:start w:val="1"/>
      <w:numFmt w:val="decimal"/>
      <w:pStyle w:val="TSNumberedParagraph1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40703D2"/>
    <w:multiLevelType w:val="hybridMultilevel"/>
    <w:tmpl w:val="C5E0C774"/>
    <w:lvl w:ilvl="0" w:tplc="18887498">
      <w:start w:val="1"/>
      <w:numFmt w:val="decimal"/>
      <w:lvlText w:val="[2.%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F46359"/>
    <w:multiLevelType w:val="hybridMultilevel"/>
    <w:tmpl w:val="B30C4F70"/>
    <w:lvl w:ilvl="0" w:tplc="CAFCB63E">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3C3E48"/>
    <w:multiLevelType w:val="hybridMultilevel"/>
    <w:tmpl w:val="FB78F6D0"/>
    <w:lvl w:ilvl="0" w:tplc="18887498">
      <w:start w:val="1"/>
      <w:numFmt w:val="decimal"/>
      <w:lvlText w:val="[2.%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DA27F28"/>
    <w:multiLevelType w:val="hybridMultilevel"/>
    <w:tmpl w:val="CB96F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0587205">
    <w:abstractNumId w:val="17"/>
  </w:num>
  <w:num w:numId="2" w16cid:durableId="218565001">
    <w:abstractNumId w:val="15"/>
  </w:num>
  <w:num w:numId="3" w16cid:durableId="764035773">
    <w:abstractNumId w:val="7"/>
  </w:num>
  <w:num w:numId="4" w16cid:durableId="841242941">
    <w:abstractNumId w:val="14"/>
  </w:num>
  <w:num w:numId="5" w16cid:durableId="801197663">
    <w:abstractNumId w:val="13"/>
  </w:num>
  <w:num w:numId="6" w16cid:durableId="348676121">
    <w:abstractNumId w:val="12"/>
  </w:num>
  <w:num w:numId="7" w16cid:durableId="695928262">
    <w:abstractNumId w:val="5"/>
  </w:num>
  <w:num w:numId="8" w16cid:durableId="1154296993">
    <w:abstractNumId w:val="3"/>
  </w:num>
  <w:num w:numId="9" w16cid:durableId="614482267">
    <w:abstractNumId w:val="19"/>
  </w:num>
  <w:num w:numId="10" w16cid:durableId="1999991839">
    <w:abstractNumId w:val="0"/>
  </w:num>
  <w:num w:numId="11" w16cid:durableId="1956868710">
    <w:abstractNumId w:val="18"/>
  </w:num>
  <w:num w:numId="12" w16cid:durableId="1704864919">
    <w:abstractNumId w:val="10"/>
  </w:num>
  <w:num w:numId="13" w16cid:durableId="444546064">
    <w:abstractNumId w:val="8"/>
  </w:num>
  <w:num w:numId="14" w16cid:durableId="1120105255">
    <w:abstractNumId w:val="2"/>
  </w:num>
  <w:num w:numId="15" w16cid:durableId="1671986751">
    <w:abstractNumId w:val="9"/>
  </w:num>
  <w:num w:numId="16" w16cid:durableId="2039160826">
    <w:abstractNumId w:val="1"/>
  </w:num>
  <w:num w:numId="17" w16cid:durableId="1262645010">
    <w:abstractNumId w:val="16"/>
  </w:num>
  <w:num w:numId="18" w16cid:durableId="1347903152">
    <w:abstractNumId w:val="6"/>
  </w:num>
  <w:num w:numId="19" w16cid:durableId="1078526212">
    <w:abstractNumId w:val="4"/>
  </w:num>
  <w:num w:numId="20" w16cid:durableId="2000962373">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630B"/>
    <w:rsid w:val="00011177"/>
    <w:rsid w:val="00014814"/>
    <w:rsid w:val="00024522"/>
    <w:rsid w:val="00024B2E"/>
    <w:rsid w:val="00027F4F"/>
    <w:rsid w:val="00030430"/>
    <w:rsid w:val="0003078E"/>
    <w:rsid w:val="00031B89"/>
    <w:rsid w:val="0003693D"/>
    <w:rsid w:val="00037D99"/>
    <w:rsid w:val="0004440F"/>
    <w:rsid w:val="00052C8A"/>
    <w:rsid w:val="000548C8"/>
    <w:rsid w:val="0006581B"/>
    <w:rsid w:val="00071C2C"/>
    <w:rsid w:val="00075605"/>
    <w:rsid w:val="00075C66"/>
    <w:rsid w:val="000817D4"/>
    <w:rsid w:val="00082879"/>
    <w:rsid w:val="00091EEA"/>
    <w:rsid w:val="000A105C"/>
    <w:rsid w:val="000C2DDC"/>
    <w:rsid w:val="000D2FD4"/>
    <w:rsid w:val="000F1B7B"/>
    <w:rsid w:val="000F2ED4"/>
    <w:rsid w:val="001028E8"/>
    <w:rsid w:val="001150E4"/>
    <w:rsid w:val="00122FCC"/>
    <w:rsid w:val="00124C2B"/>
    <w:rsid w:val="00126752"/>
    <w:rsid w:val="00130B30"/>
    <w:rsid w:val="00140E1C"/>
    <w:rsid w:val="00147AE4"/>
    <w:rsid w:val="001571E5"/>
    <w:rsid w:val="001757B3"/>
    <w:rsid w:val="00177666"/>
    <w:rsid w:val="00181C9E"/>
    <w:rsid w:val="001849CA"/>
    <w:rsid w:val="00185410"/>
    <w:rsid w:val="00192352"/>
    <w:rsid w:val="001C4D63"/>
    <w:rsid w:val="001D0DE0"/>
    <w:rsid w:val="001D5AFF"/>
    <w:rsid w:val="001D74B4"/>
    <w:rsid w:val="001E03E1"/>
    <w:rsid w:val="001E4A1D"/>
    <w:rsid w:val="001F059F"/>
    <w:rsid w:val="00200811"/>
    <w:rsid w:val="00200CA1"/>
    <w:rsid w:val="0021338D"/>
    <w:rsid w:val="00214374"/>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A0DEC"/>
    <w:rsid w:val="002B1C53"/>
    <w:rsid w:val="002B1DD0"/>
    <w:rsid w:val="002E0BE4"/>
    <w:rsid w:val="002E2E9F"/>
    <w:rsid w:val="002E3B58"/>
    <w:rsid w:val="002E3E8A"/>
    <w:rsid w:val="002E6A6A"/>
    <w:rsid w:val="002F3397"/>
    <w:rsid w:val="0030380D"/>
    <w:rsid w:val="00312411"/>
    <w:rsid w:val="00323E71"/>
    <w:rsid w:val="00326F77"/>
    <w:rsid w:val="00331AB8"/>
    <w:rsid w:val="003401B0"/>
    <w:rsid w:val="00346C8E"/>
    <w:rsid w:val="00367BD5"/>
    <w:rsid w:val="00390327"/>
    <w:rsid w:val="00393066"/>
    <w:rsid w:val="00393B78"/>
    <w:rsid w:val="003A01E9"/>
    <w:rsid w:val="003A7E1C"/>
    <w:rsid w:val="003C0306"/>
    <w:rsid w:val="003C1101"/>
    <w:rsid w:val="003C114C"/>
    <w:rsid w:val="003C465D"/>
    <w:rsid w:val="003D495D"/>
    <w:rsid w:val="003D5B95"/>
    <w:rsid w:val="003D6AA6"/>
    <w:rsid w:val="003E098E"/>
    <w:rsid w:val="003E2FAE"/>
    <w:rsid w:val="003E5FE4"/>
    <w:rsid w:val="003E7687"/>
    <w:rsid w:val="00407CF7"/>
    <w:rsid w:val="00415ED6"/>
    <w:rsid w:val="00417CAF"/>
    <w:rsid w:val="00420A11"/>
    <w:rsid w:val="00422265"/>
    <w:rsid w:val="004373A7"/>
    <w:rsid w:val="00437D94"/>
    <w:rsid w:val="0044030C"/>
    <w:rsid w:val="004648A4"/>
    <w:rsid w:val="0046714B"/>
    <w:rsid w:val="00471380"/>
    <w:rsid w:val="00473F1F"/>
    <w:rsid w:val="00490422"/>
    <w:rsid w:val="00494F0D"/>
    <w:rsid w:val="00496BFD"/>
    <w:rsid w:val="004A3DF2"/>
    <w:rsid w:val="004A649B"/>
    <w:rsid w:val="004C361D"/>
    <w:rsid w:val="004C4891"/>
    <w:rsid w:val="004D2C89"/>
    <w:rsid w:val="004E3932"/>
    <w:rsid w:val="004F1E79"/>
    <w:rsid w:val="004F5F33"/>
    <w:rsid w:val="0050103A"/>
    <w:rsid w:val="00511B0F"/>
    <w:rsid w:val="0055388E"/>
    <w:rsid w:val="005754AE"/>
    <w:rsid w:val="00577FB5"/>
    <w:rsid w:val="005852D1"/>
    <w:rsid w:val="00587A22"/>
    <w:rsid w:val="0059299D"/>
    <w:rsid w:val="00595C8C"/>
    <w:rsid w:val="00597747"/>
    <w:rsid w:val="005A4CDD"/>
    <w:rsid w:val="005A5E3E"/>
    <w:rsid w:val="005B57E4"/>
    <w:rsid w:val="005B5ABD"/>
    <w:rsid w:val="005C140A"/>
    <w:rsid w:val="005C1E52"/>
    <w:rsid w:val="005C6763"/>
    <w:rsid w:val="005C7992"/>
    <w:rsid w:val="005D3164"/>
    <w:rsid w:val="005E0344"/>
    <w:rsid w:val="005E03CC"/>
    <w:rsid w:val="005E440B"/>
    <w:rsid w:val="005F2C85"/>
    <w:rsid w:val="00605ADB"/>
    <w:rsid w:val="00611C9F"/>
    <w:rsid w:val="00615AD7"/>
    <w:rsid w:val="006221E7"/>
    <w:rsid w:val="006248DE"/>
    <w:rsid w:val="00627555"/>
    <w:rsid w:val="006322A0"/>
    <w:rsid w:val="006361FD"/>
    <w:rsid w:val="0064226F"/>
    <w:rsid w:val="00642DDB"/>
    <w:rsid w:val="00647D4D"/>
    <w:rsid w:val="00653298"/>
    <w:rsid w:val="00663A7C"/>
    <w:rsid w:val="00664E50"/>
    <w:rsid w:val="00667DF2"/>
    <w:rsid w:val="00670DF1"/>
    <w:rsid w:val="00671345"/>
    <w:rsid w:val="00672A9B"/>
    <w:rsid w:val="00675884"/>
    <w:rsid w:val="00696EE0"/>
    <w:rsid w:val="00697260"/>
    <w:rsid w:val="00697980"/>
    <w:rsid w:val="006A19EF"/>
    <w:rsid w:val="006A43D5"/>
    <w:rsid w:val="006A525B"/>
    <w:rsid w:val="006C045F"/>
    <w:rsid w:val="006C2925"/>
    <w:rsid w:val="006C4196"/>
    <w:rsid w:val="006C63B0"/>
    <w:rsid w:val="006C76A2"/>
    <w:rsid w:val="006C792E"/>
    <w:rsid w:val="006D116C"/>
    <w:rsid w:val="006D3033"/>
    <w:rsid w:val="006D6707"/>
    <w:rsid w:val="006E53BF"/>
    <w:rsid w:val="006E7C42"/>
    <w:rsid w:val="006F168A"/>
    <w:rsid w:val="006F35F9"/>
    <w:rsid w:val="006F5076"/>
    <w:rsid w:val="006F6009"/>
    <w:rsid w:val="0070321D"/>
    <w:rsid w:val="007068BA"/>
    <w:rsid w:val="00716AB1"/>
    <w:rsid w:val="00721D63"/>
    <w:rsid w:val="00723692"/>
    <w:rsid w:val="00732C7B"/>
    <w:rsid w:val="00733C45"/>
    <w:rsid w:val="00734D2B"/>
    <w:rsid w:val="007354B4"/>
    <w:rsid w:val="00737705"/>
    <w:rsid w:val="007408D4"/>
    <w:rsid w:val="007420AC"/>
    <w:rsid w:val="00742617"/>
    <w:rsid w:val="007667A7"/>
    <w:rsid w:val="00770504"/>
    <w:rsid w:val="00774FAF"/>
    <w:rsid w:val="00783AFA"/>
    <w:rsid w:val="00785427"/>
    <w:rsid w:val="00790540"/>
    <w:rsid w:val="007968CA"/>
    <w:rsid w:val="007A43FF"/>
    <w:rsid w:val="007A54B0"/>
    <w:rsid w:val="007B3918"/>
    <w:rsid w:val="007C3C1D"/>
    <w:rsid w:val="007D199A"/>
    <w:rsid w:val="007D2EBE"/>
    <w:rsid w:val="007E1C07"/>
    <w:rsid w:val="007F24B6"/>
    <w:rsid w:val="00803D94"/>
    <w:rsid w:val="00806275"/>
    <w:rsid w:val="00821DFB"/>
    <w:rsid w:val="008229BA"/>
    <w:rsid w:val="00824151"/>
    <w:rsid w:val="0084043C"/>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7BCC"/>
    <w:rsid w:val="008C50C3"/>
    <w:rsid w:val="008C5206"/>
    <w:rsid w:val="008C7094"/>
    <w:rsid w:val="008D2B97"/>
    <w:rsid w:val="008D49A5"/>
    <w:rsid w:val="008D6C81"/>
    <w:rsid w:val="008E6CF0"/>
    <w:rsid w:val="008F1439"/>
    <w:rsid w:val="008F7051"/>
    <w:rsid w:val="009033A9"/>
    <w:rsid w:val="0090581D"/>
    <w:rsid w:val="0091439C"/>
    <w:rsid w:val="00920572"/>
    <w:rsid w:val="00920BF2"/>
    <w:rsid w:val="00925E68"/>
    <w:rsid w:val="009349A9"/>
    <w:rsid w:val="00936C52"/>
    <w:rsid w:val="0095489B"/>
    <w:rsid w:val="00966FB9"/>
    <w:rsid w:val="009671CD"/>
    <w:rsid w:val="00972F49"/>
    <w:rsid w:val="009751A9"/>
    <w:rsid w:val="00980F9C"/>
    <w:rsid w:val="0098632B"/>
    <w:rsid w:val="00997BFB"/>
    <w:rsid w:val="009A7348"/>
    <w:rsid w:val="009B462C"/>
    <w:rsid w:val="009C15F3"/>
    <w:rsid w:val="009C3689"/>
    <w:rsid w:val="009D2911"/>
    <w:rsid w:val="009E07C2"/>
    <w:rsid w:val="009E0E52"/>
    <w:rsid w:val="009F72F9"/>
    <w:rsid w:val="00A00205"/>
    <w:rsid w:val="00A00AF0"/>
    <w:rsid w:val="00A108B0"/>
    <w:rsid w:val="00A12B03"/>
    <w:rsid w:val="00A14B5A"/>
    <w:rsid w:val="00A27BD1"/>
    <w:rsid w:val="00A3567F"/>
    <w:rsid w:val="00A37698"/>
    <w:rsid w:val="00A41ED3"/>
    <w:rsid w:val="00A43D9C"/>
    <w:rsid w:val="00A56D79"/>
    <w:rsid w:val="00A81D82"/>
    <w:rsid w:val="00A9118F"/>
    <w:rsid w:val="00A93E33"/>
    <w:rsid w:val="00A946B2"/>
    <w:rsid w:val="00A96D60"/>
    <w:rsid w:val="00AB6970"/>
    <w:rsid w:val="00AC1939"/>
    <w:rsid w:val="00AC7C05"/>
    <w:rsid w:val="00AD167C"/>
    <w:rsid w:val="00AD17C7"/>
    <w:rsid w:val="00AD4041"/>
    <w:rsid w:val="00AE302B"/>
    <w:rsid w:val="00B06CAA"/>
    <w:rsid w:val="00B16BE5"/>
    <w:rsid w:val="00B259DF"/>
    <w:rsid w:val="00B44B1F"/>
    <w:rsid w:val="00B56AC4"/>
    <w:rsid w:val="00B64141"/>
    <w:rsid w:val="00B64E72"/>
    <w:rsid w:val="00B77913"/>
    <w:rsid w:val="00B824FB"/>
    <w:rsid w:val="00B82646"/>
    <w:rsid w:val="00B97359"/>
    <w:rsid w:val="00B97A8F"/>
    <w:rsid w:val="00BA04A0"/>
    <w:rsid w:val="00BA4E58"/>
    <w:rsid w:val="00BA5CBD"/>
    <w:rsid w:val="00BA7074"/>
    <w:rsid w:val="00BB7829"/>
    <w:rsid w:val="00BD1457"/>
    <w:rsid w:val="00BE2AD9"/>
    <w:rsid w:val="00BF27FE"/>
    <w:rsid w:val="00C02C0B"/>
    <w:rsid w:val="00C043B3"/>
    <w:rsid w:val="00C079AB"/>
    <w:rsid w:val="00C10E61"/>
    <w:rsid w:val="00C14787"/>
    <w:rsid w:val="00C1596D"/>
    <w:rsid w:val="00C15B8D"/>
    <w:rsid w:val="00C17010"/>
    <w:rsid w:val="00C20562"/>
    <w:rsid w:val="00C215C3"/>
    <w:rsid w:val="00C23A96"/>
    <w:rsid w:val="00C249C6"/>
    <w:rsid w:val="00C2561B"/>
    <w:rsid w:val="00C32CC1"/>
    <w:rsid w:val="00C402E0"/>
    <w:rsid w:val="00C426EC"/>
    <w:rsid w:val="00C472E7"/>
    <w:rsid w:val="00C6483C"/>
    <w:rsid w:val="00C64AE9"/>
    <w:rsid w:val="00C70CFF"/>
    <w:rsid w:val="00C718FE"/>
    <w:rsid w:val="00C86CEC"/>
    <w:rsid w:val="00C8773D"/>
    <w:rsid w:val="00C87ABB"/>
    <w:rsid w:val="00C91831"/>
    <w:rsid w:val="00C953DF"/>
    <w:rsid w:val="00CD5401"/>
    <w:rsid w:val="00CE25C5"/>
    <w:rsid w:val="00CE2709"/>
    <w:rsid w:val="00CE2D64"/>
    <w:rsid w:val="00CE3B53"/>
    <w:rsid w:val="00CE6198"/>
    <w:rsid w:val="00CF6230"/>
    <w:rsid w:val="00D017FC"/>
    <w:rsid w:val="00D0226A"/>
    <w:rsid w:val="00D13147"/>
    <w:rsid w:val="00D13904"/>
    <w:rsid w:val="00D463FF"/>
    <w:rsid w:val="00D5715A"/>
    <w:rsid w:val="00D71687"/>
    <w:rsid w:val="00D74813"/>
    <w:rsid w:val="00D765C8"/>
    <w:rsid w:val="00D77C91"/>
    <w:rsid w:val="00D93B89"/>
    <w:rsid w:val="00D95BE5"/>
    <w:rsid w:val="00DA30BC"/>
    <w:rsid w:val="00DA5C00"/>
    <w:rsid w:val="00DA69C2"/>
    <w:rsid w:val="00DA6D70"/>
    <w:rsid w:val="00DB4EC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029F"/>
    <w:rsid w:val="00EA1B3A"/>
    <w:rsid w:val="00EA2109"/>
    <w:rsid w:val="00ED4D4E"/>
    <w:rsid w:val="00EE06B5"/>
    <w:rsid w:val="00EE0C77"/>
    <w:rsid w:val="00EE4E54"/>
    <w:rsid w:val="00EF4334"/>
    <w:rsid w:val="00F16524"/>
    <w:rsid w:val="00F40456"/>
    <w:rsid w:val="00F436BB"/>
    <w:rsid w:val="00F47145"/>
    <w:rsid w:val="00F545BF"/>
    <w:rsid w:val="00F71B56"/>
    <w:rsid w:val="00F7315D"/>
    <w:rsid w:val="00F832C8"/>
    <w:rsid w:val="00F873B3"/>
    <w:rsid w:val="00F903A9"/>
    <w:rsid w:val="00FA33FE"/>
    <w:rsid w:val="00FA357A"/>
    <w:rsid w:val="00FA42B9"/>
    <w:rsid w:val="00FA755A"/>
    <w:rsid w:val="00FB2B0F"/>
    <w:rsid w:val="00FB4F6B"/>
    <w:rsid w:val="00FB581E"/>
    <w:rsid w:val="00FB5FE1"/>
    <w:rsid w:val="00FC0E8D"/>
    <w:rsid w:val="00FC46EF"/>
    <w:rsid w:val="00FC50B2"/>
    <w:rsid w:val="00FD31B3"/>
    <w:rsid w:val="00FD4204"/>
    <w:rsid w:val="00FE087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911"/>
    <w:pPr>
      <w:spacing w:before="240" w:after="120" w:line="252" w:lineRule="auto"/>
    </w:pPr>
    <w:rPr>
      <w:rFonts w:ascii="Arial" w:hAnsi="Arial"/>
      <w:sz w:val="24"/>
      <w:szCs w:val="22"/>
      <w:lang w:eastAsia="en-US" w:bidi="he-IL"/>
    </w:rPr>
  </w:style>
  <w:style w:type="paragraph" w:styleId="Heading1">
    <w:name w:val="heading 1"/>
    <w:aliases w:val="Centre"/>
    <w:basedOn w:val="Normal"/>
    <w:next w:val="Normal"/>
    <w:link w:val="Heading1Char"/>
    <w:uiPriority w:val="9"/>
    <w:qFormat/>
    <w:rsid w:val="00223090"/>
    <w:pPr>
      <w:keepNext/>
      <w:numPr>
        <w:numId w:val="3"/>
      </w:numPr>
      <w:ind w:left="851" w:hanging="851"/>
      <w:outlineLvl w:val="0"/>
    </w:pPr>
    <w:rPr>
      <w:color w:val="22413A"/>
      <w:sz w:val="48"/>
    </w:rPr>
  </w:style>
  <w:style w:type="paragraph" w:styleId="Heading2">
    <w:name w:val="heading 2"/>
    <w:aliases w:val="Left"/>
    <w:basedOn w:val="Normal"/>
    <w:next w:val="Normal"/>
    <w:link w:val="Heading2Char"/>
    <w:qFormat/>
    <w:rsid w:val="00FA33FE"/>
    <w:pPr>
      <w:keepNext/>
      <w:numPr>
        <w:ilvl w:val="1"/>
        <w:numId w:val="3"/>
      </w:numPr>
      <w:ind w:left="851" w:hanging="851"/>
      <w:outlineLvl w:val="1"/>
    </w:pPr>
    <w:rPr>
      <w:color w:val="22413A"/>
      <w:sz w:val="36"/>
    </w:rPr>
  </w:style>
  <w:style w:type="paragraph" w:styleId="Heading3">
    <w:name w:val="heading 3"/>
    <w:aliases w:val="Sub"/>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4A649B"/>
    <w:pPr>
      <w:tabs>
        <w:tab w:val="num" w:pos="1296"/>
      </w:tabs>
      <w:spacing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4A649B"/>
    <w:pPr>
      <w:tabs>
        <w:tab w:val="num" w:pos="1440"/>
      </w:tabs>
      <w:spacing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4A649B"/>
    <w:pPr>
      <w:tabs>
        <w:tab w:val="num" w:pos="1584"/>
      </w:tabs>
      <w:spacing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Left Char"/>
    <w:link w:val="Heading2"/>
    <w:rsid w:val="00FA33FE"/>
    <w:rPr>
      <w:rFonts w:ascii="Arial" w:hAnsi="Arial"/>
      <w:color w:val="22413A"/>
      <w:sz w:val="36"/>
      <w:szCs w:val="22"/>
      <w:lang w:eastAsia="en-US" w:bidi="he-IL"/>
    </w:rPr>
  </w:style>
  <w:style w:type="character" w:customStyle="1" w:styleId="Heading3Char">
    <w:name w:val="Heading 3 Char"/>
    <w:aliases w:val="Sub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223090"/>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4A649B"/>
    <w:pPr>
      <w:numPr>
        <w:numId w:val="1"/>
      </w:numPr>
      <w:ind w:left="1276" w:hanging="357"/>
    </w:pPr>
  </w:style>
  <w:style w:type="paragraph" w:customStyle="1" w:styleId="Bulletlist2">
    <w:name w:val="Bullet list 2"/>
    <w:basedOn w:val="Bulletlist1"/>
    <w:uiPriority w:val="1"/>
    <w:qFormat/>
    <w:rsid w:val="009D2911"/>
    <w:pPr>
      <w:numPr>
        <w:ilvl w:val="1"/>
      </w:numPr>
      <w:ind w:left="850" w:hanging="357"/>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925E68"/>
    <w:pPr>
      <w:tabs>
        <w:tab w:val="right" w:leader="dot" w:pos="9752"/>
      </w:tabs>
      <w:spacing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649B"/>
    <w:pPr>
      <w:pBdr>
        <w:top w:val="single" w:sz="4" w:space="6" w:color="22413A"/>
        <w:bottom w:val="single" w:sz="4" w:space="6" w:color="22413A"/>
      </w:pBdr>
      <w:ind w:left="851"/>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9D2911"/>
    <w:pPr>
      <w:numPr>
        <w:ilvl w:val="2"/>
      </w:numPr>
      <w:ind w:left="1417" w:hanging="357"/>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4A649B"/>
    <w:pPr>
      <w:numPr>
        <w:numId w:val="6"/>
      </w:numPr>
      <w:ind w:left="851" w:hanging="851"/>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ParagraphChar">
    <w:name w:val="Paragraph Char"/>
    <w:basedOn w:val="DefaultParagraphFont"/>
    <w:link w:val="Paragraph"/>
    <w:locked/>
    <w:rsid w:val="009D2911"/>
    <w:rPr>
      <w:rFonts w:ascii="Arial" w:hAnsi="Arial"/>
      <w:sz w:val="24"/>
      <w:szCs w:val="22"/>
      <w:lang w:eastAsia="en-US" w:bidi="he-IL"/>
    </w:rPr>
  </w:style>
  <w:style w:type="paragraph" w:customStyle="1" w:styleId="Paragraph">
    <w:name w:val="Paragraph"/>
    <w:basedOn w:val="Normal"/>
    <w:link w:val="ParagraphChar"/>
    <w:qFormat/>
    <w:rsid w:val="009D2911"/>
  </w:style>
  <w:style w:type="character" w:customStyle="1" w:styleId="Heading7Char">
    <w:name w:val="Heading 7 Char"/>
    <w:basedOn w:val="DefaultParagraphFont"/>
    <w:link w:val="Heading7"/>
    <w:rsid w:val="004A649B"/>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4A649B"/>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4A649B"/>
    <w:rPr>
      <w:rFonts w:ascii="Arial" w:eastAsia="Times New Roman" w:hAnsi="Arial"/>
      <w:sz w:val="22"/>
      <w:szCs w:val="22"/>
      <w:lang w:eastAsia="en-US"/>
    </w:rPr>
  </w:style>
  <w:style w:type="paragraph" w:customStyle="1" w:styleId="TSHeadingNumbered1">
    <w:name w:val="TS Heading Numbered 1"/>
    <w:basedOn w:val="Normal"/>
    <w:rsid w:val="004A649B"/>
    <w:pPr>
      <w:spacing w:before="0" w:after="220" w:line="240" w:lineRule="auto"/>
      <w:ind w:left="360" w:hanging="36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4A649B"/>
    <w:pPr>
      <w:tabs>
        <w:tab w:val="num" w:pos="-31680"/>
      </w:tabs>
      <w:ind w:left="720" w:hanging="720"/>
    </w:pPr>
  </w:style>
  <w:style w:type="paragraph" w:customStyle="1" w:styleId="TSHeadingNumbered111">
    <w:name w:val="TS Heading Numbered 1.1.1"/>
    <w:basedOn w:val="TSHeadingNumbered1"/>
    <w:rsid w:val="004A649B"/>
    <w:pPr>
      <w:tabs>
        <w:tab w:val="num" w:pos="-31680"/>
      </w:tabs>
      <w:ind w:left="720" w:hanging="720"/>
    </w:pPr>
  </w:style>
  <w:style w:type="paragraph" w:customStyle="1" w:styleId="TSHeadingNumbered1111">
    <w:name w:val="TS Heading Numbered 1.1.1.1"/>
    <w:basedOn w:val="TSHeadingNumbered1"/>
    <w:rsid w:val="004A649B"/>
    <w:pPr>
      <w:tabs>
        <w:tab w:val="num" w:pos="-31680"/>
      </w:tabs>
      <w:ind w:left="720" w:hanging="720"/>
    </w:pPr>
  </w:style>
  <w:style w:type="paragraph" w:customStyle="1" w:styleId="TSNumberedParagraph11">
    <w:name w:val="TS Numbered Paragraph 1.1"/>
    <w:basedOn w:val="TSHeadingNumbered11"/>
    <w:rsid w:val="004A649B"/>
    <w:pPr>
      <w:numPr>
        <w:numId w:val="5"/>
      </w:numPr>
    </w:pPr>
    <w:rPr>
      <w:rFonts w:ascii="Arial" w:hAnsi="Arial"/>
      <w:b w:val="0"/>
      <w:caps w:val="0"/>
    </w:rPr>
  </w:style>
  <w:style w:type="paragraph" w:customStyle="1" w:styleId="TSBullet1Square">
    <w:name w:val="TS Bullet 1 Square"/>
    <w:basedOn w:val="Normal"/>
    <w:rsid w:val="004A649B"/>
    <w:pPr>
      <w:numPr>
        <w:numId w:val="4"/>
      </w:numPr>
      <w:spacing w:before="0" w:after="240" w:line="240" w:lineRule="auto"/>
      <w:contextualSpacing/>
    </w:pPr>
    <w:rPr>
      <w:rFonts w:eastAsia="Times New Roman" w:cs="Times New Roman"/>
      <w:sz w:val="22"/>
      <w:szCs w:val="24"/>
      <w:lang w:bidi="ar-SA"/>
    </w:rPr>
  </w:style>
  <w:style w:type="character" w:customStyle="1" w:styleId="TSExampleText">
    <w:name w:val="TS Example Text"/>
    <w:rsid w:val="004A649B"/>
    <w:rPr>
      <w:i/>
      <w:iCs/>
      <w:color w:val="006D68"/>
    </w:rPr>
  </w:style>
  <w:style w:type="paragraph" w:customStyle="1" w:styleId="TSBullet2Circle">
    <w:name w:val="TS Bullet 2 Circle"/>
    <w:basedOn w:val="TSBullet1Square"/>
    <w:rsid w:val="004A649B"/>
    <w:pPr>
      <w:numPr>
        <w:numId w:val="7"/>
      </w:numPr>
    </w:pPr>
  </w:style>
  <w:style w:type="character" w:styleId="FollowedHyperlink">
    <w:name w:val="FollowedHyperlink"/>
    <w:rsid w:val="004A649B"/>
    <w:rPr>
      <w:color w:val="800080"/>
      <w:u w:val="single"/>
    </w:rPr>
  </w:style>
  <w:style w:type="paragraph" w:customStyle="1" w:styleId="TSNumberedParagraph1">
    <w:name w:val="TS Numbered Paragraph 1"/>
    <w:basedOn w:val="TSNumberedParagraph11"/>
    <w:rsid w:val="004A649B"/>
    <w:pPr>
      <w:numPr>
        <w:numId w:val="0"/>
      </w:numPr>
      <w:tabs>
        <w:tab w:val="num" w:pos="-31680"/>
      </w:tabs>
    </w:pPr>
    <w:rPr>
      <w:caps/>
    </w:rPr>
  </w:style>
  <w:style w:type="paragraph" w:styleId="DocumentMap">
    <w:name w:val="Document Map"/>
    <w:basedOn w:val="Normal"/>
    <w:link w:val="DocumentMapChar"/>
    <w:semiHidden/>
    <w:rsid w:val="004A649B"/>
    <w:pPr>
      <w:shd w:val="clear" w:color="auto" w:fill="000080"/>
      <w:spacing w:before="0"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4A649B"/>
    <w:rPr>
      <w:rFonts w:ascii="Tahoma" w:eastAsia="Times New Roman" w:hAnsi="Tahoma" w:cs="Tahoma"/>
      <w:shd w:val="clear" w:color="auto" w:fill="000080"/>
      <w:lang w:eastAsia="en-US"/>
    </w:rPr>
  </w:style>
  <w:style w:type="numbering" w:customStyle="1" w:styleId="StyleBulletedSymbolsymbolBefore19cmHanging063cm">
    <w:name w:val="Style Bulleted Symbol (symbol) Before:  1.9 cm Hanging:  0.63 cm"/>
    <w:basedOn w:val="NoList"/>
    <w:rsid w:val="004A649B"/>
    <w:pPr>
      <w:numPr>
        <w:numId w:val="12"/>
      </w:numPr>
    </w:pPr>
  </w:style>
  <w:style w:type="paragraph" w:customStyle="1" w:styleId="ONRNumberedParagraph1">
    <w:name w:val="ONR Numbered Paragraph 1"/>
    <w:basedOn w:val="Normal"/>
    <w:link w:val="ONRNumberedParagraph1CharChar"/>
    <w:rsid w:val="004A649B"/>
    <w:pPr>
      <w:numPr>
        <w:numId w:val="14"/>
      </w:numPr>
      <w:spacing w:before="0" w:line="240" w:lineRule="auto"/>
      <w:jc w:val="both"/>
    </w:pPr>
    <w:rPr>
      <w:rFonts w:eastAsia="Times New Roman"/>
      <w:sz w:val="22"/>
      <w:lang w:bidi="ar-SA"/>
    </w:rPr>
  </w:style>
  <w:style w:type="character" w:customStyle="1" w:styleId="ONRNumberedParagraph1CharChar">
    <w:name w:val="ONR Numbered Paragraph 1 Char Char"/>
    <w:link w:val="ONRNumberedParagraph1"/>
    <w:rsid w:val="004A649B"/>
    <w:rPr>
      <w:rFonts w:ascii="Arial" w:eastAsia="Times New Roman" w:hAnsi="Arial"/>
      <w:sz w:val="22"/>
      <w:szCs w:val="22"/>
      <w:lang w:eastAsia="en-US"/>
    </w:rPr>
  </w:style>
  <w:style w:type="paragraph" w:customStyle="1" w:styleId="ONRSquareBullet1">
    <w:name w:val="ONR Square Bullet 1"/>
    <w:basedOn w:val="Normal"/>
    <w:rsid w:val="004A649B"/>
    <w:pPr>
      <w:numPr>
        <w:numId w:val="13"/>
      </w:numPr>
      <w:spacing w:before="0" w:line="240" w:lineRule="auto"/>
      <w:jc w:val="both"/>
    </w:pPr>
    <w:rPr>
      <w:rFonts w:eastAsia="Times New Roman"/>
      <w:sz w:val="22"/>
      <w:lang w:bidi="ar-SA"/>
    </w:rPr>
  </w:style>
  <w:style w:type="paragraph" w:styleId="CommentSubject">
    <w:name w:val="annotation subject"/>
    <w:basedOn w:val="CommentText"/>
    <w:next w:val="CommentText"/>
    <w:link w:val="CommentSubjectChar"/>
    <w:rsid w:val="004A649B"/>
    <w:pPr>
      <w:spacing w:before="0" w:after="0"/>
    </w:pPr>
    <w:rPr>
      <w:rFonts w:ascii="Arial" w:eastAsia="Times New Roman" w:hAnsi="Arial" w:cs="Times New Roman"/>
      <w:b/>
      <w:bCs/>
    </w:rPr>
  </w:style>
  <w:style w:type="character" w:customStyle="1" w:styleId="CommentSubjectChar">
    <w:name w:val="Comment Subject Char"/>
    <w:basedOn w:val="CommentTextChar"/>
    <w:link w:val="CommentSubject"/>
    <w:rsid w:val="004A649B"/>
    <w:rPr>
      <w:rFonts w:ascii="Arial" w:eastAsia="Times New Roman" w:hAnsi="Arial" w:cs="Times New Roman"/>
      <w:b/>
      <w:bCs/>
      <w:lang w:eastAsia="en-US"/>
    </w:rPr>
  </w:style>
  <w:style w:type="paragraph" w:customStyle="1" w:styleId="Pa0">
    <w:name w:val="Pa0"/>
    <w:basedOn w:val="Normal"/>
    <w:next w:val="Normal"/>
    <w:uiPriority w:val="99"/>
    <w:rsid w:val="004A649B"/>
    <w:pPr>
      <w:autoSpaceDE w:val="0"/>
      <w:autoSpaceDN w:val="0"/>
      <w:adjustRightInd w:val="0"/>
      <w:spacing w:before="0" w:after="0" w:line="241" w:lineRule="atLeast"/>
    </w:pPr>
    <w:rPr>
      <w:rFonts w:ascii="MrEavesModOT" w:eastAsia="Times New Roman" w:hAnsi="MrEavesModOT" w:cs="Times New Roman"/>
      <w:szCs w:val="24"/>
      <w:lang w:eastAsia="en-GB" w:bidi="ar-SA"/>
    </w:rPr>
  </w:style>
  <w:style w:type="paragraph" w:customStyle="1" w:styleId="Pa4">
    <w:name w:val="Pa4"/>
    <w:basedOn w:val="Normal"/>
    <w:next w:val="Normal"/>
    <w:uiPriority w:val="99"/>
    <w:rsid w:val="004A649B"/>
    <w:pPr>
      <w:autoSpaceDE w:val="0"/>
      <w:autoSpaceDN w:val="0"/>
      <w:adjustRightInd w:val="0"/>
      <w:spacing w:before="0" w:after="0" w:line="221" w:lineRule="atLeast"/>
    </w:pPr>
    <w:rPr>
      <w:rFonts w:ascii="MrEavesModOT" w:eastAsia="Times New Roman" w:hAnsi="MrEavesModOT" w:cs="Times New Roman"/>
      <w:szCs w:val="24"/>
      <w:lang w:eastAsia="en-GB" w:bidi="ar-SA"/>
    </w:rPr>
  </w:style>
  <w:style w:type="character" w:customStyle="1" w:styleId="A5">
    <w:name w:val="A5"/>
    <w:uiPriority w:val="99"/>
    <w:rsid w:val="004A649B"/>
    <w:rPr>
      <w:rFonts w:ascii="MrEavesModOTLight" w:hAnsi="MrEavesModOTLight" w:cs="MrEavesModOTLight"/>
      <w:color w:val="000000"/>
      <w:sz w:val="22"/>
      <w:szCs w:val="22"/>
    </w:rPr>
  </w:style>
  <w:style w:type="paragraph" w:styleId="NormalWeb">
    <w:name w:val="Normal (Web)"/>
    <w:basedOn w:val="Normal"/>
    <w:uiPriority w:val="99"/>
    <w:unhideWhenUsed/>
    <w:rsid w:val="004A649B"/>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Revision">
    <w:name w:val="Revision"/>
    <w:hidden/>
    <w:uiPriority w:val="99"/>
    <w:semiHidden/>
    <w:rsid w:val="004A649B"/>
    <w:rPr>
      <w:rFonts w:ascii="Arial" w:eastAsia="Times New Roman" w:hAnsi="Arial" w:cs="Times New Roman"/>
      <w:sz w:val="22"/>
      <w:szCs w:val="24"/>
      <w:lang w:eastAsia="en-US"/>
    </w:rPr>
  </w:style>
  <w:style w:type="character" w:customStyle="1" w:styleId="cf01">
    <w:name w:val="cf01"/>
    <w:basedOn w:val="DefaultParagraphFont"/>
    <w:rsid w:val="004A649B"/>
    <w:rPr>
      <w:rFonts w:ascii="Segoe UI" w:hAnsi="Segoe UI" w:cs="Segoe UI" w:hint="default"/>
      <w:sz w:val="18"/>
      <w:szCs w:val="18"/>
    </w:rPr>
  </w:style>
  <w:style w:type="paragraph" w:styleId="TOC4">
    <w:name w:val="toc 4"/>
    <w:basedOn w:val="Normal"/>
    <w:next w:val="Normal"/>
    <w:autoRedefine/>
    <w:uiPriority w:val="39"/>
    <w:unhideWhenUsed/>
    <w:rsid w:val="00037D99"/>
    <w:pPr>
      <w:spacing w:before="0" w:after="100" w:line="259" w:lineRule="auto"/>
      <w:ind w:left="660"/>
    </w:pPr>
    <w:rPr>
      <w:rFonts w:asciiTheme="minorHAnsi" w:eastAsiaTheme="minorEastAsia" w:hAnsiTheme="minorHAnsi" w:cstheme="minorBidi"/>
      <w:kern w:val="2"/>
      <w:sz w:val="22"/>
      <w:lang w:eastAsia="en-GB" w:bidi="ar-SA"/>
      <w14:ligatures w14:val="standardContextual"/>
    </w:rPr>
  </w:style>
  <w:style w:type="paragraph" w:styleId="TOC5">
    <w:name w:val="toc 5"/>
    <w:basedOn w:val="Normal"/>
    <w:next w:val="Normal"/>
    <w:autoRedefine/>
    <w:uiPriority w:val="39"/>
    <w:unhideWhenUsed/>
    <w:rsid w:val="00037D99"/>
    <w:pPr>
      <w:spacing w:before="0" w:after="100" w:line="259" w:lineRule="auto"/>
      <w:ind w:left="880"/>
    </w:pPr>
    <w:rPr>
      <w:rFonts w:asciiTheme="minorHAnsi" w:eastAsiaTheme="minorEastAsia" w:hAnsiTheme="minorHAnsi" w:cstheme="minorBidi"/>
      <w:kern w:val="2"/>
      <w:sz w:val="22"/>
      <w:lang w:eastAsia="en-GB" w:bidi="ar-SA"/>
      <w14:ligatures w14:val="standardContextual"/>
    </w:rPr>
  </w:style>
  <w:style w:type="paragraph" w:styleId="TOC6">
    <w:name w:val="toc 6"/>
    <w:basedOn w:val="Normal"/>
    <w:next w:val="Normal"/>
    <w:autoRedefine/>
    <w:uiPriority w:val="39"/>
    <w:unhideWhenUsed/>
    <w:rsid w:val="00037D99"/>
    <w:pPr>
      <w:spacing w:before="0" w:after="100" w:line="259" w:lineRule="auto"/>
      <w:ind w:left="1100"/>
    </w:pPr>
    <w:rPr>
      <w:rFonts w:asciiTheme="minorHAnsi" w:eastAsiaTheme="minorEastAsia" w:hAnsiTheme="minorHAnsi" w:cstheme="minorBidi"/>
      <w:kern w:val="2"/>
      <w:sz w:val="22"/>
      <w:lang w:eastAsia="en-GB" w:bidi="ar-SA"/>
      <w14:ligatures w14:val="standardContextual"/>
    </w:rPr>
  </w:style>
  <w:style w:type="paragraph" w:styleId="TOC7">
    <w:name w:val="toc 7"/>
    <w:basedOn w:val="Normal"/>
    <w:next w:val="Normal"/>
    <w:autoRedefine/>
    <w:uiPriority w:val="39"/>
    <w:unhideWhenUsed/>
    <w:rsid w:val="00037D99"/>
    <w:pPr>
      <w:spacing w:before="0" w:after="100" w:line="259" w:lineRule="auto"/>
      <w:ind w:left="1320"/>
    </w:pPr>
    <w:rPr>
      <w:rFonts w:asciiTheme="minorHAnsi" w:eastAsiaTheme="minorEastAsia" w:hAnsiTheme="minorHAnsi" w:cstheme="minorBidi"/>
      <w:kern w:val="2"/>
      <w:sz w:val="22"/>
      <w:lang w:eastAsia="en-GB" w:bidi="ar-SA"/>
      <w14:ligatures w14:val="standardContextual"/>
    </w:rPr>
  </w:style>
  <w:style w:type="paragraph" w:styleId="TOC8">
    <w:name w:val="toc 8"/>
    <w:basedOn w:val="Normal"/>
    <w:next w:val="Normal"/>
    <w:autoRedefine/>
    <w:uiPriority w:val="39"/>
    <w:unhideWhenUsed/>
    <w:rsid w:val="00037D99"/>
    <w:pPr>
      <w:spacing w:before="0" w:after="100" w:line="259" w:lineRule="auto"/>
      <w:ind w:left="1540"/>
    </w:pPr>
    <w:rPr>
      <w:rFonts w:asciiTheme="minorHAnsi" w:eastAsiaTheme="minorEastAsia" w:hAnsiTheme="minorHAnsi" w:cstheme="minorBidi"/>
      <w:kern w:val="2"/>
      <w:sz w:val="22"/>
      <w:lang w:eastAsia="en-GB" w:bidi="ar-SA"/>
      <w14:ligatures w14:val="standardContextual"/>
    </w:rPr>
  </w:style>
  <w:style w:type="paragraph" w:styleId="TOC9">
    <w:name w:val="toc 9"/>
    <w:basedOn w:val="Normal"/>
    <w:next w:val="Normal"/>
    <w:autoRedefine/>
    <w:uiPriority w:val="39"/>
    <w:unhideWhenUsed/>
    <w:rsid w:val="00037D99"/>
    <w:pPr>
      <w:spacing w:before="0" w:after="100" w:line="259" w:lineRule="auto"/>
      <w:ind w:left="1760"/>
    </w:pPr>
    <w:rPr>
      <w:rFonts w:asciiTheme="minorHAnsi" w:eastAsiaTheme="minorEastAsia" w:hAnsiTheme="minorHAnsi" w:cstheme="minorBidi"/>
      <w:kern w:val="2"/>
      <w:sz w:val="22"/>
      <w:lang w:eastAsia="en-GB"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92936">
      <w:bodyDiv w:val="1"/>
      <w:marLeft w:val="0"/>
      <w:marRight w:val="0"/>
      <w:marTop w:val="0"/>
      <w:marBottom w:val="0"/>
      <w:divBdr>
        <w:top w:val="none" w:sz="0" w:space="0" w:color="auto"/>
        <w:left w:val="none" w:sz="0" w:space="0" w:color="auto"/>
        <w:bottom w:val="none" w:sz="0" w:space="0" w:color="auto"/>
        <w:right w:val="none" w:sz="0" w:space="0" w:color="auto"/>
      </w:divBdr>
    </w:div>
    <w:div w:id="51318421">
      <w:bodyDiv w:val="1"/>
      <w:marLeft w:val="0"/>
      <w:marRight w:val="0"/>
      <w:marTop w:val="0"/>
      <w:marBottom w:val="0"/>
      <w:divBdr>
        <w:top w:val="none" w:sz="0" w:space="0" w:color="auto"/>
        <w:left w:val="none" w:sz="0" w:space="0" w:color="auto"/>
        <w:bottom w:val="none" w:sz="0" w:space="0" w:color="auto"/>
        <w:right w:val="none" w:sz="0" w:space="0" w:color="auto"/>
      </w:divBdr>
    </w:div>
    <w:div w:id="6935271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23353539">
      <w:bodyDiv w:val="1"/>
      <w:marLeft w:val="0"/>
      <w:marRight w:val="0"/>
      <w:marTop w:val="0"/>
      <w:marBottom w:val="0"/>
      <w:divBdr>
        <w:top w:val="none" w:sz="0" w:space="0" w:color="auto"/>
        <w:left w:val="none" w:sz="0" w:space="0" w:color="auto"/>
        <w:bottom w:val="none" w:sz="0" w:space="0" w:color="auto"/>
        <w:right w:val="none" w:sz="0" w:space="0" w:color="auto"/>
      </w:divBdr>
    </w:div>
    <w:div w:id="135070900">
      <w:bodyDiv w:val="1"/>
      <w:marLeft w:val="0"/>
      <w:marRight w:val="0"/>
      <w:marTop w:val="0"/>
      <w:marBottom w:val="0"/>
      <w:divBdr>
        <w:top w:val="none" w:sz="0" w:space="0" w:color="auto"/>
        <w:left w:val="none" w:sz="0" w:space="0" w:color="auto"/>
        <w:bottom w:val="none" w:sz="0" w:space="0" w:color="auto"/>
        <w:right w:val="none" w:sz="0" w:space="0" w:color="auto"/>
      </w:divBdr>
    </w:div>
    <w:div w:id="17727838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6846015">
      <w:bodyDiv w:val="1"/>
      <w:marLeft w:val="0"/>
      <w:marRight w:val="0"/>
      <w:marTop w:val="0"/>
      <w:marBottom w:val="0"/>
      <w:divBdr>
        <w:top w:val="none" w:sz="0" w:space="0" w:color="auto"/>
        <w:left w:val="none" w:sz="0" w:space="0" w:color="auto"/>
        <w:bottom w:val="none" w:sz="0" w:space="0" w:color="auto"/>
        <w:right w:val="none" w:sz="0" w:space="0" w:color="auto"/>
      </w:divBdr>
    </w:div>
    <w:div w:id="236551911">
      <w:bodyDiv w:val="1"/>
      <w:marLeft w:val="0"/>
      <w:marRight w:val="0"/>
      <w:marTop w:val="0"/>
      <w:marBottom w:val="0"/>
      <w:divBdr>
        <w:top w:val="none" w:sz="0" w:space="0" w:color="auto"/>
        <w:left w:val="none" w:sz="0" w:space="0" w:color="auto"/>
        <w:bottom w:val="none" w:sz="0" w:space="0" w:color="auto"/>
        <w:right w:val="none" w:sz="0" w:space="0" w:color="auto"/>
      </w:divBdr>
    </w:div>
    <w:div w:id="259918433">
      <w:bodyDiv w:val="1"/>
      <w:marLeft w:val="0"/>
      <w:marRight w:val="0"/>
      <w:marTop w:val="0"/>
      <w:marBottom w:val="0"/>
      <w:divBdr>
        <w:top w:val="none" w:sz="0" w:space="0" w:color="auto"/>
        <w:left w:val="none" w:sz="0" w:space="0" w:color="auto"/>
        <w:bottom w:val="none" w:sz="0" w:space="0" w:color="auto"/>
        <w:right w:val="none" w:sz="0" w:space="0" w:color="auto"/>
      </w:divBdr>
    </w:div>
    <w:div w:id="283659409">
      <w:bodyDiv w:val="1"/>
      <w:marLeft w:val="0"/>
      <w:marRight w:val="0"/>
      <w:marTop w:val="0"/>
      <w:marBottom w:val="0"/>
      <w:divBdr>
        <w:top w:val="none" w:sz="0" w:space="0" w:color="auto"/>
        <w:left w:val="none" w:sz="0" w:space="0" w:color="auto"/>
        <w:bottom w:val="none" w:sz="0" w:space="0" w:color="auto"/>
        <w:right w:val="none" w:sz="0" w:space="0" w:color="auto"/>
      </w:divBdr>
    </w:div>
    <w:div w:id="289359534">
      <w:bodyDiv w:val="1"/>
      <w:marLeft w:val="0"/>
      <w:marRight w:val="0"/>
      <w:marTop w:val="0"/>
      <w:marBottom w:val="0"/>
      <w:divBdr>
        <w:top w:val="none" w:sz="0" w:space="0" w:color="auto"/>
        <w:left w:val="none" w:sz="0" w:space="0" w:color="auto"/>
        <w:bottom w:val="none" w:sz="0" w:space="0" w:color="auto"/>
        <w:right w:val="none" w:sz="0" w:space="0" w:color="auto"/>
      </w:divBdr>
    </w:div>
    <w:div w:id="312032911">
      <w:bodyDiv w:val="1"/>
      <w:marLeft w:val="0"/>
      <w:marRight w:val="0"/>
      <w:marTop w:val="0"/>
      <w:marBottom w:val="0"/>
      <w:divBdr>
        <w:top w:val="none" w:sz="0" w:space="0" w:color="auto"/>
        <w:left w:val="none" w:sz="0" w:space="0" w:color="auto"/>
        <w:bottom w:val="none" w:sz="0" w:space="0" w:color="auto"/>
        <w:right w:val="none" w:sz="0" w:space="0" w:color="auto"/>
      </w:divBdr>
    </w:div>
    <w:div w:id="325404988">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12092298">
      <w:bodyDiv w:val="1"/>
      <w:marLeft w:val="0"/>
      <w:marRight w:val="0"/>
      <w:marTop w:val="0"/>
      <w:marBottom w:val="0"/>
      <w:divBdr>
        <w:top w:val="none" w:sz="0" w:space="0" w:color="auto"/>
        <w:left w:val="none" w:sz="0" w:space="0" w:color="auto"/>
        <w:bottom w:val="none" w:sz="0" w:space="0" w:color="auto"/>
        <w:right w:val="none" w:sz="0" w:space="0" w:color="auto"/>
      </w:divBdr>
    </w:div>
    <w:div w:id="45563598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2429015">
      <w:bodyDiv w:val="1"/>
      <w:marLeft w:val="0"/>
      <w:marRight w:val="0"/>
      <w:marTop w:val="0"/>
      <w:marBottom w:val="0"/>
      <w:divBdr>
        <w:top w:val="none" w:sz="0" w:space="0" w:color="auto"/>
        <w:left w:val="none" w:sz="0" w:space="0" w:color="auto"/>
        <w:bottom w:val="none" w:sz="0" w:space="0" w:color="auto"/>
        <w:right w:val="none" w:sz="0" w:space="0" w:color="auto"/>
      </w:divBdr>
    </w:div>
    <w:div w:id="475490851">
      <w:bodyDiv w:val="1"/>
      <w:marLeft w:val="0"/>
      <w:marRight w:val="0"/>
      <w:marTop w:val="0"/>
      <w:marBottom w:val="0"/>
      <w:divBdr>
        <w:top w:val="none" w:sz="0" w:space="0" w:color="auto"/>
        <w:left w:val="none" w:sz="0" w:space="0" w:color="auto"/>
        <w:bottom w:val="none" w:sz="0" w:space="0" w:color="auto"/>
        <w:right w:val="none" w:sz="0" w:space="0" w:color="auto"/>
      </w:divBdr>
    </w:div>
    <w:div w:id="477766424">
      <w:bodyDiv w:val="1"/>
      <w:marLeft w:val="0"/>
      <w:marRight w:val="0"/>
      <w:marTop w:val="0"/>
      <w:marBottom w:val="0"/>
      <w:divBdr>
        <w:top w:val="none" w:sz="0" w:space="0" w:color="auto"/>
        <w:left w:val="none" w:sz="0" w:space="0" w:color="auto"/>
        <w:bottom w:val="none" w:sz="0" w:space="0" w:color="auto"/>
        <w:right w:val="none" w:sz="0" w:space="0" w:color="auto"/>
      </w:divBdr>
    </w:div>
    <w:div w:id="50452078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58172739">
      <w:bodyDiv w:val="1"/>
      <w:marLeft w:val="0"/>
      <w:marRight w:val="0"/>
      <w:marTop w:val="0"/>
      <w:marBottom w:val="0"/>
      <w:divBdr>
        <w:top w:val="none" w:sz="0" w:space="0" w:color="auto"/>
        <w:left w:val="none" w:sz="0" w:space="0" w:color="auto"/>
        <w:bottom w:val="none" w:sz="0" w:space="0" w:color="auto"/>
        <w:right w:val="none" w:sz="0" w:space="0" w:color="auto"/>
      </w:divBdr>
    </w:div>
    <w:div w:id="616765062">
      <w:bodyDiv w:val="1"/>
      <w:marLeft w:val="0"/>
      <w:marRight w:val="0"/>
      <w:marTop w:val="0"/>
      <w:marBottom w:val="0"/>
      <w:divBdr>
        <w:top w:val="none" w:sz="0" w:space="0" w:color="auto"/>
        <w:left w:val="none" w:sz="0" w:space="0" w:color="auto"/>
        <w:bottom w:val="none" w:sz="0" w:space="0" w:color="auto"/>
        <w:right w:val="none" w:sz="0" w:space="0" w:color="auto"/>
      </w:divBdr>
    </w:div>
    <w:div w:id="628626795">
      <w:bodyDiv w:val="1"/>
      <w:marLeft w:val="0"/>
      <w:marRight w:val="0"/>
      <w:marTop w:val="0"/>
      <w:marBottom w:val="0"/>
      <w:divBdr>
        <w:top w:val="none" w:sz="0" w:space="0" w:color="auto"/>
        <w:left w:val="none" w:sz="0" w:space="0" w:color="auto"/>
        <w:bottom w:val="none" w:sz="0" w:space="0" w:color="auto"/>
        <w:right w:val="none" w:sz="0" w:space="0" w:color="auto"/>
      </w:divBdr>
    </w:div>
    <w:div w:id="629022221">
      <w:bodyDiv w:val="1"/>
      <w:marLeft w:val="0"/>
      <w:marRight w:val="0"/>
      <w:marTop w:val="0"/>
      <w:marBottom w:val="0"/>
      <w:divBdr>
        <w:top w:val="none" w:sz="0" w:space="0" w:color="auto"/>
        <w:left w:val="none" w:sz="0" w:space="0" w:color="auto"/>
        <w:bottom w:val="none" w:sz="0" w:space="0" w:color="auto"/>
        <w:right w:val="none" w:sz="0" w:space="0" w:color="auto"/>
      </w:divBdr>
    </w:div>
    <w:div w:id="641352410">
      <w:bodyDiv w:val="1"/>
      <w:marLeft w:val="0"/>
      <w:marRight w:val="0"/>
      <w:marTop w:val="0"/>
      <w:marBottom w:val="0"/>
      <w:divBdr>
        <w:top w:val="none" w:sz="0" w:space="0" w:color="auto"/>
        <w:left w:val="none" w:sz="0" w:space="0" w:color="auto"/>
        <w:bottom w:val="none" w:sz="0" w:space="0" w:color="auto"/>
        <w:right w:val="none" w:sz="0" w:space="0" w:color="auto"/>
      </w:divBdr>
    </w:div>
    <w:div w:id="662127468">
      <w:bodyDiv w:val="1"/>
      <w:marLeft w:val="0"/>
      <w:marRight w:val="0"/>
      <w:marTop w:val="0"/>
      <w:marBottom w:val="0"/>
      <w:divBdr>
        <w:top w:val="none" w:sz="0" w:space="0" w:color="auto"/>
        <w:left w:val="none" w:sz="0" w:space="0" w:color="auto"/>
        <w:bottom w:val="none" w:sz="0" w:space="0" w:color="auto"/>
        <w:right w:val="none" w:sz="0" w:space="0" w:color="auto"/>
      </w:divBdr>
    </w:div>
    <w:div w:id="667175722">
      <w:bodyDiv w:val="1"/>
      <w:marLeft w:val="0"/>
      <w:marRight w:val="0"/>
      <w:marTop w:val="0"/>
      <w:marBottom w:val="0"/>
      <w:divBdr>
        <w:top w:val="none" w:sz="0" w:space="0" w:color="auto"/>
        <w:left w:val="none" w:sz="0" w:space="0" w:color="auto"/>
        <w:bottom w:val="none" w:sz="0" w:space="0" w:color="auto"/>
        <w:right w:val="none" w:sz="0" w:space="0" w:color="auto"/>
      </w:divBdr>
    </w:div>
    <w:div w:id="718162813">
      <w:bodyDiv w:val="1"/>
      <w:marLeft w:val="0"/>
      <w:marRight w:val="0"/>
      <w:marTop w:val="0"/>
      <w:marBottom w:val="0"/>
      <w:divBdr>
        <w:top w:val="none" w:sz="0" w:space="0" w:color="auto"/>
        <w:left w:val="none" w:sz="0" w:space="0" w:color="auto"/>
        <w:bottom w:val="none" w:sz="0" w:space="0" w:color="auto"/>
        <w:right w:val="none" w:sz="0" w:space="0" w:color="auto"/>
      </w:divBdr>
    </w:div>
    <w:div w:id="734746860">
      <w:bodyDiv w:val="1"/>
      <w:marLeft w:val="0"/>
      <w:marRight w:val="0"/>
      <w:marTop w:val="0"/>
      <w:marBottom w:val="0"/>
      <w:divBdr>
        <w:top w:val="none" w:sz="0" w:space="0" w:color="auto"/>
        <w:left w:val="none" w:sz="0" w:space="0" w:color="auto"/>
        <w:bottom w:val="none" w:sz="0" w:space="0" w:color="auto"/>
        <w:right w:val="none" w:sz="0" w:space="0" w:color="auto"/>
      </w:divBdr>
    </w:div>
    <w:div w:id="767895709">
      <w:bodyDiv w:val="1"/>
      <w:marLeft w:val="0"/>
      <w:marRight w:val="0"/>
      <w:marTop w:val="0"/>
      <w:marBottom w:val="0"/>
      <w:divBdr>
        <w:top w:val="none" w:sz="0" w:space="0" w:color="auto"/>
        <w:left w:val="none" w:sz="0" w:space="0" w:color="auto"/>
        <w:bottom w:val="none" w:sz="0" w:space="0" w:color="auto"/>
        <w:right w:val="none" w:sz="0" w:space="0" w:color="auto"/>
      </w:divBdr>
    </w:div>
    <w:div w:id="792408192">
      <w:bodyDiv w:val="1"/>
      <w:marLeft w:val="0"/>
      <w:marRight w:val="0"/>
      <w:marTop w:val="0"/>
      <w:marBottom w:val="0"/>
      <w:divBdr>
        <w:top w:val="none" w:sz="0" w:space="0" w:color="auto"/>
        <w:left w:val="none" w:sz="0" w:space="0" w:color="auto"/>
        <w:bottom w:val="none" w:sz="0" w:space="0" w:color="auto"/>
        <w:right w:val="none" w:sz="0" w:space="0" w:color="auto"/>
      </w:divBdr>
    </w:div>
    <w:div w:id="828862125">
      <w:bodyDiv w:val="1"/>
      <w:marLeft w:val="0"/>
      <w:marRight w:val="0"/>
      <w:marTop w:val="0"/>
      <w:marBottom w:val="0"/>
      <w:divBdr>
        <w:top w:val="none" w:sz="0" w:space="0" w:color="auto"/>
        <w:left w:val="none" w:sz="0" w:space="0" w:color="auto"/>
        <w:bottom w:val="none" w:sz="0" w:space="0" w:color="auto"/>
        <w:right w:val="none" w:sz="0" w:space="0" w:color="auto"/>
      </w:divBdr>
    </w:div>
    <w:div w:id="843251936">
      <w:bodyDiv w:val="1"/>
      <w:marLeft w:val="0"/>
      <w:marRight w:val="0"/>
      <w:marTop w:val="0"/>
      <w:marBottom w:val="0"/>
      <w:divBdr>
        <w:top w:val="none" w:sz="0" w:space="0" w:color="auto"/>
        <w:left w:val="none" w:sz="0" w:space="0" w:color="auto"/>
        <w:bottom w:val="none" w:sz="0" w:space="0" w:color="auto"/>
        <w:right w:val="none" w:sz="0" w:space="0" w:color="auto"/>
      </w:divBdr>
    </w:div>
    <w:div w:id="849494101">
      <w:bodyDiv w:val="1"/>
      <w:marLeft w:val="0"/>
      <w:marRight w:val="0"/>
      <w:marTop w:val="0"/>
      <w:marBottom w:val="0"/>
      <w:divBdr>
        <w:top w:val="none" w:sz="0" w:space="0" w:color="auto"/>
        <w:left w:val="none" w:sz="0" w:space="0" w:color="auto"/>
        <w:bottom w:val="none" w:sz="0" w:space="0" w:color="auto"/>
        <w:right w:val="none" w:sz="0" w:space="0" w:color="auto"/>
      </w:divBdr>
    </w:div>
    <w:div w:id="849680490">
      <w:bodyDiv w:val="1"/>
      <w:marLeft w:val="0"/>
      <w:marRight w:val="0"/>
      <w:marTop w:val="0"/>
      <w:marBottom w:val="0"/>
      <w:divBdr>
        <w:top w:val="none" w:sz="0" w:space="0" w:color="auto"/>
        <w:left w:val="none" w:sz="0" w:space="0" w:color="auto"/>
        <w:bottom w:val="none" w:sz="0" w:space="0" w:color="auto"/>
        <w:right w:val="none" w:sz="0" w:space="0" w:color="auto"/>
      </w:divBdr>
    </w:div>
    <w:div w:id="850220744">
      <w:bodyDiv w:val="1"/>
      <w:marLeft w:val="0"/>
      <w:marRight w:val="0"/>
      <w:marTop w:val="0"/>
      <w:marBottom w:val="0"/>
      <w:divBdr>
        <w:top w:val="none" w:sz="0" w:space="0" w:color="auto"/>
        <w:left w:val="none" w:sz="0" w:space="0" w:color="auto"/>
        <w:bottom w:val="none" w:sz="0" w:space="0" w:color="auto"/>
        <w:right w:val="none" w:sz="0" w:space="0" w:color="auto"/>
      </w:divBdr>
    </w:div>
    <w:div w:id="885145842">
      <w:bodyDiv w:val="1"/>
      <w:marLeft w:val="0"/>
      <w:marRight w:val="0"/>
      <w:marTop w:val="0"/>
      <w:marBottom w:val="0"/>
      <w:divBdr>
        <w:top w:val="none" w:sz="0" w:space="0" w:color="auto"/>
        <w:left w:val="none" w:sz="0" w:space="0" w:color="auto"/>
        <w:bottom w:val="none" w:sz="0" w:space="0" w:color="auto"/>
        <w:right w:val="none" w:sz="0" w:space="0" w:color="auto"/>
      </w:divBdr>
    </w:div>
    <w:div w:id="886186776">
      <w:bodyDiv w:val="1"/>
      <w:marLeft w:val="0"/>
      <w:marRight w:val="0"/>
      <w:marTop w:val="0"/>
      <w:marBottom w:val="0"/>
      <w:divBdr>
        <w:top w:val="none" w:sz="0" w:space="0" w:color="auto"/>
        <w:left w:val="none" w:sz="0" w:space="0" w:color="auto"/>
        <w:bottom w:val="none" w:sz="0" w:space="0" w:color="auto"/>
        <w:right w:val="none" w:sz="0" w:space="0" w:color="auto"/>
      </w:divBdr>
    </w:div>
    <w:div w:id="903101861">
      <w:bodyDiv w:val="1"/>
      <w:marLeft w:val="0"/>
      <w:marRight w:val="0"/>
      <w:marTop w:val="0"/>
      <w:marBottom w:val="0"/>
      <w:divBdr>
        <w:top w:val="none" w:sz="0" w:space="0" w:color="auto"/>
        <w:left w:val="none" w:sz="0" w:space="0" w:color="auto"/>
        <w:bottom w:val="none" w:sz="0" w:space="0" w:color="auto"/>
        <w:right w:val="none" w:sz="0" w:space="0" w:color="auto"/>
      </w:divBdr>
    </w:div>
    <w:div w:id="933435938">
      <w:bodyDiv w:val="1"/>
      <w:marLeft w:val="0"/>
      <w:marRight w:val="0"/>
      <w:marTop w:val="0"/>
      <w:marBottom w:val="0"/>
      <w:divBdr>
        <w:top w:val="none" w:sz="0" w:space="0" w:color="auto"/>
        <w:left w:val="none" w:sz="0" w:space="0" w:color="auto"/>
        <w:bottom w:val="none" w:sz="0" w:space="0" w:color="auto"/>
        <w:right w:val="none" w:sz="0" w:space="0" w:color="auto"/>
      </w:divBdr>
    </w:div>
    <w:div w:id="95016102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8734023">
      <w:bodyDiv w:val="1"/>
      <w:marLeft w:val="0"/>
      <w:marRight w:val="0"/>
      <w:marTop w:val="0"/>
      <w:marBottom w:val="0"/>
      <w:divBdr>
        <w:top w:val="none" w:sz="0" w:space="0" w:color="auto"/>
        <w:left w:val="none" w:sz="0" w:space="0" w:color="auto"/>
        <w:bottom w:val="none" w:sz="0" w:space="0" w:color="auto"/>
        <w:right w:val="none" w:sz="0" w:space="0" w:color="auto"/>
      </w:divBdr>
    </w:div>
    <w:div w:id="1020862092">
      <w:bodyDiv w:val="1"/>
      <w:marLeft w:val="0"/>
      <w:marRight w:val="0"/>
      <w:marTop w:val="0"/>
      <w:marBottom w:val="0"/>
      <w:divBdr>
        <w:top w:val="none" w:sz="0" w:space="0" w:color="auto"/>
        <w:left w:val="none" w:sz="0" w:space="0" w:color="auto"/>
        <w:bottom w:val="none" w:sz="0" w:space="0" w:color="auto"/>
        <w:right w:val="none" w:sz="0" w:space="0" w:color="auto"/>
      </w:divBdr>
    </w:div>
    <w:div w:id="1032003009">
      <w:bodyDiv w:val="1"/>
      <w:marLeft w:val="0"/>
      <w:marRight w:val="0"/>
      <w:marTop w:val="0"/>
      <w:marBottom w:val="0"/>
      <w:divBdr>
        <w:top w:val="none" w:sz="0" w:space="0" w:color="auto"/>
        <w:left w:val="none" w:sz="0" w:space="0" w:color="auto"/>
        <w:bottom w:val="none" w:sz="0" w:space="0" w:color="auto"/>
        <w:right w:val="none" w:sz="0" w:space="0" w:color="auto"/>
      </w:divBdr>
    </w:div>
    <w:div w:id="1032538047">
      <w:bodyDiv w:val="1"/>
      <w:marLeft w:val="0"/>
      <w:marRight w:val="0"/>
      <w:marTop w:val="0"/>
      <w:marBottom w:val="0"/>
      <w:divBdr>
        <w:top w:val="none" w:sz="0" w:space="0" w:color="auto"/>
        <w:left w:val="none" w:sz="0" w:space="0" w:color="auto"/>
        <w:bottom w:val="none" w:sz="0" w:space="0" w:color="auto"/>
        <w:right w:val="none" w:sz="0" w:space="0" w:color="auto"/>
      </w:divBdr>
    </w:div>
    <w:div w:id="1066803816">
      <w:bodyDiv w:val="1"/>
      <w:marLeft w:val="0"/>
      <w:marRight w:val="0"/>
      <w:marTop w:val="0"/>
      <w:marBottom w:val="0"/>
      <w:divBdr>
        <w:top w:val="none" w:sz="0" w:space="0" w:color="auto"/>
        <w:left w:val="none" w:sz="0" w:space="0" w:color="auto"/>
        <w:bottom w:val="none" w:sz="0" w:space="0" w:color="auto"/>
        <w:right w:val="none" w:sz="0" w:space="0" w:color="auto"/>
      </w:divBdr>
    </w:div>
    <w:div w:id="1073355563">
      <w:bodyDiv w:val="1"/>
      <w:marLeft w:val="0"/>
      <w:marRight w:val="0"/>
      <w:marTop w:val="0"/>
      <w:marBottom w:val="0"/>
      <w:divBdr>
        <w:top w:val="none" w:sz="0" w:space="0" w:color="auto"/>
        <w:left w:val="none" w:sz="0" w:space="0" w:color="auto"/>
        <w:bottom w:val="none" w:sz="0" w:space="0" w:color="auto"/>
        <w:right w:val="none" w:sz="0" w:space="0" w:color="auto"/>
      </w:divBdr>
    </w:div>
    <w:div w:id="1131904694">
      <w:bodyDiv w:val="1"/>
      <w:marLeft w:val="0"/>
      <w:marRight w:val="0"/>
      <w:marTop w:val="0"/>
      <w:marBottom w:val="0"/>
      <w:divBdr>
        <w:top w:val="none" w:sz="0" w:space="0" w:color="auto"/>
        <w:left w:val="none" w:sz="0" w:space="0" w:color="auto"/>
        <w:bottom w:val="none" w:sz="0" w:space="0" w:color="auto"/>
        <w:right w:val="none" w:sz="0" w:space="0" w:color="auto"/>
      </w:divBdr>
    </w:div>
    <w:div w:id="113267659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3063532">
      <w:bodyDiv w:val="1"/>
      <w:marLeft w:val="0"/>
      <w:marRight w:val="0"/>
      <w:marTop w:val="0"/>
      <w:marBottom w:val="0"/>
      <w:divBdr>
        <w:top w:val="none" w:sz="0" w:space="0" w:color="auto"/>
        <w:left w:val="none" w:sz="0" w:space="0" w:color="auto"/>
        <w:bottom w:val="none" w:sz="0" w:space="0" w:color="auto"/>
        <w:right w:val="none" w:sz="0" w:space="0" w:color="auto"/>
      </w:divBdr>
    </w:div>
    <w:div w:id="1195725998">
      <w:bodyDiv w:val="1"/>
      <w:marLeft w:val="0"/>
      <w:marRight w:val="0"/>
      <w:marTop w:val="0"/>
      <w:marBottom w:val="0"/>
      <w:divBdr>
        <w:top w:val="none" w:sz="0" w:space="0" w:color="auto"/>
        <w:left w:val="none" w:sz="0" w:space="0" w:color="auto"/>
        <w:bottom w:val="none" w:sz="0" w:space="0" w:color="auto"/>
        <w:right w:val="none" w:sz="0" w:space="0" w:color="auto"/>
      </w:divBdr>
    </w:div>
    <w:div w:id="1199274446">
      <w:bodyDiv w:val="1"/>
      <w:marLeft w:val="0"/>
      <w:marRight w:val="0"/>
      <w:marTop w:val="0"/>
      <w:marBottom w:val="0"/>
      <w:divBdr>
        <w:top w:val="none" w:sz="0" w:space="0" w:color="auto"/>
        <w:left w:val="none" w:sz="0" w:space="0" w:color="auto"/>
        <w:bottom w:val="none" w:sz="0" w:space="0" w:color="auto"/>
        <w:right w:val="none" w:sz="0" w:space="0" w:color="auto"/>
      </w:divBdr>
    </w:div>
    <w:div w:id="1217549656">
      <w:bodyDiv w:val="1"/>
      <w:marLeft w:val="0"/>
      <w:marRight w:val="0"/>
      <w:marTop w:val="0"/>
      <w:marBottom w:val="0"/>
      <w:divBdr>
        <w:top w:val="none" w:sz="0" w:space="0" w:color="auto"/>
        <w:left w:val="none" w:sz="0" w:space="0" w:color="auto"/>
        <w:bottom w:val="none" w:sz="0" w:space="0" w:color="auto"/>
        <w:right w:val="none" w:sz="0" w:space="0" w:color="auto"/>
      </w:divBdr>
    </w:div>
    <w:div w:id="1289168330">
      <w:bodyDiv w:val="1"/>
      <w:marLeft w:val="0"/>
      <w:marRight w:val="0"/>
      <w:marTop w:val="0"/>
      <w:marBottom w:val="0"/>
      <w:divBdr>
        <w:top w:val="none" w:sz="0" w:space="0" w:color="auto"/>
        <w:left w:val="none" w:sz="0" w:space="0" w:color="auto"/>
        <w:bottom w:val="none" w:sz="0" w:space="0" w:color="auto"/>
        <w:right w:val="none" w:sz="0" w:space="0" w:color="auto"/>
      </w:divBdr>
    </w:div>
    <w:div w:id="1295481119">
      <w:bodyDiv w:val="1"/>
      <w:marLeft w:val="0"/>
      <w:marRight w:val="0"/>
      <w:marTop w:val="0"/>
      <w:marBottom w:val="0"/>
      <w:divBdr>
        <w:top w:val="none" w:sz="0" w:space="0" w:color="auto"/>
        <w:left w:val="none" w:sz="0" w:space="0" w:color="auto"/>
        <w:bottom w:val="none" w:sz="0" w:space="0" w:color="auto"/>
        <w:right w:val="none" w:sz="0" w:space="0" w:color="auto"/>
      </w:divBdr>
    </w:div>
    <w:div w:id="1313758860">
      <w:bodyDiv w:val="1"/>
      <w:marLeft w:val="0"/>
      <w:marRight w:val="0"/>
      <w:marTop w:val="0"/>
      <w:marBottom w:val="0"/>
      <w:divBdr>
        <w:top w:val="none" w:sz="0" w:space="0" w:color="auto"/>
        <w:left w:val="none" w:sz="0" w:space="0" w:color="auto"/>
        <w:bottom w:val="none" w:sz="0" w:space="0" w:color="auto"/>
        <w:right w:val="none" w:sz="0" w:space="0" w:color="auto"/>
      </w:divBdr>
    </w:div>
    <w:div w:id="1333607627">
      <w:bodyDiv w:val="1"/>
      <w:marLeft w:val="0"/>
      <w:marRight w:val="0"/>
      <w:marTop w:val="0"/>
      <w:marBottom w:val="0"/>
      <w:divBdr>
        <w:top w:val="none" w:sz="0" w:space="0" w:color="auto"/>
        <w:left w:val="none" w:sz="0" w:space="0" w:color="auto"/>
        <w:bottom w:val="none" w:sz="0" w:space="0" w:color="auto"/>
        <w:right w:val="none" w:sz="0" w:space="0" w:color="auto"/>
      </w:divBdr>
    </w:div>
    <w:div w:id="1335916640">
      <w:bodyDiv w:val="1"/>
      <w:marLeft w:val="0"/>
      <w:marRight w:val="0"/>
      <w:marTop w:val="0"/>
      <w:marBottom w:val="0"/>
      <w:divBdr>
        <w:top w:val="none" w:sz="0" w:space="0" w:color="auto"/>
        <w:left w:val="none" w:sz="0" w:space="0" w:color="auto"/>
        <w:bottom w:val="none" w:sz="0" w:space="0" w:color="auto"/>
        <w:right w:val="none" w:sz="0" w:space="0" w:color="auto"/>
      </w:divBdr>
    </w:div>
    <w:div w:id="1337269667">
      <w:bodyDiv w:val="1"/>
      <w:marLeft w:val="0"/>
      <w:marRight w:val="0"/>
      <w:marTop w:val="0"/>
      <w:marBottom w:val="0"/>
      <w:divBdr>
        <w:top w:val="none" w:sz="0" w:space="0" w:color="auto"/>
        <w:left w:val="none" w:sz="0" w:space="0" w:color="auto"/>
        <w:bottom w:val="none" w:sz="0" w:space="0" w:color="auto"/>
        <w:right w:val="none" w:sz="0" w:space="0" w:color="auto"/>
      </w:divBdr>
    </w:div>
    <w:div w:id="1342512713">
      <w:bodyDiv w:val="1"/>
      <w:marLeft w:val="0"/>
      <w:marRight w:val="0"/>
      <w:marTop w:val="0"/>
      <w:marBottom w:val="0"/>
      <w:divBdr>
        <w:top w:val="none" w:sz="0" w:space="0" w:color="auto"/>
        <w:left w:val="none" w:sz="0" w:space="0" w:color="auto"/>
        <w:bottom w:val="none" w:sz="0" w:space="0" w:color="auto"/>
        <w:right w:val="none" w:sz="0" w:space="0" w:color="auto"/>
      </w:divBdr>
    </w:div>
    <w:div w:id="1365326307">
      <w:bodyDiv w:val="1"/>
      <w:marLeft w:val="0"/>
      <w:marRight w:val="0"/>
      <w:marTop w:val="0"/>
      <w:marBottom w:val="0"/>
      <w:divBdr>
        <w:top w:val="none" w:sz="0" w:space="0" w:color="auto"/>
        <w:left w:val="none" w:sz="0" w:space="0" w:color="auto"/>
        <w:bottom w:val="none" w:sz="0" w:space="0" w:color="auto"/>
        <w:right w:val="none" w:sz="0" w:space="0" w:color="auto"/>
      </w:divBdr>
    </w:div>
    <w:div w:id="138348571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3547664">
      <w:bodyDiv w:val="1"/>
      <w:marLeft w:val="0"/>
      <w:marRight w:val="0"/>
      <w:marTop w:val="0"/>
      <w:marBottom w:val="0"/>
      <w:divBdr>
        <w:top w:val="none" w:sz="0" w:space="0" w:color="auto"/>
        <w:left w:val="none" w:sz="0" w:space="0" w:color="auto"/>
        <w:bottom w:val="none" w:sz="0" w:space="0" w:color="auto"/>
        <w:right w:val="none" w:sz="0" w:space="0" w:color="auto"/>
      </w:divBdr>
    </w:div>
    <w:div w:id="143670593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71052715">
      <w:bodyDiv w:val="1"/>
      <w:marLeft w:val="0"/>
      <w:marRight w:val="0"/>
      <w:marTop w:val="0"/>
      <w:marBottom w:val="0"/>
      <w:divBdr>
        <w:top w:val="none" w:sz="0" w:space="0" w:color="auto"/>
        <w:left w:val="none" w:sz="0" w:space="0" w:color="auto"/>
        <w:bottom w:val="none" w:sz="0" w:space="0" w:color="auto"/>
        <w:right w:val="none" w:sz="0" w:space="0" w:color="auto"/>
      </w:divBdr>
    </w:div>
    <w:div w:id="1473400082">
      <w:bodyDiv w:val="1"/>
      <w:marLeft w:val="0"/>
      <w:marRight w:val="0"/>
      <w:marTop w:val="0"/>
      <w:marBottom w:val="0"/>
      <w:divBdr>
        <w:top w:val="none" w:sz="0" w:space="0" w:color="auto"/>
        <w:left w:val="none" w:sz="0" w:space="0" w:color="auto"/>
        <w:bottom w:val="none" w:sz="0" w:space="0" w:color="auto"/>
        <w:right w:val="none" w:sz="0" w:space="0" w:color="auto"/>
      </w:divBdr>
    </w:div>
    <w:div w:id="1479153764">
      <w:bodyDiv w:val="1"/>
      <w:marLeft w:val="0"/>
      <w:marRight w:val="0"/>
      <w:marTop w:val="0"/>
      <w:marBottom w:val="0"/>
      <w:divBdr>
        <w:top w:val="none" w:sz="0" w:space="0" w:color="auto"/>
        <w:left w:val="none" w:sz="0" w:space="0" w:color="auto"/>
        <w:bottom w:val="none" w:sz="0" w:space="0" w:color="auto"/>
        <w:right w:val="none" w:sz="0" w:space="0" w:color="auto"/>
      </w:divBdr>
    </w:div>
    <w:div w:id="1513645240">
      <w:bodyDiv w:val="1"/>
      <w:marLeft w:val="0"/>
      <w:marRight w:val="0"/>
      <w:marTop w:val="0"/>
      <w:marBottom w:val="0"/>
      <w:divBdr>
        <w:top w:val="none" w:sz="0" w:space="0" w:color="auto"/>
        <w:left w:val="none" w:sz="0" w:space="0" w:color="auto"/>
        <w:bottom w:val="none" w:sz="0" w:space="0" w:color="auto"/>
        <w:right w:val="none" w:sz="0" w:space="0" w:color="auto"/>
      </w:divBdr>
    </w:div>
    <w:div w:id="153834658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9968229">
      <w:bodyDiv w:val="1"/>
      <w:marLeft w:val="0"/>
      <w:marRight w:val="0"/>
      <w:marTop w:val="0"/>
      <w:marBottom w:val="0"/>
      <w:divBdr>
        <w:top w:val="none" w:sz="0" w:space="0" w:color="auto"/>
        <w:left w:val="none" w:sz="0" w:space="0" w:color="auto"/>
        <w:bottom w:val="none" w:sz="0" w:space="0" w:color="auto"/>
        <w:right w:val="none" w:sz="0" w:space="0" w:color="auto"/>
      </w:divBdr>
    </w:div>
    <w:div w:id="1631204145">
      <w:bodyDiv w:val="1"/>
      <w:marLeft w:val="0"/>
      <w:marRight w:val="0"/>
      <w:marTop w:val="0"/>
      <w:marBottom w:val="0"/>
      <w:divBdr>
        <w:top w:val="none" w:sz="0" w:space="0" w:color="auto"/>
        <w:left w:val="none" w:sz="0" w:space="0" w:color="auto"/>
        <w:bottom w:val="none" w:sz="0" w:space="0" w:color="auto"/>
        <w:right w:val="none" w:sz="0" w:space="0" w:color="auto"/>
      </w:divBdr>
    </w:div>
    <w:div w:id="1682857113">
      <w:bodyDiv w:val="1"/>
      <w:marLeft w:val="0"/>
      <w:marRight w:val="0"/>
      <w:marTop w:val="0"/>
      <w:marBottom w:val="0"/>
      <w:divBdr>
        <w:top w:val="none" w:sz="0" w:space="0" w:color="auto"/>
        <w:left w:val="none" w:sz="0" w:space="0" w:color="auto"/>
        <w:bottom w:val="none" w:sz="0" w:space="0" w:color="auto"/>
        <w:right w:val="none" w:sz="0" w:space="0" w:color="auto"/>
      </w:divBdr>
    </w:div>
    <w:div w:id="1767650327">
      <w:bodyDiv w:val="1"/>
      <w:marLeft w:val="0"/>
      <w:marRight w:val="0"/>
      <w:marTop w:val="0"/>
      <w:marBottom w:val="0"/>
      <w:divBdr>
        <w:top w:val="none" w:sz="0" w:space="0" w:color="auto"/>
        <w:left w:val="none" w:sz="0" w:space="0" w:color="auto"/>
        <w:bottom w:val="none" w:sz="0" w:space="0" w:color="auto"/>
        <w:right w:val="none" w:sz="0" w:space="0" w:color="auto"/>
      </w:divBdr>
    </w:div>
    <w:div w:id="177093295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882189">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4105108">
      <w:bodyDiv w:val="1"/>
      <w:marLeft w:val="0"/>
      <w:marRight w:val="0"/>
      <w:marTop w:val="0"/>
      <w:marBottom w:val="0"/>
      <w:divBdr>
        <w:top w:val="none" w:sz="0" w:space="0" w:color="auto"/>
        <w:left w:val="none" w:sz="0" w:space="0" w:color="auto"/>
        <w:bottom w:val="none" w:sz="0" w:space="0" w:color="auto"/>
        <w:right w:val="none" w:sz="0" w:space="0" w:color="auto"/>
      </w:divBdr>
    </w:div>
    <w:div w:id="1869022899">
      <w:bodyDiv w:val="1"/>
      <w:marLeft w:val="0"/>
      <w:marRight w:val="0"/>
      <w:marTop w:val="0"/>
      <w:marBottom w:val="0"/>
      <w:divBdr>
        <w:top w:val="none" w:sz="0" w:space="0" w:color="auto"/>
        <w:left w:val="none" w:sz="0" w:space="0" w:color="auto"/>
        <w:bottom w:val="none" w:sz="0" w:space="0" w:color="auto"/>
        <w:right w:val="none" w:sz="0" w:space="0" w:color="auto"/>
      </w:divBdr>
    </w:div>
    <w:div w:id="1869299232">
      <w:bodyDiv w:val="1"/>
      <w:marLeft w:val="0"/>
      <w:marRight w:val="0"/>
      <w:marTop w:val="0"/>
      <w:marBottom w:val="0"/>
      <w:divBdr>
        <w:top w:val="none" w:sz="0" w:space="0" w:color="auto"/>
        <w:left w:val="none" w:sz="0" w:space="0" w:color="auto"/>
        <w:bottom w:val="none" w:sz="0" w:space="0" w:color="auto"/>
        <w:right w:val="none" w:sz="0" w:space="0" w:color="auto"/>
      </w:divBdr>
    </w:div>
    <w:div w:id="1891114757">
      <w:bodyDiv w:val="1"/>
      <w:marLeft w:val="0"/>
      <w:marRight w:val="0"/>
      <w:marTop w:val="0"/>
      <w:marBottom w:val="0"/>
      <w:divBdr>
        <w:top w:val="none" w:sz="0" w:space="0" w:color="auto"/>
        <w:left w:val="none" w:sz="0" w:space="0" w:color="auto"/>
        <w:bottom w:val="none" w:sz="0" w:space="0" w:color="auto"/>
        <w:right w:val="none" w:sz="0" w:space="0" w:color="auto"/>
      </w:divBdr>
    </w:div>
    <w:div w:id="1901482030">
      <w:bodyDiv w:val="1"/>
      <w:marLeft w:val="0"/>
      <w:marRight w:val="0"/>
      <w:marTop w:val="0"/>
      <w:marBottom w:val="0"/>
      <w:divBdr>
        <w:top w:val="none" w:sz="0" w:space="0" w:color="auto"/>
        <w:left w:val="none" w:sz="0" w:space="0" w:color="auto"/>
        <w:bottom w:val="none" w:sz="0" w:space="0" w:color="auto"/>
        <w:right w:val="none" w:sz="0" w:space="0" w:color="auto"/>
      </w:divBdr>
    </w:div>
    <w:div w:id="1915702850">
      <w:bodyDiv w:val="1"/>
      <w:marLeft w:val="0"/>
      <w:marRight w:val="0"/>
      <w:marTop w:val="0"/>
      <w:marBottom w:val="0"/>
      <w:divBdr>
        <w:top w:val="none" w:sz="0" w:space="0" w:color="auto"/>
        <w:left w:val="none" w:sz="0" w:space="0" w:color="auto"/>
        <w:bottom w:val="none" w:sz="0" w:space="0" w:color="auto"/>
        <w:right w:val="none" w:sz="0" w:space="0" w:color="auto"/>
      </w:divBdr>
    </w:div>
    <w:div w:id="1924949927">
      <w:bodyDiv w:val="1"/>
      <w:marLeft w:val="0"/>
      <w:marRight w:val="0"/>
      <w:marTop w:val="0"/>
      <w:marBottom w:val="0"/>
      <w:divBdr>
        <w:top w:val="none" w:sz="0" w:space="0" w:color="auto"/>
        <w:left w:val="none" w:sz="0" w:space="0" w:color="auto"/>
        <w:bottom w:val="none" w:sz="0" w:space="0" w:color="auto"/>
        <w:right w:val="none" w:sz="0" w:space="0" w:color="auto"/>
      </w:divBdr>
    </w:div>
    <w:div w:id="1959413617">
      <w:bodyDiv w:val="1"/>
      <w:marLeft w:val="0"/>
      <w:marRight w:val="0"/>
      <w:marTop w:val="0"/>
      <w:marBottom w:val="0"/>
      <w:divBdr>
        <w:top w:val="none" w:sz="0" w:space="0" w:color="auto"/>
        <w:left w:val="none" w:sz="0" w:space="0" w:color="auto"/>
        <w:bottom w:val="none" w:sz="0" w:space="0" w:color="auto"/>
        <w:right w:val="none" w:sz="0" w:space="0" w:color="auto"/>
      </w:divBdr>
    </w:div>
    <w:div w:id="1989280657">
      <w:bodyDiv w:val="1"/>
      <w:marLeft w:val="0"/>
      <w:marRight w:val="0"/>
      <w:marTop w:val="0"/>
      <w:marBottom w:val="0"/>
      <w:divBdr>
        <w:top w:val="none" w:sz="0" w:space="0" w:color="auto"/>
        <w:left w:val="none" w:sz="0" w:space="0" w:color="auto"/>
        <w:bottom w:val="none" w:sz="0" w:space="0" w:color="auto"/>
        <w:right w:val="none" w:sz="0" w:space="0" w:color="auto"/>
      </w:divBdr>
    </w:div>
    <w:div w:id="1989704695">
      <w:bodyDiv w:val="1"/>
      <w:marLeft w:val="0"/>
      <w:marRight w:val="0"/>
      <w:marTop w:val="0"/>
      <w:marBottom w:val="0"/>
      <w:divBdr>
        <w:top w:val="none" w:sz="0" w:space="0" w:color="auto"/>
        <w:left w:val="none" w:sz="0" w:space="0" w:color="auto"/>
        <w:bottom w:val="none" w:sz="0" w:space="0" w:color="auto"/>
        <w:right w:val="none" w:sz="0" w:space="0" w:color="auto"/>
      </w:divBdr>
    </w:div>
    <w:div w:id="1995524145">
      <w:bodyDiv w:val="1"/>
      <w:marLeft w:val="0"/>
      <w:marRight w:val="0"/>
      <w:marTop w:val="0"/>
      <w:marBottom w:val="0"/>
      <w:divBdr>
        <w:top w:val="none" w:sz="0" w:space="0" w:color="auto"/>
        <w:left w:val="none" w:sz="0" w:space="0" w:color="auto"/>
        <w:bottom w:val="none" w:sz="0" w:space="0" w:color="auto"/>
        <w:right w:val="none" w:sz="0" w:space="0" w:color="auto"/>
      </w:divBdr>
    </w:div>
    <w:div w:id="2009286052">
      <w:bodyDiv w:val="1"/>
      <w:marLeft w:val="0"/>
      <w:marRight w:val="0"/>
      <w:marTop w:val="0"/>
      <w:marBottom w:val="0"/>
      <w:divBdr>
        <w:top w:val="none" w:sz="0" w:space="0" w:color="auto"/>
        <w:left w:val="none" w:sz="0" w:space="0" w:color="auto"/>
        <w:bottom w:val="none" w:sz="0" w:space="0" w:color="auto"/>
        <w:right w:val="none" w:sz="0" w:space="0" w:color="auto"/>
      </w:divBdr>
    </w:div>
    <w:div w:id="2015915241">
      <w:bodyDiv w:val="1"/>
      <w:marLeft w:val="0"/>
      <w:marRight w:val="0"/>
      <w:marTop w:val="0"/>
      <w:marBottom w:val="0"/>
      <w:divBdr>
        <w:top w:val="none" w:sz="0" w:space="0" w:color="auto"/>
        <w:left w:val="none" w:sz="0" w:space="0" w:color="auto"/>
        <w:bottom w:val="none" w:sz="0" w:space="0" w:color="auto"/>
        <w:right w:val="none" w:sz="0" w:space="0" w:color="auto"/>
      </w:divBdr>
    </w:div>
    <w:div w:id="2035303729">
      <w:bodyDiv w:val="1"/>
      <w:marLeft w:val="0"/>
      <w:marRight w:val="0"/>
      <w:marTop w:val="0"/>
      <w:marBottom w:val="0"/>
      <w:divBdr>
        <w:top w:val="none" w:sz="0" w:space="0" w:color="auto"/>
        <w:left w:val="none" w:sz="0" w:space="0" w:color="auto"/>
        <w:bottom w:val="none" w:sz="0" w:space="0" w:color="auto"/>
        <w:right w:val="none" w:sz="0" w:space="0" w:color="auto"/>
      </w:divBdr>
    </w:div>
    <w:div w:id="2061132643">
      <w:bodyDiv w:val="1"/>
      <w:marLeft w:val="0"/>
      <w:marRight w:val="0"/>
      <w:marTop w:val="0"/>
      <w:marBottom w:val="0"/>
      <w:divBdr>
        <w:top w:val="none" w:sz="0" w:space="0" w:color="auto"/>
        <w:left w:val="none" w:sz="0" w:space="0" w:color="auto"/>
        <w:bottom w:val="none" w:sz="0" w:space="0" w:color="auto"/>
        <w:right w:val="none" w:sz="0" w:space="0" w:color="auto"/>
      </w:divBdr>
    </w:div>
    <w:div w:id="207384362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2.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MrEavesModOT">
    <w:altName w:val="Calibri"/>
    <w:panose1 w:val="00000000000000000000"/>
    <w:charset w:val="00"/>
    <w:family w:val="swiss"/>
    <w:notTrueType/>
    <w:pitch w:val="default"/>
    <w:sig w:usb0="00000003" w:usb1="00000000" w:usb2="00000000" w:usb3="00000000" w:csb0="00000001" w:csb1="00000000"/>
  </w:font>
  <w:font w:name="MrEavesModOT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62C86"/>
    <w:rsid w:val="00183F29"/>
    <w:rsid w:val="00217413"/>
    <w:rsid w:val="002550FD"/>
    <w:rsid w:val="00333F8E"/>
    <w:rsid w:val="00350199"/>
    <w:rsid w:val="00483DBE"/>
    <w:rsid w:val="007154C5"/>
    <w:rsid w:val="00733872"/>
    <w:rsid w:val="00835E07"/>
    <w:rsid w:val="00845DD1"/>
    <w:rsid w:val="00963245"/>
    <w:rsid w:val="009D3AA6"/>
    <w:rsid w:val="00A47329"/>
    <w:rsid w:val="00B4776F"/>
    <w:rsid w:val="00BA448E"/>
    <w:rsid w:val="00BD4EBB"/>
    <w:rsid w:val="00C41BC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EAO19</b:Tag>
    <b:SourceType>InternetSite</b:SourceType>
    <b:Guid>{F6345015-170F-43B4-9BF0-9DD3FFB7C0DC}</b:Guid>
    <b:Author>
      <b:Author>
        <b:Corporate>EA, ONR and NRW</b:Corporate>
      </b:Author>
    </b:Author>
    <b:Title>New nuclear power plants: Generic Design Assessment guidance for Requesting Parties</b:Title>
    <b:Year>2019</b:Year>
    <b:Month>October</b:Month>
    <b:Day>29</b:Day>
    <b:URL>https://www.gov.uk/government/publications/new-nuclear-power-plants-generic-design-assessment-guidance-for-requesting-parties</b:URL>
    <b:RefOrder>1</b:RefOrder>
  </b:Source>
  <b:Source>
    <b:Tag>HMG064</b:Tag>
    <b:SourceType>DocumentFromInternetSite</b:SourceType>
    <b:Guid>{024701A6-36F3-46A4-BF75-1E87F149A2B8}</b:Guid>
    <b:Title>The Energy Challenge - Energy review: A report</b:Title>
    <b:Year>2006</b:Year>
    <b:Month>June</b:Month>
    <b:URL>https://assets.publishing.service.gov.uk/media/5a7c63eb40f0b62aff6c1579/6887.pdf</b:URL>
    <b:Author>
      <b:Author>
        <b:Corporate>HM Government</b:Corporate>
      </b:Author>
    </b:Author>
    <b:RefOrder>2</b:RefOrder>
  </b:Source>
  <b:Source>
    <b:Tag>HMG189</b:Tag>
    <b:SourceType>InternetSite</b:SourceType>
    <b:Guid>{8C27FBCE-8F6A-455F-9054-8AF037265681}</b:Guid>
    <b:Title>Policy paper - Nuclear Sector Deal: A Sector Deal between government and the nuclear industry.</b:Title>
    <b:Year>2018</b:Year>
    <b:Month>June</b:Month>
    <b:Day>27</b:Day>
    <b:URL>https://www.gov.uk/government/publications/nuclear-sector-deal</b:URL>
    <b:Author>
      <b:Author>
        <b:Corporate>HM Government</b:Corporate>
      </b:Author>
    </b:Author>
    <b:RefOrder>3</b:RefOrder>
  </b:Source>
  <b:Source>
    <b:Tag>ONR1910</b:Tag>
    <b:SourceType>DocumentFromInternetSite</b:SourceType>
    <b:Guid>{5A90DD31-9463-4122-9BC9-BB51612752E3}</b:Guid>
    <b:Title>ONR-GDA-GD-007 - New Nuclear Power Plants: Generic Design Assessment (GDA) Technical Guidance (Revision 0)</b:Title>
    <b:Author>
      <b:Author>
        <b:Corporate>ONR</b:Corporate>
      </b:Author>
    </b:Author>
    <b:Month>May</b:Month>
    <b:URL>https://www.onr.org.uk/media/c2delysl/onr-gda-007.pdf</b:URL>
    <b:Year>2019</b:Year>
    <b:RefOrder>4</b:RefOrder>
  </b:Source>
  <b:Source>
    <b:Tag>HMG234</b:Tag>
    <b:SourceType>DocumentFromInternetSite</b:SourceType>
    <b:Guid>{6217D19E-1BEB-430C-8441-31A25B552D8D}</b:Guid>
    <b:Author>
      <b:Author>
        <b:Corporate>HM Government</b:Corporate>
      </b:Author>
    </b:Author>
    <b:Title>Policy paper - Advanced Nuclear Technologies</b:Title>
    <b:Year>2023</b:Year>
    <b:Month>August</b:Month>
    <b:Day>15</b:Day>
    <b:URL>https://www.gov.uk/government/publications/advanced-nuclear-technologies/advanced-nuclear-technologies</b:URL>
    <b:RefOrder>5</b:RefOrder>
  </b:Source>
  <b:Source>
    <b:Tag>HMG032</b:Tag>
    <b:SourceType>InternetSite</b:SourceType>
    <b:Guid>{DE57118A-2768-4B3B-B09C-1BE9C285405F}</b:Guid>
    <b:Author>
      <b:Author>
        <b:Corporate>HM Government</b:Corporate>
      </b:Author>
    </b:Author>
    <b:Title>The Nuclear Industries Security Regulations 2003 (NISR) (UK Statutory Instruments 2003 No. 403)</b:Title>
    <b:Year>2003</b:Year>
    <b:URL>https://www.legislation.gov.uk/uksi/2003/403/contents/made</b:URL>
    <b:RefOrder>6</b:RefOrder>
  </b:Source>
  <b:Source>
    <b:Tag>ONR92</b:Tag>
    <b:SourceType>DocumentFromInternetSite</b:SourceType>
    <b:Guid>{2ED720AE-61CC-4FDA-9081-C04726C950FE}</b:Guid>
    <b:Author>
      <b:Author>
        <b:Corporate>ONR</b:Corporate>
      </b:Author>
    </b:Author>
    <b:Title>Licensing Nuclear Installations</b:Title>
    <b:Year>2021</b:Year>
    <b:Month>November</b:Month>
    <b:URL>https://www.onr.org.uk/media/30nh5c0f/licensing-nuclear-installations.pdf</b:URL>
    <b:RefOrder>7</b:RefOrder>
  </b:Source>
  <b:Source>
    <b:Tag>ONR2013</b:Tag>
    <b:SourceType>DocumentFromInternetSite</b:SourceType>
    <b:Guid>{12700A0D-7C1E-4A80-AEF2-EE7D1629AB36}</b:Guid>
    <b:Author>
      <b:Author>
        <b:Corporate>ONR</b:Corporate>
      </b:Author>
    </b:Author>
    <b:Title>Safety Assessment Principles (SAPs) for Nuclear Facilities - 2014 Edition (Revision 1)</b:Title>
    <b:Year>2020</b:Year>
    <b:Month>January</b:Month>
    <b:URL>https://www.onr.org.uk/media/pobf24xm/saps2014.pdf</b:URL>
    <b:RefOrder>8</b:RefOrder>
  </b:Source>
  <b:Source>
    <b:Tag>ONR100</b:Tag>
    <b:SourceType>InternetSite</b:SourceType>
    <b:Guid>{8F40A99F-81AD-4F07-8D7F-A5EFD3EFCC11}</b:Guid>
    <b:Author>
      <b:Author>
        <b:Corporate>ONR</b:Corporate>
      </b:Author>
    </b:Author>
    <b:Title>NS-TAST-GD-005 - ONR Guidance on the Demonstration of ALARP</b:Title>
    <b:URL>https://www.onr.org.uk/publications/regulatory-guidance/regulatory-assessment-and-permissioning/technical-assessment-guides-tags/nuclear-safety-tags/technical-assessment-guides-tags-nuclear-safety-full-list/</b:URL>
    <b:RefOrder>9</b:RefOrder>
  </b:Source>
  <b:Source>
    <b:Tag>ONR173</b:Tag>
    <b:SourceType>InternetSite</b:SourceType>
    <b:Guid>{7BDAD661-3836-42E1-8B27-5F7641F714A5}</b:Guid>
    <b:Title>Security Assessment Principles (SyAPs) for the Civil Nuclear Industry</b:Title>
    <b:Year>2017</b:Year>
    <b:Author>
      <b:Author>
        <b:Corporate>ONR</b:Corporate>
      </b:Author>
    </b:Author>
    <b:URL>https://www.onr.org.uk/publications/regulatory-guidance/regulatory-assessment-and-permissioning/security-assessment-principles-syaps/security-assessment-principles-syaps/</b:URL>
    <b:RefOrder>10</b:RefOrder>
  </b:Source>
  <b:Source>
    <b:Tag>ONR442</b:Tag>
    <b:SourceType>InternetSite</b:SourceType>
    <b:Guid>{BF38E1CC-5DD5-4D27-B0A2-74D8CA89AC74}</b:Guid>
    <b:Title>CNSS-TAST-GD-11.1 - Guidance on Security Assessment of Generic New Nuclear Reactor Designs</b:Title>
    <b:Author>
      <b:Author>
        <b:Corporate>ONR</b:Corporate>
      </b:Author>
    </b:Author>
    <b:URL>https://www.onr.org.uk/publications/regulatory-guidance/regulatory-assessment-and-permissioning/technical-assessment-guides-tags/nuclear-security-tags/technical-assessment-guides-tags-nuclear-security/</b:URL>
    <b:RefOrder>11</b:RefOrder>
  </b:Source>
  <b:Source>
    <b:Tag>ONR46</b:Tag>
    <b:SourceType>DocumentFromInternetSite</b:SourceType>
    <b:Guid>{E100B18A-0C78-4F40-AB88-0CB07CE58675}</b:Guid>
    <b:Author>
      <b:Author>
        <b:Corporate>ONR</b:Corporate>
      </b:Author>
    </b:Author>
    <b:Title>Licence Condition Handbook</b:Title>
    <b:Year>2017</b:Year>
    <b:URL>https://www.onr.org.uk/media/gixbe2br/licence-condition-handbook.pdf</b:URL>
    <b:RefOrder>12</b:RefOrder>
  </b:Source>
  <b:Source>
    <b:Tag>ONR1610</b:Tag>
    <b:SourceType>DocumentFromInternetSite</b:SourceType>
    <b:Guid>{DCA3E539-B75A-4A4A-AC13-48AB77DBF172}</b:Guid>
    <b:Author>
      <b:Author>
        <b:Corporate>ONR</b:Corporate>
      </b:Author>
    </b:Author>
    <b:Title>A guide to nuclear regulation in the UK</b:Title>
    <b:Year>2016</b:Year>
    <b:URL>https://onr.org.uk/media/5hefhbol/202310045-1.pdf</b:URL>
    <b:RefOrder>13</b:RefOrder>
  </b:Source>
  <b:Source>
    <b:Tag>ONR225</b:Tag>
    <b:SourceType>ElectronicSource</b:SourceType>
    <b:Guid>{60DB8D9E-D388-4E27-AFED-274D90DF1FA5}</b:Guid>
    <b:Author>
      <b:Author>
        <b:Corporate>ONR</b:Corporate>
      </b:Author>
    </b:Author>
    <b:Title>ONR-PER-IN-006 - Decision Review and Appeals Process</b:Title>
    <b:RefOrder>14</b:RefOrder>
  </b:Source>
  <b:Source>
    <b:Tag>HMG233</b:Tag>
    <b:SourceType>InternetSite</b:SourceType>
    <b:Guid>{B3F42F19-39C8-42A7-90A7-65F81509E28C}</b:Guid>
    <b:Author>
      <b:Author>
        <b:Corporate>HM Government</b:Corporate>
      </b:Author>
    </b:Author>
    <b:Title>Government Security Classifications Policy</b:Title>
    <b:Year>2023</b:Year>
    <b:Month>July</b:Month>
    <b:Day>17</b:Day>
    <b:URL>https://www.gov.uk/government/publications/government-security-classifications/government-security-classifications-policy-html</b:URL>
    <b:RefOrder>15</b:RefOrder>
  </b:Source>
  <b:Source>
    <b:Tag>ONR17</b:Tag>
    <b:SourceType>InternetSite</b:SourceType>
    <b:Guid>{625B49E9-D9C2-483B-8A92-F48E11B2BF1D}</b:Guid>
    <b:Title>Freedom of Information (FOI)</b:Title>
    <b:URL>https://www.onr.org.uk/about-us/contact-us/freedom-of-information-foi/</b:URL>
    <b:Author>
      <b:Author>
        <b:Corporate>ONR</b:Corporate>
      </b:Author>
    </b:Author>
    <b:RefOrder>16</b:RefOrder>
  </b:Source>
  <b:Source>
    <b:Tag>ONR458</b:Tag>
    <b:SourceType>InternetSite</b:SourceType>
    <b:Guid>{6283C74F-A656-4C75-BBF6-7782102A7427}</b:Guid>
    <b:Author>
      <b:Author>
        <b:Corporate>ONR</b:Corporate>
      </b:Author>
    </b:Author>
    <b:Title>GDA &gt; Early regulatory engagement on new nuclear projects</b:Title>
    <b:URL>https://www.onr.org.uk/generic-design-assessment/early-regulatory-engagement-on-new-nuclear-projects/</b:URL>
    <b:RefOrder>17</b:RefOrder>
  </b:Source>
  <b:Source>
    <b:Tag>htt2</b:Tag>
    <b:SourceType>DocumentFromInternetSite</b:SourceType>
    <b:Guid>{21C1EBDE-528F-4060-BE6F-40228F3840F2}</b:Guid>
    <b:URL>https://www.onr.org.uk/media/3i5av4rq/ants-onr-gda-gd-009-nnpps-early-eng.docx</b:URL>
    <b:Title>ONR-GDA-GD-009 - New nuclear power plants: Early engagement for regulatory pathways (Issue 1)</b:Title>
    <b:Author>
      <b:Author>
        <b:Corporate>ONR</b:Corporate>
      </b:Author>
    </b:Author>
    <b:RefOrder>18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172AE3-333A-40B1-98E9-6BA30E8AF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75</Pages>
  <Words>23361</Words>
  <Characters>124283</Characters>
  <Application>Microsoft Office Word</Application>
  <DocSecurity>4</DocSecurity>
  <Lines>2644</Lines>
  <Paragraphs>1004</Paragraphs>
  <ScaleCrop>false</ScaleCrop>
  <HeadingPairs>
    <vt:vector size="2" baseType="variant">
      <vt:variant>
        <vt:lpstr>Title</vt:lpstr>
      </vt:variant>
      <vt:variant>
        <vt:i4>1</vt:i4>
      </vt:variant>
    </vt:vector>
  </HeadingPairs>
  <TitlesOfParts>
    <vt:vector size="1" baseType="lpstr">
      <vt:lpstr>Guidance to Requesting Parties on the Generic Design Assessment (GDA) process for safety and security assessments of new Nuclear Power Plants (NPP)</vt:lpstr>
    </vt:vector>
  </TitlesOfParts>
  <Manager>Office for Nuclear Regulation</Manager>
  <Company>Office for Nuclear Regulation</Company>
  <LinksUpToDate>false</LinksUpToDate>
  <CharactersWithSpaces>146640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to Requesting Parties on the Generic Design Assessment (GDA) process for safety and security assessments of new Nuclear Power Plants (NPP)</dc:title>
  <dc:subject>[Subtitle or description]</dc:subject>
  <cp:keywords>[Key words separated by commas]</cp:keywords>
  <dc:description/>
  <cp:revision>2</cp:revision>
  <cp:lastPrinted>2016-11-28T11:35:00Z</cp:lastPrinted>
  <dcterms:created xsi:type="dcterms:W3CDTF">2024-08-13T09:05:00Z</dcterms:created>
  <dcterms:modified xsi:type="dcterms:W3CDTF">2024-08-13T09:05:00Z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