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9969" w14:textId="77777777" w:rsidR="007A779A" w:rsidRDefault="007A779A" w:rsidP="007A779A">
      <w:r>
        <w:rPr>
          <w:rFonts w:cs="Arial"/>
          <w:b/>
          <w:noProof/>
          <w:sz w:val="20"/>
        </w:rPr>
        <w:drawing>
          <wp:anchor distT="288290" distB="0" distL="288290" distR="114300" simplePos="0" relativeHeight="251659264" behindDoc="0" locked="0" layoutInCell="1" allowOverlap="0" wp14:anchorId="4070F422" wp14:editId="48529AFC">
            <wp:simplePos x="0" y="0"/>
            <wp:positionH relativeFrom="page">
              <wp:posOffset>657860</wp:posOffset>
            </wp:positionH>
            <wp:positionV relativeFrom="page">
              <wp:posOffset>212090</wp:posOffset>
            </wp:positionV>
            <wp:extent cx="6313018" cy="570585"/>
            <wp:effectExtent l="0" t="0" r="0" b="1270"/>
            <wp:wrapNone/>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8" cstate="print">
                      <a:extLst>
                        <a:ext uri="{28A0092B-C50C-407E-A947-70E740481C1C}">
                          <a14:useLocalDpi xmlns:a14="http://schemas.microsoft.com/office/drawing/2010/main" val="0"/>
                        </a:ext>
                      </a:extLst>
                    </a:blip>
                    <a:srcRect l="7547" t="22310" r="-100261" b="23965"/>
                    <a:stretch>
                      <a:fillRect/>
                    </a:stretch>
                  </pic:blipFill>
                  <pic:spPr bwMode="auto">
                    <a:xfrm>
                      <a:off x="0" y="0"/>
                      <a:ext cx="6313018" cy="57058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980480E" w14:textId="77777777" w:rsidR="007A779A" w:rsidRPr="00DE22EB" w:rsidRDefault="007A779A" w:rsidP="007A779A">
      <w:pPr>
        <w:jc w:val="center"/>
        <w:rPr>
          <w:rFonts w:ascii="Arial" w:hAnsi="Arial" w:cs="Arial"/>
          <w:b/>
        </w:rPr>
      </w:pPr>
      <w:r w:rsidRPr="00DE22EB">
        <w:rPr>
          <w:rFonts w:ascii="Arial" w:hAnsi="Arial" w:cs="Arial"/>
          <w:b/>
        </w:rPr>
        <w:t xml:space="preserve">Minutes of the ONR Board </w:t>
      </w:r>
    </w:p>
    <w:p w14:paraId="79593C0A" w14:textId="165B663A" w:rsidR="007A779A" w:rsidRPr="00DE22EB" w:rsidRDefault="007A779A" w:rsidP="007A779A">
      <w:pPr>
        <w:jc w:val="center"/>
        <w:rPr>
          <w:rFonts w:ascii="Arial" w:hAnsi="Arial" w:cs="Arial"/>
          <w:b/>
        </w:rPr>
      </w:pPr>
      <w:r>
        <w:rPr>
          <w:rFonts w:ascii="Arial" w:hAnsi="Arial" w:cs="Arial"/>
          <w:b/>
        </w:rPr>
        <w:t>26 February 2024</w:t>
      </w:r>
    </w:p>
    <w:p w14:paraId="6F614E9B" w14:textId="3554361E" w:rsidR="007A779A" w:rsidRPr="00DE22EB" w:rsidRDefault="007A779A" w:rsidP="007A779A">
      <w:pPr>
        <w:jc w:val="center"/>
        <w:rPr>
          <w:rFonts w:ascii="Arial" w:hAnsi="Arial" w:cs="Arial"/>
          <w:b/>
        </w:rPr>
      </w:pPr>
      <w:r>
        <w:rPr>
          <w:rFonts w:ascii="Arial" w:hAnsi="Arial" w:cs="Arial"/>
          <w:b/>
        </w:rPr>
        <w:t>MS Teams</w:t>
      </w:r>
    </w:p>
    <w:p w14:paraId="03117DA2" w14:textId="77777777" w:rsidR="007A779A" w:rsidRPr="00DE22EB" w:rsidRDefault="007A779A" w:rsidP="007A779A">
      <w:pPr>
        <w:rPr>
          <w:rFonts w:ascii="Arial" w:hAnsi="Arial" w:cs="Arial"/>
          <w:b/>
        </w:rPr>
      </w:pPr>
      <w:r w:rsidRPr="00DE22EB">
        <w:rPr>
          <w:rFonts w:ascii="Arial" w:hAnsi="Arial" w:cs="Arial"/>
          <w:b/>
        </w:rPr>
        <w:t>Present:</w:t>
      </w:r>
    </w:p>
    <w:p w14:paraId="510D63ED" w14:textId="77777777" w:rsidR="007A779A" w:rsidRPr="00DE22EB" w:rsidRDefault="007A779A" w:rsidP="007A779A">
      <w:pPr>
        <w:rPr>
          <w:rFonts w:ascii="Arial" w:hAnsi="Arial" w:cs="Arial"/>
          <w:b/>
        </w:rPr>
      </w:pPr>
      <w:r w:rsidRPr="00DE22EB">
        <w:rPr>
          <w:rFonts w:ascii="Arial" w:hAnsi="Arial" w:cs="Arial"/>
          <w:b/>
        </w:rPr>
        <w:t>Members</w:t>
      </w:r>
      <w:r w:rsidRPr="00DE22EB">
        <w:rPr>
          <w:rFonts w:ascii="Arial" w:hAnsi="Arial" w:cs="Arial"/>
          <w:b/>
        </w:rPr>
        <w:tab/>
      </w:r>
      <w:r w:rsidRPr="00DE22EB">
        <w:rPr>
          <w:rFonts w:ascii="Arial" w:hAnsi="Arial" w:cs="Arial"/>
          <w:b/>
        </w:rPr>
        <w:tab/>
      </w:r>
      <w:r w:rsidRPr="00DE22EB">
        <w:rPr>
          <w:rFonts w:ascii="Arial" w:hAnsi="Arial" w:cs="Arial"/>
          <w:b/>
        </w:rPr>
        <w:tab/>
      </w:r>
      <w:r w:rsidRPr="00DE22EB">
        <w:rPr>
          <w:rFonts w:ascii="Arial" w:hAnsi="Arial" w:cs="Arial"/>
          <w:b/>
        </w:rPr>
        <w:tab/>
      </w:r>
      <w:r w:rsidRPr="00DE22EB">
        <w:rPr>
          <w:rFonts w:ascii="Arial" w:hAnsi="Arial" w:cs="Arial"/>
          <w:b/>
        </w:rPr>
        <w:tab/>
      </w:r>
      <w:r w:rsidRPr="00DE22EB">
        <w:rPr>
          <w:rFonts w:ascii="Arial" w:hAnsi="Arial" w:cs="Arial"/>
          <w:b/>
        </w:rPr>
        <w:tab/>
        <w:t>Attendees</w:t>
      </w:r>
    </w:p>
    <w:p w14:paraId="09BF5E29" w14:textId="77777777" w:rsidR="007A779A" w:rsidRPr="00DE22EB" w:rsidRDefault="007A779A" w:rsidP="007A779A">
      <w:pPr>
        <w:ind w:left="5040" w:right="-760" w:hanging="5040"/>
        <w:rPr>
          <w:rFonts w:ascii="Arial" w:hAnsi="Arial" w:cs="Arial"/>
        </w:rPr>
      </w:pPr>
      <w:r>
        <w:rPr>
          <w:rFonts w:ascii="Arial" w:hAnsi="Arial" w:cs="Arial"/>
        </w:rPr>
        <w:t>Judith Hackitt</w:t>
      </w:r>
      <w:r w:rsidRPr="00DE22EB">
        <w:rPr>
          <w:rFonts w:ascii="Arial" w:hAnsi="Arial" w:cs="Arial"/>
        </w:rPr>
        <w:t xml:space="preserve"> - Chair</w:t>
      </w:r>
      <w:r w:rsidRPr="00DE22EB">
        <w:rPr>
          <w:rFonts w:ascii="Arial" w:hAnsi="Arial" w:cs="Arial"/>
        </w:rPr>
        <w:tab/>
      </w:r>
      <w:r>
        <w:rPr>
          <w:rFonts w:ascii="Arial" w:hAnsi="Arial" w:cs="Arial"/>
        </w:rPr>
        <w:t>Dave Caton - HR Director</w:t>
      </w:r>
      <w:r w:rsidRPr="00DE22EB">
        <w:rPr>
          <w:rFonts w:ascii="Arial" w:hAnsi="Arial" w:cs="Arial"/>
        </w:rPr>
        <w:t xml:space="preserve"> </w:t>
      </w:r>
    </w:p>
    <w:p w14:paraId="0D8BF3F5" w14:textId="2930B37D" w:rsidR="007A779A" w:rsidRPr="00DE22EB" w:rsidRDefault="007A779A" w:rsidP="008D369A">
      <w:pPr>
        <w:ind w:left="5040" w:right="-760" w:hanging="5040"/>
        <w:rPr>
          <w:rFonts w:ascii="Arial" w:hAnsi="Arial" w:cs="Arial"/>
        </w:rPr>
      </w:pPr>
      <w:r w:rsidRPr="00DE22EB">
        <w:rPr>
          <w:rFonts w:ascii="Arial" w:hAnsi="Arial" w:cs="Arial"/>
        </w:rPr>
        <w:t>Sarika Patel - Non-Executive Director</w:t>
      </w:r>
      <w:r>
        <w:rPr>
          <w:rFonts w:ascii="Arial" w:hAnsi="Arial" w:cs="Arial"/>
        </w:rPr>
        <w:t xml:space="preserve"> </w:t>
      </w:r>
      <w:r w:rsidRPr="00DE22EB">
        <w:rPr>
          <w:rFonts w:ascii="Arial" w:hAnsi="Arial" w:cs="Arial"/>
        </w:rPr>
        <w:tab/>
      </w:r>
      <w:r w:rsidR="00A22EF0">
        <w:rPr>
          <w:rFonts w:ascii="Arial" w:hAnsi="Arial" w:cs="Arial"/>
        </w:rPr>
        <w:t xml:space="preserve">Leanne Weild- </w:t>
      </w:r>
      <w:r w:rsidR="00A22EF0" w:rsidRPr="00A22EF0">
        <w:rPr>
          <w:rFonts w:ascii="Arial" w:hAnsi="Arial" w:cs="Arial"/>
        </w:rPr>
        <w:t xml:space="preserve">Head of Finance &amp; </w:t>
      </w:r>
    </w:p>
    <w:p w14:paraId="1730E9AA" w14:textId="4C628073" w:rsidR="007A779A" w:rsidRPr="008D369A" w:rsidRDefault="007A779A" w:rsidP="008D369A">
      <w:pPr>
        <w:ind w:right="-760"/>
        <w:rPr>
          <w:rFonts w:ascii="Arial" w:hAnsi="Arial" w:cs="Arial"/>
        </w:rPr>
      </w:pPr>
      <w:r w:rsidRPr="00DE22EB">
        <w:rPr>
          <w:rFonts w:ascii="Arial" w:hAnsi="Arial" w:cs="Arial"/>
        </w:rPr>
        <w:t>Tracey Matthews - Non-Executive Director</w:t>
      </w:r>
      <w:r w:rsidRPr="00DE22EB">
        <w:rPr>
          <w:rFonts w:ascii="Arial" w:hAnsi="Arial" w:cs="Arial"/>
        </w:rPr>
        <w:tab/>
      </w:r>
      <w:r w:rsidR="00A22EF0" w:rsidRPr="00A22EF0">
        <w:rPr>
          <w:rFonts w:ascii="Arial" w:hAnsi="Arial" w:cs="Arial"/>
        </w:rPr>
        <w:t>Commercial</w:t>
      </w:r>
      <w:r w:rsidRPr="008D369A">
        <w:rPr>
          <w:rFonts w:ascii="Arial" w:hAnsi="Arial" w:cs="Arial"/>
        </w:rPr>
        <w:tab/>
        <w:t xml:space="preserve">   </w:t>
      </w:r>
    </w:p>
    <w:p w14:paraId="4A80DF45" w14:textId="5B9A9149" w:rsidR="007A779A" w:rsidRPr="00120482" w:rsidRDefault="007A779A" w:rsidP="007A779A">
      <w:pPr>
        <w:ind w:left="5040" w:right="-760" w:hanging="5040"/>
        <w:rPr>
          <w:rFonts w:ascii="Arial" w:hAnsi="Arial" w:cs="Arial"/>
        </w:rPr>
      </w:pPr>
      <w:r w:rsidRPr="00120482">
        <w:rPr>
          <w:rFonts w:ascii="Arial" w:hAnsi="Arial" w:cs="Arial"/>
        </w:rPr>
        <w:t xml:space="preserve">Janet Wilson - Non-Executive Director </w:t>
      </w:r>
      <w:r w:rsidR="001A505B">
        <w:rPr>
          <w:rFonts w:ascii="Arial" w:hAnsi="Arial" w:cs="Arial"/>
        </w:rPr>
        <w:tab/>
        <w:t xml:space="preserve">Alex Goddard, </w:t>
      </w:r>
      <w:r w:rsidR="001A505B" w:rsidRPr="001A505B">
        <w:rPr>
          <w:rFonts w:ascii="Arial" w:hAnsi="Arial" w:cs="Arial"/>
        </w:rPr>
        <w:t xml:space="preserve">Head of Finance Business </w:t>
      </w:r>
    </w:p>
    <w:p w14:paraId="4D0242F7" w14:textId="53C473C3" w:rsidR="007A779A" w:rsidRPr="00DE22EB" w:rsidRDefault="007A779A" w:rsidP="007A779A">
      <w:pPr>
        <w:ind w:left="5040" w:right="-760" w:hanging="5040"/>
        <w:rPr>
          <w:rFonts w:ascii="Arial" w:hAnsi="Arial" w:cs="Arial"/>
          <w:b/>
          <w:bCs/>
        </w:rPr>
      </w:pPr>
      <w:r>
        <w:rPr>
          <w:rFonts w:ascii="Arial" w:hAnsi="Arial" w:cs="Arial"/>
        </w:rPr>
        <w:t>Roger Hardy- Non-Executive Director</w:t>
      </w:r>
      <w:r w:rsidRPr="00DE22EB">
        <w:rPr>
          <w:rFonts w:ascii="Arial" w:hAnsi="Arial" w:cs="Arial"/>
        </w:rPr>
        <w:tab/>
      </w:r>
      <w:r w:rsidR="001A505B" w:rsidRPr="001A505B">
        <w:rPr>
          <w:rFonts w:ascii="Arial" w:hAnsi="Arial" w:cs="Arial"/>
        </w:rPr>
        <w:t>Partnering</w:t>
      </w:r>
      <w:r w:rsidR="00825C5D">
        <w:rPr>
          <w:rFonts w:ascii="Arial" w:hAnsi="Arial" w:cs="Arial"/>
        </w:rPr>
        <w:t xml:space="preserve"> </w:t>
      </w:r>
    </w:p>
    <w:p w14:paraId="6ACFE2F5" w14:textId="50772171" w:rsidR="007A779A" w:rsidRPr="00DE22EB" w:rsidRDefault="007A779A" w:rsidP="007A779A">
      <w:pPr>
        <w:ind w:left="5040" w:right="-760" w:hanging="5040"/>
        <w:rPr>
          <w:rFonts w:ascii="Arial" w:hAnsi="Arial" w:cs="Arial"/>
        </w:rPr>
      </w:pPr>
      <w:r>
        <w:rPr>
          <w:rFonts w:ascii="Arial" w:hAnsi="Arial" w:cs="Arial"/>
        </w:rPr>
        <w:t xml:space="preserve">Mark Foy </w:t>
      </w:r>
      <w:r w:rsidRPr="00DE22EB">
        <w:rPr>
          <w:rFonts w:ascii="Arial" w:hAnsi="Arial" w:cs="Arial"/>
        </w:rPr>
        <w:t>- Chief Executive</w:t>
      </w:r>
      <w:r>
        <w:rPr>
          <w:rFonts w:ascii="Arial" w:hAnsi="Arial" w:cs="Arial"/>
        </w:rPr>
        <w:t xml:space="preserve"> / Chief Nuclear </w:t>
      </w:r>
      <w:r>
        <w:rPr>
          <w:rFonts w:ascii="Arial" w:hAnsi="Arial" w:cs="Arial"/>
        </w:rPr>
        <w:tab/>
      </w:r>
      <w:r w:rsidR="001A505B">
        <w:rPr>
          <w:rFonts w:ascii="Arial" w:hAnsi="Arial" w:cs="Arial"/>
        </w:rPr>
        <w:t xml:space="preserve">Lorraine Medcalf, </w:t>
      </w:r>
      <w:r w:rsidR="001A505B" w:rsidRPr="001A505B">
        <w:rPr>
          <w:rFonts w:ascii="Arial" w:hAnsi="Arial" w:cs="Arial"/>
        </w:rPr>
        <w:t xml:space="preserve">Head of International </w:t>
      </w:r>
    </w:p>
    <w:p w14:paraId="4EE87809" w14:textId="2DBB8793" w:rsidR="007A779A" w:rsidRDefault="007A779A" w:rsidP="008D369A">
      <w:pPr>
        <w:ind w:left="5040" w:right="-760" w:hanging="5040"/>
        <w:rPr>
          <w:rFonts w:ascii="Arial" w:hAnsi="Arial" w:cs="Arial"/>
        </w:rPr>
      </w:pPr>
      <w:r w:rsidRPr="00DE22EB">
        <w:rPr>
          <w:rFonts w:ascii="Arial" w:hAnsi="Arial" w:cs="Arial"/>
        </w:rPr>
        <w:t>Inspector</w:t>
      </w:r>
      <w:r w:rsidRPr="00DE22EB">
        <w:rPr>
          <w:rFonts w:ascii="Arial" w:hAnsi="Arial" w:cs="Arial"/>
        </w:rPr>
        <w:tab/>
      </w:r>
      <w:r w:rsidR="001A505B" w:rsidRPr="001A505B">
        <w:rPr>
          <w:rFonts w:ascii="Arial" w:hAnsi="Arial" w:cs="Arial"/>
        </w:rPr>
        <w:t>Strategy and Public Correspondence</w:t>
      </w:r>
    </w:p>
    <w:p w14:paraId="4751E003" w14:textId="1A107990" w:rsidR="007A779A" w:rsidRDefault="007A779A" w:rsidP="007A779A">
      <w:pPr>
        <w:ind w:left="5040" w:right="-760" w:hanging="5040"/>
        <w:rPr>
          <w:rFonts w:ascii="Arial" w:hAnsi="Arial" w:cs="Arial"/>
        </w:rPr>
      </w:pPr>
      <w:r>
        <w:rPr>
          <w:rFonts w:ascii="Arial" w:hAnsi="Arial" w:cs="Arial"/>
        </w:rPr>
        <w:t>Do</w:t>
      </w:r>
      <w:r w:rsidRPr="00DE22EB">
        <w:rPr>
          <w:rFonts w:ascii="Arial" w:hAnsi="Arial" w:cs="Arial"/>
        </w:rPr>
        <w:t xml:space="preserve">nald Urquhart </w:t>
      </w:r>
      <w:r>
        <w:rPr>
          <w:rFonts w:ascii="Arial" w:hAnsi="Arial" w:cs="Arial"/>
        </w:rPr>
        <w:t>-</w:t>
      </w:r>
      <w:r w:rsidRPr="00DE22EB">
        <w:rPr>
          <w:rFonts w:ascii="Arial" w:hAnsi="Arial" w:cs="Arial"/>
        </w:rPr>
        <w:t xml:space="preserve"> Executive Director</w:t>
      </w:r>
      <w:r>
        <w:rPr>
          <w:rFonts w:ascii="Arial" w:hAnsi="Arial" w:cs="Arial"/>
        </w:rPr>
        <w:tab/>
      </w:r>
      <w:r w:rsidR="001A505B" w:rsidRPr="001A505B">
        <w:rPr>
          <w:rFonts w:ascii="Arial" w:hAnsi="Arial" w:cs="Arial"/>
        </w:rPr>
        <w:t>Felicity Robinson</w:t>
      </w:r>
      <w:r w:rsidR="001A505B">
        <w:rPr>
          <w:rFonts w:ascii="Arial" w:hAnsi="Arial" w:cs="Arial"/>
        </w:rPr>
        <w:t>, ONR Policy</w:t>
      </w:r>
    </w:p>
    <w:p w14:paraId="2B0BBEC3" w14:textId="77777777" w:rsidR="007A779A" w:rsidRDefault="007A779A" w:rsidP="007A779A">
      <w:pPr>
        <w:ind w:left="5040" w:right="-760" w:hanging="5040"/>
        <w:rPr>
          <w:rFonts w:ascii="Arial" w:hAnsi="Arial" w:cs="Arial"/>
        </w:rPr>
      </w:pPr>
      <w:r>
        <w:rPr>
          <w:rFonts w:ascii="Arial" w:hAnsi="Arial" w:cs="Arial"/>
        </w:rPr>
        <w:t>Operations</w:t>
      </w:r>
    </w:p>
    <w:p w14:paraId="71B37BB7" w14:textId="7AACF696" w:rsidR="007A779A" w:rsidRPr="007A779A" w:rsidRDefault="007A779A" w:rsidP="007A779A">
      <w:pPr>
        <w:ind w:left="5040" w:right="-760" w:hanging="5040"/>
        <w:rPr>
          <w:rFonts w:ascii="Arial" w:hAnsi="Arial" w:cs="Arial"/>
        </w:rPr>
      </w:pPr>
      <w:r>
        <w:rPr>
          <w:rFonts w:ascii="Arial" w:hAnsi="Arial" w:cs="Arial"/>
        </w:rPr>
        <w:tab/>
      </w:r>
    </w:p>
    <w:p w14:paraId="0D9E1C96" w14:textId="77777777" w:rsidR="007A779A" w:rsidRDefault="007A779A" w:rsidP="007A779A">
      <w:pPr>
        <w:ind w:right="-760"/>
        <w:rPr>
          <w:rFonts w:ascii="Arial" w:hAnsi="Arial" w:cs="Arial"/>
        </w:rPr>
      </w:pPr>
      <w:r w:rsidRPr="00DE22EB">
        <w:rPr>
          <w:rFonts w:ascii="Arial" w:hAnsi="Arial" w:cs="Arial"/>
          <w:b/>
          <w:bCs/>
        </w:rPr>
        <w:t>Secretary:</w:t>
      </w:r>
      <w:r w:rsidRPr="00DE22EB">
        <w:rPr>
          <w:rFonts w:ascii="Arial" w:hAnsi="Arial" w:cs="Arial"/>
        </w:rPr>
        <w:t xml:space="preserve"> </w:t>
      </w:r>
      <w:r>
        <w:rPr>
          <w:rFonts w:ascii="Arial" w:hAnsi="Arial" w:cs="Arial"/>
        </w:rPr>
        <w:t>Nidhi Misri</w:t>
      </w:r>
      <w:r w:rsidRPr="00DE22EB">
        <w:rPr>
          <w:rFonts w:ascii="Arial" w:hAnsi="Arial" w:cs="Arial"/>
        </w:rPr>
        <w:t>, Head of Corporate Governance</w:t>
      </w:r>
      <w:r>
        <w:rPr>
          <w:rFonts w:ascii="Arial" w:hAnsi="Arial" w:cs="Arial"/>
        </w:rPr>
        <w:t xml:space="preserve"> and Compliance</w:t>
      </w:r>
      <w:r w:rsidRPr="00DE22EB">
        <w:rPr>
          <w:rFonts w:ascii="Arial" w:hAnsi="Arial" w:cs="Arial"/>
        </w:rPr>
        <w:t xml:space="preserve"> (Board Secretary)</w:t>
      </w:r>
    </w:p>
    <w:p w14:paraId="38872252" w14:textId="77777777" w:rsidR="00CE0F08" w:rsidRDefault="00CE0F08" w:rsidP="007A779A">
      <w:pPr>
        <w:ind w:right="-76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7884"/>
      </w:tblGrid>
      <w:tr w:rsidR="00CE0F08" w:rsidRPr="00D901A4" w14:paraId="1BEE6699" w14:textId="77777777" w:rsidTr="00883F1F">
        <w:tc>
          <w:tcPr>
            <w:tcW w:w="1142" w:type="dxa"/>
          </w:tcPr>
          <w:p w14:paraId="29AA48D9" w14:textId="77777777" w:rsidR="00CE0F08" w:rsidRPr="00D901A4" w:rsidRDefault="00CE0F08" w:rsidP="0029015F">
            <w:pPr>
              <w:tabs>
                <w:tab w:val="left" w:pos="5347"/>
              </w:tabs>
              <w:rPr>
                <w:rFonts w:ascii="Arial" w:hAnsi="Arial" w:cs="Arial"/>
                <w:b/>
              </w:rPr>
            </w:pPr>
            <w:r w:rsidRPr="00D901A4">
              <w:rPr>
                <w:rFonts w:ascii="Arial" w:hAnsi="Arial" w:cs="Arial"/>
                <w:b/>
              </w:rPr>
              <w:t>1</w:t>
            </w:r>
          </w:p>
        </w:tc>
        <w:tc>
          <w:tcPr>
            <w:tcW w:w="7884" w:type="dxa"/>
          </w:tcPr>
          <w:p w14:paraId="04B96ACD" w14:textId="77777777" w:rsidR="00CE0F08" w:rsidRPr="00D901A4" w:rsidRDefault="00CE0F08" w:rsidP="0029015F">
            <w:pPr>
              <w:tabs>
                <w:tab w:val="left" w:pos="5347"/>
              </w:tabs>
              <w:rPr>
                <w:rFonts w:ascii="Arial" w:hAnsi="Arial" w:cs="Arial"/>
                <w:b/>
              </w:rPr>
            </w:pPr>
            <w:r w:rsidRPr="00D901A4">
              <w:rPr>
                <w:rFonts w:ascii="Arial" w:hAnsi="Arial" w:cs="Arial"/>
                <w:b/>
              </w:rPr>
              <w:t xml:space="preserve">Welcome, Apologies for Absence and Declarations of Interest </w:t>
            </w:r>
          </w:p>
          <w:p w14:paraId="5842F644" w14:textId="77777777" w:rsidR="00CE0F08" w:rsidRPr="00D901A4" w:rsidRDefault="00CE0F08" w:rsidP="0029015F">
            <w:pPr>
              <w:tabs>
                <w:tab w:val="left" w:pos="5347"/>
              </w:tabs>
              <w:rPr>
                <w:rFonts w:ascii="Arial" w:hAnsi="Arial" w:cs="Arial"/>
                <w:b/>
              </w:rPr>
            </w:pPr>
          </w:p>
        </w:tc>
      </w:tr>
      <w:tr w:rsidR="00CE0F08" w:rsidRPr="00D901A4" w14:paraId="4CF00632" w14:textId="77777777" w:rsidTr="00883F1F">
        <w:tc>
          <w:tcPr>
            <w:tcW w:w="1142" w:type="dxa"/>
          </w:tcPr>
          <w:p w14:paraId="23E2B188" w14:textId="77777777" w:rsidR="00CE0F08" w:rsidRPr="00D901A4" w:rsidRDefault="00CE0F08" w:rsidP="0029015F">
            <w:pPr>
              <w:tabs>
                <w:tab w:val="left" w:pos="5347"/>
              </w:tabs>
              <w:rPr>
                <w:rFonts w:ascii="Arial" w:hAnsi="Arial" w:cs="Arial"/>
              </w:rPr>
            </w:pPr>
            <w:r w:rsidRPr="00D901A4">
              <w:rPr>
                <w:rFonts w:ascii="Arial" w:hAnsi="Arial" w:cs="Arial"/>
              </w:rPr>
              <w:t>1.1</w:t>
            </w:r>
          </w:p>
          <w:p w14:paraId="4AC17FDA" w14:textId="77777777" w:rsidR="00CE0F08" w:rsidRPr="00D901A4" w:rsidRDefault="00CE0F08" w:rsidP="0029015F">
            <w:pPr>
              <w:tabs>
                <w:tab w:val="left" w:pos="5347"/>
              </w:tabs>
              <w:rPr>
                <w:rFonts w:ascii="Arial" w:hAnsi="Arial" w:cs="Arial"/>
              </w:rPr>
            </w:pPr>
          </w:p>
        </w:tc>
        <w:tc>
          <w:tcPr>
            <w:tcW w:w="7884" w:type="dxa"/>
          </w:tcPr>
          <w:p w14:paraId="0C91B596" w14:textId="09642EE6" w:rsidR="00CE0F08" w:rsidRPr="00CE0F08" w:rsidRDefault="00CE0F08" w:rsidP="00CE0F08">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eastAsia="Arial" w:hAnsi="Arial" w:cs="Arial"/>
                <w:bCs/>
                <w:color w:val="auto"/>
              </w:rPr>
            </w:pPr>
            <w:r w:rsidRPr="00CE0F08">
              <w:rPr>
                <w:rFonts w:ascii="Arial" w:eastAsia="Arial" w:hAnsi="Arial" w:cs="Arial"/>
                <w:bCs/>
                <w:color w:val="auto"/>
              </w:rPr>
              <w:t>The Chair welcomed everyone to the meeting and noted apologies from Jean Llewellyn (Non-Executive Director) and Sarah High (Deputy Chief Executive).</w:t>
            </w:r>
            <w:r w:rsidR="00EC00CC">
              <w:rPr>
                <w:rFonts w:ascii="Arial" w:eastAsia="Arial" w:hAnsi="Arial" w:cs="Arial"/>
                <w:bCs/>
                <w:color w:val="auto"/>
              </w:rPr>
              <w:t xml:space="preserve"> There were no </w:t>
            </w:r>
            <w:r w:rsidR="00815F9E">
              <w:rPr>
                <w:rFonts w:ascii="Arial" w:eastAsia="Arial" w:hAnsi="Arial" w:cs="Arial"/>
                <w:bCs/>
                <w:color w:val="auto"/>
              </w:rPr>
              <w:t>declarations of interest.</w:t>
            </w:r>
          </w:p>
        </w:tc>
      </w:tr>
      <w:tr w:rsidR="00CE0F08" w:rsidRPr="00D901A4" w14:paraId="0607C3DC" w14:textId="77777777" w:rsidTr="00883F1F">
        <w:tc>
          <w:tcPr>
            <w:tcW w:w="1142" w:type="dxa"/>
          </w:tcPr>
          <w:p w14:paraId="7E8CCA1D" w14:textId="77777777" w:rsidR="00CE0F08" w:rsidRPr="00D901A4" w:rsidRDefault="00CE0F08" w:rsidP="0029015F">
            <w:pPr>
              <w:tabs>
                <w:tab w:val="left" w:pos="5347"/>
              </w:tabs>
              <w:rPr>
                <w:rFonts w:ascii="Arial" w:hAnsi="Arial" w:cs="Arial"/>
              </w:rPr>
            </w:pPr>
          </w:p>
        </w:tc>
        <w:tc>
          <w:tcPr>
            <w:tcW w:w="7884" w:type="dxa"/>
          </w:tcPr>
          <w:p w14:paraId="7A32B2F1" w14:textId="77777777" w:rsidR="00CE0F08" w:rsidRPr="00CE0F08" w:rsidRDefault="00CE0F08" w:rsidP="0029015F">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eastAsia="Arial" w:hAnsi="Arial" w:cs="Arial"/>
                <w:bCs/>
                <w:color w:val="auto"/>
              </w:rPr>
            </w:pPr>
          </w:p>
        </w:tc>
      </w:tr>
      <w:tr w:rsidR="00CE0F08" w:rsidRPr="00D901A4" w14:paraId="7B3C09DD" w14:textId="77777777" w:rsidTr="00883F1F">
        <w:trPr>
          <w:trHeight w:val="2126"/>
        </w:trPr>
        <w:tc>
          <w:tcPr>
            <w:tcW w:w="1142" w:type="dxa"/>
          </w:tcPr>
          <w:p w14:paraId="421F9C2A" w14:textId="77777777" w:rsidR="00CE0F08" w:rsidRDefault="00CE0F08" w:rsidP="0029015F">
            <w:pPr>
              <w:tabs>
                <w:tab w:val="left" w:pos="5347"/>
              </w:tabs>
              <w:rPr>
                <w:rFonts w:ascii="Arial" w:hAnsi="Arial" w:cs="Arial"/>
                <w:b/>
                <w:bCs/>
              </w:rPr>
            </w:pPr>
            <w:r w:rsidRPr="00CE0F08">
              <w:rPr>
                <w:rFonts w:ascii="Arial" w:hAnsi="Arial" w:cs="Arial"/>
                <w:b/>
                <w:bCs/>
              </w:rPr>
              <w:t>2</w:t>
            </w:r>
          </w:p>
          <w:p w14:paraId="6ADA1C46" w14:textId="77777777" w:rsidR="00292E37" w:rsidRDefault="00292E37" w:rsidP="0029015F">
            <w:pPr>
              <w:tabs>
                <w:tab w:val="left" w:pos="5347"/>
              </w:tabs>
              <w:rPr>
                <w:rFonts w:ascii="Arial" w:hAnsi="Arial" w:cs="Arial"/>
                <w:b/>
                <w:bCs/>
              </w:rPr>
            </w:pPr>
          </w:p>
          <w:p w14:paraId="72F18F95" w14:textId="3E625E33" w:rsidR="00292E37" w:rsidRPr="001C7C84" w:rsidRDefault="00292E37" w:rsidP="0029015F">
            <w:pPr>
              <w:tabs>
                <w:tab w:val="left" w:pos="5347"/>
              </w:tabs>
              <w:rPr>
                <w:rFonts w:ascii="Arial" w:hAnsi="Arial" w:cs="Arial"/>
              </w:rPr>
            </w:pPr>
            <w:r w:rsidRPr="001C7C84">
              <w:rPr>
                <w:rFonts w:ascii="Arial" w:hAnsi="Arial" w:cs="Arial"/>
              </w:rPr>
              <w:t>2.1</w:t>
            </w:r>
            <w:r w:rsidR="001C7C84">
              <w:rPr>
                <w:rFonts w:ascii="Arial" w:hAnsi="Arial" w:cs="Arial"/>
              </w:rPr>
              <w:t xml:space="preserve">           </w:t>
            </w:r>
          </w:p>
        </w:tc>
        <w:tc>
          <w:tcPr>
            <w:tcW w:w="7884" w:type="dxa"/>
          </w:tcPr>
          <w:p w14:paraId="1E452BB5" w14:textId="77777777" w:rsidR="00CE0F08" w:rsidRDefault="00CE0F08" w:rsidP="00CE0F08">
            <w:pPr>
              <w:ind w:left="567" w:right="187" w:hanging="567"/>
              <w:rPr>
                <w:rFonts w:ascii="Arial" w:hAnsi="Arial" w:cs="Arial"/>
                <w:b/>
              </w:rPr>
            </w:pPr>
            <w:r w:rsidRPr="007A779A">
              <w:rPr>
                <w:rFonts w:ascii="Arial" w:hAnsi="Arial" w:cs="Arial"/>
                <w:b/>
              </w:rPr>
              <w:t>ONR Budget 2024/25</w:t>
            </w:r>
          </w:p>
          <w:p w14:paraId="0D37A631" w14:textId="77777777" w:rsidR="00292E37" w:rsidRDefault="00292E37" w:rsidP="00CE0F08">
            <w:pPr>
              <w:ind w:left="567" w:right="187" w:hanging="567"/>
              <w:rPr>
                <w:rFonts w:ascii="Arial" w:hAnsi="Arial" w:cs="Arial"/>
                <w:b/>
              </w:rPr>
            </w:pPr>
          </w:p>
          <w:p w14:paraId="381E3DF7" w14:textId="34EAE7F3" w:rsidR="003F06EA" w:rsidRPr="001C7C84" w:rsidRDefault="001C7C84" w:rsidP="002830ED">
            <w:pPr>
              <w:ind w:right="34"/>
              <w:rPr>
                <w:rFonts w:ascii="Arial" w:hAnsi="Arial" w:cs="Arial"/>
              </w:rPr>
            </w:pPr>
            <w:r w:rsidRPr="00CE0F08">
              <w:rPr>
                <w:rFonts w:ascii="Arial" w:hAnsi="Arial" w:cs="Arial"/>
              </w:rPr>
              <w:t xml:space="preserve">The CE/CNI introduced the item. </w:t>
            </w:r>
            <w:r>
              <w:rPr>
                <w:rFonts w:ascii="Arial" w:hAnsi="Arial" w:cs="Arial"/>
              </w:rPr>
              <w:t>L</w:t>
            </w:r>
            <w:r w:rsidRPr="00CE0F08">
              <w:rPr>
                <w:rFonts w:ascii="Arial" w:hAnsi="Arial" w:cs="Arial"/>
              </w:rPr>
              <w:t>essons had been learned from previous years</w:t>
            </w:r>
            <w:r>
              <w:rPr>
                <w:rFonts w:ascii="Arial" w:hAnsi="Arial" w:cs="Arial"/>
              </w:rPr>
              <w:t>’ budget outcomes resulting in</w:t>
            </w:r>
            <w:r w:rsidRPr="00CE0F08">
              <w:rPr>
                <w:rFonts w:ascii="Arial" w:hAnsi="Arial" w:cs="Arial"/>
              </w:rPr>
              <w:t xml:space="preserve"> a realistic budget be</w:t>
            </w:r>
            <w:r>
              <w:rPr>
                <w:rFonts w:ascii="Arial" w:hAnsi="Arial" w:cs="Arial"/>
              </w:rPr>
              <w:t>ing</w:t>
            </w:r>
            <w:r w:rsidRPr="00CE0F08">
              <w:rPr>
                <w:rFonts w:ascii="Arial" w:hAnsi="Arial" w:cs="Arial"/>
              </w:rPr>
              <w:t xml:space="preserve"> presented to the Board this year. It was an example of excellent work </w:t>
            </w:r>
            <w:r>
              <w:rPr>
                <w:rFonts w:ascii="Arial" w:hAnsi="Arial" w:cs="Arial"/>
              </w:rPr>
              <w:t>from</w:t>
            </w:r>
            <w:r w:rsidRPr="00CE0F08">
              <w:rPr>
                <w:rFonts w:ascii="Arial" w:hAnsi="Arial" w:cs="Arial"/>
              </w:rPr>
              <w:t xml:space="preserve"> the finance</w:t>
            </w:r>
            <w:r>
              <w:rPr>
                <w:rFonts w:ascii="Arial" w:hAnsi="Arial" w:cs="Arial"/>
              </w:rPr>
              <w:t xml:space="preserve"> </w:t>
            </w:r>
            <w:r w:rsidRPr="00CE0F08">
              <w:rPr>
                <w:rFonts w:ascii="Arial" w:hAnsi="Arial" w:cs="Arial"/>
              </w:rPr>
              <w:t xml:space="preserve">directorate working </w:t>
            </w:r>
            <w:r>
              <w:rPr>
                <w:rFonts w:ascii="Arial" w:hAnsi="Arial" w:cs="Arial"/>
              </w:rPr>
              <w:t xml:space="preserve">closely </w:t>
            </w:r>
            <w:r w:rsidRPr="00CE0F08">
              <w:rPr>
                <w:rFonts w:ascii="Arial" w:hAnsi="Arial" w:cs="Arial"/>
              </w:rPr>
              <w:t xml:space="preserve">with colleagues across ONR </w:t>
            </w:r>
            <w:r>
              <w:rPr>
                <w:rFonts w:ascii="Arial" w:hAnsi="Arial" w:cs="Arial"/>
              </w:rPr>
              <w:t>to produce the budget</w:t>
            </w:r>
            <w:r w:rsidR="002830ED">
              <w:rPr>
                <w:rFonts w:ascii="Arial" w:hAnsi="Arial" w:cs="Arial"/>
              </w:rPr>
              <w:t>.</w:t>
            </w:r>
          </w:p>
        </w:tc>
      </w:tr>
      <w:tr w:rsidR="001C7C84" w:rsidRPr="00D901A4" w14:paraId="4F9DC4FE" w14:textId="77777777" w:rsidTr="00883F1F">
        <w:tc>
          <w:tcPr>
            <w:tcW w:w="1142" w:type="dxa"/>
          </w:tcPr>
          <w:p w14:paraId="2E9B913C" w14:textId="510D1FC9" w:rsidR="001C7C84" w:rsidRPr="001C7C84" w:rsidRDefault="001C7C84" w:rsidP="0029015F">
            <w:pPr>
              <w:tabs>
                <w:tab w:val="left" w:pos="5347"/>
              </w:tabs>
              <w:rPr>
                <w:rFonts w:ascii="Arial" w:hAnsi="Arial" w:cs="Arial"/>
              </w:rPr>
            </w:pPr>
            <w:r w:rsidRPr="001C7C84">
              <w:rPr>
                <w:rFonts w:ascii="Arial" w:hAnsi="Arial" w:cs="Arial"/>
              </w:rPr>
              <w:t>2.2</w:t>
            </w:r>
          </w:p>
        </w:tc>
        <w:tc>
          <w:tcPr>
            <w:tcW w:w="7884" w:type="dxa"/>
          </w:tcPr>
          <w:p w14:paraId="2CAF906A" w14:textId="1EB90284" w:rsidR="001C7C84" w:rsidRPr="001C7C84" w:rsidRDefault="00546AC9" w:rsidP="001C7C84">
            <w:pPr>
              <w:ind w:right="187"/>
              <w:rPr>
                <w:rFonts w:ascii="Arial" w:hAnsi="Arial" w:cs="Arial"/>
                <w:bCs/>
              </w:rPr>
            </w:pPr>
            <w:r>
              <w:rPr>
                <w:rFonts w:ascii="Arial" w:hAnsi="Arial" w:cs="Arial"/>
                <w:bCs/>
              </w:rPr>
              <w:t xml:space="preserve">The </w:t>
            </w:r>
            <w:r w:rsidR="001C7C84" w:rsidRPr="001C7C84">
              <w:rPr>
                <w:rFonts w:ascii="Arial" w:hAnsi="Arial" w:cs="Arial"/>
                <w:bCs/>
              </w:rPr>
              <w:t xml:space="preserve">Head of Finance and Commercial presented the item. A number of engagements on the budget had </w:t>
            </w:r>
            <w:r w:rsidR="002E4EC3">
              <w:rPr>
                <w:rFonts w:ascii="Arial" w:hAnsi="Arial" w:cs="Arial"/>
                <w:bCs/>
              </w:rPr>
              <w:t xml:space="preserve">already </w:t>
            </w:r>
            <w:r w:rsidR="001C7C84" w:rsidRPr="001C7C84">
              <w:rPr>
                <w:rFonts w:ascii="Arial" w:hAnsi="Arial" w:cs="Arial"/>
                <w:bCs/>
              </w:rPr>
              <w:t xml:space="preserve">taken place with Board members which had been taken into consideration in preparing the budget for 2024-25. This was a realistic budget for ONR moving forward and reflected the current landscape.  </w:t>
            </w:r>
          </w:p>
          <w:p w14:paraId="211F7A26" w14:textId="77777777" w:rsidR="001C7C84" w:rsidRPr="007A779A" w:rsidRDefault="001C7C84" w:rsidP="00CE0F08">
            <w:pPr>
              <w:ind w:left="567" w:right="187" w:hanging="567"/>
              <w:rPr>
                <w:rFonts w:ascii="Arial" w:hAnsi="Arial" w:cs="Arial"/>
                <w:b/>
              </w:rPr>
            </w:pPr>
          </w:p>
        </w:tc>
      </w:tr>
      <w:tr w:rsidR="00CE0F08" w:rsidRPr="00D901A4" w14:paraId="467701B8" w14:textId="77777777" w:rsidTr="00883F1F">
        <w:tc>
          <w:tcPr>
            <w:tcW w:w="1142" w:type="dxa"/>
          </w:tcPr>
          <w:p w14:paraId="27FE8FF1" w14:textId="3B4997CB" w:rsidR="00CE0F08" w:rsidRPr="001C7C84" w:rsidRDefault="001C7C84" w:rsidP="0029015F">
            <w:pPr>
              <w:tabs>
                <w:tab w:val="left" w:pos="5347"/>
              </w:tabs>
              <w:rPr>
                <w:rFonts w:ascii="Arial" w:hAnsi="Arial" w:cs="Arial"/>
              </w:rPr>
            </w:pPr>
            <w:r w:rsidRPr="001C7C84">
              <w:rPr>
                <w:rFonts w:ascii="Arial" w:hAnsi="Arial" w:cs="Arial"/>
              </w:rPr>
              <w:t>2.3</w:t>
            </w:r>
          </w:p>
        </w:tc>
        <w:tc>
          <w:tcPr>
            <w:tcW w:w="7884" w:type="dxa"/>
          </w:tcPr>
          <w:p w14:paraId="0B706D23" w14:textId="77777777" w:rsidR="00CE0F08" w:rsidRDefault="001C7C84" w:rsidP="001C7C84">
            <w:pPr>
              <w:ind w:right="187"/>
              <w:rPr>
                <w:rFonts w:ascii="Arial" w:hAnsi="Arial" w:cs="Arial"/>
                <w:bCs/>
              </w:rPr>
            </w:pPr>
            <w:r w:rsidRPr="001C7C84">
              <w:rPr>
                <w:rFonts w:ascii="Arial" w:hAnsi="Arial" w:cs="Arial"/>
                <w:bCs/>
              </w:rPr>
              <w:t xml:space="preserve">The proposed budget was for £114.1m. This was a 4.4% increase on the baseline which was a P7 revision. In previous years there was a P7 flat baseline; there had been increased interrogation this year and all non-recurrent elements had been stripped out. A RAG rating system had been implemented to give a revised baseline. </w:t>
            </w:r>
          </w:p>
          <w:p w14:paraId="6BE4E01F" w14:textId="1720E39F" w:rsidR="00883F1F" w:rsidRPr="007A779A" w:rsidRDefault="00883F1F" w:rsidP="001C7C84">
            <w:pPr>
              <w:ind w:right="187"/>
              <w:rPr>
                <w:rFonts w:ascii="Arial" w:hAnsi="Arial" w:cs="Arial"/>
                <w:b/>
              </w:rPr>
            </w:pPr>
          </w:p>
        </w:tc>
      </w:tr>
      <w:tr w:rsidR="001C7C84" w:rsidRPr="00D901A4" w14:paraId="46CD2076" w14:textId="77777777" w:rsidTr="00883F1F">
        <w:tc>
          <w:tcPr>
            <w:tcW w:w="1142" w:type="dxa"/>
          </w:tcPr>
          <w:p w14:paraId="14475ED2" w14:textId="77866307" w:rsidR="001C7C84" w:rsidRPr="001C7C84" w:rsidRDefault="001C7C84" w:rsidP="0029015F">
            <w:pPr>
              <w:tabs>
                <w:tab w:val="left" w:pos="5347"/>
              </w:tabs>
              <w:rPr>
                <w:rFonts w:ascii="Arial" w:hAnsi="Arial" w:cs="Arial"/>
              </w:rPr>
            </w:pPr>
            <w:r w:rsidRPr="001C7C84">
              <w:rPr>
                <w:rFonts w:ascii="Arial" w:hAnsi="Arial" w:cs="Arial"/>
              </w:rPr>
              <w:t>2.4</w:t>
            </w:r>
          </w:p>
        </w:tc>
        <w:tc>
          <w:tcPr>
            <w:tcW w:w="7884" w:type="dxa"/>
          </w:tcPr>
          <w:p w14:paraId="6840F41C" w14:textId="77777777" w:rsidR="001C7C84" w:rsidRDefault="001C7C84" w:rsidP="001C7C84">
            <w:pPr>
              <w:ind w:right="187"/>
              <w:rPr>
                <w:rFonts w:ascii="Arial" w:hAnsi="Arial" w:cs="Arial"/>
                <w:bCs/>
              </w:rPr>
            </w:pPr>
            <w:r w:rsidRPr="001C7C84">
              <w:rPr>
                <w:rFonts w:ascii="Arial" w:hAnsi="Arial" w:cs="Arial"/>
                <w:bCs/>
              </w:rPr>
              <w:t xml:space="preserve">The revised baseline was £109.4m, the increase to the 2024-25 budget was 4.4%, this was £4.8m, £4.4m of that was absorbed by the pay award. </w:t>
            </w:r>
          </w:p>
          <w:p w14:paraId="110D5045" w14:textId="1446620C" w:rsidR="00883F1F" w:rsidRPr="001C7C84" w:rsidRDefault="00883F1F" w:rsidP="001C7C84">
            <w:pPr>
              <w:ind w:right="187"/>
              <w:rPr>
                <w:rFonts w:ascii="Arial" w:hAnsi="Arial" w:cs="Arial"/>
                <w:bCs/>
              </w:rPr>
            </w:pPr>
          </w:p>
        </w:tc>
      </w:tr>
      <w:tr w:rsidR="001C7C84" w:rsidRPr="00D901A4" w14:paraId="481ECD9F" w14:textId="77777777" w:rsidTr="00883F1F">
        <w:tc>
          <w:tcPr>
            <w:tcW w:w="1142" w:type="dxa"/>
          </w:tcPr>
          <w:p w14:paraId="134A680D" w14:textId="04C871AB" w:rsidR="001C7C84" w:rsidRPr="001C7C84" w:rsidRDefault="008E2298" w:rsidP="0029015F">
            <w:pPr>
              <w:tabs>
                <w:tab w:val="left" w:pos="5347"/>
              </w:tabs>
              <w:rPr>
                <w:rFonts w:ascii="Arial" w:hAnsi="Arial" w:cs="Arial"/>
              </w:rPr>
            </w:pPr>
            <w:r>
              <w:rPr>
                <w:rFonts w:ascii="Arial" w:hAnsi="Arial" w:cs="Arial"/>
              </w:rPr>
              <w:t>2.5</w:t>
            </w:r>
          </w:p>
        </w:tc>
        <w:tc>
          <w:tcPr>
            <w:tcW w:w="7884" w:type="dxa"/>
          </w:tcPr>
          <w:p w14:paraId="5E2B534C" w14:textId="731E9E04" w:rsidR="001C7C84" w:rsidRDefault="001C7C84" w:rsidP="001C7C84">
            <w:pPr>
              <w:ind w:right="187"/>
              <w:rPr>
                <w:rFonts w:ascii="Arial" w:hAnsi="Arial" w:cs="Arial"/>
                <w:bCs/>
              </w:rPr>
            </w:pPr>
            <w:r>
              <w:rPr>
                <w:rFonts w:ascii="Arial" w:hAnsi="Arial" w:cs="Arial"/>
                <w:bCs/>
              </w:rPr>
              <w:t xml:space="preserve">The RAG rating system had helped focus discussions and ensure decision making was </w:t>
            </w:r>
            <w:r w:rsidR="00031789">
              <w:rPr>
                <w:rFonts w:ascii="Arial" w:hAnsi="Arial" w:cs="Arial"/>
                <w:bCs/>
              </w:rPr>
              <w:t>robust</w:t>
            </w:r>
            <w:r>
              <w:rPr>
                <w:rFonts w:ascii="Arial" w:hAnsi="Arial" w:cs="Arial"/>
                <w:bCs/>
              </w:rPr>
              <w:t xml:space="preserve">. Green rated items had been approved </w:t>
            </w:r>
            <w:r>
              <w:rPr>
                <w:rFonts w:ascii="Arial" w:hAnsi="Arial" w:cs="Arial"/>
                <w:bCs/>
              </w:rPr>
              <w:lastRenderedPageBreak/>
              <w:t>with minimal discussion and formed part of the baseline. Amber items were discussed but were largely projects already committed to. Red rated items were in the range of £2.3m and were the biggest areas of discussion. Star chambers had also been held for red rated items to ensure that the spend was relevant, aligned with strategic objectives or spend that the organisation wanted to continue with.</w:t>
            </w:r>
          </w:p>
          <w:p w14:paraId="28866D60" w14:textId="1F9ED47A" w:rsidR="001C7C84" w:rsidRPr="001C7C84" w:rsidRDefault="001C7C84" w:rsidP="001C7C84">
            <w:pPr>
              <w:ind w:right="187"/>
              <w:rPr>
                <w:rFonts w:ascii="Arial" w:hAnsi="Arial" w:cs="Arial"/>
                <w:bCs/>
              </w:rPr>
            </w:pPr>
          </w:p>
        </w:tc>
      </w:tr>
      <w:tr w:rsidR="001C7C84" w:rsidRPr="00D901A4" w14:paraId="2B618A47" w14:textId="77777777" w:rsidTr="00883F1F">
        <w:tc>
          <w:tcPr>
            <w:tcW w:w="1142" w:type="dxa"/>
          </w:tcPr>
          <w:p w14:paraId="60C32D1E" w14:textId="3DD4F5F7" w:rsidR="001C7C84" w:rsidRPr="001C7C84" w:rsidRDefault="008E2298" w:rsidP="0029015F">
            <w:pPr>
              <w:tabs>
                <w:tab w:val="left" w:pos="5347"/>
              </w:tabs>
              <w:rPr>
                <w:rFonts w:ascii="Arial" w:hAnsi="Arial" w:cs="Arial"/>
              </w:rPr>
            </w:pPr>
            <w:r>
              <w:rPr>
                <w:rFonts w:ascii="Arial" w:hAnsi="Arial" w:cs="Arial"/>
              </w:rPr>
              <w:lastRenderedPageBreak/>
              <w:t>2.6</w:t>
            </w:r>
          </w:p>
        </w:tc>
        <w:tc>
          <w:tcPr>
            <w:tcW w:w="7884" w:type="dxa"/>
          </w:tcPr>
          <w:p w14:paraId="73CAA649" w14:textId="44A48864" w:rsidR="001C7C84" w:rsidRDefault="001C7C84" w:rsidP="001C7C84">
            <w:pPr>
              <w:ind w:right="187"/>
              <w:rPr>
                <w:rFonts w:ascii="Arial" w:hAnsi="Arial" w:cs="Arial"/>
                <w:bCs/>
              </w:rPr>
            </w:pPr>
            <w:r>
              <w:rPr>
                <w:rFonts w:ascii="Arial" w:hAnsi="Arial" w:cs="Arial"/>
                <w:bCs/>
              </w:rPr>
              <w:t xml:space="preserve">There was no recruitment </w:t>
            </w:r>
            <w:r w:rsidR="00976700">
              <w:rPr>
                <w:rFonts w:ascii="Arial" w:hAnsi="Arial" w:cs="Arial"/>
                <w:bCs/>
              </w:rPr>
              <w:t xml:space="preserve">above the March 2024 baseline </w:t>
            </w:r>
            <w:r>
              <w:rPr>
                <w:rFonts w:ascii="Arial" w:hAnsi="Arial" w:cs="Arial"/>
                <w:bCs/>
              </w:rPr>
              <w:t>planned for 2024-25, and this was an important step change in the way that ONR operates. Should the demand on ONR for civil or defence new build exceed current assumptions in-year, Board’s prior approval to increase headcount would be sought.</w:t>
            </w:r>
          </w:p>
          <w:p w14:paraId="3AA6C85E" w14:textId="5A91E9B5" w:rsidR="001C7C84" w:rsidRPr="001C7C84" w:rsidRDefault="001C7C84" w:rsidP="001C7C84">
            <w:pPr>
              <w:ind w:right="187"/>
              <w:rPr>
                <w:rFonts w:ascii="Arial" w:hAnsi="Arial" w:cs="Arial"/>
                <w:bCs/>
              </w:rPr>
            </w:pPr>
          </w:p>
        </w:tc>
      </w:tr>
      <w:tr w:rsidR="001C7C84" w:rsidRPr="00D901A4" w14:paraId="33CC8670" w14:textId="77777777" w:rsidTr="00883F1F">
        <w:tc>
          <w:tcPr>
            <w:tcW w:w="1142" w:type="dxa"/>
          </w:tcPr>
          <w:p w14:paraId="58028E3F" w14:textId="0E4A9650" w:rsidR="001C7C84" w:rsidRPr="001C7C84" w:rsidRDefault="008E2298" w:rsidP="0029015F">
            <w:pPr>
              <w:tabs>
                <w:tab w:val="left" w:pos="5347"/>
              </w:tabs>
              <w:rPr>
                <w:rFonts w:ascii="Arial" w:hAnsi="Arial" w:cs="Arial"/>
              </w:rPr>
            </w:pPr>
            <w:r>
              <w:rPr>
                <w:rFonts w:ascii="Arial" w:hAnsi="Arial" w:cs="Arial"/>
              </w:rPr>
              <w:t>2.7</w:t>
            </w:r>
          </w:p>
        </w:tc>
        <w:tc>
          <w:tcPr>
            <w:tcW w:w="7884" w:type="dxa"/>
          </w:tcPr>
          <w:p w14:paraId="08BCF24D" w14:textId="77777777" w:rsidR="001C7C84" w:rsidRDefault="001C7C84" w:rsidP="001C7C84">
            <w:pPr>
              <w:ind w:right="187"/>
              <w:rPr>
                <w:rFonts w:ascii="Arial" w:hAnsi="Arial" w:cs="Arial"/>
                <w:bCs/>
              </w:rPr>
            </w:pPr>
            <w:r w:rsidRPr="001C7C84">
              <w:rPr>
                <w:rFonts w:ascii="Arial" w:hAnsi="Arial" w:cs="Arial"/>
                <w:bCs/>
              </w:rPr>
              <w:t>The Head of Finance and Commercial highlighted to the Board the risks relating to the assumptions on Generic Design Assessment (GDA) and the impacts on the budget. She also highlighted other areas including ONR’s commitment to expanding the graduate programme and the pay award.</w:t>
            </w:r>
          </w:p>
          <w:p w14:paraId="7517F986" w14:textId="7DD01547" w:rsidR="001C7C84" w:rsidRPr="001C7C84" w:rsidRDefault="001C7C84" w:rsidP="001C7C84">
            <w:pPr>
              <w:ind w:right="187"/>
              <w:rPr>
                <w:rFonts w:ascii="Arial" w:hAnsi="Arial" w:cs="Arial"/>
                <w:bCs/>
              </w:rPr>
            </w:pPr>
          </w:p>
        </w:tc>
      </w:tr>
      <w:tr w:rsidR="001C7C84" w:rsidRPr="00D901A4" w14:paraId="18FA9BD3" w14:textId="77777777" w:rsidTr="00883F1F">
        <w:tc>
          <w:tcPr>
            <w:tcW w:w="1142" w:type="dxa"/>
          </w:tcPr>
          <w:p w14:paraId="0B815F3C" w14:textId="7DDB8E29" w:rsidR="001C7C84" w:rsidRPr="001C7C84" w:rsidRDefault="008E2298" w:rsidP="0029015F">
            <w:pPr>
              <w:tabs>
                <w:tab w:val="left" w:pos="5347"/>
              </w:tabs>
              <w:rPr>
                <w:rFonts w:ascii="Arial" w:hAnsi="Arial" w:cs="Arial"/>
              </w:rPr>
            </w:pPr>
            <w:r>
              <w:rPr>
                <w:rFonts w:ascii="Arial" w:hAnsi="Arial" w:cs="Arial"/>
              </w:rPr>
              <w:t>2.8</w:t>
            </w:r>
          </w:p>
        </w:tc>
        <w:tc>
          <w:tcPr>
            <w:tcW w:w="7884" w:type="dxa"/>
          </w:tcPr>
          <w:p w14:paraId="197D8713" w14:textId="77777777" w:rsidR="001C7C84" w:rsidRPr="001C7C84" w:rsidRDefault="001C7C84" w:rsidP="001C7C84">
            <w:pPr>
              <w:ind w:right="187"/>
              <w:rPr>
                <w:rFonts w:ascii="Arial" w:hAnsi="Arial" w:cs="Arial"/>
                <w:bCs/>
              </w:rPr>
            </w:pPr>
            <w:r w:rsidRPr="001C7C84">
              <w:rPr>
                <w:rFonts w:ascii="Arial" w:hAnsi="Arial" w:cs="Arial"/>
                <w:bCs/>
              </w:rPr>
              <w:t>Efficiencies had been found through the budget-setting process and staff across the organisation to find as many efficiencies and cost savings as possible. This would be used to fund any new red rated items for which there was currently no provision.</w:t>
            </w:r>
          </w:p>
          <w:p w14:paraId="7D2F41C2" w14:textId="77777777" w:rsidR="001C7C84" w:rsidRPr="001C7C84" w:rsidRDefault="001C7C84" w:rsidP="001C7C84">
            <w:pPr>
              <w:ind w:right="187"/>
              <w:rPr>
                <w:rFonts w:ascii="Arial" w:hAnsi="Arial" w:cs="Arial"/>
                <w:bCs/>
              </w:rPr>
            </w:pPr>
          </w:p>
        </w:tc>
      </w:tr>
      <w:tr w:rsidR="001C7C84" w:rsidRPr="00D901A4" w14:paraId="72081531" w14:textId="77777777" w:rsidTr="00883F1F">
        <w:tc>
          <w:tcPr>
            <w:tcW w:w="1142" w:type="dxa"/>
          </w:tcPr>
          <w:p w14:paraId="2EF7A25B" w14:textId="7500B437" w:rsidR="001C7C84" w:rsidRPr="001C7C84" w:rsidRDefault="008E2298" w:rsidP="0029015F">
            <w:pPr>
              <w:tabs>
                <w:tab w:val="left" w:pos="5347"/>
              </w:tabs>
              <w:rPr>
                <w:rFonts w:ascii="Arial" w:hAnsi="Arial" w:cs="Arial"/>
              </w:rPr>
            </w:pPr>
            <w:r>
              <w:rPr>
                <w:rFonts w:ascii="Arial" w:hAnsi="Arial" w:cs="Arial"/>
              </w:rPr>
              <w:t>2.9</w:t>
            </w:r>
          </w:p>
        </w:tc>
        <w:tc>
          <w:tcPr>
            <w:tcW w:w="7884" w:type="dxa"/>
          </w:tcPr>
          <w:p w14:paraId="56F0094F" w14:textId="77777777" w:rsidR="001C7C84" w:rsidRDefault="001C7C84" w:rsidP="001C7C84">
            <w:pPr>
              <w:ind w:right="187"/>
              <w:rPr>
                <w:rFonts w:ascii="Arial" w:hAnsi="Arial" w:cs="Arial"/>
                <w:bCs/>
              </w:rPr>
            </w:pPr>
            <w:r>
              <w:rPr>
                <w:rFonts w:ascii="Arial" w:hAnsi="Arial" w:cs="Arial"/>
                <w:bCs/>
              </w:rPr>
              <w:t xml:space="preserve">She outlined the amber and red expenditure breakdown and provided assurance that there was sufficient  capacity in place to deliver within the year. </w:t>
            </w:r>
          </w:p>
          <w:p w14:paraId="6D1C4ECE" w14:textId="5F715505" w:rsidR="00883F1F" w:rsidRPr="001C7C84" w:rsidRDefault="00883F1F" w:rsidP="001C7C84">
            <w:pPr>
              <w:ind w:right="187"/>
              <w:rPr>
                <w:rFonts w:ascii="Arial" w:hAnsi="Arial" w:cs="Arial"/>
                <w:bCs/>
              </w:rPr>
            </w:pPr>
          </w:p>
        </w:tc>
      </w:tr>
      <w:tr w:rsidR="001C7C84" w:rsidRPr="00D901A4" w14:paraId="0BE2A246" w14:textId="77777777" w:rsidTr="00883F1F">
        <w:tc>
          <w:tcPr>
            <w:tcW w:w="1142" w:type="dxa"/>
          </w:tcPr>
          <w:p w14:paraId="3B21E96B" w14:textId="519E0685" w:rsidR="001C7C84" w:rsidRPr="001C7C84" w:rsidRDefault="008E2298" w:rsidP="0029015F">
            <w:pPr>
              <w:tabs>
                <w:tab w:val="left" w:pos="5347"/>
              </w:tabs>
              <w:rPr>
                <w:rFonts w:ascii="Arial" w:hAnsi="Arial" w:cs="Arial"/>
              </w:rPr>
            </w:pPr>
            <w:r>
              <w:rPr>
                <w:rFonts w:ascii="Arial" w:hAnsi="Arial" w:cs="Arial"/>
              </w:rPr>
              <w:t>2.10</w:t>
            </w:r>
          </w:p>
        </w:tc>
        <w:tc>
          <w:tcPr>
            <w:tcW w:w="7884" w:type="dxa"/>
          </w:tcPr>
          <w:p w14:paraId="09994BC1" w14:textId="3CA92903" w:rsidR="001C7C84" w:rsidRPr="001C7C84" w:rsidRDefault="001C7C84" w:rsidP="001C7C84">
            <w:pPr>
              <w:ind w:right="187"/>
              <w:rPr>
                <w:rFonts w:ascii="Arial" w:hAnsi="Arial" w:cs="Arial"/>
                <w:bCs/>
              </w:rPr>
            </w:pPr>
            <w:r w:rsidRPr="001C7C84">
              <w:rPr>
                <w:rFonts w:ascii="Arial" w:hAnsi="Arial" w:cs="Arial"/>
                <w:bCs/>
              </w:rPr>
              <w:t xml:space="preserve">She provided a three year view that showed the trajectory of the budget going forward. This included high-level assumptions modelled on pay increases, estates, </w:t>
            </w:r>
            <w:r w:rsidRPr="001C7C84">
              <w:rPr>
                <w:rFonts w:ascii="Arial" w:hAnsi="Arial" w:cs="Arial"/>
                <w:color w:val="333333"/>
                <w:sz w:val="23"/>
                <w:szCs w:val="23"/>
                <w:shd w:val="clear" w:color="auto" w:fill="FCFCFC"/>
              </w:rPr>
              <w:t>IT Managed Service Provider</w:t>
            </w:r>
            <w:r w:rsidRPr="001C7C84">
              <w:rPr>
                <w:rFonts w:ascii="Arial" w:hAnsi="Arial" w:cs="Arial"/>
                <w:bCs/>
              </w:rPr>
              <w:t xml:space="preserve"> (ITSP) and GDA.</w:t>
            </w:r>
          </w:p>
          <w:p w14:paraId="1F048803" w14:textId="77777777" w:rsidR="001C7C84" w:rsidRPr="001C7C84" w:rsidRDefault="001C7C84" w:rsidP="001C7C84">
            <w:pPr>
              <w:ind w:right="187"/>
              <w:rPr>
                <w:rFonts w:ascii="Arial" w:hAnsi="Arial" w:cs="Arial"/>
                <w:bCs/>
              </w:rPr>
            </w:pPr>
          </w:p>
        </w:tc>
      </w:tr>
      <w:tr w:rsidR="001C7C84" w:rsidRPr="00D901A4" w14:paraId="41E4B1C3" w14:textId="77777777" w:rsidTr="00883F1F">
        <w:tc>
          <w:tcPr>
            <w:tcW w:w="1142" w:type="dxa"/>
          </w:tcPr>
          <w:p w14:paraId="10782057" w14:textId="4B75F21B" w:rsidR="001C7C84" w:rsidRPr="001C7C84" w:rsidRDefault="008E2298" w:rsidP="0029015F">
            <w:pPr>
              <w:tabs>
                <w:tab w:val="left" w:pos="5347"/>
              </w:tabs>
              <w:rPr>
                <w:rFonts w:ascii="Arial" w:hAnsi="Arial" w:cs="Arial"/>
              </w:rPr>
            </w:pPr>
            <w:r>
              <w:rPr>
                <w:rFonts w:ascii="Arial" w:hAnsi="Arial" w:cs="Arial"/>
              </w:rPr>
              <w:t>2.11</w:t>
            </w:r>
          </w:p>
        </w:tc>
        <w:tc>
          <w:tcPr>
            <w:tcW w:w="7884" w:type="dxa"/>
          </w:tcPr>
          <w:p w14:paraId="3DDE5636" w14:textId="77777777" w:rsidR="001C7C84" w:rsidRDefault="001C7C84" w:rsidP="001C7C84">
            <w:pPr>
              <w:ind w:right="187"/>
              <w:rPr>
                <w:rFonts w:ascii="Arial" w:hAnsi="Arial" w:cs="Arial"/>
                <w:bCs/>
              </w:rPr>
            </w:pPr>
            <w:r>
              <w:rPr>
                <w:rFonts w:ascii="Arial" w:hAnsi="Arial" w:cs="Arial"/>
                <w:bCs/>
              </w:rPr>
              <w:t>In discussion the Board:</w:t>
            </w:r>
          </w:p>
          <w:p w14:paraId="6E5366E9" w14:textId="77777777" w:rsidR="001C7C84" w:rsidRDefault="001C7C84" w:rsidP="001C7C84">
            <w:pPr>
              <w:ind w:right="187"/>
              <w:rPr>
                <w:rFonts w:ascii="Arial" w:hAnsi="Arial" w:cs="Arial"/>
                <w:bCs/>
              </w:rPr>
            </w:pPr>
          </w:p>
          <w:p w14:paraId="109FE080" w14:textId="77777777" w:rsidR="001C7C84" w:rsidRDefault="001C7C84" w:rsidP="001C7C84">
            <w:pPr>
              <w:pStyle w:val="ListParagraph"/>
              <w:numPr>
                <w:ilvl w:val="0"/>
                <w:numId w:val="19"/>
              </w:numPr>
              <w:ind w:right="187"/>
              <w:rPr>
                <w:rFonts w:ascii="Arial" w:hAnsi="Arial" w:cs="Arial"/>
                <w:bCs/>
              </w:rPr>
            </w:pPr>
            <w:r>
              <w:rPr>
                <w:rFonts w:ascii="Arial" w:hAnsi="Arial" w:cs="Arial"/>
                <w:bCs/>
              </w:rPr>
              <w:t>Discussed potential savings from the pay award that was currently being modelled on a 5% pay award.</w:t>
            </w:r>
          </w:p>
          <w:p w14:paraId="607438AF" w14:textId="5A6B6306" w:rsidR="001C7C84" w:rsidRDefault="001C7C84" w:rsidP="001C7C84">
            <w:pPr>
              <w:pStyle w:val="ListParagraph"/>
              <w:numPr>
                <w:ilvl w:val="0"/>
                <w:numId w:val="19"/>
              </w:numPr>
              <w:ind w:right="187"/>
              <w:rPr>
                <w:rFonts w:ascii="Arial" w:hAnsi="Arial" w:cs="Arial"/>
                <w:bCs/>
              </w:rPr>
            </w:pPr>
            <w:r>
              <w:rPr>
                <w:rFonts w:ascii="Arial" w:hAnsi="Arial" w:cs="Arial"/>
                <w:bCs/>
              </w:rPr>
              <w:t>It would be helpful for Board to see a three year horizon of deferred spending.</w:t>
            </w:r>
          </w:p>
          <w:p w14:paraId="65AF7587" w14:textId="2D71AEB0" w:rsidR="001C7C84" w:rsidRDefault="001C7C84" w:rsidP="001C7C84">
            <w:pPr>
              <w:pStyle w:val="ListParagraph"/>
              <w:numPr>
                <w:ilvl w:val="0"/>
                <w:numId w:val="19"/>
              </w:numPr>
              <w:ind w:right="187"/>
              <w:rPr>
                <w:rFonts w:ascii="Arial" w:hAnsi="Arial" w:cs="Arial"/>
                <w:bCs/>
              </w:rPr>
            </w:pPr>
            <w:r>
              <w:rPr>
                <w:rFonts w:ascii="Arial" w:hAnsi="Arial" w:cs="Arial"/>
                <w:bCs/>
              </w:rPr>
              <w:t>Noted DWP and DE</w:t>
            </w:r>
            <w:r w:rsidR="000C6532">
              <w:rPr>
                <w:rFonts w:ascii="Arial" w:hAnsi="Arial" w:cs="Arial"/>
                <w:bCs/>
              </w:rPr>
              <w:t>Z</w:t>
            </w:r>
            <w:r>
              <w:rPr>
                <w:rFonts w:ascii="Arial" w:hAnsi="Arial" w:cs="Arial"/>
                <w:bCs/>
              </w:rPr>
              <w:t xml:space="preserve">NZ’s initial feedback on the high level </w:t>
            </w:r>
            <w:r w:rsidR="00031789">
              <w:rPr>
                <w:rFonts w:ascii="Arial" w:hAnsi="Arial" w:cs="Arial"/>
                <w:bCs/>
              </w:rPr>
              <w:t>budget.</w:t>
            </w:r>
          </w:p>
          <w:p w14:paraId="173CA1B9" w14:textId="77777777" w:rsidR="001C7C84" w:rsidRDefault="001C7C84" w:rsidP="001C7C84">
            <w:pPr>
              <w:pStyle w:val="ListParagraph"/>
              <w:numPr>
                <w:ilvl w:val="0"/>
                <w:numId w:val="19"/>
              </w:numPr>
              <w:ind w:right="187"/>
              <w:rPr>
                <w:rFonts w:ascii="Arial" w:hAnsi="Arial" w:cs="Arial"/>
                <w:bCs/>
              </w:rPr>
            </w:pPr>
            <w:r>
              <w:rPr>
                <w:rFonts w:ascii="Arial" w:hAnsi="Arial" w:cs="Arial"/>
                <w:bCs/>
              </w:rPr>
              <w:t>Discussed the plans in place to mitigate the potential pressures and impact on GDAs to ONR’s headcount and whether there was the ability to reset the baseline if needed.</w:t>
            </w:r>
          </w:p>
          <w:p w14:paraId="0C14FC58" w14:textId="04B679E0" w:rsidR="001C7C84" w:rsidRDefault="001C7C84" w:rsidP="001C7C84">
            <w:pPr>
              <w:pStyle w:val="ListParagraph"/>
              <w:numPr>
                <w:ilvl w:val="0"/>
                <w:numId w:val="19"/>
              </w:numPr>
              <w:ind w:right="187"/>
              <w:rPr>
                <w:rFonts w:ascii="Arial" w:hAnsi="Arial" w:cs="Arial"/>
                <w:bCs/>
              </w:rPr>
            </w:pPr>
            <w:r>
              <w:rPr>
                <w:rFonts w:ascii="Arial" w:hAnsi="Arial" w:cs="Arial"/>
                <w:bCs/>
              </w:rPr>
              <w:t xml:space="preserve">Noted how the organisation was focusing on being more efficient and targeted in regulation and the importance of having a strong narrative in communications to </w:t>
            </w:r>
            <w:proofErr w:type="spellStart"/>
            <w:r w:rsidR="00031789">
              <w:rPr>
                <w:rFonts w:ascii="Arial" w:hAnsi="Arial" w:cs="Arial"/>
                <w:bCs/>
              </w:rPr>
              <w:t>dutyholders</w:t>
            </w:r>
            <w:proofErr w:type="spellEnd"/>
            <w:r>
              <w:rPr>
                <w:rFonts w:ascii="Arial" w:hAnsi="Arial" w:cs="Arial"/>
                <w:bCs/>
              </w:rPr>
              <w:t xml:space="preserve">. </w:t>
            </w:r>
          </w:p>
          <w:p w14:paraId="1C21700C" w14:textId="77777777" w:rsidR="001C7C84" w:rsidRDefault="001C7C84" w:rsidP="001C7C84">
            <w:pPr>
              <w:pStyle w:val="ListParagraph"/>
              <w:numPr>
                <w:ilvl w:val="0"/>
                <w:numId w:val="19"/>
              </w:numPr>
              <w:ind w:right="187"/>
              <w:rPr>
                <w:rFonts w:ascii="Arial" w:hAnsi="Arial" w:cs="Arial"/>
                <w:bCs/>
              </w:rPr>
            </w:pPr>
            <w:r>
              <w:rPr>
                <w:rFonts w:ascii="Arial" w:hAnsi="Arial" w:cs="Arial"/>
                <w:bCs/>
              </w:rPr>
              <w:t>Noted the revised approach to cost recovery.</w:t>
            </w:r>
          </w:p>
          <w:p w14:paraId="6B7D52F7" w14:textId="47DEF21E" w:rsidR="001C7C84" w:rsidRPr="001C7C84" w:rsidRDefault="001C7C84" w:rsidP="001C7C84">
            <w:pPr>
              <w:ind w:right="187"/>
              <w:rPr>
                <w:rFonts w:ascii="Arial" w:hAnsi="Arial" w:cs="Arial"/>
                <w:bCs/>
              </w:rPr>
            </w:pPr>
          </w:p>
        </w:tc>
      </w:tr>
      <w:tr w:rsidR="001C7C84" w:rsidRPr="00D901A4" w14:paraId="44FA83DB" w14:textId="77777777" w:rsidTr="00883F1F">
        <w:tc>
          <w:tcPr>
            <w:tcW w:w="1142" w:type="dxa"/>
          </w:tcPr>
          <w:p w14:paraId="1BD850FE" w14:textId="3B00BEB1" w:rsidR="001C7C84" w:rsidRPr="001C7C84" w:rsidRDefault="008E2298" w:rsidP="0029015F">
            <w:pPr>
              <w:tabs>
                <w:tab w:val="left" w:pos="5347"/>
              </w:tabs>
              <w:rPr>
                <w:rFonts w:ascii="Arial" w:hAnsi="Arial" w:cs="Arial"/>
              </w:rPr>
            </w:pPr>
            <w:r>
              <w:rPr>
                <w:rFonts w:ascii="Arial" w:hAnsi="Arial" w:cs="Arial"/>
              </w:rPr>
              <w:t>2.12</w:t>
            </w:r>
          </w:p>
        </w:tc>
        <w:tc>
          <w:tcPr>
            <w:tcW w:w="7884" w:type="dxa"/>
          </w:tcPr>
          <w:p w14:paraId="657A6D62" w14:textId="77777777" w:rsidR="001C7C84" w:rsidRPr="001C7C84" w:rsidRDefault="001C7C84" w:rsidP="001C7C84">
            <w:pPr>
              <w:ind w:right="187"/>
              <w:rPr>
                <w:rFonts w:ascii="Arial" w:hAnsi="Arial" w:cs="Arial"/>
                <w:bCs/>
              </w:rPr>
            </w:pPr>
            <w:r w:rsidRPr="001C7C84">
              <w:rPr>
                <w:rFonts w:ascii="Arial" w:hAnsi="Arial" w:cs="Arial"/>
                <w:bCs/>
              </w:rPr>
              <w:t xml:space="preserve">The Board thanked the team for their work and approved the 2024-25 </w:t>
            </w:r>
          </w:p>
          <w:p w14:paraId="4CBA47CA" w14:textId="77777777" w:rsidR="001C7C84" w:rsidRDefault="001C7C84" w:rsidP="001A505B">
            <w:pPr>
              <w:ind w:right="187"/>
              <w:rPr>
                <w:rFonts w:ascii="Arial" w:hAnsi="Arial" w:cs="Arial"/>
                <w:bCs/>
              </w:rPr>
            </w:pPr>
            <w:r w:rsidRPr="001C7C84">
              <w:rPr>
                <w:rFonts w:ascii="Arial" w:hAnsi="Arial" w:cs="Arial"/>
                <w:bCs/>
              </w:rPr>
              <w:lastRenderedPageBreak/>
              <w:t>budget.</w:t>
            </w:r>
          </w:p>
          <w:p w14:paraId="54A7D09A" w14:textId="42F4AA26" w:rsidR="00883F1F" w:rsidRDefault="00883F1F" w:rsidP="001A505B">
            <w:pPr>
              <w:ind w:right="187"/>
              <w:rPr>
                <w:rFonts w:ascii="Arial" w:hAnsi="Arial" w:cs="Arial"/>
                <w:bCs/>
              </w:rPr>
            </w:pPr>
          </w:p>
        </w:tc>
      </w:tr>
      <w:tr w:rsidR="001C7C84" w:rsidRPr="00D901A4" w14:paraId="052718F4" w14:textId="77777777" w:rsidTr="00883F1F">
        <w:tc>
          <w:tcPr>
            <w:tcW w:w="1142" w:type="dxa"/>
          </w:tcPr>
          <w:p w14:paraId="59A12F37" w14:textId="26A059EE" w:rsidR="001C7C84" w:rsidRPr="001C7C84" w:rsidRDefault="008E2298" w:rsidP="0029015F">
            <w:pPr>
              <w:tabs>
                <w:tab w:val="left" w:pos="5347"/>
              </w:tabs>
              <w:rPr>
                <w:rFonts w:ascii="Arial" w:hAnsi="Arial" w:cs="Arial"/>
              </w:rPr>
            </w:pPr>
            <w:r>
              <w:rPr>
                <w:rFonts w:ascii="Arial" w:hAnsi="Arial" w:cs="Arial"/>
              </w:rPr>
              <w:lastRenderedPageBreak/>
              <w:t>3</w:t>
            </w:r>
          </w:p>
        </w:tc>
        <w:tc>
          <w:tcPr>
            <w:tcW w:w="7884" w:type="dxa"/>
          </w:tcPr>
          <w:p w14:paraId="1CCFEC59" w14:textId="77777777" w:rsidR="001C7C84" w:rsidRDefault="001C7C84" w:rsidP="001C7C84">
            <w:pPr>
              <w:ind w:right="187"/>
              <w:rPr>
                <w:rFonts w:ascii="Arial" w:hAnsi="Arial" w:cs="Arial"/>
                <w:b/>
              </w:rPr>
            </w:pPr>
            <w:r w:rsidRPr="009F3FCD">
              <w:rPr>
                <w:rFonts w:ascii="Arial" w:hAnsi="Arial" w:cs="Arial"/>
                <w:b/>
              </w:rPr>
              <w:t>Corporate Plan 2024/25</w:t>
            </w:r>
          </w:p>
          <w:p w14:paraId="179D35D6" w14:textId="61503C7C" w:rsidR="00883F1F" w:rsidRDefault="00883F1F" w:rsidP="001C7C84">
            <w:pPr>
              <w:ind w:right="187"/>
              <w:rPr>
                <w:rFonts w:ascii="Arial" w:hAnsi="Arial" w:cs="Arial"/>
                <w:bCs/>
              </w:rPr>
            </w:pPr>
          </w:p>
        </w:tc>
      </w:tr>
      <w:tr w:rsidR="001C7C84" w:rsidRPr="00D901A4" w14:paraId="4EC451D0" w14:textId="77777777" w:rsidTr="00883F1F">
        <w:tc>
          <w:tcPr>
            <w:tcW w:w="1142" w:type="dxa"/>
          </w:tcPr>
          <w:p w14:paraId="52DC7F7F" w14:textId="2D304967" w:rsidR="001C7C84" w:rsidRPr="001C7C84" w:rsidRDefault="008E2298" w:rsidP="0029015F">
            <w:pPr>
              <w:tabs>
                <w:tab w:val="left" w:pos="5347"/>
              </w:tabs>
              <w:rPr>
                <w:rFonts w:ascii="Arial" w:hAnsi="Arial" w:cs="Arial"/>
              </w:rPr>
            </w:pPr>
            <w:r>
              <w:rPr>
                <w:rFonts w:ascii="Arial" w:hAnsi="Arial" w:cs="Arial"/>
              </w:rPr>
              <w:t>3.1</w:t>
            </w:r>
          </w:p>
        </w:tc>
        <w:tc>
          <w:tcPr>
            <w:tcW w:w="7884" w:type="dxa"/>
          </w:tcPr>
          <w:p w14:paraId="08D780D1" w14:textId="77777777" w:rsidR="001C7C84" w:rsidRDefault="001C7C84" w:rsidP="00A55773">
            <w:pPr>
              <w:rPr>
                <w:rFonts w:ascii="Arial" w:hAnsi="Arial" w:cs="Arial"/>
              </w:rPr>
            </w:pPr>
            <w:r w:rsidRPr="00CE0F08">
              <w:rPr>
                <w:rFonts w:ascii="Arial" w:hAnsi="Arial" w:cs="Arial"/>
              </w:rPr>
              <w:t>The CE/CNI introduced the item</w:t>
            </w:r>
            <w:r>
              <w:rPr>
                <w:rFonts w:ascii="Arial" w:hAnsi="Arial" w:cs="Arial"/>
              </w:rPr>
              <w:t xml:space="preserve"> which was a continued evolvement of ONR’s corporate plan.</w:t>
            </w:r>
          </w:p>
          <w:p w14:paraId="70141DB3" w14:textId="6B2C2C31" w:rsidR="00883F1F" w:rsidRPr="00A55773" w:rsidRDefault="00883F1F" w:rsidP="00A55773">
            <w:pPr>
              <w:rPr>
                <w:rFonts w:ascii="Arial" w:hAnsi="Arial" w:cs="Arial"/>
              </w:rPr>
            </w:pPr>
          </w:p>
        </w:tc>
      </w:tr>
      <w:tr w:rsidR="001C7C84" w:rsidRPr="00D901A4" w14:paraId="46429491" w14:textId="77777777" w:rsidTr="00883F1F">
        <w:tc>
          <w:tcPr>
            <w:tcW w:w="1142" w:type="dxa"/>
          </w:tcPr>
          <w:p w14:paraId="5C838715" w14:textId="1CE43EA2" w:rsidR="001C7C84" w:rsidRPr="001C7C84" w:rsidRDefault="008E2298" w:rsidP="0029015F">
            <w:pPr>
              <w:tabs>
                <w:tab w:val="left" w:pos="5347"/>
              </w:tabs>
              <w:rPr>
                <w:rFonts w:ascii="Arial" w:hAnsi="Arial" w:cs="Arial"/>
              </w:rPr>
            </w:pPr>
            <w:r>
              <w:rPr>
                <w:rFonts w:ascii="Arial" w:hAnsi="Arial" w:cs="Arial"/>
              </w:rPr>
              <w:t>3.2</w:t>
            </w:r>
          </w:p>
        </w:tc>
        <w:tc>
          <w:tcPr>
            <w:tcW w:w="7884" w:type="dxa"/>
          </w:tcPr>
          <w:p w14:paraId="5EF402C1" w14:textId="55CA54E1" w:rsidR="001C7C84" w:rsidRDefault="001C7C84" w:rsidP="001C7C84">
            <w:pPr>
              <w:rPr>
                <w:rFonts w:ascii="Arial" w:hAnsi="Arial" w:cs="Arial"/>
              </w:rPr>
            </w:pPr>
            <w:r w:rsidRPr="006C39C1">
              <w:rPr>
                <w:rFonts w:ascii="Arial" w:hAnsi="Arial" w:cs="Arial"/>
              </w:rPr>
              <w:t>Head of International Strategy and Public Correspondence</w:t>
            </w:r>
            <w:r>
              <w:rPr>
                <w:rFonts w:ascii="Arial" w:hAnsi="Arial" w:cs="Arial"/>
              </w:rPr>
              <w:t xml:space="preserve"> introduced the draft Corporate Plan. This retained the same style, format and succinct reporting from the previous year which had been well received. There were explicit links within the </w:t>
            </w:r>
            <w:r w:rsidR="002C026D">
              <w:rPr>
                <w:rFonts w:ascii="Arial" w:hAnsi="Arial" w:cs="Arial"/>
              </w:rPr>
              <w:t xml:space="preserve">plan </w:t>
            </w:r>
            <w:r>
              <w:rPr>
                <w:rFonts w:ascii="Arial" w:hAnsi="Arial" w:cs="Arial"/>
              </w:rPr>
              <w:t xml:space="preserve">to the high level business priorities and </w:t>
            </w:r>
            <w:r>
              <w:rPr>
                <w:rFonts w:ascii="Arial" w:hAnsi="Arial" w:cs="Arial"/>
                <w:color w:val="333333"/>
                <w:sz w:val="23"/>
                <w:szCs w:val="23"/>
                <w:shd w:val="clear" w:color="auto" w:fill="FCFCFC"/>
              </w:rPr>
              <w:t>Organisational Effectiveness Indicators</w:t>
            </w:r>
            <w:r>
              <w:rPr>
                <w:rFonts w:ascii="Arial" w:hAnsi="Arial" w:cs="Arial"/>
              </w:rPr>
              <w:t xml:space="preserve"> (OEIs). The </w:t>
            </w:r>
            <w:r w:rsidR="00A55773">
              <w:rPr>
                <w:rFonts w:ascii="Arial" w:hAnsi="Arial" w:cs="Arial"/>
              </w:rPr>
              <w:t xml:space="preserve">plan </w:t>
            </w:r>
            <w:r>
              <w:rPr>
                <w:rFonts w:ascii="Arial" w:hAnsi="Arial" w:cs="Arial"/>
              </w:rPr>
              <w:t xml:space="preserve">was framed around three priorities; people (capacity and capability), our organisation and ways of working, and ONR’s strategic themes. </w:t>
            </w:r>
          </w:p>
          <w:p w14:paraId="3CE20765" w14:textId="77777777" w:rsidR="001C7C84" w:rsidRPr="009F3FCD" w:rsidRDefault="001C7C84" w:rsidP="001C7C84">
            <w:pPr>
              <w:ind w:right="187"/>
              <w:rPr>
                <w:rFonts w:ascii="Arial" w:hAnsi="Arial" w:cs="Arial"/>
                <w:b/>
              </w:rPr>
            </w:pPr>
          </w:p>
        </w:tc>
      </w:tr>
      <w:tr w:rsidR="001C7C84" w:rsidRPr="00D901A4" w14:paraId="0252A48B" w14:textId="77777777" w:rsidTr="00883F1F">
        <w:tc>
          <w:tcPr>
            <w:tcW w:w="1142" w:type="dxa"/>
          </w:tcPr>
          <w:p w14:paraId="034A6794" w14:textId="772F0985" w:rsidR="001C7C84" w:rsidRPr="001C7C84" w:rsidRDefault="008E2298" w:rsidP="0029015F">
            <w:pPr>
              <w:tabs>
                <w:tab w:val="left" w:pos="5347"/>
              </w:tabs>
              <w:rPr>
                <w:rFonts w:ascii="Arial" w:hAnsi="Arial" w:cs="Arial"/>
              </w:rPr>
            </w:pPr>
            <w:r>
              <w:rPr>
                <w:rFonts w:ascii="Arial" w:hAnsi="Arial" w:cs="Arial"/>
              </w:rPr>
              <w:t>3.3</w:t>
            </w:r>
          </w:p>
        </w:tc>
        <w:tc>
          <w:tcPr>
            <w:tcW w:w="7884" w:type="dxa"/>
          </w:tcPr>
          <w:p w14:paraId="10B06DE2" w14:textId="77777777" w:rsidR="001C7C84" w:rsidRDefault="00031789" w:rsidP="001C7C84">
            <w:pPr>
              <w:ind w:right="187"/>
              <w:rPr>
                <w:rFonts w:ascii="Arial" w:hAnsi="Arial" w:cs="Arial"/>
              </w:rPr>
            </w:pPr>
            <w:r>
              <w:rPr>
                <w:rFonts w:ascii="Arial" w:hAnsi="Arial" w:cs="Arial"/>
              </w:rPr>
              <w:t xml:space="preserve">The plan </w:t>
            </w:r>
            <w:r w:rsidR="001C7C84">
              <w:rPr>
                <w:rFonts w:ascii="Arial" w:hAnsi="Arial" w:cs="Arial"/>
              </w:rPr>
              <w:t>also looked at the consolidation of progress within the last year of the strategy, the new challenges for 2024-25 and risks being actively managed throughout the year.</w:t>
            </w:r>
          </w:p>
          <w:p w14:paraId="587457A1" w14:textId="0FEE1708" w:rsidR="00883F1F" w:rsidRPr="009F3FCD" w:rsidRDefault="00883F1F" w:rsidP="001C7C84">
            <w:pPr>
              <w:ind w:right="187"/>
              <w:rPr>
                <w:rFonts w:ascii="Arial" w:hAnsi="Arial" w:cs="Arial"/>
                <w:b/>
              </w:rPr>
            </w:pPr>
          </w:p>
        </w:tc>
      </w:tr>
      <w:tr w:rsidR="001C7C84" w:rsidRPr="00D901A4" w14:paraId="603394F7" w14:textId="77777777" w:rsidTr="00883F1F">
        <w:tc>
          <w:tcPr>
            <w:tcW w:w="1142" w:type="dxa"/>
          </w:tcPr>
          <w:p w14:paraId="24E02665" w14:textId="366A0EE2" w:rsidR="001C7C84" w:rsidRPr="001C7C84" w:rsidRDefault="008E2298" w:rsidP="0029015F">
            <w:pPr>
              <w:tabs>
                <w:tab w:val="left" w:pos="5347"/>
              </w:tabs>
              <w:rPr>
                <w:rFonts w:ascii="Arial" w:hAnsi="Arial" w:cs="Arial"/>
              </w:rPr>
            </w:pPr>
            <w:r>
              <w:rPr>
                <w:rFonts w:ascii="Arial" w:hAnsi="Arial" w:cs="Arial"/>
              </w:rPr>
              <w:t>3.4</w:t>
            </w:r>
          </w:p>
        </w:tc>
        <w:tc>
          <w:tcPr>
            <w:tcW w:w="7884" w:type="dxa"/>
          </w:tcPr>
          <w:p w14:paraId="120E0764" w14:textId="77777777" w:rsidR="001C7C84" w:rsidRDefault="001C7C84" w:rsidP="001C7C84">
            <w:pPr>
              <w:ind w:right="187"/>
              <w:rPr>
                <w:rFonts w:ascii="Arial" w:hAnsi="Arial" w:cs="Arial"/>
              </w:rPr>
            </w:pPr>
            <w:r>
              <w:rPr>
                <w:rFonts w:ascii="Arial" w:hAnsi="Arial" w:cs="Arial"/>
              </w:rPr>
              <w:t xml:space="preserve">She updated the Board on feedback that had been received from internal and external stakeholders and how these were being </w:t>
            </w:r>
            <w:r w:rsidR="00A55773">
              <w:rPr>
                <w:rFonts w:ascii="Arial" w:hAnsi="Arial" w:cs="Arial"/>
              </w:rPr>
              <w:t>addressed.</w:t>
            </w:r>
          </w:p>
          <w:p w14:paraId="462DA584" w14:textId="5E932C43" w:rsidR="00883F1F" w:rsidRDefault="00883F1F" w:rsidP="001C7C84">
            <w:pPr>
              <w:ind w:right="187"/>
              <w:rPr>
                <w:rFonts w:ascii="Arial" w:hAnsi="Arial" w:cs="Arial"/>
              </w:rPr>
            </w:pPr>
          </w:p>
        </w:tc>
      </w:tr>
      <w:tr w:rsidR="001C7C84" w:rsidRPr="00D901A4" w14:paraId="62D3C772" w14:textId="77777777" w:rsidTr="00883F1F">
        <w:tc>
          <w:tcPr>
            <w:tcW w:w="1142" w:type="dxa"/>
          </w:tcPr>
          <w:p w14:paraId="35E6A3AB" w14:textId="4B3AD3A9" w:rsidR="001C7C84" w:rsidRPr="001C7C84" w:rsidRDefault="008E2298" w:rsidP="0029015F">
            <w:pPr>
              <w:tabs>
                <w:tab w:val="left" w:pos="5347"/>
              </w:tabs>
              <w:rPr>
                <w:rFonts w:ascii="Arial" w:hAnsi="Arial" w:cs="Arial"/>
              </w:rPr>
            </w:pPr>
            <w:r>
              <w:rPr>
                <w:rFonts w:ascii="Arial" w:hAnsi="Arial" w:cs="Arial"/>
              </w:rPr>
              <w:t>3.5</w:t>
            </w:r>
          </w:p>
        </w:tc>
        <w:tc>
          <w:tcPr>
            <w:tcW w:w="7884" w:type="dxa"/>
          </w:tcPr>
          <w:p w14:paraId="282889DF" w14:textId="77777777" w:rsidR="001C7C84" w:rsidRDefault="001C7C84" w:rsidP="001C7C84">
            <w:pPr>
              <w:rPr>
                <w:rFonts w:ascii="Arial" w:hAnsi="Arial" w:cs="Arial"/>
              </w:rPr>
            </w:pPr>
            <w:r>
              <w:rPr>
                <w:rFonts w:ascii="Arial" w:hAnsi="Arial" w:cs="Arial"/>
              </w:rPr>
              <w:t>In discussion the Board:</w:t>
            </w:r>
          </w:p>
          <w:p w14:paraId="363DFCAA" w14:textId="77777777" w:rsidR="001C7C84" w:rsidRDefault="001C7C84" w:rsidP="001C7C84">
            <w:pPr>
              <w:rPr>
                <w:rFonts w:ascii="Arial" w:hAnsi="Arial" w:cs="Arial"/>
              </w:rPr>
            </w:pPr>
          </w:p>
          <w:p w14:paraId="0312D8A2" w14:textId="29BC035E" w:rsidR="001C7C84" w:rsidRDefault="001C7C84" w:rsidP="001C7C84">
            <w:pPr>
              <w:pStyle w:val="ListParagraph"/>
              <w:numPr>
                <w:ilvl w:val="0"/>
                <w:numId w:val="22"/>
              </w:numPr>
              <w:rPr>
                <w:rFonts w:ascii="Arial" w:hAnsi="Arial" w:cs="Arial"/>
              </w:rPr>
            </w:pPr>
            <w:r w:rsidRPr="001F6D66">
              <w:rPr>
                <w:rFonts w:ascii="Arial" w:hAnsi="Arial" w:cs="Arial"/>
              </w:rPr>
              <w:t xml:space="preserve">Noted </w:t>
            </w:r>
            <w:r>
              <w:rPr>
                <w:rFonts w:ascii="Arial" w:hAnsi="Arial" w:cs="Arial"/>
              </w:rPr>
              <w:t xml:space="preserve">and endorsed </w:t>
            </w:r>
            <w:r w:rsidRPr="001F6D66">
              <w:rPr>
                <w:rFonts w:ascii="Arial" w:hAnsi="Arial" w:cs="Arial"/>
              </w:rPr>
              <w:t xml:space="preserve">the feedback received on the </w:t>
            </w:r>
            <w:r w:rsidR="00A55773">
              <w:rPr>
                <w:rFonts w:ascii="Arial" w:hAnsi="Arial" w:cs="Arial"/>
              </w:rPr>
              <w:t>plan</w:t>
            </w:r>
            <w:r w:rsidRPr="001F6D66">
              <w:rPr>
                <w:rFonts w:ascii="Arial" w:hAnsi="Arial" w:cs="Arial"/>
              </w:rPr>
              <w:t xml:space="preserve"> from DWP, DE</w:t>
            </w:r>
            <w:r>
              <w:rPr>
                <w:rFonts w:ascii="Arial" w:hAnsi="Arial" w:cs="Arial"/>
              </w:rPr>
              <w:t>S</w:t>
            </w:r>
            <w:r w:rsidRPr="001F6D66">
              <w:rPr>
                <w:rFonts w:ascii="Arial" w:hAnsi="Arial" w:cs="Arial"/>
              </w:rPr>
              <w:t>NZ</w:t>
            </w:r>
            <w:r>
              <w:rPr>
                <w:rFonts w:ascii="Arial" w:hAnsi="Arial" w:cs="Arial"/>
              </w:rPr>
              <w:t xml:space="preserve"> and MOD.</w:t>
            </w:r>
          </w:p>
          <w:p w14:paraId="43BE198B" w14:textId="77777777" w:rsidR="00D27B42" w:rsidRDefault="001C7C84" w:rsidP="001C7C84">
            <w:pPr>
              <w:pStyle w:val="ListParagraph"/>
              <w:numPr>
                <w:ilvl w:val="0"/>
                <w:numId w:val="22"/>
              </w:numPr>
              <w:rPr>
                <w:rFonts w:ascii="Arial" w:hAnsi="Arial" w:cs="Arial"/>
              </w:rPr>
            </w:pPr>
            <w:r>
              <w:rPr>
                <w:rFonts w:ascii="Arial" w:hAnsi="Arial" w:cs="Arial"/>
              </w:rPr>
              <w:t xml:space="preserve">Commented on </w:t>
            </w:r>
            <w:r w:rsidR="00031789">
              <w:rPr>
                <w:rFonts w:ascii="Arial" w:hAnsi="Arial" w:cs="Arial"/>
              </w:rPr>
              <w:t>progression</w:t>
            </w:r>
            <w:r>
              <w:rPr>
                <w:rFonts w:ascii="Arial" w:hAnsi="Arial" w:cs="Arial"/>
              </w:rPr>
              <w:t xml:space="preserve"> </w:t>
            </w:r>
            <w:r w:rsidR="00DF6FE1">
              <w:rPr>
                <w:rFonts w:ascii="Arial" w:hAnsi="Arial" w:cs="Arial"/>
              </w:rPr>
              <w:t xml:space="preserve">in </w:t>
            </w:r>
            <w:r>
              <w:rPr>
                <w:rFonts w:ascii="Arial" w:hAnsi="Arial" w:cs="Arial"/>
              </w:rPr>
              <w:t xml:space="preserve">relation to integration across ONR’s purposes but noted that the </w:t>
            </w:r>
            <w:r w:rsidR="00031789">
              <w:rPr>
                <w:rFonts w:ascii="Arial" w:hAnsi="Arial" w:cs="Arial"/>
              </w:rPr>
              <w:t xml:space="preserve">report </w:t>
            </w:r>
            <w:r>
              <w:rPr>
                <w:rFonts w:ascii="Arial" w:hAnsi="Arial" w:cs="Arial"/>
              </w:rPr>
              <w:t>was light on transport matters and that this element could be strengthened.</w:t>
            </w:r>
          </w:p>
          <w:p w14:paraId="689D15B9" w14:textId="0C7A1D2E" w:rsidR="001C7C84" w:rsidRDefault="001C7C84" w:rsidP="001C7C84">
            <w:pPr>
              <w:pStyle w:val="ListParagraph"/>
              <w:numPr>
                <w:ilvl w:val="0"/>
                <w:numId w:val="22"/>
              </w:numPr>
              <w:rPr>
                <w:rFonts w:ascii="Arial" w:hAnsi="Arial" w:cs="Arial"/>
              </w:rPr>
            </w:pPr>
            <w:r>
              <w:rPr>
                <w:rFonts w:ascii="Arial" w:hAnsi="Arial" w:cs="Arial"/>
              </w:rPr>
              <w:t>Noted the priorities for the next year and how these would be communicated to the industry.</w:t>
            </w:r>
          </w:p>
          <w:p w14:paraId="6D5748B9" w14:textId="77777777" w:rsidR="001C7C84" w:rsidRDefault="001C7C84" w:rsidP="001C7C84">
            <w:pPr>
              <w:pStyle w:val="ListParagraph"/>
              <w:numPr>
                <w:ilvl w:val="0"/>
                <w:numId w:val="22"/>
              </w:numPr>
              <w:rPr>
                <w:rFonts w:ascii="Arial" w:hAnsi="Arial" w:cs="Arial"/>
              </w:rPr>
            </w:pPr>
            <w:r>
              <w:rPr>
                <w:rFonts w:ascii="Arial" w:hAnsi="Arial" w:cs="Arial"/>
              </w:rPr>
              <w:t>Commented on the need to bring out the implementation of the Organisational Review more strongly within the Plan.</w:t>
            </w:r>
          </w:p>
          <w:p w14:paraId="488DDE56" w14:textId="05083FEE" w:rsidR="001C7C84" w:rsidRPr="006E2D33" w:rsidRDefault="001C7C84" w:rsidP="001C7C84">
            <w:pPr>
              <w:pStyle w:val="ListParagraph"/>
              <w:numPr>
                <w:ilvl w:val="0"/>
                <w:numId w:val="22"/>
              </w:numPr>
              <w:rPr>
                <w:rFonts w:ascii="Arial" w:hAnsi="Arial" w:cs="Arial"/>
                <w:bCs/>
              </w:rPr>
            </w:pPr>
            <w:r>
              <w:rPr>
                <w:rFonts w:ascii="Arial" w:hAnsi="Arial" w:cs="Arial"/>
              </w:rPr>
              <w:t>Commented on the need for references to the Environment Agency to be weaved into the report as a co-regulator [given ONR’s dependency on their approach.</w:t>
            </w:r>
            <w:r w:rsidR="00736A06">
              <w:rPr>
                <w:rFonts w:ascii="Arial" w:hAnsi="Arial" w:cs="Arial"/>
              </w:rPr>
              <w:t>]</w:t>
            </w:r>
            <w:r>
              <w:rPr>
                <w:rFonts w:ascii="Arial" w:hAnsi="Arial" w:cs="Arial"/>
              </w:rPr>
              <w:t xml:space="preserve"> </w:t>
            </w:r>
          </w:p>
          <w:p w14:paraId="6C21AC16" w14:textId="77777777" w:rsidR="001C7C84" w:rsidRDefault="001C7C84" w:rsidP="001C7C84">
            <w:pPr>
              <w:ind w:right="187"/>
              <w:rPr>
                <w:rFonts w:ascii="Arial" w:hAnsi="Arial" w:cs="Arial"/>
              </w:rPr>
            </w:pPr>
          </w:p>
        </w:tc>
      </w:tr>
      <w:tr w:rsidR="001C7C84" w:rsidRPr="00D901A4" w14:paraId="5F387C70" w14:textId="77777777" w:rsidTr="00883F1F">
        <w:tc>
          <w:tcPr>
            <w:tcW w:w="1142" w:type="dxa"/>
          </w:tcPr>
          <w:p w14:paraId="71973934" w14:textId="1D5E80D6" w:rsidR="001C7C84" w:rsidRPr="001C7C84" w:rsidRDefault="00031789" w:rsidP="0029015F">
            <w:pPr>
              <w:tabs>
                <w:tab w:val="left" w:pos="5347"/>
              </w:tabs>
              <w:rPr>
                <w:rFonts w:ascii="Arial" w:hAnsi="Arial" w:cs="Arial"/>
              </w:rPr>
            </w:pPr>
            <w:r>
              <w:rPr>
                <w:rFonts w:ascii="Arial" w:hAnsi="Arial" w:cs="Arial"/>
              </w:rPr>
              <w:t>3.6</w:t>
            </w:r>
          </w:p>
        </w:tc>
        <w:tc>
          <w:tcPr>
            <w:tcW w:w="7884" w:type="dxa"/>
          </w:tcPr>
          <w:p w14:paraId="7F3B7A96" w14:textId="1952BF1E" w:rsidR="001C7C84" w:rsidRDefault="001C7C84" w:rsidP="001C7C84">
            <w:pPr>
              <w:tabs>
                <w:tab w:val="left" w:pos="5347"/>
              </w:tabs>
              <w:rPr>
                <w:rFonts w:ascii="Arial" w:hAnsi="Arial" w:cs="Arial"/>
              </w:rPr>
            </w:pPr>
            <w:r>
              <w:rPr>
                <w:rFonts w:ascii="Arial" w:hAnsi="Arial" w:cs="Arial"/>
              </w:rPr>
              <w:t xml:space="preserve">The Board </w:t>
            </w:r>
            <w:r w:rsidRPr="00801F26">
              <w:rPr>
                <w:rFonts w:ascii="Arial" w:hAnsi="Arial" w:cs="Arial"/>
              </w:rPr>
              <w:t>approve</w:t>
            </w:r>
            <w:r>
              <w:rPr>
                <w:rFonts w:ascii="Arial" w:hAnsi="Arial" w:cs="Arial"/>
              </w:rPr>
              <w:t>d</w:t>
            </w:r>
            <w:r w:rsidRPr="00801F26">
              <w:rPr>
                <w:rFonts w:ascii="Arial" w:hAnsi="Arial" w:cs="Arial"/>
              </w:rPr>
              <w:t xml:space="preserve"> the </w:t>
            </w:r>
            <w:r>
              <w:rPr>
                <w:rFonts w:ascii="Arial" w:hAnsi="Arial" w:cs="Arial"/>
              </w:rPr>
              <w:t xml:space="preserve">draft </w:t>
            </w:r>
            <w:r w:rsidRPr="00801F26">
              <w:rPr>
                <w:rFonts w:ascii="Arial" w:hAnsi="Arial" w:cs="Arial"/>
              </w:rPr>
              <w:t>ONR Corporate Plan 202</w:t>
            </w:r>
            <w:r>
              <w:rPr>
                <w:rFonts w:ascii="Arial" w:hAnsi="Arial" w:cs="Arial"/>
              </w:rPr>
              <w:t>4</w:t>
            </w:r>
            <w:r w:rsidRPr="00801F26">
              <w:rPr>
                <w:rFonts w:ascii="Arial" w:hAnsi="Arial" w:cs="Arial"/>
              </w:rPr>
              <w:t>/2</w:t>
            </w:r>
            <w:r>
              <w:rPr>
                <w:rFonts w:ascii="Arial" w:hAnsi="Arial" w:cs="Arial"/>
              </w:rPr>
              <w:t>5</w:t>
            </w:r>
            <w:r w:rsidRPr="00801F26">
              <w:rPr>
                <w:rFonts w:ascii="Arial" w:hAnsi="Arial" w:cs="Arial"/>
              </w:rPr>
              <w:t xml:space="preserve"> and delegate</w:t>
            </w:r>
            <w:r>
              <w:rPr>
                <w:rFonts w:ascii="Arial" w:hAnsi="Arial" w:cs="Arial"/>
              </w:rPr>
              <w:t>d</w:t>
            </w:r>
            <w:r w:rsidRPr="00801F26">
              <w:rPr>
                <w:rFonts w:ascii="Arial" w:hAnsi="Arial" w:cs="Arial"/>
              </w:rPr>
              <w:t xml:space="preserve"> accountability for final changes to the CE/CNI</w:t>
            </w:r>
            <w:r w:rsidR="00031789">
              <w:rPr>
                <w:rFonts w:ascii="Arial" w:hAnsi="Arial" w:cs="Arial"/>
              </w:rPr>
              <w:t xml:space="preserve"> and Chair</w:t>
            </w:r>
            <w:r w:rsidRPr="00801F26">
              <w:rPr>
                <w:rFonts w:ascii="Arial" w:hAnsi="Arial" w:cs="Arial"/>
              </w:rPr>
              <w:t>.</w:t>
            </w:r>
          </w:p>
          <w:p w14:paraId="517A6318" w14:textId="77777777" w:rsidR="001C7C84" w:rsidRDefault="001C7C84" w:rsidP="001C7C84">
            <w:pPr>
              <w:ind w:right="187"/>
              <w:rPr>
                <w:rFonts w:ascii="Arial" w:hAnsi="Arial" w:cs="Arial"/>
              </w:rPr>
            </w:pPr>
          </w:p>
        </w:tc>
      </w:tr>
      <w:tr w:rsidR="001C7C84" w:rsidRPr="00D901A4" w14:paraId="38BAF67E" w14:textId="77777777" w:rsidTr="00883F1F">
        <w:tc>
          <w:tcPr>
            <w:tcW w:w="1142" w:type="dxa"/>
          </w:tcPr>
          <w:p w14:paraId="150AC409" w14:textId="7AE311B3" w:rsidR="001C7C84" w:rsidRPr="001C7C84" w:rsidRDefault="001C7C84" w:rsidP="0029015F">
            <w:pPr>
              <w:tabs>
                <w:tab w:val="left" w:pos="5347"/>
              </w:tabs>
              <w:rPr>
                <w:rFonts w:ascii="Arial" w:hAnsi="Arial" w:cs="Arial"/>
              </w:rPr>
            </w:pPr>
            <w:r>
              <w:rPr>
                <w:rFonts w:ascii="Arial" w:hAnsi="Arial" w:cs="Arial"/>
              </w:rPr>
              <w:t>4.</w:t>
            </w:r>
          </w:p>
        </w:tc>
        <w:tc>
          <w:tcPr>
            <w:tcW w:w="7884" w:type="dxa"/>
          </w:tcPr>
          <w:p w14:paraId="5709D397" w14:textId="77777777" w:rsidR="001C7C84" w:rsidRDefault="001C7C84" w:rsidP="001C7C84">
            <w:pPr>
              <w:ind w:right="187"/>
              <w:rPr>
                <w:rFonts w:asciiTheme="minorBidi" w:hAnsiTheme="minorBidi" w:cstheme="minorBidi"/>
                <w:b/>
                <w:bCs/>
              </w:rPr>
            </w:pPr>
            <w:r w:rsidRPr="00C7214A">
              <w:rPr>
                <w:rFonts w:asciiTheme="minorBidi" w:hAnsiTheme="minorBidi" w:cstheme="minorBidi"/>
                <w:b/>
                <w:bCs/>
              </w:rPr>
              <w:t>Any Other Business</w:t>
            </w:r>
          </w:p>
          <w:p w14:paraId="590F3D99" w14:textId="74201F1B" w:rsidR="00883F1F" w:rsidRDefault="00883F1F" w:rsidP="001C7C84">
            <w:pPr>
              <w:ind w:right="187"/>
              <w:rPr>
                <w:rFonts w:ascii="Arial" w:hAnsi="Arial" w:cs="Arial"/>
              </w:rPr>
            </w:pPr>
          </w:p>
        </w:tc>
      </w:tr>
      <w:tr w:rsidR="001C7C84" w:rsidRPr="00D901A4" w14:paraId="41D1AE49" w14:textId="77777777" w:rsidTr="00883F1F">
        <w:tc>
          <w:tcPr>
            <w:tcW w:w="1142" w:type="dxa"/>
          </w:tcPr>
          <w:p w14:paraId="778F066E" w14:textId="5F1ED35E" w:rsidR="001C7C84" w:rsidRPr="001C7C84" w:rsidRDefault="001C7C84" w:rsidP="0029015F">
            <w:pPr>
              <w:tabs>
                <w:tab w:val="left" w:pos="5347"/>
              </w:tabs>
              <w:rPr>
                <w:rFonts w:ascii="Arial" w:hAnsi="Arial" w:cs="Arial"/>
              </w:rPr>
            </w:pPr>
            <w:r>
              <w:rPr>
                <w:rFonts w:ascii="Arial" w:hAnsi="Arial" w:cs="Arial"/>
              </w:rPr>
              <w:t>4.1</w:t>
            </w:r>
          </w:p>
        </w:tc>
        <w:tc>
          <w:tcPr>
            <w:tcW w:w="7884" w:type="dxa"/>
          </w:tcPr>
          <w:p w14:paraId="44F68ED1" w14:textId="7D753A8D" w:rsidR="001C7C84" w:rsidRDefault="00883F1F" w:rsidP="001C7C84">
            <w:pPr>
              <w:ind w:right="187"/>
              <w:rPr>
                <w:rFonts w:ascii="Arial" w:hAnsi="Arial" w:cs="Arial"/>
              </w:rPr>
            </w:pPr>
            <w:r w:rsidRPr="00883F1F">
              <w:rPr>
                <w:rFonts w:asciiTheme="minorBidi" w:hAnsiTheme="minorBidi" w:cstheme="minorBidi"/>
              </w:rPr>
              <w:t>There was no other business raised.  The Chair formally closed the meeting.</w:t>
            </w:r>
          </w:p>
        </w:tc>
      </w:tr>
    </w:tbl>
    <w:p w14:paraId="30ACD328" w14:textId="4831A8E8" w:rsidR="00B7497A" w:rsidRPr="003F06EA" w:rsidRDefault="00B7497A" w:rsidP="003F06EA">
      <w:pPr>
        <w:ind w:right="187"/>
        <w:rPr>
          <w:rFonts w:ascii="Arial" w:hAnsi="Arial" w:cs="Arial"/>
          <w:bCs/>
        </w:rPr>
      </w:pPr>
    </w:p>
    <w:p w14:paraId="3D889465" w14:textId="4D37EE03" w:rsidR="00C7214A" w:rsidRPr="00C7214A" w:rsidRDefault="00C7214A" w:rsidP="00C7214A">
      <w:pPr>
        <w:rPr>
          <w:rFonts w:asciiTheme="minorBidi" w:hAnsiTheme="minorBidi" w:cstheme="minorBidi"/>
        </w:rPr>
      </w:pPr>
      <w:r w:rsidRPr="00C7214A">
        <w:rPr>
          <w:rFonts w:asciiTheme="minorBidi" w:hAnsiTheme="minorBidi" w:cstheme="minorBidi"/>
        </w:rPr>
        <w:t xml:space="preserve"> </w:t>
      </w:r>
    </w:p>
    <w:sectPr w:rsidR="00C7214A" w:rsidRPr="00C7214A">
      <w:headerReference w:type="even"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AEDC" w14:textId="77777777" w:rsidR="00833A5C" w:rsidRDefault="00833A5C" w:rsidP="007A779A">
      <w:r>
        <w:separator/>
      </w:r>
    </w:p>
  </w:endnote>
  <w:endnote w:type="continuationSeparator" w:id="0">
    <w:p w14:paraId="3E528F31" w14:textId="77777777" w:rsidR="00833A5C" w:rsidRDefault="00833A5C" w:rsidP="007A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3300" w14:textId="4635A4C9" w:rsidR="007A779A" w:rsidRDefault="007A7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22BE" w14:textId="38056247" w:rsidR="007A779A" w:rsidRDefault="007A7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0594" w14:textId="16E034BB" w:rsidR="007A779A" w:rsidRDefault="007A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2FF6" w14:textId="77777777" w:rsidR="00833A5C" w:rsidRDefault="00833A5C" w:rsidP="007A779A">
      <w:r>
        <w:separator/>
      </w:r>
    </w:p>
  </w:footnote>
  <w:footnote w:type="continuationSeparator" w:id="0">
    <w:p w14:paraId="4E4F92B5" w14:textId="77777777" w:rsidR="00833A5C" w:rsidRDefault="00833A5C" w:rsidP="007A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BAF5" w14:textId="7C841103" w:rsidR="007A779A" w:rsidRDefault="007A7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5F2B" w14:textId="5E55A1A9" w:rsidR="007A779A" w:rsidRDefault="007A7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8F2"/>
    <w:multiLevelType w:val="hybridMultilevel"/>
    <w:tmpl w:val="25C8B58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76F9D"/>
    <w:multiLevelType w:val="hybridMultilevel"/>
    <w:tmpl w:val="E748310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30542"/>
    <w:multiLevelType w:val="hybridMultilevel"/>
    <w:tmpl w:val="071E433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D2012"/>
    <w:multiLevelType w:val="hybridMultilevel"/>
    <w:tmpl w:val="67A0D896"/>
    <w:lvl w:ilvl="0" w:tplc="AB86A91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9925D6"/>
    <w:multiLevelType w:val="hybridMultilevel"/>
    <w:tmpl w:val="1F0EA09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05CE6"/>
    <w:multiLevelType w:val="hybridMultilevel"/>
    <w:tmpl w:val="BC0456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4F0D08"/>
    <w:multiLevelType w:val="hybridMultilevel"/>
    <w:tmpl w:val="4746A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84DB2"/>
    <w:multiLevelType w:val="hybridMultilevel"/>
    <w:tmpl w:val="3B38333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F5223"/>
    <w:multiLevelType w:val="hybridMultilevel"/>
    <w:tmpl w:val="B97E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A4D7E"/>
    <w:multiLevelType w:val="hybridMultilevel"/>
    <w:tmpl w:val="CEA665A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917D7"/>
    <w:multiLevelType w:val="hybridMultilevel"/>
    <w:tmpl w:val="DC3C87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85DF0"/>
    <w:multiLevelType w:val="multilevel"/>
    <w:tmpl w:val="288622E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C86418"/>
    <w:multiLevelType w:val="hybridMultilevel"/>
    <w:tmpl w:val="95BCD4CE"/>
    <w:lvl w:ilvl="0" w:tplc="7354FEC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C5EEE"/>
    <w:multiLevelType w:val="hybridMultilevel"/>
    <w:tmpl w:val="89EE0B66"/>
    <w:lvl w:ilvl="0" w:tplc="0EA4211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236E3"/>
    <w:multiLevelType w:val="hybridMultilevel"/>
    <w:tmpl w:val="C3205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603E3"/>
    <w:multiLevelType w:val="hybridMultilevel"/>
    <w:tmpl w:val="05F8448C"/>
    <w:lvl w:ilvl="0" w:tplc="7354FEC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C5F8B"/>
    <w:multiLevelType w:val="hybridMultilevel"/>
    <w:tmpl w:val="ABDA3C5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E761F"/>
    <w:multiLevelType w:val="hybridMultilevel"/>
    <w:tmpl w:val="BB52B6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52D14BE"/>
    <w:multiLevelType w:val="hybridMultilevel"/>
    <w:tmpl w:val="981E5AB4"/>
    <w:lvl w:ilvl="0" w:tplc="0809001B">
      <w:start w:val="1"/>
      <w:numFmt w:val="lowerRoman"/>
      <w:lvlText w:val="%1."/>
      <w:lvlJc w:val="righ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9" w15:restartNumberingAfterBreak="0">
    <w:nsid w:val="76EB6006"/>
    <w:multiLevelType w:val="hybridMultilevel"/>
    <w:tmpl w:val="B708428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34D3C"/>
    <w:multiLevelType w:val="multilevel"/>
    <w:tmpl w:val="C1A4518E"/>
    <w:lvl w:ilvl="0">
      <w:start w:val="1"/>
      <w:numFmt w:val="decimal"/>
      <w:lvlText w:val="%1"/>
      <w:lvlJc w:val="left"/>
      <w:pPr>
        <w:ind w:left="644" w:hanging="360"/>
      </w:pPr>
      <w:rPr>
        <w:rFonts w:hint="default"/>
        <w:b/>
      </w:rPr>
    </w:lvl>
    <w:lvl w:ilvl="1">
      <w:start w:val="1"/>
      <w:numFmt w:val="decimal"/>
      <w:lvlText w:val="%1.%2"/>
      <w:lvlJc w:val="left"/>
      <w:pPr>
        <w:ind w:left="503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1" w15:restartNumberingAfterBreak="0">
    <w:nsid w:val="7FD73A71"/>
    <w:multiLevelType w:val="multilevel"/>
    <w:tmpl w:val="76A061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5039799">
    <w:abstractNumId w:val="20"/>
  </w:num>
  <w:num w:numId="2" w16cid:durableId="2098405238">
    <w:abstractNumId w:val="8"/>
  </w:num>
  <w:num w:numId="3" w16cid:durableId="1470398094">
    <w:abstractNumId w:val="14"/>
  </w:num>
  <w:num w:numId="4" w16cid:durableId="706444923">
    <w:abstractNumId w:val="13"/>
  </w:num>
  <w:num w:numId="5" w16cid:durableId="156775039">
    <w:abstractNumId w:val="11"/>
  </w:num>
  <w:num w:numId="6" w16cid:durableId="1491485801">
    <w:abstractNumId w:val="21"/>
  </w:num>
  <w:num w:numId="7" w16cid:durableId="724834419">
    <w:abstractNumId w:val="9"/>
  </w:num>
  <w:num w:numId="8" w16cid:durableId="431973031">
    <w:abstractNumId w:val="4"/>
  </w:num>
  <w:num w:numId="9" w16cid:durableId="1784687063">
    <w:abstractNumId w:val="7"/>
  </w:num>
  <w:num w:numId="10" w16cid:durableId="1465998628">
    <w:abstractNumId w:val="6"/>
  </w:num>
  <w:num w:numId="11" w16cid:durableId="53891350">
    <w:abstractNumId w:val="19"/>
  </w:num>
  <w:num w:numId="12" w16cid:durableId="118229877">
    <w:abstractNumId w:val="1"/>
  </w:num>
  <w:num w:numId="13" w16cid:durableId="1145975962">
    <w:abstractNumId w:val="0"/>
  </w:num>
  <w:num w:numId="14" w16cid:durableId="1038890941">
    <w:abstractNumId w:val="10"/>
  </w:num>
  <w:num w:numId="15" w16cid:durableId="196552181">
    <w:abstractNumId w:val="18"/>
  </w:num>
  <w:num w:numId="16" w16cid:durableId="1482044801">
    <w:abstractNumId w:val="2"/>
  </w:num>
  <w:num w:numId="17" w16cid:durableId="1654874947">
    <w:abstractNumId w:val="16"/>
  </w:num>
  <w:num w:numId="18" w16cid:durableId="1116100409">
    <w:abstractNumId w:val="3"/>
  </w:num>
  <w:num w:numId="19" w16cid:durableId="1370564526">
    <w:abstractNumId w:val="17"/>
  </w:num>
  <w:num w:numId="20" w16cid:durableId="2013606519">
    <w:abstractNumId w:val="15"/>
  </w:num>
  <w:num w:numId="21" w16cid:durableId="849374914">
    <w:abstractNumId w:val="12"/>
  </w:num>
  <w:num w:numId="22" w16cid:durableId="1073117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9A"/>
    <w:rsid w:val="000078E0"/>
    <w:rsid w:val="00012B7E"/>
    <w:rsid w:val="00015238"/>
    <w:rsid w:val="00025AC9"/>
    <w:rsid w:val="00031629"/>
    <w:rsid w:val="00031789"/>
    <w:rsid w:val="000359B4"/>
    <w:rsid w:val="000464B4"/>
    <w:rsid w:val="00050E0A"/>
    <w:rsid w:val="0005498D"/>
    <w:rsid w:val="00071B31"/>
    <w:rsid w:val="000840C6"/>
    <w:rsid w:val="00093891"/>
    <w:rsid w:val="000A7F6C"/>
    <w:rsid w:val="000B6757"/>
    <w:rsid w:val="000C05FC"/>
    <w:rsid w:val="000C1AEF"/>
    <w:rsid w:val="000C6532"/>
    <w:rsid w:val="000C7F51"/>
    <w:rsid w:val="000D188D"/>
    <w:rsid w:val="000D7731"/>
    <w:rsid w:val="00120482"/>
    <w:rsid w:val="00145D98"/>
    <w:rsid w:val="00146B0F"/>
    <w:rsid w:val="00157860"/>
    <w:rsid w:val="001654C0"/>
    <w:rsid w:val="00165CD3"/>
    <w:rsid w:val="0018728D"/>
    <w:rsid w:val="001900F4"/>
    <w:rsid w:val="0019320D"/>
    <w:rsid w:val="00194D7C"/>
    <w:rsid w:val="001A505B"/>
    <w:rsid w:val="001B37EB"/>
    <w:rsid w:val="001C29AF"/>
    <w:rsid w:val="001C7C84"/>
    <w:rsid w:val="001D2EBF"/>
    <w:rsid w:val="001E0CDC"/>
    <w:rsid w:val="001E443F"/>
    <w:rsid w:val="001E4FCE"/>
    <w:rsid w:val="001F58AA"/>
    <w:rsid w:val="001F6D66"/>
    <w:rsid w:val="0020624B"/>
    <w:rsid w:val="002149BA"/>
    <w:rsid w:val="00217D3E"/>
    <w:rsid w:val="00220703"/>
    <w:rsid w:val="00220C23"/>
    <w:rsid w:val="00222ABB"/>
    <w:rsid w:val="00225281"/>
    <w:rsid w:val="00225AC8"/>
    <w:rsid w:val="00242089"/>
    <w:rsid w:val="00243D30"/>
    <w:rsid w:val="00245498"/>
    <w:rsid w:val="002513DD"/>
    <w:rsid w:val="00266DE3"/>
    <w:rsid w:val="00282A7C"/>
    <w:rsid w:val="002830ED"/>
    <w:rsid w:val="00290080"/>
    <w:rsid w:val="0029251B"/>
    <w:rsid w:val="00292E37"/>
    <w:rsid w:val="002C026D"/>
    <w:rsid w:val="002C52F3"/>
    <w:rsid w:val="002C75FD"/>
    <w:rsid w:val="002D5371"/>
    <w:rsid w:val="002D764E"/>
    <w:rsid w:val="002E27C6"/>
    <w:rsid w:val="002E2AE8"/>
    <w:rsid w:val="002E4EC3"/>
    <w:rsid w:val="002E6943"/>
    <w:rsid w:val="002F3282"/>
    <w:rsid w:val="002F4E47"/>
    <w:rsid w:val="002F513A"/>
    <w:rsid w:val="002F6E12"/>
    <w:rsid w:val="00300EDD"/>
    <w:rsid w:val="00311D40"/>
    <w:rsid w:val="00312159"/>
    <w:rsid w:val="00330DDE"/>
    <w:rsid w:val="003321B8"/>
    <w:rsid w:val="003345C8"/>
    <w:rsid w:val="00356ED7"/>
    <w:rsid w:val="00377FE6"/>
    <w:rsid w:val="00383BA0"/>
    <w:rsid w:val="0038597C"/>
    <w:rsid w:val="00386098"/>
    <w:rsid w:val="0039390B"/>
    <w:rsid w:val="00394B54"/>
    <w:rsid w:val="003A2FF9"/>
    <w:rsid w:val="003A39B2"/>
    <w:rsid w:val="003A4A6D"/>
    <w:rsid w:val="003D5E45"/>
    <w:rsid w:val="003F06EA"/>
    <w:rsid w:val="003F576D"/>
    <w:rsid w:val="003F5E4D"/>
    <w:rsid w:val="00406A08"/>
    <w:rsid w:val="00413DBF"/>
    <w:rsid w:val="00423278"/>
    <w:rsid w:val="0043110F"/>
    <w:rsid w:val="0043611D"/>
    <w:rsid w:val="00442677"/>
    <w:rsid w:val="0044367B"/>
    <w:rsid w:val="00445B7D"/>
    <w:rsid w:val="0047724C"/>
    <w:rsid w:val="00487BA6"/>
    <w:rsid w:val="004B03B0"/>
    <w:rsid w:val="004C7AA7"/>
    <w:rsid w:val="004F0F7E"/>
    <w:rsid w:val="004F5F7C"/>
    <w:rsid w:val="00504EA1"/>
    <w:rsid w:val="00506887"/>
    <w:rsid w:val="00536A04"/>
    <w:rsid w:val="00546AC9"/>
    <w:rsid w:val="00566A09"/>
    <w:rsid w:val="00567924"/>
    <w:rsid w:val="005A4654"/>
    <w:rsid w:val="005A72CE"/>
    <w:rsid w:val="005B785D"/>
    <w:rsid w:val="005C7990"/>
    <w:rsid w:val="005E1DF5"/>
    <w:rsid w:val="005F0E62"/>
    <w:rsid w:val="005F2F9C"/>
    <w:rsid w:val="0062309B"/>
    <w:rsid w:val="00630923"/>
    <w:rsid w:val="00632C3A"/>
    <w:rsid w:val="0063394A"/>
    <w:rsid w:val="00651C87"/>
    <w:rsid w:val="006619EF"/>
    <w:rsid w:val="00677B0D"/>
    <w:rsid w:val="00684DDE"/>
    <w:rsid w:val="006973A9"/>
    <w:rsid w:val="006A7DDF"/>
    <w:rsid w:val="006B097F"/>
    <w:rsid w:val="006C2BF1"/>
    <w:rsid w:val="006C39C1"/>
    <w:rsid w:val="006C4A39"/>
    <w:rsid w:val="006D15DC"/>
    <w:rsid w:val="006E2D33"/>
    <w:rsid w:val="006E2FEC"/>
    <w:rsid w:val="006F491A"/>
    <w:rsid w:val="006F4C6F"/>
    <w:rsid w:val="006F667C"/>
    <w:rsid w:val="00710339"/>
    <w:rsid w:val="00717F80"/>
    <w:rsid w:val="0072683D"/>
    <w:rsid w:val="00736A06"/>
    <w:rsid w:val="00742F48"/>
    <w:rsid w:val="0074452E"/>
    <w:rsid w:val="00745BFA"/>
    <w:rsid w:val="00772331"/>
    <w:rsid w:val="00785B09"/>
    <w:rsid w:val="00786489"/>
    <w:rsid w:val="007A1417"/>
    <w:rsid w:val="007A779A"/>
    <w:rsid w:val="007C0E16"/>
    <w:rsid w:val="007D054C"/>
    <w:rsid w:val="007D57BA"/>
    <w:rsid w:val="007E0940"/>
    <w:rsid w:val="007E284C"/>
    <w:rsid w:val="008042E0"/>
    <w:rsid w:val="00812156"/>
    <w:rsid w:val="00815F9E"/>
    <w:rsid w:val="008251CB"/>
    <w:rsid w:val="00825C5D"/>
    <w:rsid w:val="00833A5C"/>
    <w:rsid w:val="008464BA"/>
    <w:rsid w:val="008613AB"/>
    <w:rsid w:val="00863444"/>
    <w:rsid w:val="00883F1F"/>
    <w:rsid w:val="00892E48"/>
    <w:rsid w:val="008958DD"/>
    <w:rsid w:val="00896D42"/>
    <w:rsid w:val="008A04CF"/>
    <w:rsid w:val="008A28B8"/>
    <w:rsid w:val="008A4060"/>
    <w:rsid w:val="008B28FB"/>
    <w:rsid w:val="008B4946"/>
    <w:rsid w:val="008B5BF9"/>
    <w:rsid w:val="008D369A"/>
    <w:rsid w:val="008E2298"/>
    <w:rsid w:val="008E3B7D"/>
    <w:rsid w:val="009029E2"/>
    <w:rsid w:val="00913A14"/>
    <w:rsid w:val="00924530"/>
    <w:rsid w:val="0093414B"/>
    <w:rsid w:val="0094685D"/>
    <w:rsid w:val="00956888"/>
    <w:rsid w:val="009630D2"/>
    <w:rsid w:val="00976700"/>
    <w:rsid w:val="009823A9"/>
    <w:rsid w:val="0099623D"/>
    <w:rsid w:val="009977FE"/>
    <w:rsid w:val="009A347D"/>
    <w:rsid w:val="009A41A3"/>
    <w:rsid w:val="009A64E2"/>
    <w:rsid w:val="009C46DB"/>
    <w:rsid w:val="009D06D2"/>
    <w:rsid w:val="009D7895"/>
    <w:rsid w:val="009F3FCD"/>
    <w:rsid w:val="00A02B28"/>
    <w:rsid w:val="00A050B4"/>
    <w:rsid w:val="00A0667F"/>
    <w:rsid w:val="00A221A7"/>
    <w:rsid w:val="00A22EF0"/>
    <w:rsid w:val="00A3215E"/>
    <w:rsid w:val="00A332C9"/>
    <w:rsid w:val="00A4047A"/>
    <w:rsid w:val="00A45781"/>
    <w:rsid w:val="00A53195"/>
    <w:rsid w:val="00A531A5"/>
    <w:rsid w:val="00A55773"/>
    <w:rsid w:val="00A61F42"/>
    <w:rsid w:val="00A6214E"/>
    <w:rsid w:val="00A71E84"/>
    <w:rsid w:val="00A81FE6"/>
    <w:rsid w:val="00A82694"/>
    <w:rsid w:val="00A906DB"/>
    <w:rsid w:val="00A9627C"/>
    <w:rsid w:val="00AA0689"/>
    <w:rsid w:val="00AA48FC"/>
    <w:rsid w:val="00AA5552"/>
    <w:rsid w:val="00AB4530"/>
    <w:rsid w:val="00AB6E42"/>
    <w:rsid w:val="00AC5D69"/>
    <w:rsid w:val="00AC72FF"/>
    <w:rsid w:val="00AD3052"/>
    <w:rsid w:val="00AD4BAE"/>
    <w:rsid w:val="00B00A69"/>
    <w:rsid w:val="00B042C2"/>
    <w:rsid w:val="00B078AE"/>
    <w:rsid w:val="00B16055"/>
    <w:rsid w:val="00B21B04"/>
    <w:rsid w:val="00B254A6"/>
    <w:rsid w:val="00B346AA"/>
    <w:rsid w:val="00B35627"/>
    <w:rsid w:val="00B72C4C"/>
    <w:rsid w:val="00B7497A"/>
    <w:rsid w:val="00B93E58"/>
    <w:rsid w:val="00BA5CB2"/>
    <w:rsid w:val="00BC666E"/>
    <w:rsid w:val="00BD31F7"/>
    <w:rsid w:val="00BD598C"/>
    <w:rsid w:val="00BF7279"/>
    <w:rsid w:val="00C05DA3"/>
    <w:rsid w:val="00C160C8"/>
    <w:rsid w:val="00C22E37"/>
    <w:rsid w:val="00C3145B"/>
    <w:rsid w:val="00C45EDE"/>
    <w:rsid w:val="00C53322"/>
    <w:rsid w:val="00C533F6"/>
    <w:rsid w:val="00C7214A"/>
    <w:rsid w:val="00C82279"/>
    <w:rsid w:val="00C875CF"/>
    <w:rsid w:val="00C87983"/>
    <w:rsid w:val="00CA35D0"/>
    <w:rsid w:val="00CA6CB9"/>
    <w:rsid w:val="00CA6CBE"/>
    <w:rsid w:val="00CB1C4E"/>
    <w:rsid w:val="00CD1CBC"/>
    <w:rsid w:val="00CE0F08"/>
    <w:rsid w:val="00CE6567"/>
    <w:rsid w:val="00CF312B"/>
    <w:rsid w:val="00D25C68"/>
    <w:rsid w:val="00D27B42"/>
    <w:rsid w:val="00D36376"/>
    <w:rsid w:val="00D415D4"/>
    <w:rsid w:val="00D420C8"/>
    <w:rsid w:val="00D62F6D"/>
    <w:rsid w:val="00D854BF"/>
    <w:rsid w:val="00D86907"/>
    <w:rsid w:val="00DA0B5B"/>
    <w:rsid w:val="00DB68CF"/>
    <w:rsid w:val="00DB7073"/>
    <w:rsid w:val="00DC02C4"/>
    <w:rsid w:val="00DD3ADF"/>
    <w:rsid w:val="00DD62FE"/>
    <w:rsid w:val="00DE37AC"/>
    <w:rsid w:val="00DE54C8"/>
    <w:rsid w:val="00DF6FE1"/>
    <w:rsid w:val="00E13867"/>
    <w:rsid w:val="00E526B0"/>
    <w:rsid w:val="00E53218"/>
    <w:rsid w:val="00E6348F"/>
    <w:rsid w:val="00E66992"/>
    <w:rsid w:val="00E74F54"/>
    <w:rsid w:val="00E93BAF"/>
    <w:rsid w:val="00EB77B5"/>
    <w:rsid w:val="00EC00CC"/>
    <w:rsid w:val="00EC20A0"/>
    <w:rsid w:val="00ED7ABD"/>
    <w:rsid w:val="00EF4902"/>
    <w:rsid w:val="00F0093C"/>
    <w:rsid w:val="00F01D2A"/>
    <w:rsid w:val="00F16292"/>
    <w:rsid w:val="00F22A49"/>
    <w:rsid w:val="00F4635C"/>
    <w:rsid w:val="00F52A72"/>
    <w:rsid w:val="00FB449A"/>
    <w:rsid w:val="00FB52FF"/>
    <w:rsid w:val="00FB6582"/>
    <w:rsid w:val="00FC1062"/>
    <w:rsid w:val="00FC47DF"/>
    <w:rsid w:val="00FF11ED"/>
    <w:rsid w:val="00FF13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0D755"/>
  <w15:chartTrackingRefBased/>
  <w15:docId w15:val="{84393D86-DEF1-4AED-BDD6-0D8B57CA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9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7A779A"/>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7A779A"/>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A779A"/>
    <w:pPr>
      <w:tabs>
        <w:tab w:val="center" w:pos="4513"/>
        <w:tab w:val="right" w:pos="9026"/>
      </w:tabs>
    </w:pPr>
  </w:style>
  <w:style w:type="character" w:customStyle="1" w:styleId="HeaderChar">
    <w:name w:val="Header Char"/>
    <w:basedOn w:val="DefaultParagraphFont"/>
    <w:link w:val="Header"/>
    <w:uiPriority w:val="99"/>
    <w:rsid w:val="007A779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779A"/>
    <w:pPr>
      <w:tabs>
        <w:tab w:val="center" w:pos="4513"/>
        <w:tab w:val="right" w:pos="9026"/>
      </w:tabs>
    </w:pPr>
  </w:style>
  <w:style w:type="character" w:customStyle="1" w:styleId="FooterChar">
    <w:name w:val="Footer Char"/>
    <w:basedOn w:val="DefaultParagraphFont"/>
    <w:link w:val="Footer"/>
    <w:uiPriority w:val="99"/>
    <w:rsid w:val="007A779A"/>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CE0F0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F08"/>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Body">
    <w:name w:val="Body"/>
    <w:rsid w:val="00CE0F08"/>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en-GB"/>
      <w14:ligatures w14:val="none"/>
    </w:rPr>
  </w:style>
  <w:style w:type="character" w:styleId="CommentReference">
    <w:name w:val="annotation reference"/>
    <w:basedOn w:val="DefaultParagraphFont"/>
    <w:uiPriority w:val="99"/>
    <w:semiHidden/>
    <w:unhideWhenUsed/>
    <w:rsid w:val="005C7990"/>
    <w:rPr>
      <w:sz w:val="16"/>
      <w:szCs w:val="16"/>
    </w:rPr>
  </w:style>
  <w:style w:type="paragraph" w:styleId="CommentText">
    <w:name w:val="annotation text"/>
    <w:basedOn w:val="Normal"/>
    <w:link w:val="CommentTextChar"/>
    <w:uiPriority w:val="99"/>
    <w:unhideWhenUsed/>
    <w:rsid w:val="005C7990"/>
    <w:rPr>
      <w:sz w:val="20"/>
      <w:szCs w:val="20"/>
    </w:rPr>
  </w:style>
  <w:style w:type="character" w:customStyle="1" w:styleId="CommentTextChar">
    <w:name w:val="Comment Text Char"/>
    <w:basedOn w:val="DefaultParagraphFont"/>
    <w:link w:val="CommentText"/>
    <w:uiPriority w:val="99"/>
    <w:rsid w:val="005C7990"/>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C7990"/>
    <w:rPr>
      <w:b/>
      <w:bCs/>
    </w:rPr>
  </w:style>
  <w:style w:type="character" w:customStyle="1" w:styleId="CommentSubjectChar">
    <w:name w:val="Comment Subject Char"/>
    <w:basedOn w:val="CommentTextChar"/>
    <w:link w:val="CommentSubject"/>
    <w:uiPriority w:val="99"/>
    <w:semiHidden/>
    <w:rsid w:val="005C7990"/>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9A64E2"/>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6320">
      <w:bodyDiv w:val="1"/>
      <w:marLeft w:val="0"/>
      <w:marRight w:val="0"/>
      <w:marTop w:val="0"/>
      <w:marBottom w:val="0"/>
      <w:divBdr>
        <w:top w:val="none" w:sz="0" w:space="0" w:color="auto"/>
        <w:left w:val="none" w:sz="0" w:space="0" w:color="auto"/>
        <w:bottom w:val="none" w:sz="0" w:space="0" w:color="auto"/>
        <w:right w:val="none" w:sz="0" w:space="0" w:color="auto"/>
      </w:divBdr>
    </w:div>
    <w:div w:id="1088388616">
      <w:bodyDiv w:val="1"/>
      <w:marLeft w:val="0"/>
      <w:marRight w:val="0"/>
      <w:marTop w:val="0"/>
      <w:marBottom w:val="0"/>
      <w:divBdr>
        <w:top w:val="none" w:sz="0" w:space="0" w:color="auto"/>
        <w:left w:val="none" w:sz="0" w:space="0" w:color="auto"/>
        <w:bottom w:val="none" w:sz="0" w:space="0" w:color="auto"/>
        <w:right w:val="none" w:sz="0" w:space="0" w:color="auto"/>
      </w:divBdr>
    </w:div>
    <w:div w:id="20299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61F5-FA3B-41E3-9307-B5E4E33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2024-04-03T10:55:00Z</cp:lastPrinted>
  <dcterms:created xsi:type="dcterms:W3CDTF">2024-06-07T09:08:00Z</dcterms:created>
  <dcterms:modified xsi:type="dcterms:W3CDTF">2024-06-07T09:08:00Z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MSIP_Label_9e5e003a-90eb-47c9-a506-ad47e7a0b281_Enabled">
    <vt:lpwstr>true</vt:lpwstr>
  </property>
  <property fmtid="{D5CDD505-2E9C-101B-9397-08002B2CF9AE}" pid="6" name="MSIP_Label_9e5e003a-90eb-47c9-a506-ad47e7a0b281_SetDate">
    <vt:lpwstr>2024-06-07T09:08:49Z</vt:lpwstr>
  </property>
  <property fmtid="{D5CDD505-2E9C-101B-9397-08002B2CF9AE}" pid="7" name="MSIP_Label_9e5e003a-90eb-47c9-a506-ad47e7a0b281_Method">
    <vt:lpwstr>Privileged</vt:lpwstr>
  </property>
  <property fmtid="{D5CDD505-2E9C-101B-9397-08002B2CF9AE}" pid="8" name="MSIP_Label_9e5e003a-90eb-47c9-a506-ad47e7a0b281_Name">
    <vt:lpwstr>OFFICIAL</vt:lpwstr>
  </property>
  <property fmtid="{D5CDD505-2E9C-101B-9397-08002B2CF9AE}" pid="9" name="MSIP_Label_9e5e003a-90eb-47c9-a506-ad47e7a0b281_SiteId">
    <vt:lpwstr>742775df-8077-48d6-81d0-1e82a1f52cb8</vt:lpwstr>
  </property>
  <property fmtid="{D5CDD505-2E9C-101B-9397-08002B2CF9AE}" pid="10" name="MSIP_Label_9e5e003a-90eb-47c9-a506-ad47e7a0b281_ActionId">
    <vt:lpwstr>d6a9b02f-b0ff-4032-96df-cf894195dfdb</vt:lpwstr>
  </property>
  <property fmtid="{D5CDD505-2E9C-101B-9397-08002B2CF9AE}" pid="11" name="MSIP_Label_9e5e003a-90eb-47c9-a506-ad47e7a0b281_ContentBits">
    <vt:lpwstr>0</vt:lpwstr>
  </property>
</Properties>
</file>