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5F0B" w14:textId="77777777" w:rsidR="00EA5EB4" w:rsidRPr="00402AE8" w:rsidRDefault="00EA5EB4" w:rsidP="00B81B18">
      <w:pPr>
        <w:rPr>
          <w:sz w:val="2"/>
          <w:szCs w:val="2"/>
        </w:rPr>
        <w:sectPr w:rsidR="00EA5EB4" w:rsidRPr="00402AE8" w:rsidSect="00EA5EB4">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588" w:header="431" w:footer="567" w:gutter="0"/>
          <w:cols w:space="708"/>
          <w:titlePg/>
          <w:docGrid w:linePitch="360"/>
        </w:sectPr>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604F23" w:rsidRPr="00402AE8" w14:paraId="4A2FE623" w14:textId="77777777" w:rsidTr="00AB0D62">
        <w:trPr>
          <w:trHeight w:val="567"/>
        </w:trPr>
        <w:tc>
          <w:tcPr>
            <w:tcW w:w="9300" w:type="dxa"/>
            <w:gridSpan w:val="4"/>
            <w:shd w:val="clear" w:color="auto" w:fill="auto"/>
            <w:vAlign w:val="center"/>
          </w:tcPr>
          <w:p w14:paraId="630822E7" w14:textId="77777777" w:rsidR="00604F23" w:rsidRPr="00402AE8" w:rsidRDefault="00604F23" w:rsidP="00AB0D62">
            <w:pPr>
              <w:jc w:val="center"/>
            </w:pPr>
            <w:r w:rsidRPr="00402AE8">
              <w:t>ONR GUIDE</w:t>
            </w:r>
          </w:p>
        </w:tc>
      </w:tr>
      <w:tr w:rsidR="00604F23" w:rsidRPr="00402AE8" w14:paraId="57CAFA74" w14:textId="77777777" w:rsidTr="00AB0D62">
        <w:trPr>
          <w:trHeight w:val="567"/>
        </w:trPr>
        <w:tc>
          <w:tcPr>
            <w:tcW w:w="9300" w:type="dxa"/>
            <w:gridSpan w:val="4"/>
            <w:shd w:val="clear" w:color="auto" w:fill="auto"/>
            <w:vAlign w:val="center"/>
          </w:tcPr>
          <w:p w14:paraId="32502C9F" w14:textId="77777777" w:rsidR="00604F23" w:rsidRDefault="002E590A" w:rsidP="002E590A">
            <w:pPr>
              <w:jc w:val="center"/>
              <w:rPr>
                <w:b/>
              </w:rPr>
            </w:pPr>
            <w:r w:rsidRPr="00402AE8">
              <w:rPr>
                <w:b/>
              </w:rPr>
              <w:t>Interviewing Su</w:t>
            </w:r>
            <w:r w:rsidR="00B869D7" w:rsidRPr="00402AE8">
              <w:rPr>
                <w:b/>
              </w:rPr>
              <w:t>spects</w:t>
            </w:r>
            <w:r w:rsidRPr="00402AE8">
              <w:rPr>
                <w:b/>
              </w:rPr>
              <w:t xml:space="preserve"> – Guidance for ONR Inspectors</w:t>
            </w:r>
            <w:r w:rsidR="005C45AB">
              <w:rPr>
                <w:b/>
              </w:rPr>
              <w:t xml:space="preserve"> in</w:t>
            </w:r>
            <w:r w:rsidR="00B65537">
              <w:rPr>
                <w:b/>
              </w:rPr>
              <w:t xml:space="preserve"> Great Britain</w:t>
            </w:r>
          </w:p>
          <w:p w14:paraId="68D4B6DA" w14:textId="77777777" w:rsidR="006B1153" w:rsidRDefault="006B1153" w:rsidP="002E590A">
            <w:pPr>
              <w:jc w:val="center"/>
              <w:rPr>
                <w:b/>
              </w:rPr>
            </w:pPr>
          </w:p>
          <w:p w14:paraId="3FC87DAF" w14:textId="255C0508" w:rsidR="006B1153" w:rsidRPr="00FA6924" w:rsidRDefault="006B1153" w:rsidP="002E590A">
            <w:pPr>
              <w:jc w:val="center"/>
              <w:rPr>
                <w:b/>
                <w:color w:val="FF0000"/>
              </w:rPr>
            </w:pPr>
            <w:r w:rsidRPr="00FA6924">
              <w:rPr>
                <w:b/>
                <w:color w:val="FF0000"/>
              </w:rPr>
              <w:t>THIS GUIDE HAS BEEN WITHDRAWN</w:t>
            </w:r>
          </w:p>
          <w:p w14:paraId="2A9CADF9" w14:textId="21E40AEE" w:rsidR="006B1153" w:rsidRPr="00402AE8" w:rsidRDefault="006B1153" w:rsidP="002E590A">
            <w:pPr>
              <w:jc w:val="center"/>
              <w:rPr>
                <w:b/>
              </w:rPr>
            </w:pPr>
            <w:r w:rsidRPr="00FA6924">
              <w:rPr>
                <w:b/>
                <w:color w:val="FF0000"/>
              </w:rPr>
              <w:t>Email onr.operational.investigation@onr.gov.uk for support and guidance</w:t>
            </w:r>
          </w:p>
        </w:tc>
      </w:tr>
      <w:tr w:rsidR="00612DF0" w:rsidRPr="00402AE8" w14:paraId="6A2EB428" w14:textId="77777777" w:rsidTr="00AB0D62">
        <w:trPr>
          <w:trHeight w:val="454"/>
        </w:trPr>
        <w:tc>
          <w:tcPr>
            <w:tcW w:w="2938" w:type="dxa"/>
            <w:shd w:val="clear" w:color="auto" w:fill="auto"/>
            <w:vAlign w:val="center"/>
          </w:tcPr>
          <w:p w14:paraId="20F71B8B" w14:textId="77777777" w:rsidR="00612DF0" w:rsidRPr="00402AE8" w:rsidRDefault="00612DF0" w:rsidP="00604F23">
            <w:pPr>
              <w:rPr>
                <w:b/>
              </w:rPr>
            </w:pPr>
            <w:r w:rsidRPr="00402AE8">
              <w:rPr>
                <w:b/>
              </w:rPr>
              <w:t>Document Type:</w:t>
            </w:r>
          </w:p>
        </w:tc>
        <w:tc>
          <w:tcPr>
            <w:tcW w:w="6362" w:type="dxa"/>
            <w:gridSpan w:val="3"/>
            <w:shd w:val="clear" w:color="auto" w:fill="auto"/>
            <w:vAlign w:val="center"/>
          </w:tcPr>
          <w:p w14:paraId="42E87073" w14:textId="77777777" w:rsidR="00612DF0" w:rsidRPr="00402AE8" w:rsidRDefault="00C8114E" w:rsidP="00604F23">
            <w:r w:rsidRPr="00402AE8">
              <w:t>ONR</w:t>
            </w:r>
            <w:r w:rsidR="004612BF">
              <w:t xml:space="preserve"> Enforcement</w:t>
            </w:r>
            <w:r w:rsidRPr="00402AE8">
              <w:t xml:space="preserve"> Guide</w:t>
            </w:r>
          </w:p>
        </w:tc>
      </w:tr>
      <w:tr w:rsidR="00612DF0" w:rsidRPr="00402AE8" w14:paraId="3C3F8871" w14:textId="77777777" w:rsidTr="00AB0D62">
        <w:trPr>
          <w:trHeight w:val="454"/>
        </w:trPr>
        <w:tc>
          <w:tcPr>
            <w:tcW w:w="2938" w:type="dxa"/>
            <w:shd w:val="clear" w:color="auto" w:fill="auto"/>
            <w:vAlign w:val="center"/>
          </w:tcPr>
          <w:p w14:paraId="1CC24E35" w14:textId="77777777" w:rsidR="00612DF0" w:rsidRPr="00402AE8" w:rsidRDefault="00612DF0" w:rsidP="00604F23">
            <w:pPr>
              <w:rPr>
                <w:b/>
              </w:rPr>
            </w:pPr>
            <w:r w:rsidRPr="00402AE8">
              <w:rPr>
                <w:b/>
              </w:rPr>
              <w:t>Unique Document ID and Revision No:</w:t>
            </w:r>
          </w:p>
        </w:tc>
        <w:tc>
          <w:tcPr>
            <w:tcW w:w="6362" w:type="dxa"/>
            <w:gridSpan w:val="3"/>
            <w:shd w:val="clear" w:color="auto" w:fill="auto"/>
            <w:vAlign w:val="center"/>
          </w:tcPr>
          <w:p w14:paraId="653EFB67" w14:textId="7443F4E5" w:rsidR="00612DF0" w:rsidRPr="00402AE8" w:rsidRDefault="00B737A9" w:rsidP="00604F23">
            <w:r w:rsidRPr="00402AE8">
              <w:rPr>
                <w:sz w:val="20"/>
                <w:szCs w:val="20"/>
              </w:rPr>
              <w:t>ONR-ENF-GD-008</w:t>
            </w:r>
            <w:r w:rsidR="00275317">
              <w:rPr>
                <w:sz w:val="20"/>
                <w:szCs w:val="20"/>
              </w:rPr>
              <w:t xml:space="preserve"> </w:t>
            </w:r>
            <w:r w:rsidR="00AC6293">
              <w:rPr>
                <w:sz w:val="20"/>
                <w:szCs w:val="20"/>
              </w:rPr>
              <w:t>Revision</w:t>
            </w:r>
            <w:r w:rsidR="00285410">
              <w:rPr>
                <w:sz w:val="20"/>
                <w:szCs w:val="20"/>
              </w:rPr>
              <w:t xml:space="preserve"> </w:t>
            </w:r>
            <w:r w:rsidR="00E8576F">
              <w:rPr>
                <w:sz w:val="20"/>
                <w:szCs w:val="20"/>
              </w:rPr>
              <w:t>3</w:t>
            </w:r>
          </w:p>
        </w:tc>
      </w:tr>
      <w:tr w:rsidR="008E67CB" w:rsidRPr="00402AE8" w14:paraId="43D99FCA" w14:textId="77777777" w:rsidTr="00AB0D62">
        <w:trPr>
          <w:trHeight w:val="340"/>
        </w:trPr>
        <w:tc>
          <w:tcPr>
            <w:tcW w:w="2938" w:type="dxa"/>
            <w:shd w:val="clear" w:color="auto" w:fill="auto"/>
            <w:vAlign w:val="center"/>
          </w:tcPr>
          <w:p w14:paraId="6C6231B6" w14:textId="77777777" w:rsidR="008E67CB" w:rsidRPr="00402AE8" w:rsidRDefault="008E67CB" w:rsidP="00604F23">
            <w:pPr>
              <w:rPr>
                <w:b/>
              </w:rPr>
            </w:pPr>
            <w:r w:rsidRPr="00402AE8">
              <w:rPr>
                <w:b/>
              </w:rPr>
              <w:t>Date Issued:</w:t>
            </w:r>
          </w:p>
        </w:tc>
        <w:tc>
          <w:tcPr>
            <w:tcW w:w="2160" w:type="dxa"/>
            <w:shd w:val="clear" w:color="auto" w:fill="auto"/>
            <w:vAlign w:val="center"/>
          </w:tcPr>
          <w:p w14:paraId="0E1A0B15" w14:textId="77777777" w:rsidR="008E67CB" w:rsidRPr="00402AE8" w:rsidRDefault="00B65537" w:rsidP="00604F23">
            <w:r>
              <w:t>September</w:t>
            </w:r>
            <w:r w:rsidR="004612BF">
              <w:t xml:space="preserve"> 2020 </w:t>
            </w:r>
          </w:p>
        </w:tc>
        <w:tc>
          <w:tcPr>
            <w:tcW w:w="2160" w:type="dxa"/>
            <w:shd w:val="clear" w:color="auto" w:fill="auto"/>
            <w:vAlign w:val="center"/>
          </w:tcPr>
          <w:p w14:paraId="1827D0C4" w14:textId="77777777" w:rsidR="008E67CB" w:rsidRPr="00402AE8" w:rsidRDefault="008E67CB" w:rsidP="00604F23">
            <w:pPr>
              <w:rPr>
                <w:b/>
              </w:rPr>
            </w:pPr>
            <w:r w:rsidRPr="00402AE8">
              <w:rPr>
                <w:b/>
              </w:rPr>
              <w:t>Review Date:</w:t>
            </w:r>
          </w:p>
        </w:tc>
        <w:tc>
          <w:tcPr>
            <w:tcW w:w="2042" w:type="dxa"/>
            <w:shd w:val="clear" w:color="auto" w:fill="auto"/>
            <w:vAlign w:val="center"/>
          </w:tcPr>
          <w:p w14:paraId="4A80A227" w14:textId="77777777" w:rsidR="008E67CB" w:rsidRPr="00402AE8" w:rsidRDefault="00B65537" w:rsidP="00335B8E">
            <w:r>
              <w:t>September</w:t>
            </w:r>
            <w:r w:rsidR="004612BF">
              <w:t xml:space="preserve"> </w:t>
            </w:r>
            <w:r w:rsidR="00335B8E">
              <w:t xml:space="preserve">2023 </w:t>
            </w:r>
          </w:p>
        </w:tc>
      </w:tr>
      <w:tr w:rsidR="008E67CB" w:rsidRPr="00402AE8" w14:paraId="136283C0" w14:textId="77777777" w:rsidTr="00AB0D62">
        <w:trPr>
          <w:trHeight w:val="340"/>
        </w:trPr>
        <w:tc>
          <w:tcPr>
            <w:tcW w:w="2938" w:type="dxa"/>
            <w:shd w:val="clear" w:color="auto" w:fill="auto"/>
            <w:vAlign w:val="center"/>
          </w:tcPr>
          <w:p w14:paraId="0ED3D842" w14:textId="77777777" w:rsidR="008E67CB" w:rsidRPr="00402AE8" w:rsidRDefault="008E67CB" w:rsidP="00604F23">
            <w:pPr>
              <w:rPr>
                <w:b/>
              </w:rPr>
            </w:pPr>
            <w:r w:rsidRPr="00402AE8">
              <w:rPr>
                <w:b/>
              </w:rPr>
              <w:t>Prepared by:</w:t>
            </w:r>
          </w:p>
        </w:tc>
        <w:tc>
          <w:tcPr>
            <w:tcW w:w="2160" w:type="dxa"/>
            <w:shd w:val="clear" w:color="auto" w:fill="auto"/>
            <w:vAlign w:val="center"/>
          </w:tcPr>
          <w:p w14:paraId="701C2794" w14:textId="7FC049A3" w:rsidR="008E67CB" w:rsidRPr="00402AE8" w:rsidRDefault="008E67CB" w:rsidP="00604F23"/>
        </w:tc>
        <w:tc>
          <w:tcPr>
            <w:tcW w:w="4202" w:type="dxa"/>
            <w:gridSpan w:val="2"/>
            <w:shd w:val="clear" w:color="auto" w:fill="auto"/>
            <w:vAlign w:val="center"/>
          </w:tcPr>
          <w:p w14:paraId="03273D2C" w14:textId="77777777" w:rsidR="008E67CB" w:rsidRPr="00402AE8" w:rsidRDefault="00CE1FBB" w:rsidP="00604F23">
            <w:r>
              <w:t>Principal Inspector</w:t>
            </w:r>
          </w:p>
        </w:tc>
      </w:tr>
      <w:tr w:rsidR="008E67CB" w:rsidRPr="00402AE8" w14:paraId="70ED78BD" w14:textId="77777777" w:rsidTr="00AB0D62">
        <w:trPr>
          <w:trHeight w:val="340"/>
        </w:trPr>
        <w:tc>
          <w:tcPr>
            <w:tcW w:w="2938" w:type="dxa"/>
            <w:shd w:val="clear" w:color="auto" w:fill="auto"/>
            <w:vAlign w:val="center"/>
          </w:tcPr>
          <w:p w14:paraId="45650A29" w14:textId="77777777" w:rsidR="008E67CB" w:rsidRPr="00402AE8" w:rsidRDefault="008E67CB" w:rsidP="00604F23">
            <w:pPr>
              <w:rPr>
                <w:b/>
              </w:rPr>
            </w:pPr>
            <w:r w:rsidRPr="00402AE8">
              <w:rPr>
                <w:b/>
              </w:rPr>
              <w:t>Approved by:</w:t>
            </w:r>
          </w:p>
        </w:tc>
        <w:tc>
          <w:tcPr>
            <w:tcW w:w="2160" w:type="dxa"/>
            <w:shd w:val="clear" w:color="auto" w:fill="auto"/>
            <w:vAlign w:val="center"/>
          </w:tcPr>
          <w:p w14:paraId="50439438" w14:textId="4C81FA5E" w:rsidR="008E67CB" w:rsidRPr="00402AE8" w:rsidRDefault="008E67CB" w:rsidP="00604F23"/>
        </w:tc>
        <w:tc>
          <w:tcPr>
            <w:tcW w:w="4202" w:type="dxa"/>
            <w:gridSpan w:val="2"/>
            <w:shd w:val="clear" w:color="auto" w:fill="auto"/>
            <w:vAlign w:val="center"/>
          </w:tcPr>
          <w:p w14:paraId="4B9A1391" w14:textId="77777777" w:rsidR="008E67CB" w:rsidRPr="00402AE8" w:rsidRDefault="007830CF" w:rsidP="00604F23">
            <w:r w:rsidRPr="007830CF">
              <w:t>Professional Lead – Operational Inspection</w:t>
            </w:r>
          </w:p>
        </w:tc>
      </w:tr>
      <w:tr w:rsidR="008E67CB" w:rsidRPr="00402AE8" w14:paraId="17170D8D" w14:textId="77777777" w:rsidTr="00AB0D62">
        <w:trPr>
          <w:trHeight w:val="288"/>
        </w:trPr>
        <w:tc>
          <w:tcPr>
            <w:tcW w:w="2938" w:type="dxa"/>
            <w:shd w:val="clear" w:color="auto" w:fill="auto"/>
            <w:vAlign w:val="center"/>
          </w:tcPr>
          <w:p w14:paraId="613DED69" w14:textId="77777777" w:rsidR="008E67CB" w:rsidRPr="00402AE8" w:rsidRDefault="008E67CB" w:rsidP="00604F23">
            <w:pPr>
              <w:rPr>
                <w:b/>
              </w:rPr>
            </w:pPr>
            <w:r w:rsidRPr="00402AE8">
              <w:rPr>
                <w:b/>
              </w:rPr>
              <w:t>Record Reference:</w:t>
            </w:r>
          </w:p>
        </w:tc>
        <w:tc>
          <w:tcPr>
            <w:tcW w:w="6362" w:type="dxa"/>
            <w:gridSpan w:val="3"/>
            <w:shd w:val="clear" w:color="auto" w:fill="auto"/>
            <w:vAlign w:val="center"/>
          </w:tcPr>
          <w:p w14:paraId="1FC9ADA3" w14:textId="4FBA3396" w:rsidR="008E67CB" w:rsidRPr="00402AE8" w:rsidRDefault="005C45AB" w:rsidP="00604F23">
            <w:r>
              <w:t>CM9</w:t>
            </w:r>
            <w:r w:rsidR="008E67CB" w:rsidRPr="00402AE8">
              <w:t xml:space="preserve"> Folder </w:t>
            </w:r>
            <w:r w:rsidR="005119D4">
              <w:t>1.1.3.9</w:t>
            </w:r>
            <w:r w:rsidR="00AC6293">
              <w:t>76.</w:t>
            </w:r>
            <w:r w:rsidR="009109E9">
              <w:t xml:space="preserve"> (2020/270380)</w:t>
            </w:r>
          </w:p>
        </w:tc>
      </w:tr>
      <w:tr w:rsidR="008E67CB" w:rsidRPr="00402AE8" w14:paraId="3BAB4FFC" w14:textId="77777777" w:rsidTr="00AB0D62">
        <w:trPr>
          <w:trHeight w:val="288"/>
        </w:trPr>
        <w:tc>
          <w:tcPr>
            <w:tcW w:w="2938" w:type="dxa"/>
            <w:shd w:val="clear" w:color="auto" w:fill="auto"/>
            <w:vAlign w:val="center"/>
          </w:tcPr>
          <w:p w14:paraId="6A6F8AB3" w14:textId="77777777" w:rsidR="008E67CB" w:rsidRPr="00402AE8" w:rsidRDefault="008E67CB" w:rsidP="00604F23">
            <w:pPr>
              <w:rPr>
                <w:b/>
              </w:rPr>
            </w:pPr>
            <w:r w:rsidRPr="00402AE8">
              <w:rPr>
                <w:b/>
              </w:rPr>
              <w:t>Revision commentary:</w:t>
            </w:r>
          </w:p>
        </w:tc>
        <w:tc>
          <w:tcPr>
            <w:tcW w:w="6362" w:type="dxa"/>
            <w:gridSpan w:val="3"/>
            <w:shd w:val="clear" w:color="auto" w:fill="auto"/>
            <w:vAlign w:val="center"/>
          </w:tcPr>
          <w:p w14:paraId="5428E2DF" w14:textId="77777777" w:rsidR="008E67CB" w:rsidRDefault="00C82F44" w:rsidP="00604F23">
            <w:r>
              <w:t xml:space="preserve">Version 1: </w:t>
            </w:r>
            <w:r w:rsidR="00275317">
              <w:t>Minor update to reflect purchase by ONR of NEAL recorders.</w:t>
            </w:r>
          </w:p>
          <w:p w14:paraId="56A4AA15" w14:textId="77777777" w:rsidR="00C82F44" w:rsidRDefault="00C82F44" w:rsidP="00604F23">
            <w:r>
              <w:t>Version 2: Update and retitle to reflect guidance on interviewing suspects in Scotland.</w:t>
            </w:r>
          </w:p>
          <w:p w14:paraId="3F9469CA" w14:textId="7C889DAF" w:rsidR="00E8576F" w:rsidRPr="00402AE8" w:rsidRDefault="00E8576F" w:rsidP="00604F23">
            <w:r>
              <w:t>Version 3: Instruction to contact a PACE Trained ICT Inspector before using PACE legislation</w:t>
            </w:r>
          </w:p>
        </w:tc>
      </w:tr>
    </w:tbl>
    <w:p w14:paraId="36285C13" w14:textId="77777777" w:rsidR="00D55197" w:rsidRPr="00402AE8" w:rsidRDefault="00D55197" w:rsidP="008E67CB">
      <w:pPr>
        <w:rPr>
          <w:sz w:val="16"/>
          <w:szCs w:val="16"/>
        </w:rPr>
      </w:pPr>
    </w:p>
    <w:p w14:paraId="45612376" w14:textId="77777777" w:rsidR="00C8114E" w:rsidRPr="00402AE8" w:rsidRDefault="00C8114E" w:rsidP="008E67CB">
      <w:pPr>
        <w:rPr>
          <w:sz w:val="16"/>
          <w:szCs w:val="16"/>
        </w:rPr>
      </w:pPr>
    </w:p>
    <w:p w14:paraId="3A9A488C" w14:textId="77777777" w:rsidR="008E67CB" w:rsidRPr="00402AE8" w:rsidRDefault="008E67CB" w:rsidP="008E67CB">
      <w:pPr>
        <w:jc w:val="center"/>
        <w:rPr>
          <w:b/>
        </w:rPr>
      </w:pPr>
      <w:r w:rsidRPr="00402AE8">
        <w:rPr>
          <w:b/>
        </w:rPr>
        <w:t>TABLE OF CONTENTS</w:t>
      </w:r>
    </w:p>
    <w:p w14:paraId="4BDE052A" w14:textId="77777777" w:rsidR="008E67CB" w:rsidRPr="00402AE8" w:rsidRDefault="008E67CB" w:rsidP="008E67CB"/>
    <w:p w14:paraId="1F790216" w14:textId="5239937C" w:rsidR="00B65537" w:rsidRDefault="004750A2">
      <w:pPr>
        <w:pStyle w:val="TOC1"/>
        <w:rPr>
          <w:rFonts w:asciiTheme="minorHAnsi" w:eastAsiaTheme="minorEastAsia" w:hAnsiTheme="minorHAnsi" w:cstheme="minorBidi"/>
          <w:caps w:val="0"/>
          <w:noProof/>
          <w:szCs w:val="22"/>
          <w:lang w:eastAsia="en-GB"/>
        </w:rPr>
      </w:pPr>
      <w:r w:rsidRPr="00402AE8">
        <w:fldChar w:fldCharType="begin"/>
      </w:r>
      <w:r w:rsidRPr="00402AE8">
        <w:instrText xml:space="preserve"> TOC \h \z \t "TS Heading Numbered 1,1" </w:instrText>
      </w:r>
      <w:r w:rsidRPr="00402AE8">
        <w:fldChar w:fldCharType="separate"/>
      </w:r>
      <w:hyperlink w:anchor="_Toc50653630" w:history="1">
        <w:r w:rsidR="009E2495">
          <w:rPr>
            <w:rStyle w:val="Hyperlink"/>
            <w:noProof/>
          </w:rPr>
          <w:t>1.   in</w:t>
        </w:r>
        <w:r w:rsidR="00B65537" w:rsidRPr="005734A3">
          <w:rPr>
            <w:rStyle w:val="Hyperlink"/>
            <w:noProof/>
          </w:rPr>
          <w:t>TRODUCTION</w:t>
        </w:r>
        <w:r w:rsidR="00B65537">
          <w:rPr>
            <w:noProof/>
            <w:webHidden/>
          </w:rPr>
          <w:tab/>
        </w:r>
        <w:r w:rsidR="00570205">
          <w:rPr>
            <w:noProof/>
            <w:webHidden/>
          </w:rPr>
          <w:t>2</w:t>
        </w:r>
      </w:hyperlink>
    </w:p>
    <w:p w14:paraId="0051DA11" w14:textId="6214E8B1" w:rsidR="00B65537" w:rsidRDefault="00EF325D">
      <w:pPr>
        <w:pStyle w:val="TOC1"/>
        <w:rPr>
          <w:rFonts w:asciiTheme="minorHAnsi" w:eastAsiaTheme="minorEastAsia" w:hAnsiTheme="minorHAnsi" w:cstheme="minorBidi"/>
          <w:caps w:val="0"/>
          <w:noProof/>
          <w:szCs w:val="22"/>
          <w:lang w:eastAsia="en-GB"/>
        </w:rPr>
      </w:pPr>
      <w:hyperlink w:anchor="_Toc50653631" w:history="1">
        <w:r w:rsidR="00B65537" w:rsidRPr="005734A3">
          <w:rPr>
            <w:rStyle w:val="Hyperlink"/>
            <w:noProof/>
          </w:rPr>
          <w:t>2.</w:t>
        </w:r>
        <w:r w:rsidR="00B65537">
          <w:rPr>
            <w:rFonts w:asciiTheme="minorHAnsi" w:eastAsiaTheme="minorEastAsia" w:hAnsiTheme="minorHAnsi" w:cstheme="minorBidi"/>
            <w:caps w:val="0"/>
            <w:noProof/>
            <w:szCs w:val="22"/>
            <w:lang w:eastAsia="en-GB"/>
          </w:rPr>
          <w:tab/>
        </w:r>
        <w:r w:rsidR="00B65537" w:rsidRPr="005734A3">
          <w:rPr>
            <w:rStyle w:val="Hyperlink"/>
            <w:noProof/>
          </w:rPr>
          <w:t>PURPOSE AND SCOPE</w:t>
        </w:r>
        <w:r w:rsidR="00B65537">
          <w:rPr>
            <w:noProof/>
            <w:webHidden/>
          </w:rPr>
          <w:tab/>
        </w:r>
        <w:r w:rsidR="00570205">
          <w:rPr>
            <w:noProof/>
            <w:webHidden/>
          </w:rPr>
          <w:t>2</w:t>
        </w:r>
      </w:hyperlink>
    </w:p>
    <w:p w14:paraId="5F276A02" w14:textId="5A2160F2" w:rsidR="00B65537" w:rsidRDefault="00EF325D">
      <w:pPr>
        <w:pStyle w:val="TOC1"/>
        <w:rPr>
          <w:rFonts w:asciiTheme="minorHAnsi" w:eastAsiaTheme="minorEastAsia" w:hAnsiTheme="minorHAnsi" w:cstheme="minorBidi"/>
          <w:caps w:val="0"/>
          <w:noProof/>
          <w:szCs w:val="22"/>
          <w:lang w:eastAsia="en-GB"/>
        </w:rPr>
      </w:pPr>
      <w:hyperlink w:anchor="_Toc50653632" w:history="1">
        <w:r w:rsidR="00B65537" w:rsidRPr="005734A3">
          <w:rPr>
            <w:rStyle w:val="Hyperlink"/>
            <w:noProof/>
          </w:rPr>
          <w:t>3.</w:t>
        </w:r>
        <w:r w:rsidR="00B65537">
          <w:rPr>
            <w:rFonts w:asciiTheme="minorHAnsi" w:eastAsiaTheme="minorEastAsia" w:hAnsiTheme="minorHAnsi" w:cstheme="minorBidi"/>
            <w:caps w:val="0"/>
            <w:noProof/>
            <w:szCs w:val="22"/>
            <w:lang w:eastAsia="en-GB"/>
          </w:rPr>
          <w:tab/>
        </w:r>
        <w:r w:rsidR="00B65537" w:rsidRPr="005734A3">
          <w:rPr>
            <w:rStyle w:val="Hyperlink"/>
            <w:noProof/>
          </w:rPr>
          <w:t>whO is a witness and whO is a suspect</w:t>
        </w:r>
        <w:r w:rsidR="00B65537">
          <w:rPr>
            <w:noProof/>
            <w:webHidden/>
          </w:rPr>
          <w:tab/>
        </w:r>
        <w:r w:rsidR="00570205">
          <w:rPr>
            <w:noProof/>
            <w:webHidden/>
          </w:rPr>
          <w:t>2</w:t>
        </w:r>
      </w:hyperlink>
    </w:p>
    <w:p w14:paraId="061AB289" w14:textId="531250DB" w:rsidR="00B65537" w:rsidRDefault="00EF325D">
      <w:pPr>
        <w:pStyle w:val="TOC1"/>
        <w:rPr>
          <w:rFonts w:asciiTheme="minorHAnsi" w:eastAsiaTheme="minorEastAsia" w:hAnsiTheme="minorHAnsi" w:cstheme="minorBidi"/>
          <w:caps w:val="0"/>
          <w:noProof/>
          <w:szCs w:val="22"/>
          <w:lang w:eastAsia="en-GB"/>
        </w:rPr>
      </w:pPr>
      <w:hyperlink w:anchor="_Toc50653633" w:history="1">
        <w:r w:rsidR="00B65537" w:rsidRPr="005734A3">
          <w:rPr>
            <w:rStyle w:val="Hyperlink"/>
            <w:noProof/>
          </w:rPr>
          <w:t>4.</w:t>
        </w:r>
        <w:r w:rsidR="00B65537">
          <w:rPr>
            <w:rFonts w:asciiTheme="minorHAnsi" w:eastAsiaTheme="minorEastAsia" w:hAnsiTheme="minorHAnsi" w:cstheme="minorBidi"/>
            <w:caps w:val="0"/>
            <w:noProof/>
            <w:szCs w:val="22"/>
            <w:lang w:eastAsia="en-GB"/>
          </w:rPr>
          <w:tab/>
        </w:r>
        <w:r w:rsidR="00B65537" w:rsidRPr="005734A3">
          <w:rPr>
            <w:rStyle w:val="Hyperlink"/>
            <w:noProof/>
          </w:rPr>
          <w:t>whether to interview a suspect</w:t>
        </w:r>
        <w:r w:rsidR="00B65537">
          <w:rPr>
            <w:noProof/>
            <w:webHidden/>
          </w:rPr>
          <w:tab/>
        </w:r>
        <w:r w:rsidR="00570205">
          <w:rPr>
            <w:noProof/>
            <w:webHidden/>
          </w:rPr>
          <w:t>3</w:t>
        </w:r>
      </w:hyperlink>
    </w:p>
    <w:p w14:paraId="493FF189" w14:textId="31A29CED" w:rsidR="00B65537" w:rsidRDefault="00EF325D">
      <w:pPr>
        <w:pStyle w:val="TOC1"/>
        <w:rPr>
          <w:rFonts w:asciiTheme="minorHAnsi" w:eastAsiaTheme="minorEastAsia" w:hAnsiTheme="minorHAnsi" w:cstheme="minorBidi"/>
          <w:caps w:val="0"/>
          <w:noProof/>
          <w:szCs w:val="22"/>
          <w:lang w:eastAsia="en-GB"/>
        </w:rPr>
      </w:pPr>
      <w:hyperlink w:anchor="_Toc50653634" w:history="1">
        <w:r w:rsidR="00B65537" w:rsidRPr="005734A3">
          <w:rPr>
            <w:rStyle w:val="Hyperlink"/>
            <w:noProof/>
          </w:rPr>
          <w:t>5.</w:t>
        </w:r>
        <w:r w:rsidR="00B65537">
          <w:rPr>
            <w:rFonts w:asciiTheme="minorHAnsi" w:eastAsiaTheme="minorEastAsia" w:hAnsiTheme="minorHAnsi" w:cstheme="minorBidi"/>
            <w:caps w:val="0"/>
            <w:noProof/>
            <w:szCs w:val="22"/>
            <w:lang w:eastAsia="en-GB"/>
          </w:rPr>
          <w:tab/>
        </w:r>
        <w:r w:rsidR="00B65537" w:rsidRPr="005734A3">
          <w:rPr>
            <w:rStyle w:val="Hyperlink"/>
            <w:noProof/>
          </w:rPr>
          <w:t>Legislation relevant to Great Britain</w:t>
        </w:r>
        <w:r w:rsidR="00B65537">
          <w:rPr>
            <w:noProof/>
            <w:webHidden/>
          </w:rPr>
          <w:tab/>
        </w:r>
        <w:r w:rsidR="00570205">
          <w:rPr>
            <w:noProof/>
            <w:webHidden/>
          </w:rPr>
          <w:t>4</w:t>
        </w:r>
      </w:hyperlink>
    </w:p>
    <w:p w14:paraId="3521DE5A" w14:textId="0FB1A42C" w:rsidR="00B65537" w:rsidRDefault="00EF325D">
      <w:pPr>
        <w:pStyle w:val="TOC1"/>
        <w:rPr>
          <w:rFonts w:asciiTheme="minorHAnsi" w:eastAsiaTheme="minorEastAsia" w:hAnsiTheme="minorHAnsi" w:cstheme="minorBidi"/>
          <w:caps w:val="0"/>
          <w:noProof/>
          <w:szCs w:val="22"/>
          <w:lang w:eastAsia="en-GB"/>
        </w:rPr>
      </w:pPr>
      <w:hyperlink w:anchor="_Toc50653635" w:history="1">
        <w:r w:rsidR="00B65537" w:rsidRPr="005734A3">
          <w:rPr>
            <w:rStyle w:val="Hyperlink"/>
            <w:noProof/>
          </w:rPr>
          <w:t>6.</w:t>
        </w:r>
        <w:r w:rsidR="00B65537">
          <w:rPr>
            <w:rFonts w:asciiTheme="minorHAnsi" w:eastAsiaTheme="minorEastAsia" w:hAnsiTheme="minorHAnsi" w:cstheme="minorBidi"/>
            <w:caps w:val="0"/>
            <w:noProof/>
            <w:szCs w:val="22"/>
            <w:lang w:eastAsia="en-GB"/>
          </w:rPr>
          <w:tab/>
        </w:r>
        <w:r w:rsidR="00B65537" w:rsidRPr="005734A3">
          <w:rPr>
            <w:rStyle w:val="Hyperlink"/>
            <w:noProof/>
          </w:rPr>
          <w:t>the Key legislation and guidance relevant in england and wales</w:t>
        </w:r>
        <w:r w:rsidR="00B65537">
          <w:rPr>
            <w:noProof/>
            <w:webHidden/>
          </w:rPr>
          <w:tab/>
        </w:r>
        <w:r w:rsidR="00570205">
          <w:rPr>
            <w:noProof/>
            <w:webHidden/>
          </w:rPr>
          <w:t>4</w:t>
        </w:r>
      </w:hyperlink>
    </w:p>
    <w:p w14:paraId="6F5BE468" w14:textId="22662854" w:rsidR="00B65537" w:rsidRDefault="00EF325D">
      <w:pPr>
        <w:pStyle w:val="TOC1"/>
        <w:rPr>
          <w:rFonts w:asciiTheme="minorHAnsi" w:eastAsiaTheme="minorEastAsia" w:hAnsiTheme="minorHAnsi" w:cstheme="minorBidi"/>
          <w:caps w:val="0"/>
          <w:noProof/>
          <w:szCs w:val="22"/>
          <w:lang w:eastAsia="en-GB"/>
        </w:rPr>
      </w:pPr>
      <w:hyperlink w:anchor="_Toc50653636" w:history="1">
        <w:r w:rsidR="00B65537" w:rsidRPr="005734A3">
          <w:rPr>
            <w:rStyle w:val="Hyperlink"/>
            <w:noProof/>
          </w:rPr>
          <w:t>7.</w:t>
        </w:r>
        <w:r w:rsidR="00B65537">
          <w:rPr>
            <w:rFonts w:asciiTheme="minorHAnsi" w:eastAsiaTheme="minorEastAsia" w:hAnsiTheme="minorHAnsi" w:cstheme="minorBidi"/>
            <w:caps w:val="0"/>
            <w:noProof/>
            <w:szCs w:val="22"/>
            <w:lang w:eastAsia="en-GB"/>
          </w:rPr>
          <w:tab/>
        </w:r>
        <w:r w:rsidR="00B65537" w:rsidRPr="005734A3">
          <w:rPr>
            <w:rStyle w:val="Hyperlink"/>
            <w:noProof/>
          </w:rPr>
          <w:t>relevant parts of  code c</w:t>
        </w:r>
        <w:r w:rsidR="00B65537">
          <w:rPr>
            <w:noProof/>
            <w:webHidden/>
          </w:rPr>
          <w:tab/>
        </w:r>
        <w:r w:rsidR="00570205">
          <w:rPr>
            <w:noProof/>
            <w:webHidden/>
          </w:rPr>
          <w:t>5</w:t>
        </w:r>
      </w:hyperlink>
    </w:p>
    <w:p w14:paraId="33564F16" w14:textId="7C073807" w:rsidR="00B65537" w:rsidRDefault="00EF325D">
      <w:pPr>
        <w:pStyle w:val="TOC1"/>
        <w:rPr>
          <w:rFonts w:asciiTheme="minorHAnsi" w:eastAsiaTheme="minorEastAsia" w:hAnsiTheme="minorHAnsi" w:cstheme="minorBidi"/>
          <w:caps w:val="0"/>
          <w:noProof/>
          <w:szCs w:val="22"/>
          <w:lang w:eastAsia="en-GB"/>
        </w:rPr>
      </w:pPr>
      <w:hyperlink w:anchor="_Toc50653637" w:history="1">
        <w:r w:rsidR="00B65537" w:rsidRPr="005734A3">
          <w:rPr>
            <w:rStyle w:val="Hyperlink"/>
            <w:noProof/>
          </w:rPr>
          <w:t>8.</w:t>
        </w:r>
        <w:r w:rsidR="00B65537">
          <w:rPr>
            <w:rFonts w:asciiTheme="minorHAnsi" w:eastAsiaTheme="minorEastAsia" w:hAnsiTheme="minorHAnsi" w:cstheme="minorBidi"/>
            <w:caps w:val="0"/>
            <w:noProof/>
            <w:szCs w:val="22"/>
            <w:lang w:eastAsia="en-GB"/>
          </w:rPr>
          <w:tab/>
        </w:r>
        <w:r w:rsidR="00B65537" w:rsidRPr="005734A3">
          <w:rPr>
            <w:rStyle w:val="Hyperlink"/>
            <w:noProof/>
          </w:rPr>
          <w:t>relevant parts of PACE code e</w:t>
        </w:r>
        <w:r w:rsidR="00B65537">
          <w:rPr>
            <w:noProof/>
            <w:webHidden/>
          </w:rPr>
          <w:tab/>
        </w:r>
        <w:r w:rsidR="00FF5C26">
          <w:rPr>
            <w:noProof/>
            <w:webHidden/>
          </w:rPr>
          <w:t>..</w:t>
        </w:r>
        <w:r w:rsidR="00B65537">
          <w:rPr>
            <w:noProof/>
            <w:webHidden/>
          </w:rPr>
          <w:fldChar w:fldCharType="begin"/>
        </w:r>
        <w:r w:rsidR="00B65537">
          <w:rPr>
            <w:noProof/>
            <w:webHidden/>
          </w:rPr>
          <w:instrText xml:space="preserve"> PAGEREF _Toc50653637 \h </w:instrText>
        </w:r>
        <w:r w:rsidR="00B65537">
          <w:rPr>
            <w:noProof/>
            <w:webHidden/>
          </w:rPr>
        </w:r>
        <w:r w:rsidR="00B65537">
          <w:rPr>
            <w:noProof/>
            <w:webHidden/>
          </w:rPr>
          <w:fldChar w:fldCharType="separate"/>
        </w:r>
        <w:r w:rsidR="00FF5C26">
          <w:rPr>
            <w:noProof/>
            <w:webHidden/>
          </w:rPr>
          <w:t>9</w:t>
        </w:r>
        <w:r w:rsidR="00B65537">
          <w:rPr>
            <w:noProof/>
            <w:webHidden/>
          </w:rPr>
          <w:fldChar w:fldCharType="end"/>
        </w:r>
      </w:hyperlink>
    </w:p>
    <w:p w14:paraId="1124C8A6" w14:textId="7F741CF4" w:rsidR="00B65537" w:rsidRDefault="00EF325D">
      <w:pPr>
        <w:pStyle w:val="TOC1"/>
        <w:rPr>
          <w:rFonts w:asciiTheme="minorHAnsi" w:eastAsiaTheme="minorEastAsia" w:hAnsiTheme="minorHAnsi" w:cstheme="minorBidi"/>
          <w:caps w:val="0"/>
          <w:noProof/>
          <w:szCs w:val="22"/>
          <w:lang w:eastAsia="en-GB"/>
        </w:rPr>
      </w:pPr>
      <w:hyperlink w:anchor="_Toc50653638" w:history="1">
        <w:r w:rsidR="00B65537" w:rsidRPr="005734A3">
          <w:rPr>
            <w:rStyle w:val="Hyperlink"/>
            <w:noProof/>
          </w:rPr>
          <w:t>9.</w:t>
        </w:r>
        <w:r w:rsidR="00B65537">
          <w:rPr>
            <w:rFonts w:asciiTheme="minorHAnsi" w:eastAsiaTheme="minorEastAsia" w:hAnsiTheme="minorHAnsi" w:cstheme="minorBidi"/>
            <w:caps w:val="0"/>
            <w:noProof/>
            <w:szCs w:val="22"/>
            <w:lang w:eastAsia="en-GB"/>
          </w:rPr>
          <w:tab/>
        </w:r>
        <w:r w:rsidR="00B65537" w:rsidRPr="005734A3">
          <w:rPr>
            <w:rStyle w:val="Hyperlink"/>
            <w:noProof/>
          </w:rPr>
          <w:t>Written records of interviews</w:t>
        </w:r>
        <w:r w:rsidR="00B65537">
          <w:rPr>
            <w:noProof/>
            <w:webHidden/>
          </w:rPr>
          <w:tab/>
        </w:r>
        <w:r w:rsidR="00B65537">
          <w:rPr>
            <w:noProof/>
            <w:webHidden/>
          </w:rPr>
          <w:fldChar w:fldCharType="begin"/>
        </w:r>
        <w:r w:rsidR="00B65537">
          <w:rPr>
            <w:noProof/>
            <w:webHidden/>
          </w:rPr>
          <w:instrText xml:space="preserve"> PAGEREF _Toc50653638 \h </w:instrText>
        </w:r>
        <w:r w:rsidR="00B65537">
          <w:rPr>
            <w:noProof/>
            <w:webHidden/>
          </w:rPr>
        </w:r>
        <w:r w:rsidR="00B65537">
          <w:rPr>
            <w:noProof/>
            <w:webHidden/>
          </w:rPr>
          <w:fldChar w:fldCharType="separate"/>
        </w:r>
        <w:r w:rsidR="005119D4">
          <w:rPr>
            <w:noProof/>
            <w:webHidden/>
          </w:rPr>
          <w:t>1</w:t>
        </w:r>
        <w:r w:rsidR="00FF5C26">
          <w:rPr>
            <w:noProof/>
            <w:webHidden/>
          </w:rPr>
          <w:t>0</w:t>
        </w:r>
        <w:r w:rsidR="00B65537">
          <w:rPr>
            <w:noProof/>
            <w:webHidden/>
          </w:rPr>
          <w:fldChar w:fldCharType="end"/>
        </w:r>
      </w:hyperlink>
    </w:p>
    <w:p w14:paraId="4B3250FC" w14:textId="08614541" w:rsidR="00B65537" w:rsidRDefault="00EF325D">
      <w:pPr>
        <w:pStyle w:val="TOC1"/>
        <w:rPr>
          <w:rFonts w:asciiTheme="minorHAnsi" w:eastAsiaTheme="minorEastAsia" w:hAnsiTheme="minorHAnsi" w:cstheme="minorBidi"/>
          <w:caps w:val="0"/>
          <w:noProof/>
          <w:szCs w:val="22"/>
          <w:lang w:eastAsia="en-GB"/>
        </w:rPr>
      </w:pPr>
      <w:hyperlink w:anchor="_Toc50653639" w:history="1">
        <w:r w:rsidR="00B65537" w:rsidRPr="005734A3">
          <w:rPr>
            <w:rStyle w:val="Hyperlink"/>
            <w:noProof/>
          </w:rPr>
          <w:t>10.</w:t>
        </w:r>
        <w:r w:rsidR="00B65537">
          <w:rPr>
            <w:rFonts w:asciiTheme="minorHAnsi" w:eastAsiaTheme="minorEastAsia" w:hAnsiTheme="minorHAnsi" w:cstheme="minorBidi"/>
            <w:caps w:val="0"/>
            <w:noProof/>
            <w:szCs w:val="22"/>
            <w:lang w:eastAsia="en-GB"/>
          </w:rPr>
          <w:tab/>
        </w:r>
        <w:r w:rsidR="00B65537" w:rsidRPr="005734A3">
          <w:rPr>
            <w:rStyle w:val="Hyperlink"/>
            <w:noProof/>
          </w:rPr>
          <w:t>prepared statements</w:t>
        </w:r>
        <w:r w:rsidR="00B65537">
          <w:rPr>
            <w:noProof/>
            <w:webHidden/>
          </w:rPr>
          <w:tab/>
        </w:r>
        <w:r w:rsidR="00B65537">
          <w:rPr>
            <w:noProof/>
            <w:webHidden/>
          </w:rPr>
          <w:fldChar w:fldCharType="begin"/>
        </w:r>
        <w:r w:rsidR="00B65537">
          <w:rPr>
            <w:noProof/>
            <w:webHidden/>
          </w:rPr>
          <w:instrText xml:space="preserve"> PAGEREF _Toc50653639 \h </w:instrText>
        </w:r>
        <w:r w:rsidR="00B65537">
          <w:rPr>
            <w:noProof/>
            <w:webHidden/>
          </w:rPr>
        </w:r>
        <w:r w:rsidR="00B65537">
          <w:rPr>
            <w:noProof/>
            <w:webHidden/>
          </w:rPr>
          <w:fldChar w:fldCharType="separate"/>
        </w:r>
        <w:r w:rsidR="005119D4">
          <w:rPr>
            <w:noProof/>
            <w:webHidden/>
          </w:rPr>
          <w:t>1</w:t>
        </w:r>
        <w:r w:rsidR="00FF5C26">
          <w:rPr>
            <w:noProof/>
            <w:webHidden/>
          </w:rPr>
          <w:t>1</w:t>
        </w:r>
        <w:r w:rsidR="00B65537">
          <w:rPr>
            <w:noProof/>
            <w:webHidden/>
          </w:rPr>
          <w:fldChar w:fldCharType="end"/>
        </w:r>
      </w:hyperlink>
    </w:p>
    <w:p w14:paraId="6459B4BA" w14:textId="3A1762A2" w:rsidR="00B65537" w:rsidRDefault="00EF325D">
      <w:pPr>
        <w:pStyle w:val="TOC1"/>
        <w:rPr>
          <w:rFonts w:asciiTheme="minorHAnsi" w:eastAsiaTheme="minorEastAsia" w:hAnsiTheme="minorHAnsi" w:cstheme="minorBidi"/>
          <w:caps w:val="0"/>
          <w:noProof/>
          <w:szCs w:val="22"/>
          <w:lang w:eastAsia="en-GB"/>
        </w:rPr>
      </w:pPr>
      <w:hyperlink w:anchor="_Toc50653640" w:history="1">
        <w:r w:rsidR="00B65537" w:rsidRPr="005734A3">
          <w:rPr>
            <w:rStyle w:val="Hyperlink"/>
            <w:noProof/>
          </w:rPr>
          <w:t>11.</w:t>
        </w:r>
        <w:r w:rsidR="00B65537">
          <w:rPr>
            <w:rFonts w:asciiTheme="minorHAnsi" w:eastAsiaTheme="minorEastAsia" w:hAnsiTheme="minorHAnsi" w:cstheme="minorBidi"/>
            <w:caps w:val="0"/>
            <w:noProof/>
            <w:szCs w:val="22"/>
            <w:lang w:eastAsia="en-GB"/>
          </w:rPr>
          <w:tab/>
        </w:r>
        <w:r w:rsidR="00B65537" w:rsidRPr="005734A3">
          <w:rPr>
            <w:rStyle w:val="Hyperlink"/>
            <w:noProof/>
          </w:rPr>
          <w:t>unsolicited comments</w:t>
        </w:r>
        <w:r w:rsidR="00B65537">
          <w:rPr>
            <w:noProof/>
            <w:webHidden/>
          </w:rPr>
          <w:tab/>
        </w:r>
        <w:r w:rsidR="00B65537">
          <w:rPr>
            <w:noProof/>
            <w:webHidden/>
          </w:rPr>
          <w:fldChar w:fldCharType="begin"/>
        </w:r>
        <w:r w:rsidR="00B65537">
          <w:rPr>
            <w:noProof/>
            <w:webHidden/>
          </w:rPr>
          <w:instrText xml:space="preserve"> PAGEREF _Toc50653640 \h </w:instrText>
        </w:r>
        <w:r w:rsidR="00B65537">
          <w:rPr>
            <w:noProof/>
            <w:webHidden/>
          </w:rPr>
        </w:r>
        <w:r w:rsidR="00B65537">
          <w:rPr>
            <w:noProof/>
            <w:webHidden/>
          </w:rPr>
          <w:fldChar w:fldCharType="separate"/>
        </w:r>
        <w:r w:rsidR="005119D4">
          <w:rPr>
            <w:noProof/>
            <w:webHidden/>
          </w:rPr>
          <w:t>1</w:t>
        </w:r>
        <w:r w:rsidR="00FF5C26">
          <w:rPr>
            <w:noProof/>
            <w:webHidden/>
          </w:rPr>
          <w:t>1</w:t>
        </w:r>
        <w:r w:rsidR="00B65537">
          <w:rPr>
            <w:noProof/>
            <w:webHidden/>
          </w:rPr>
          <w:fldChar w:fldCharType="end"/>
        </w:r>
      </w:hyperlink>
    </w:p>
    <w:p w14:paraId="607733F6" w14:textId="1F38AB6A" w:rsidR="00B65537" w:rsidRDefault="00EF325D">
      <w:pPr>
        <w:pStyle w:val="TOC1"/>
        <w:rPr>
          <w:rFonts w:asciiTheme="minorHAnsi" w:eastAsiaTheme="minorEastAsia" w:hAnsiTheme="minorHAnsi" w:cstheme="minorBidi"/>
          <w:caps w:val="0"/>
          <w:noProof/>
          <w:szCs w:val="22"/>
          <w:lang w:eastAsia="en-GB"/>
        </w:rPr>
      </w:pPr>
      <w:hyperlink w:anchor="_Toc50653641" w:history="1">
        <w:r w:rsidR="00B65537" w:rsidRPr="005734A3">
          <w:rPr>
            <w:rStyle w:val="Hyperlink"/>
            <w:noProof/>
          </w:rPr>
          <w:t>12.</w:t>
        </w:r>
        <w:r w:rsidR="00B65537">
          <w:rPr>
            <w:rFonts w:asciiTheme="minorHAnsi" w:eastAsiaTheme="minorEastAsia" w:hAnsiTheme="minorHAnsi" w:cstheme="minorBidi"/>
            <w:caps w:val="0"/>
            <w:noProof/>
            <w:szCs w:val="22"/>
            <w:lang w:eastAsia="en-GB"/>
          </w:rPr>
          <w:tab/>
        </w:r>
        <w:r w:rsidR="00B65537" w:rsidRPr="005734A3">
          <w:rPr>
            <w:rStyle w:val="Hyperlink"/>
            <w:noProof/>
          </w:rPr>
          <w:t>Invitation to make a written submission</w:t>
        </w:r>
        <w:r w:rsidR="00B65537">
          <w:rPr>
            <w:noProof/>
            <w:webHidden/>
          </w:rPr>
          <w:tab/>
        </w:r>
        <w:r w:rsidR="00B65537">
          <w:rPr>
            <w:noProof/>
            <w:webHidden/>
          </w:rPr>
          <w:fldChar w:fldCharType="begin"/>
        </w:r>
        <w:r w:rsidR="00B65537">
          <w:rPr>
            <w:noProof/>
            <w:webHidden/>
          </w:rPr>
          <w:instrText xml:space="preserve"> PAGEREF _Toc50653641 \h </w:instrText>
        </w:r>
        <w:r w:rsidR="00B65537">
          <w:rPr>
            <w:noProof/>
            <w:webHidden/>
          </w:rPr>
        </w:r>
        <w:r w:rsidR="00B65537">
          <w:rPr>
            <w:noProof/>
            <w:webHidden/>
          </w:rPr>
          <w:fldChar w:fldCharType="separate"/>
        </w:r>
        <w:r w:rsidR="005119D4">
          <w:rPr>
            <w:noProof/>
            <w:webHidden/>
          </w:rPr>
          <w:t>1</w:t>
        </w:r>
        <w:r w:rsidR="00FF5C26">
          <w:rPr>
            <w:noProof/>
            <w:webHidden/>
          </w:rPr>
          <w:t>2</w:t>
        </w:r>
        <w:r w:rsidR="00B65537">
          <w:rPr>
            <w:noProof/>
            <w:webHidden/>
          </w:rPr>
          <w:fldChar w:fldCharType="end"/>
        </w:r>
      </w:hyperlink>
    </w:p>
    <w:p w14:paraId="58114FE3" w14:textId="40B91F3E" w:rsidR="00B65537" w:rsidRDefault="00EF325D">
      <w:pPr>
        <w:pStyle w:val="TOC1"/>
        <w:rPr>
          <w:rFonts w:asciiTheme="minorHAnsi" w:eastAsiaTheme="minorEastAsia" w:hAnsiTheme="minorHAnsi" w:cstheme="minorBidi"/>
          <w:caps w:val="0"/>
          <w:noProof/>
          <w:szCs w:val="22"/>
          <w:lang w:eastAsia="en-GB"/>
        </w:rPr>
      </w:pPr>
      <w:hyperlink w:anchor="_Toc50653642" w:history="1">
        <w:r w:rsidR="00B65537" w:rsidRPr="005734A3">
          <w:rPr>
            <w:rStyle w:val="Hyperlink"/>
            <w:noProof/>
          </w:rPr>
          <w:t>13.</w:t>
        </w:r>
        <w:r w:rsidR="00B65537">
          <w:rPr>
            <w:rFonts w:asciiTheme="minorHAnsi" w:eastAsiaTheme="minorEastAsia" w:hAnsiTheme="minorHAnsi" w:cstheme="minorBidi"/>
            <w:caps w:val="0"/>
            <w:noProof/>
            <w:szCs w:val="22"/>
            <w:lang w:eastAsia="en-GB"/>
          </w:rPr>
          <w:tab/>
        </w:r>
        <w:r w:rsidR="00B65537" w:rsidRPr="005734A3">
          <w:rPr>
            <w:rStyle w:val="Hyperlink"/>
            <w:noProof/>
          </w:rPr>
          <w:t>the key legislation and guidance relevant in scotland</w:t>
        </w:r>
        <w:r w:rsidR="00B65537">
          <w:rPr>
            <w:noProof/>
            <w:webHidden/>
          </w:rPr>
          <w:tab/>
        </w:r>
        <w:r w:rsidR="00B65537">
          <w:rPr>
            <w:noProof/>
            <w:webHidden/>
          </w:rPr>
          <w:fldChar w:fldCharType="begin"/>
        </w:r>
        <w:r w:rsidR="00B65537">
          <w:rPr>
            <w:noProof/>
            <w:webHidden/>
          </w:rPr>
          <w:instrText xml:space="preserve"> PAGEREF _Toc50653642 \h </w:instrText>
        </w:r>
        <w:r w:rsidR="00B65537">
          <w:rPr>
            <w:noProof/>
            <w:webHidden/>
          </w:rPr>
        </w:r>
        <w:r w:rsidR="00B65537">
          <w:rPr>
            <w:noProof/>
            <w:webHidden/>
          </w:rPr>
          <w:fldChar w:fldCharType="separate"/>
        </w:r>
        <w:r w:rsidR="005119D4">
          <w:rPr>
            <w:noProof/>
            <w:webHidden/>
          </w:rPr>
          <w:t>1</w:t>
        </w:r>
        <w:r w:rsidR="00CE3ED8">
          <w:rPr>
            <w:noProof/>
            <w:webHidden/>
          </w:rPr>
          <w:t>2</w:t>
        </w:r>
        <w:r w:rsidR="00B65537">
          <w:rPr>
            <w:noProof/>
            <w:webHidden/>
          </w:rPr>
          <w:fldChar w:fldCharType="end"/>
        </w:r>
      </w:hyperlink>
    </w:p>
    <w:p w14:paraId="2B32AA68" w14:textId="2632C263" w:rsidR="00B65537" w:rsidRDefault="00EF325D">
      <w:pPr>
        <w:pStyle w:val="TOC1"/>
        <w:rPr>
          <w:rFonts w:asciiTheme="minorHAnsi" w:eastAsiaTheme="minorEastAsia" w:hAnsiTheme="minorHAnsi" w:cstheme="minorBidi"/>
          <w:caps w:val="0"/>
          <w:noProof/>
          <w:szCs w:val="22"/>
          <w:lang w:eastAsia="en-GB"/>
        </w:rPr>
      </w:pPr>
      <w:hyperlink w:anchor="_Toc50653643" w:history="1">
        <w:r w:rsidR="00B65537" w:rsidRPr="005734A3">
          <w:rPr>
            <w:rStyle w:val="Hyperlink"/>
            <w:noProof/>
          </w:rPr>
          <w:t>14.</w:t>
        </w:r>
        <w:r w:rsidR="00B65537">
          <w:rPr>
            <w:rFonts w:asciiTheme="minorHAnsi" w:eastAsiaTheme="minorEastAsia" w:hAnsiTheme="minorHAnsi" w:cstheme="minorBidi"/>
            <w:caps w:val="0"/>
            <w:noProof/>
            <w:szCs w:val="22"/>
            <w:lang w:eastAsia="en-GB"/>
          </w:rPr>
          <w:tab/>
        </w:r>
        <w:r w:rsidR="00B65537" w:rsidRPr="005734A3">
          <w:rPr>
            <w:rStyle w:val="Hyperlink"/>
            <w:noProof/>
          </w:rPr>
          <w:t>References</w:t>
        </w:r>
        <w:r w:rsidR="00B65537">
          <w:rPr>
            <w:noProof/>
            <w:webHidden/>
          </w:rPr>
          <w:tab/>
        </w:r>
        <w:r w:rsidR="00B65537">
          <w:rPr>
            <w:noProof/>
            <w:webHidden/>
          </w:rPr>
          <w:fldChar w:fldCharType="begin"/>
        </w:r>
        <w:r w:rsidR="00B65537">
          <w:rPr>
            <w:noProof/>
            <w:webHidden/>
          </w:rPr>
          <w:instrText xml:space="preserve"> PAGEREF _Toc50653643 \h </w:instrText>
        </w:r>
        <w:r w:rsidR="00B65537">
          <w:rPr>
            <w:noProof/>
            <w:webHidden/>
          </w:rPr>
        </w:r>
        <w:r w:rsidR="00B65537">
          <w:rPr>
            <w:noProof/>
            <w:webHidden/>
          </w:rPr>
          <w:fldChar w:fldCharType="separate"/>
        </w:r>
        <w:r w:rsidR="005119D4">
          <w:rPr>
            <w:noProof/>
            <w:webHidden/>
          </w:rPr>
          <w:t>1</w:t>
        </w:r>
        <w:r w:rsidR="00FF5C26">
          <w:rPr>
            <w:noProof/>
            <w:webHidden/>
          </w:rPr>
          <w:t>7</w:t>
        </w:r>
        <w:r w:rsidR="00B65537">
          <w:rPr>
            <w:noProof/>
            <w:webHidden/>
          </w:rPr>
          <w:fldChar w:fldCharType="end"/>
        </w:r>
      </w:hyperlink>
    </w:p>
    <w:p w14:paraId="51C023AF" w14:textId="42127A7F" w:rsidR="00B65537" w:rsidRDefault="00EF325D">
      <w:pPr>
        <w:pStyle w:val="TOC1"/>
        <w:rPr>
          <w:rFonts w:asciiTheme="minorHAnsi" w:eastAsiaTheme="minorEastAsia" w:hAnsiTheme="minorHAnsi" w:cstheme="minorBidi"/>
          <w:caps w:val="0"/>
          <w:noProof/>
          <w:szCs w:val="22"/>
          <w:lang w:eastAsia="en-GB"/>
        </w:rPr>
      </w:pPr>
      <w:hyperlink w:anchor="_Toc50653644" w:history="1">
        <w:r w:rsidR="00B65537" w:rsidRPr="005734A3">
          <w:rPr>
            <w:rStyle w:val="Hyperlink"/>
            <w:noProof/>
          </w:rPr>
          <w:t>APPENDICES</w:t>
        </w:r>
        <w:r w:rsidR="00B65537">
          <w:rPr>
            <w:noProof/>
            <w:webHidden/>
          </w:rPr>
          <w:tab/>
        </w:r>
        <w:r w:rsidR="00B65537">
          <w:rPr>
            <w:noProof/>
            <w:webHidden/>
          </w:rPr>
          <w:fldChar w:fldCharType="begin"/>
        </w:r>
        <w:r w:rsidR="00B65537">
          <w:rPr>
            <w:noProof/>
            <w:webHidden/>
          </w:rPr>
          <w:instrText xml:space="preserve"> PAGEREF _Toc50653644 \h </w:instrText>
        </w:r>
        <w:r w:rsidR="00B65537">
          <w:rPr>
            <w:noProof/>
            <w:webHidden/>
          </w:rPr>
        </w:r>
        <w:r w:rsidR="00B65537">
          <w:rPr>
            <w:noProof/>
            <w:webHidden/>
          </w:rPr>
          <w:fldChar w:fldCharType="separate"/>
        </w:r>
        <w:r w:rsidR="005119D4">
          <w:rPr>
            <w:noProof/>
            <w:webHidden/>
          </w:rPr>
          <w:t>1</w:t>
        </w:r>
        <w:r w:rsidR="00FF5C26">
          <w:rPr>
            <w:noProof/>
            <w:webHidden/>
          </w:rPr>
          <w:t>8</w:t>
        </w:r>
        <w:r w:rsidR="00B65537">
          <w:rPr>
            <w:noProof/>
            <w:webHidden/>
          </w:rPr>
          <w:fldChar w:fldCharType="end"/>
        </w:r>
      </w:hyperlink>
    </w:p>
    <w:p w14:paraId="5325CA7D" w14:textId="77777777" w:rsidR="00F96DFE" w:rsidRPr="00402AE8" w:rsidRDefault="004750A2" w:rsidP="007830CF">
      <w:pPr>
        <w:rPr>
          <w:rFonts w:cs="Arial"/>
          <w:bCs/>
          <w:i/>
          <w:kern w:val="36"/>
          <w:sz w:val="16"/>
          <w:szCs w:val="16"/>
        </w:rPr>
      </w:pPr>
      <w:r w:rsidRPr="00402AE8">
        <w:lastRenderedPageBreak/>
        <w:fldChar w:fldCharType="end"/>
      </w:r>
    </w:p>
    <w:p w14:paraId="6BD5F60C" w14:textId="77777777" w:rsidR="00F96DFE" w:rsidRPr="00402AE8" w:rsidRDefault="00F96DFE" w:rsidP="00F96DFE">
      <w:pPr>
        <w:outlineLvl w:val="1"/>
        <w:rPr>
          <w:rFonts w:cs="Arial"/>
          <w:bCs/>
          <w:i/>
          <w:kern w:val="36"/>
          <w:sz w:val="16"/>
          <w:szCs w:val="16"/>
        </w:rPr>
      </w:pPr>
      <w:r w:rsidRPr="00402AE8">
        <w:rPr>
          <w:rFonts w:cs="Arial"/>
          <w:bCs/>
          <w:i/>
          <w:kern w:val="36"/>
          <w:sz w:val="16"/>
          <w:szCs w:val="16"/>
        </w:rPr>
        <w:t xml:space="preserve">© Office for Nuclear Regulation, </w:t>
      </w:r>
      <w:r w:rsidR="004612BF">
        <w:rPr>
          <w:rFonts w:cs="Arial"/>
          <w:bCs/>
          <w:i/>
          <w:kern w:val="36"/>
          <w:sz w:val="16"/>
          <w:szCs w:val="16"/>
        </w:rPr>
        <w:t>2020</w:t>
      </w:r>
    </w:p>
    <w:p w14:paraId="0A4D25FF" w14:textId="77777777" w:rsidR="00F96DFE" w:rsidRPr="00402AE8" w:rsidRDefault="00F96DFE" w:rsidP="00F96DFE">
      <w:pPr>
        <w:outlineLvl w:val="1"/>
        <w:rPr>
          <w:rFonts w:ascii="Times New Roman" w:hAnsi="Times New Roman"/>
          <w:bCs/>
          <w:kern w:val="36"/>
          <w:sz w:val="16"/>
          <w:szCs w:val="16"/>
        </w:rPr>
      </w:pPr>
      <w:r w:rsidRPr="00402AE8">
        <w:rPr>
          <w:rFonts w:cs="Arial"/>
          <w:bCs/>
          <w:kern w:val="36"/>
          <w:sz w:val="16"/>
          <w:szCs w:val="16"/>
        </w:rPr>
        <w:t xml:space="preserve">If you wish to reuse this information visit </w:t>
      </w:r>
      <w:hyperlink r:id="rId15" w:tooltip="blocked::blocked::BLOCKED::http://www.hse.gov.uk/copyright&#10;blocked::BLOCKED::http://www.hse.gov.uk/copyright&#10;http://www.hse.gov.uk/copyright" w:history="1"/>
      <w:hyperlink r:id="rId16" w:tooltip="http://www.onr.org.uk/copyright" w:history="1">
        <w:r w:rsidRPr="00402AE8">
          <w:rPr>
            <w:rStyle w:val="Hyperlink"/>
            <w:rFonts w:cs="Arial"/>
            <w:bCs/>
            <w:kern w:val="36"/>
            <w:sz w:val="16"/>
            <w:szCs w:val="16"/>
          </w:rPr>
          <w:t>www.onr.org.uk/copyright</w:t>
        </w:r>
      </w:hyperlink>
      <w:r w:rsidRPr="00402AE8">
        <w:rPr>
          <w:rFonts w:cs="Arial"/>
          <w:bCs/>
          <w:kern w:val="36"/>
          <w:sz w:val="16"/>
          <w:szCs w:val="16"/>
        </w:rPr>
        <w:t xml:space="preserve"> for details. </w:t>
      </w:r>
    </w:p>
    <w:p w14:paraId="4CB75006" w14:textId="77777777" w:rsidR="00F96DFE" w:rsidRPr="00402AE8" w:rsidRDefault="00F96DFE" w:rsidP="00F96DFE">
      <w:pPr>
        <w:outlineLvl w:val="1"/>
        <w:rPr>
          <w:bCs/>
          <w:kern w:val="36"/>
          <w:sz w:val="16"/>
          <w:szCs w:val="16"/>
        </w:rPr>
      </w:pPr>
      <w:r w:rsidRPr="00402AE8">
        <w:rPr>
          <w:rFonts w:cs="Arial"/>
          <w:bCs/>
          <w:kern w:val="36"/>
          <w:sz w:val="16"/>
          <w:szCs w:val="16"/>
        </w:rPr>
        <w:t xml:space="preserve">Published </w:t>
      </w:r>
      <w:r w:rsidR="00651305">
        <w:rPr>
          <w:rFonts w:cs="Arial"/>
          <w:bCs/>
          <w:kern w:val="36"/>
          <w:sz w:val="16"/>
          <w:szCs w:val="16"/>
        </w:rPr>
        <w:t>10</w:t>
      </w:r>
      <w:r w:rsidR="004612BF">
        <w:rPr>
          <w:rFonts w:cs="Arial"/>
          <w:bCs/>
          <w:kern w:val="36"/>
          <w:sz w:val="16"/>
          <w:szCs w:val="16"/>
        </w:rPr>
        <w:t>/20</w:t>
      </w:r>
    </w:p>
    <w:p w14:paraId="2F85CC59" w14:textId="2995057D" w:rsidR="00A754D9" w:rsidRPr="00402AE8" w:rsidRDefault="00123D6E" w:rsidP="00FB2F67">
      <w:pPr>
        <w:pStyle w:val="TSHeadingNumbered1"/>
      </w:pPr>
      <w:r w:rsidRPr="00402AE8">
        <w:br w:type="page"/>
      </w:r>
      <w:bookmarkStart w:id="0" w:name="_Toc50653630"/>
      <w:r w:rsidR="009B5159" w:rsidRPr="00402AE8">
        <w:lastRenderedPageBreak/>
        <w:t>INTRODUCTION</w:t>
      </w:r>
      <w:bookmarkEnd w:id="0"/>
    </w:p>
    <w:p w14:paraId="3AFD47D3" w14:textId="77777777" w:rsidR="00C8114E" w:rsidRPr="00402AE8" w:rsidRDefault="00BB47F6" w:rsidP="00C8114E">
      <w:pPr>
        <w:pStyle w:val="TSNumberedParagraph11"/>
      </w:pPr>
      <w:r>
        <w:t>W</w:t>
      </w:r>
      <w:r w:rsidR="00696C8A" w:rsidRPr="00402AE8">
        <w:t>hen</w:t>
      </w:r>
      <w:r>
        <w:t xml:space="preserve"> investigating a duty </w:t>
      </w:r>
      <w:proofErr w:type="gramStart"/>
      <w:r>
        <w:t>holder</w:t>
      </w:r>
      <w:proofErr w:type="gramEnd"/>
      <w:r>
        <w:t xml:space="preserve"> you need to be</w:t>
      </w:r>
      <w:r w:rsidR="00696C8A" w:rsidRPr="00402AE8">
        <w:t xml:space="preserve"> mindful of the difference between a witness and a suspect, and the administrative law that must be followed to ensure that the information provided by the witness or suspect is collected in such a way that it may later be used in legal proceedings.</w:t>
      </w:r>
      <w:r>
        <w:t xml:space="preserve"> </w:t>
      </w:r>
      <w:r w:rsidR="003E0357">
        <w:t>A</w:t>
      </w:r>
      <w:r>
        <w:t xml:space="preserve"> witness or a suspect can be a legal entity, </w:t>
      </w:r>
      <w:r w:rsidR="001E53AC">
        <w:t>for example,</w:t>
      </w:r>
      <w:r>
        <w:t xml:space="preserve"> an individual</w:t>
      </w:r>
      <w:r w:rsidR="001E53AC">
        <w:t>;</w:t>
      </w:r>
      <w:r>
        <w:t xml:space="preserve"> a partnership; a limited liability partnership; incorporated bodies or unincorporated associations; trusts; charities. The employment status of the individual can also</w:t>
      </w:r>
      <w:r w:rsidR="001E53AC">
        <w:t xml:space="preserve"> be</w:t>
      </w:r>
      <w:r>
        <w:t xml:space="preserve"> important.</w:t>
      </w:r>
    </w:p>
    <w:p w14:paraId="21B94D29" w14:textId="77777777" w:rsidR="009B5159" w:rsidRPr="00402AE8" w:rsidRDefault="009B5159" w:rsidP="009B5159">
      <w:pPr>
        <w:pStyle w:val="TSHeadingNumbered1"/>
      </w:pPr>
      <w:bookmarkStart w:id="1" w:name="_Toc50653631"/>
      <w:r w:rsidRPr="00402AE8">
        <w:t>PURPOSE AND SCOPE</w:t>
      </w:r>
      <w:bookmarkEnd w:id="1"/>
    </w:p>
    <w:p w14:paraId="5CD1D9C3" w14:textId="77777777" w:rsidR="00FD2A54" w:rsidRPr="002235FF" w:rsidRDefault="00FD2A54" w:rsidP="004F4E32">
      <w:pPr>
        <w:pStyle w:val="TSNumberedParagraph11"/>
      </w:pPr>
      <w:r w:rsidRPr="002235FF">
        <w:t xml:space="preserve">This guide is not a replacement for adequate training. Rather, it is intended to supplement that training and remind investigators of </w:t>
      </w:r>
      <w:r w:rsidR="001241CD">
        <w:t>points</w:t>
      </w:r>
      <w:r w:rsidRPr="002235FF">
        <w:t xml:space="preserve"> salient to ONR.</w:t>
      </w:r>
    </w:p>
    <w:p w14:paraId="799BECB2" w14:textId="77777777" w:rsidR="00FD2A54" w:rsidRPr="002235FF" w:rsidRDefault="00FD2A54" w:rsidP="004F4E32">
      <w:pPr>
        <w:pStyle w:val="TSNumberedParagraph11"/>
      </w:pPr>
      <w:r w:rsidRPr="002235FF">
        <w:t>Investigators should not consider embarking on interviewing suspects unless they are deemed competent by ONR to do so.</w:t>
      </w:r>
    </w:p>
    <w:p w14:paraId="6DD46737" w14:textId="77777777" w:rsidR="00AA2B44" w:rsidRDefault="004F4E32" w:rsidP="004F4E32">
      <w:pPr>
        <w:pStyle w:val="TSNumberedParagraph11"/>
      </w:pPr>
      <w:r w:rsidRPr="00402AE8">
        <w:t>The ONR guide ONR-ENF-GD-007 ‘Witness statement taking’</w:t>
      </w:r>
      <w:r w:rsidR="006360DD">
        <w:t xml:space="preserve"> </w:t>
      </w:r>
      <w:r w:rsidR="006360DD">
        <w:rPr>
          <w:vertAlign w:val="superscript"/>
        </w:rPr>
        <w:t>1</w:t>
      </w:r>
      <w:r w:rsidRPr="00402AE8">
        <w:t xml:space="preserve"> provides guidance about witnesses, interviewing them, and collecting and retaining the material they </w:t>
      </w:r>
      <w:r w:rsidR="007D28DF" w:rsidRPr="00402AE8">
        <w:t>can</w:t>
      </w:r>
      <w:r w:rsidRPr="00402AE8">
        <w:t xml:space="preserve"> provide. The purpose of this guide is to concentrate </w:t>
      </w:r>
      <w:r w:rsidR="00A55A5D">
        <w:t>on suspects and properly record</w:t>
      </w:r>
      <w:r w:rsidRPr="00402AE8">
        <w:t xml:space="preserve"> the information the</w:t>
      </w:r>
      <w:r w:rsidR="003D2751" w:rsidRPr="00402AE8">
        <w:t xml:space="preserve">y </w:t>
      </w:r>
      <w:r w:rsidR="007D28DF">
        <w:t>give</w:t>
      </w:r>
      <w:r w:rsidR="003D2751" w:rsidRPr="00402AE8">
        <w:t>. It</w:t>
      </w:r>
      <w:r w:rsidRPr="00402AE8">
        <w:t xml:space="preserve"> cover</w:t>
      </w:r>
      <w:r w:rsidR="007D28DF">
        <w:t>s</w:t>
      </w:r>
      <w:r w:rsidRPr="00402AE8">
        <w:t xml:space="preserve"> processes in Scotland, </w:t>
      </w:r>
      <w:proofErr w:type="gramStart"/>
      <w:r w:rsidRPr="00402AE8">
        <w:t>England</w:t>
      </w:r>
      <w:proofErr w:type="gramEnd"/>
      <w:r w:rsidRPr="00402AE8">
        <w:t xml:space="preserve"> and Wales. </w:t>
      </w:r>
    </w:p>
    <w:p w14:paraId="0888A13E" w14:textId="77777777" w:rsidR="004F4E32" w:rsidRDefault="00756EA2" w:rsidP="004F4E32">
      <w:pPr>
        <w:pStyle w:val="TSNumberedParagraph11"/>
      </w:pPr>
      <w:r w:rsidRPr="00402AE8">
        <w:t xml:space="preserve">This ONR Guide is based on </w:t>
      </w:r>
      <w:r w:rsidR="007D28DF">
        <w:t>the</w:t>
      </w:r>
      <w:r w:rsidR="003D2751" w:rsidRPr="00402AE8">
        <w:t xml:space="preserve"> legislation and guid</w:t>
      </w:r>
      <w:r w:rsidR="001241CD">
        <w:t>ance</w:t>
      </w:r>
      <w:r w:rsidR="007D28DF">
        <w:t xml:space="preserve"> available at the time of its issue.  T</w:t>
      </w:r>
      <w:r w:rsidR="003D2751" w:rsidRPr="00402AE8">
        <w:t xml:space="preserve">he </w:t>
      </w:r>
      <w:r w:rsidR="00DF16DD" w:rsidRPr="00402AE8">
        <w:t xml:space="preserve">user should always </w:t>
      </w:r>
      <w:r w:rsidR="007D28DF">
        <w:t xml:space="preserve">check they are meeting </w:t>
      </w:r>
      <w:r w:rsidR="00DF16DD" w:rsidRPr="00402AE8">
        <w:t>the latest versions</w:t>
      </w:r>
      <w:r w:rsidR="006A18B0" w:rsidRPr="00402AE8">
        <w:t xml:space="preserve"> of legislation and practice.</w:t>
      </w:r>
    </w:p>
    <w:p w14:paraId="7C9E8F87" w14:textId="77777777" w:rsidR="005C45AB" w:rsidRPr="00402AE8" w:rsidRDefault="005C45AB" w:rsidP="004F4E32">
      <w:pPr>
        <w:pStyle w:val="TSNumberedParagraph11"/>
      </w:pPr>
      <w:r>
        <w:t>The appendices to this guide contain useful letters to aid the interview process.</w:t>
      </w:r>
    </w:p>
    <w:p w14:paraId="69F51D3C" w14:textId="77777777" w:rsidR="009B5159" w:rsidRPr="00402AE8" w:rsidRDefault="003E0357" w:rsidP="006B5537">
      <w:pPr>
        <w:pStyle w:val="TSHeadingNumbered1"/>
      </w:pPr>
      <w:bookmarkStart w:id="2" w:name="_Toc50653632"/>
      <w:r>
        <w:t>whO</w:t>
      </w:r>
      <w:r w:rsidR="00756EA2" w:rsidRPr="00402AE8">
        <w:t xml:space="preserve"> is a witness and wh</w:t>
      </w:r>
      <w:r>
        <w:t>O</w:t>
      </w:r>
      <w:r w:rsidR="00756EA2" w:rsidRPr="00402AE8">
        <w:t xml:space="preserve"> is a </w:t>
      </w:r>
      <w:bookmarkEnd w:id="2"/>
      <w:r w:rsidR="00651305" w:rsidRPr="00402AE8">
        <w:t>SUSPECT?</w:t>
      </w:r>
    </w:p>
    <w:p w14:paraId="7B6F75EA" w14:textId="77777777" w:rsidR="00DF16DD" w:rsidRPr="00402AE8" w:rsidRDefault="00FD51F3" w:rsidP="00FD51F3">
      <w:pPr>
        <w:pStyle w:val="TSNumberedParagraph11"/>
      </w:pPr>
      <w:r w:rsidRPr="00402AE8">
        <w:t xml:space="preserve">Black’s Law dictionary ninth edition (2009) defines a witness as ‘one who sees, </w:t>
      </w:r>
      <w:proofErr w:type="gramStart"/>
      <w:r w:rsidRPr="00402AE8">
        <w:t>knows</w:t>
      </w:r>
      <w:proofErr w:type="gramEnd"/>
      <w:r w:rsidRPr="00402AE8">
        <w:t xml:space="preserve"> or vouches for something. One who gives testimony under oath or affirmation, in person, by oral or written deposition or by affidavit’. For ONR’s purposes, a witness is a person who is likely to provide information during preliminary enquiries</w:t>
      </w:r>
      <w:r w:rsidR="003E0357">
        <w:t xml:space="preserve"> </w:t>
      </w:r>
      <w:r w:rsidRPr="00402AE8">
        <w:t>an</w:t>
      </w:r>
      <w:r w:rsidR="003E0357">
        <w:t>d</w:t>
      </w:r>
      <w:r w:rsidRPr="00402AE8">
        <w:t xml:space="preserve"> investigation</w:t>
      </w:r>
      <w:r w:rsidR="003E0357">
        <w:t>s</w:t>
      </w:r>
      <w:r w:rsidR="00A76CD2" w:rsidRPr="00402AE8">
        <w:t>.</w:t>
      </w:r>
      <w:r w:rsidRPr="00402AE8">
        <w:t xml:space="preserve"> </w:t>
      </w:r>
    </w:p>
    <w:p w14:paraId="7E0B7A28" w14:textId="77777777" w:rsidR="007674E6" w:rsidRPr="00402AE8" w:rsidRDefault="007A1D81" w:rsidP="00FD51F3">
      <w:pPr>
        <w:pStyle w:val="TSNumberedParagraph11"/>
      </w:pPr>
      <w:r w:rsidRPr="00402AE8">
        <w:t xml:space="preserve">Oxford Dictionary of English third edition (2010) defines a suspect as ‘a person thought to be guilty of a crime or offence’. </w:t>
      </w:r>
    </w:p>
    <w:p w14:paraId="195A3CF5" w14:textId="77777777" w:rsidR="004F74D7" w:rsidRPr="00402AE8" w:rsidRDefault="007A1D81" w:rsidP="00FD51F3">
      <w:pPr>
        <w:pStyle w:val="TSNumberedParagraph11"/>
      </w:pPr>
      <w:r w:rsidRPr="00402AE8">
        <w:t xml:space="preserve">The definitions above seem quite black and white, however in practice </w:t>
      </w:r>
      <w:r w:rsidR="00A321DF" w:rsidRPr="00402AE8">
        <w:t>they are</w:t>
      </w:r>
      <w:r w:rsidR="004F74D7" w:rsidRPr="00402AE8">
        <w:t xml:space="preserve"> not. </w:t>
      </w:r>
    </w:p>
    <w:p w14:paraId="35E13030" w14:textId="77777777" w:rsidR="007A1D81" w:rsidRPr="00402AE8" w:rsidRDefault="004F74D7" w:rsidP="00FD51F3">
      <w:pPr>
        <w:pStyle w:val="TSNumberedParagraph11"/>
      </w:pPr>
      <w:r w:rsidRPr="00402AE8">
        <w:t>During their work</w:t>
      </w:r>
      <w:r w:rsidR="00747856">
        <w:t>,</w:t>
      </w:r>
      <w:r w:rsidRPr="00402AE8">
        <w:t xml:space="preserve"> inspectors</w:t>
      </w:r>
      <w:r w:rsidR="00A321DF" w:rsidRPr="00402AE8">
        <w:t xml:space="preserve"> will</w:t>
      </w:r>
      <w:r w:rsidRPr="00402AE8">
        <w:t xml:space="preserve"> interact with people</w:t>
      </w:r>
      <w:r w:rsidR="00A321DF" w:rsidRPr="00402AE8">
        <w:t xml:space="preserve"> who provide</w:t>
      </w:r>
      <w:r w:rsidRPr="00402AE8">
        <w:t xml:space="preserve"> information. Sometimes that information will lead t</w:t>
      </w:r>
      <w:r w:rsidR="00A321DF" w:rsidRPr="00402AE8">
        <w:t>he inspector to consider</w:t>
      </w:r>
      <w:r w:rsidRPr="00402AE8">
        <w:t xml:space="preserve"> </w:t>
      </w:r>
      <w:r w:rsidR="00F772A0">
        <w:t xml:space="preserve">whether </w:t>
      </w:r>
      <w:r w:rsidRPr="00402AE8">
        <w:t xml:space="preserve">there has been a failure to meet the required standards. </w:t>
      </w:r>
      <w:r w:rsidR="001E53AC">
        <w:t>T</w:t>
      </w:r>
      <w:r w:rsidRPr="00402AE8">
        <w:t xml:space="preserve">hose interactions do not </w:t>
      </w:r>
      <w:r w:rsidR="002235FF">
        <w:t xml:space="preserve">always </w:t>
      </w:r>
      <w:r w:rsidRPr="00402AE8">
        <w:t xml:space="preserve">lead the inspector to </w:t>
      </w:r>
      <w:r w:rsidR="002235FF">
        <w:t>consider</w:t>
      </w:r>
      <w:r w:rsidR="00481D67">
        <w:t xml:space="preserve"> an</w:t>
      </w:r>
      <w:r w:rsidR="00A321DF" w:rsidRPr="00402AE8">
        <w:t xml:space="preserve"> investigation as described in </w:t>
      </w:r>
      <w:r w:rsidRPr="00402AE8">
        <w:t>ONR-ENF-GD-005 ‘Process for Conducting Investigations</w:t>
      </w:r>
      <w:r w:rsidR="00A321DF" w:rsidRPr="00402AE8">
        <w:t>’</w:t>
      </w:r>
      <w:r w:rsidR="006360DD">
        <w:t xml:space="preserve"> </w:t>
      </w:r>
      <w:r w:rsidR="006360DD">
        <w:rPr>
          <w:vertAlign w:val="superscript"/>
        </w:rPr>
        <w:t>2</w:t>
      </w:r>
      <w:r w:rsidR="00A321DF" w:rsidRPr="00402AE8">
        <w:t xml:space="preserve">. In the main, it is for those matters that are covered or referred to in </w:t>
      </w:r>
      <w:r w:rsidR="00481D67">
        <w:t>reference 2</w:t>
      </w:r>
      <w:r w:rsidR="001E53AC">
        <w:t xml:space="preserve"> that lead to preliminary inquiries and investigations</w:t>
      </w:r>
      <w:r w:rsidR="00A321DF" w:rsidRPr="00402AE8">
        <w:t xml:space="preserve"> where the issue of the difference between a witness and a suspect becomes important.</w:t>
      </w:r>
    </w:p>
    <w:p w14:paraId="1B026939" w14:textId="77777777" w:rsidR="00481D67" w:rsidRDefault="00A321DF" w:rsidP="00481D67">
      <w:pPr>
        <w:pStyle w:val="TSNumberedParagraph11"/>
      </w:pPr>
      <w:r w:rsidRPr="00402AE8">
        <w:t xml:space="preserve">When carrying out preliminary </w:t>
      </w:r>
      <w:proofErr w:type="gramStart"/>
      <w:r w:rsidRPr="00402AE8">
        <w:t>enquiries</w:t>
      </w:r>
      <w:proofErr w:type="gramEnd"/>
      <w:r w:rsidR="00481D67">
        <w:t xml:space="preserve"> </w:t>
      </w:r>
      <w:r w:rsidRPr="00402AE8">
        <w:t>investigation</w:t>
      </w:r>
      <w:r w:rsidR="009567C5" w:rsidRPr="00402AE8">
        <w:t>s</w:t>
      </w:r>
      <w:r w:rsidR="00481D67">
        <w:t>,</w:t>
      </w:r>
      <w:r w:rsidRPr="00402AE8">
        <w:t xml:space="preserve"> inspectors may find themselves interviewing those who they consider witnesses, </w:t>
      </w:r>
      <w:r w:rsidR="007D28DF">
        <w:t xml:space="preserve">but </w:t>
      </w:r>
      <w:r w:rsidRPr="00402AE8">
        <w:t>who</w:t>
      </w:r>
      <w:r w:rsidR="007D28DF">
        <w:t xml:space="preserve"> in fact</w:t>
      </w:r>
      <w:r w:rsidRPr="00402AE8">
        <w:t xml:space="preserve"> may have committed an offence; in this position the following guidance</w:t>
      </w:r>
      <w:r w:rsidR="008C1359" w:rsidRPr="00402AE8">
        <w:t xml:space="preserve"> (ref</w:t>
      </w:r>
      <w:r w:rsidR="00481D67">
        <w:t xml:space="preserve">erence 3, paragraph </w:t>
      </w:r>
      <w:r w:rsidR="002235FF">
        <w:t>2.220</w:t>
      </w:r>
      <w:r w:rsidR="008C1359" w:rsidRPr="00402AE8">
        <w:t>)</w:t>
      </w:r>
      <w:r w:rsidR="009567C5" w:rsidRPr="00402AE8">
        <w:t xml:space="preserve"> </w:t>
      </w:r>
      <w:r w:rsidR="008C1359" w:rsidRPr="00402AE8">
        <w:t>i</w:t>
      </w:r>
      <w:r w:rsidR="009567C5" w:rsidRPr="00402AE8">
        <w:t>s relevant:</w:t>
      </w:r>
    </w:p>
    <w:p w14:paraId="468B63A2" w14:textId="77777777" w:rsidR="00481D67" w:rsidRDefault="009567C5" w:rsidP="00736D39">
      <w:pPr>
        <w:pStyle w:val="TSNumberedParagraph11"/>
        <w:numPr>
          <w:ilvl w:val="0"/>
          <w:numId w:val="0"/>
        </w:numPr>
        <w:ind w:left="1440"/>
      </w:pPr>
      <w:r w:rsidRPr="00402AE8">
        <w:lastRenderedPageBreak/>
        <w:t>‘Any decision on an appropriate course of action will involve taking into account the seriousness of the crime admitted and weighing it against the seriousness of the crime under investigation.’</w:t>
      </w:r>
    </w:p>
    <w:p w14:paraId="6C7A12F8" w14:textId="77777777" w:rsidR="00481D67" w:rsidRDefault="005E5FC2" w:rsidP="00481D67">
      <w:pPr>
        <w:pStyle w:val="TSNumberedParagraph11"/>
      </w:pPr>
      <w:r w:rsidRPr="00402AE8">
        <w:t xml:space="preserve">It may be that the inspector decides to treat someone as a witness for the investigation of a crime, and then return to them to interview them further about </w:t>
      </w:r>
      <w:r w:rsidR="007D28DF">
        <w:t>that or another</w:t>
      </w:r>
      <w:r w:rsidRPr="00402AE8">
        <w:t xml:space="preserve"> crime they might have admitted to, treating them that time as a suspect. </w:t>
      </w:r>
    </w:p>
    <w:p w14:paraId="22369B1F" w14:textId="77777777" w:rsidR="007417F3" w:rsidRPr="00402AE8" w:rsidRDefault="00BD3A16" w:rsidP="00481D67">
      <w:pPr>
        <w:pStyle w:val="TSNumberedParagraph11"/>
      </w:pPr>
      <w:r>
        <w:t>T</w:t>
      </w:r>
      <w:r w:rsidR="005E5FC2" w:rsidRPr="00402AE8">
        <w:t>he remainder of this guid</w:t>
      </w:r>
      <w:r w:rsidR="00AC6671">
        <w:t>e</w:t>
      </w:r>
      <w:r w:rsidR="005E5FC2" w:rsidRPr="00402AE8">
        <w:t xml:space="preserve"> addresses when the inspector is interviewing a person as a suspect, and the procedures they must follow to ensure that information </w:t>
      </w:r>
      <w:r w:rsidR="007417F3" w:rsidRPr="00402AE8">
        <w:t>collected</w:t>
      </w:r>
      <w:r w:rsidR="005E5FC2" w:rsidRPr="00402AE8">
        <w:t xml:space="preserve"> </w:t>
      </w:r>
      <w:r>
        <w:t>is</w:t>
      </w:r>
      <w:r w:rsidR="005E5FC2" w:rsidRPr="00402AE8">
        <w:t xml:space="preserve"> collected in accordance with the relevant legislation.</w:t>
      </w:r>
      <w:r w:rsidR="009567C5" w:rsidRPr="00402AE8">
        <w:t xml:space="preserve"> </w:t>
      </w:r>
    </w:p>
    <w:p w14:paraId="23E9C4D0" w14:textId="77777777" w:rsidR="00F4548B" w:rsidRPr="00402AE8" w:rsidRDefault="00F4548B" w:rsidP="00F4548B">
      <w:pPr>
        <w:pStyle w:val="TSHeadingNumbered1"/>
      </w:pPr>
      <w:bookmarkStart w:id="3" w:name="_Toc50653633"/>
      <w:r w:rsidRPr="00402AE8">
        <w:t xml:space="preserve">whether to interview </w:t>
      </w:r>
      <w:r w:rsidR="00CF4E54">
        <w:t>a</w:t>
      </w:r>
      <w:r w:rsidRPr="00402AE8">
        <w:t xml:space="preserve"> suspect</w:t>
      </w:r>
      <w:bookmarkEnd w:id="3"/>
    </w:p>
    <w:p w14:paraId="5A301D27" w14:textId="77777777" w:rsidR="002E590A" w:rsidRPr="00402AE8" w:rsidRDefault="002E590A" w:rsidP="002E590A">
      <w:pPr>
        <w:pStyle w:val="TSNumberedParagraph11"/>
      </w:pPr>
      <w:r w:rsidRPr="00402AE8">
        <w:t>Section 11</w:t>
      </w:r>
      <w:r w:rsidR="00255336" w:rsidRPr="00402AE8">
        <w:t>A</w:t>
      </w:r>
      <w:r w:rsidRPr="00402AE8">
        <w:t xml:space="preserve"> of Code C of the Police and Criminal Evidence (PACE) Codes of Practice</w:t>
      </w:r>
      <w:r w:rsidR="00DA70E7">
        <w:t xml:space="preserve"> </w:t>
      </w:r>
      <w:r w:rsidR="006360DD">
        <w:rPr>
          <w:vertAlign w:val="superscript"/>
        </w:rPr>
        <w:t>4</w:t>
      </w:r>
      <w:r w:rsidR="00750155" w:rsidRPr="00402AE8">
        <w:t xml:space="preserve"> describes</w:t>
      </w:r>
      <w:r w:rsidRPr="00402AE8">
        <w:t xml:space="preserve"> an interview with a suspect as:</w:t>
      </w:r>
      <w:r w:rsidR="00255336" w:rsidRPr="00402AE8">
        <w:t xml:space="preserve"> </w:t>
      </w:r>
    </w:p>
    <w:p w14:paraId="02DB46DA" w14:textId="77777777" w:rsidR="00255336" w:rsidRDefault="00255336" w:rsidP="00255336">
      <w:pPr>
        <w:pStyle w:val="TSNumberedParagraph11"/>
        <w:numPr>
          <w:ilvl w:val="0"/>
          <w:numId w:val="0"/>
        </w:numPr>
        <w:ind w:left="1440"/>
      </w:pPr>
      <w:r w:rsidRPr="00402AE8">
        <w:t>‘… the questioning of a person regarding their involvement or suspected involvement in a criminal offence or offences which, under paragraph 10.1, must be carried out under caution.’</w:t>
      </w:r>
    </w:p>
    <w:p w14:paraId="3139B8F7" w14:textId="77777777" w:rsidR="00CE5074" w:rsidRPr="00C82F44" w:rsidRDefault="00CE5074" w:rsidP="00A97ADB">
      <w:pPr>
        <w:pStyle w:val="TSNumberedParagraph11"/>
        <w:rPr>
          <w:lang w:eastAsia="en-GB"/>
        </w:rPr>
      </w:pPr>
      <w:r w:rsidRPr="00C82F44">
        <w:rPr>
          <w:lang w:eastAsia="en-GB"/>
        </w:rPr>
        <w:t>As seen later, descriptions and procedure are broadly the same across the two Great Britain jurisdictions when interviewing suspects.</w:t>
      </w:r>
    </w:p>
    <w:p w14:paraId="0E79B62D" w14:textId="77777777" w:rsidR="00CF4E54" w:rsidRDefault="00BD3A16" w:rsidP="00A97ADB">
      <w:pPr>
        <w:pStyle w:val="TSNumberedParagraph11"/>
        <w:rPr>
          <w:lang w:eastAsia="en-GB"/>
        </w:rPr>
      </w:pPr>
      <w:r w:rsidRPr="00BD3A16">
        <w:t xml:space="preserve">Paragraph 10.1 states, </w:t>
      </w:r>
    </w:p>
    <w:p w14:paraId="6E4E89AD" w14:textId="77777777" w:rsidR="00BD3A16" w:rsidRPr="002235FF" w:rsidRDefault="00BD3A16" w:rsidP="00A97ADB">
      <w:pPr>
        <w:pStyle w:val="TSNumberedParagraph11"/>
        <w:numPr>
          <w:ilvl w:val="0"/>
          <w:numId w:val="0"/>
        </w:numPr>
        <w:ind w:left="1440"/>
        <w:rPr>
          <w:lang w:eastAsia="en-GB"/>
        </w:rPr>
      </w:pPr>
      <w:r w:rsidRPr="00BD3A16">
        <w:t>“</w:t>
      </w:r>
      <w:r w:rsidR="00CF4E54">
        <w:t xml:space="preserve">a </w:t>
      </w:r>
      <w:r w:rsidRPr="002235FF">
        <w:rPr>
          <w:lang w:eastAsia="en-GB"/>
        </w:rPr>
        <w:t xml:space="preserve">person whom there are grounds to suspect of an offence, see </w:t>
      </w:r>
      <w:r w:rsidRPr="002235FF">
        <w:rPr>
          <w:i/>
          <w:iCs/>
          <w:lang w:eastAsia="en-GB"/>
        </w:rPr>
        <w:t xml:space="preserve">Note 10A, </w:t>
      </w:r>
      <w:r w:rsidRPr="002235FF">
        <w:rPr>
          <w:lang w:eastAsia="en-GB"/>
        </w:rPr>
        <w:t>must be</w:t>
      </w:r>
      <w:r>
        <w:rPr>
          <w:lang w:eastAsia="en-GB"/>
        </w:rPr>
        <w:t xml:space="preserve"> </w:t>
      </w:r>
      <w:r w:rsidRPr="002235FF">
        <w:rPr>
          <w:lang w:eastAsia="en-GB"/>
        </w:rPr>
        <w:t>cautioned before any questions about an offence, or further questions if the answers</w:t>
      </w:r>
      <w:r>
        <w:rPr>
          <w:lang w:eastAsia="en-GB"/>
        </w:rPr>
        <w:t xml:space="preserve"> </w:t>
      </w:r>
      <w:r w:rsidRPr="002235FF">
        <w:rPr>
          <w:lang w:eastAsia="en-GB"/>
        </w:rPr>
        <w:t>provide the grounds for suspicion, are put to them if either the suspect’s answers or silence,</w:t>
      </w:r>
      <w:r>
        <w:rPr>
          <w:lang w:eastAsia="en-GB"/>
        </w:rPr>
        <w:t xml:space="preserve"> </w:t>
      </w:r>
      <w:r w:rsidRPr="002235FF">
        <w:rPr>
          <w:lang w:eastAsia="en-GB"/>
        </w:rPr>
        <w:t>(</w:t>
      </w:r>
      <w:proofErr w:type="gramStart"/>
      <w:r w:rsidRPr="002235FF">
        <w:rPr>
          <w:lang w:eastAsia="en-GB"/>
        </w:rPr>
        <w:t>i.e.</w:t>
      </w:r>
      <w:proofErr w:type="gramEnd"/>
      <w:r w:rsidRPr="002235FF">
        <w:rPr>
          <w:lang w:eastAsia="en-GB"/>
        </w:rPr>
        <w:t xml:space="preserve"> failure or refusal to answer or answer satisfactorily) may be given in evidence to a court</w:t>
      </w:r>
      <w:r>
        <w:rPr>
          <w:lang w:eastAsia="en-GB"/>
        </w:rPr>
        <w:t xml:space="preserve"> </w:t>
      </w:r>
      <w:r w:rsidRPr="002235FF">
        <w:rPr>
          <w:lang w:eastAsia="en-GB"/>
        </w:rPr>
        <w:t xml:space="preserve">in a prosecution. </w:t>
      </w:r>
      <w:r>
        <w:rPr>
          <w:lang w:eastAsia="en-GB"/>
        </w:rPr>
        <w:t xml:space="preserve"> </w:t>
      </w:r>
      <w:r w:rsidRPr="002235FF">
        <w:rPr>
          <w:lang w:eastAsia="en-GB"/>
        </w:rPr>
        <w:t>A person need not be cautioned if questions are for other necessary</w:t>
      </w:r>
      <w:r>
        <w:rPr>
          <w:lang w:eastAsia="en-GB"/>
        </w:rPr>
        <w:t xml:space="preserve"> </w:t>
      </w:r>
      <w:r w:rsidRPr="002235FF">
        <w:rPr>
          <w:lang w:eastAsia="en-GB"/>
        </w:rPr>
        <w:t>purposes, e.g.:</w:t>
      </w:r>
    </w:p>
    <w:p w14:paraId="5604ADEE" w14:textId="77777777" w:rsidR="00BD3A16" w:rsidRPr="002235FF" w:rsidRDefault="00BD3A16" w:rsidP="00A97ADB">
      <w:pPr>
        <w:autoSpaceDE w:val="0"/>
        <w:autoSpaceDN w:val="0"/>
        <w:adjustRightInd w:val="0"/>
        <w:ind w:left="720" w:firstLine="720"/>
        <w:rPr>
          <w:rFonts w:cs="Arial"/>
          <w:szCs w:val="22"/>
          <w:lang w:eastAsia="en-GB"/>
        </w:rPr>
      </w:pPr>
      <w:r w:rsidRPr="002235FF">
        <w:rPr>
          <w:rFonts w:cs="Arial"/>
          <w:szCs w:val="22"/>
          <w:lang w:eastAsia="en-GB"/>
        </w:rPr>
        <w:t xml:space="preserve">(a) solely to establish their </w:t>
      </w:r>
      <w:proofErr w:type="gramStart"/>
      <w:r w:rsidRPr="002235FF">
        <w:rPr>
          <w:rFonts w:cs="Arial"/>
          <w:szCs w:val="22"/>
          <w:lang w:eastAsia="en-GB"/>
        </w:rPr>
        <w:t>iden</w:t>
      </w:r>
      <w:r w:rsidRPr="00BD3A16">
        <w:rPr>
          <w:rFonts w:cs="Arial"/>
          <w:szCs w:val="22"/>
          <w:lang w:eastAsia="en-GB"/>
        </w:rPr>
        <w:t>tity</w:t>
      </w:r>
      <w:r w:rsidRPr="002235FF">
        <w:rPr>
          <w:rFonts w:cs="Arial"/>
          <w:szCs w:val="22"/>
          <w:lang w:eastAsia="en-GB"/>
        </w:rPr>
        <w:t>;</w:t>
      </w:r>
      <w:proofErr w:type="gramEnd"/>
    </w:p>
    <w:p w14:paraId="0C915583" w14:textId="77777777" w:rsidR="00BD3A16" w:rsidRPr="002235FF" w:rsidRDefault="00BD3A16" w:rsidP="00A97ADB">
      <w:pPr>
        <w:autoSpaceDE w:val="0"/>
        <w:autoSpaceDN w:val="0"/>
        <w:adjustRightInd w:val="0"/>
        <w:ind w:left="720" w:firstLine="720"/>
        <w:rPr>
          <w:rFonts w:cs="Arial"/>
          <w:szCs w:val="22"/>
          <w:lang w:eastAsia="en-GB"/>
        </w:rPr>
      </w:pPr>
      <w:r w:rsidRPr="002235FF">
        <w:rPr>
          <w:rFonts w:cs="Arial"/>
          <w:szCs w:val="22"/>
          <w:lang w:eastAsia="en-GB"/>
        </w:rPr>
        <w:t>(b) to obtain information in accordance with any relevant statutory requirement,</w:t>
      </w:r>
    </w:p>
    <w:p w14:paraId="3E8A3218" w14:textId="77777777" w:rsidR="00BD3A16" w:rsidRPr="002235FF" w:rsidRDefault="00BD3A16" w:rsidP="00A97ADB">
      <w:pPr>
        <w:autoSpaceDE w:val="0"/>
        <w:autoSpaceDN w:val="0"/>
        <w:adjustRightInd w:val="0"/>
        <w:ind w:left="720" w:firstLine="720"/>
        <w:rPr>
          <w:rFonts w:cs="Arial"/>
          <w:szCs w:val="22"/>
          <w:lang w:eastAsia="en-GB"/>
        </w:rPr>
      </w:pPr>
      <w:r w:rsidRPr="002235FF">
        <w:rPr>
          <w:rFonts w:cs="Arial"/>
          <w:szCs w:val="22"/>
          <w:lang w:eastAsia="en-GB"/>
        </w:rPr>
        <w:t xml:space="preserve"> or</w:t>
      </w:r>
    </w:p>
    <w:p w14:paraId="56B0A2B3" w14:textId="77777777" w:rsidR="00BD3A16" w:rsidRDefault="00BD3A16" w:rsidP="00A97ADB">
      <w:pPr>
        <w:pStyle w:val="TSNumberedParagraph11"/>
        <w:numPr>
          <w:ilvl w:val="0"/>
          <w:numId w:val="0"/>
        </w:numPr>
        <w:ind w:left="720" w:firstLine="720"/>
        <w:rPr>
          <w:rFonts w:cs="Arial"/>
          <w:szCs w:val="22"/>
          <w:lang w:eastAsia="en-GB"/>
        </w:rPr>
      </w:pPr>
      <w:r w:rsidRPr="002235FF">
        <w:rPr>
          <w:rFonts w:cs="Arial"/>
          <w:szCs w:val="22"/>
          <w:lang w:eastAsia="en-GB"/>
        </w:rPr>
        <w:t>(</w:t>
      </w:r>
      <w:r w:rsidR="00483628">
        <w:rPr>
          <w:rFonts w:cs="Arial"/>
          <w:szCs w:val="22"/>
          <w:lang w:eastAsia="en-GB"/>
        </w:rPr>
        <w:t>c</w:t>
      </w:r>
      <w:r w:rsidRPr="002235FF">
        <w:rPr>
          <w:rFonts w:cs="Arial"/>
          <w:szCs w:val="22"/>
          <w:lang w:eastAsia="en-GB"/>
        </w:rPr>
        <w:t>) to seek verification of a written recor</w:t>
      </w:r>
      <w:r>
        <w:rPr>
          <w:rFonts w:cs="Arial"/>
          <w:szCs w:val="22"/>
          <w:lang w:eastAsia="en-GB"/>
        </w:rPr>
        <w:t>d.</w:t>
      </w:r>
      <w:r w:rsidR="00CF4E54">
        <w:rPr>
          <w:rFonts w:cs="Arial"/>
          <w:szCs w:val="22"/>
          <w:lang w:eastAsia="en-GB"/>
        </w:rPr>
        <w:t>”</w:t>
      </w:r>
    </w:p>
    <w:p w14:paraId="515EA104" w14:textId="77777777" w:rsidR="00CF4E54" w:rsidRDefault="00BD3A16" w:rsidP="00A97ADB">
      <w:pPr>
        <w:pStyle w:val="TSNumberedParagraph11"/>
      </w:pPr>
      <w:r w:rsidRPr="00BD3A16">
        <w:t>Note 10A</w:t>
      </w:r>
      <w:r w:rsidR="00CF4E54">
        <w:t xml:space="preserve"> says</w:t>
      </w:r>
      <w:r w:rsidRPr="00BD3A16">
        <w:t xml:space="preserve">: </w:t>
      </w:r>
    </w:p>
    <w:p w14:paraId="3653F730" w14:textId="77777777" w:rsidR="00750155" w:rsidRPr="00402AE8" w:rsidRDefault="007E3366" w:rsidP="00A97ADB">
      <w:pPr>
        <w:pStyle w:val="TSNumberedParagraph11"/>
        <w:numPr>
          <w:ilvl w:val="0"/>
          <w:numId w:val="0"/>
        </w:numPr>
        <w:ind w:left="720"/>
      </w:pPr>
      <w:r>
        <w:rPr>
          <w:lang w:eastAsia="en-GB"/>
        </w:rPr>
        <w:t>“</w:t>
      </w:r>
      <w:r w:rsidR="00BD3A16" w:rsidRPr="002235FF">
        <w:rPr>
          <w:lang w:eastAsia="en-GB"/>
        </w:rPr>
        <w:t>There must be some reasonable, objective grounds for the suspicion, based on known facts</w:t>
      </w:r>
      <w:r w:rsidR="00BD3A16">
        <w:rPr>
          <w:lang w:eastAsia="en-GB"/>
        </w:rPr>
        <w:t xml:space="preserve"> </w:t>
      </w:r>
      <w:r w:rsidR="00BD3A16" w:rsidRPr="002235FF">
        <w:rPr>
          <w:lang w:eastAsia="en-GB"/>
        </w:rPr>
        <w:t xml:space="preserve">or information which </w:t>
      </w:r>
      <w:r w:rsidR="00CF4E54" w:rsidRPr="002235FF">
        <w:rPr>
          <w:lang w:eastAsia="en-GB"/>
        </w:rPr>
        <w:t>is</w:t>
      </w:r>
      <w:r w:rsidR="00BD3A16" w:rsidRPr="002235FF">
        <w:rPr>
          <w:lang w:eastAsia="en-GB"/>
        </w:rPr>
        <w:t xml:space="preserve"> relevant to the likelihood the offence has been committed and the</w:t>
      </w:r>
      <w:r w:rsidR="00BD3A16">
        <w:rPr>
          <w:lang w:eastAsia="en-GB"/>
        </w:rPr>
        <w:t xml:space="preserve"> </w:t>
      </w:r>
      <w:r w:rsidR="00BD3A16" w:rsidRPr="002235FF">
        <w:rPr>
          <w:lang w:eastAsia="en-GB"/>
        </w:rPr>
        <w:t>person to be questioned committed it</w:t>
      </w:r>
      <w:r w:rsidR="00CF4E54">
        <w:rPr>
          <w:lang w:eastAsia="en-GB"/>
        </w:rPr>
        <w:t>.”</w:t>
      </w:r>
    </w:p>
    <w:p w14:paraId="4E3EB305" w14:textId="77777777" w:rsidR="002E590A" w:rsidRPr="00402AE8" w:rsidRDefault="003E47FA" w:rsidP="00255336">
      <w:pPr>
        <w:pStyle w:val="TSNumberedParagraph11"/>
      </w:pPr>
      <w:r>
        <w:t>T</w:t>
      </w:r>
      <w:r w:rsidR="002E590A" w:rsidRPr="00402AE8">
        <w:t xml:space="preserve">he investigator </w:t>
      </w:r>
      <w:r w:rsidR="00CF4E54">
        <w:t xml:space="preserve">may </w:t>
      </w:r>
      <w:r w:rsidR="002E590A" w:rsidRPr="00402AE8">
        <w:t>deci</w:t>
      </w:r>
      <w:r>
        <w:t>de</w:t>
      </w:r>
      <w:r w:rsidR="002E590A" w:rsidRPr="00402AE8">
        <w:t xml:space="preserve"> that it is </w:t>
      </w:r>
      <w:r w:rsidR="00CF4E54">
        <w:t>beneficial</w:t>
      </w:r>
      <w:r w:rsidR="002E590A" w:rsidRPr="00402AE8">
        <w:t xml:space="preserve"> to interview a suspect about their involvement.  But the investigator may</w:t>
      </w:r>
      <w:r w:rsidR="00CF4E54">
        <w:t xml:space="preserve"> also</w:t>
      </w:r>
      <w:r w:rsidR="002E590A" w:rsidRPr="00402AE8">
        <w:t xml:space="preserve"> believe that they have already collected sufficient material which they could introduce at court to have a realistic prospect of conviction (see </w:t>
      </w:r>
      <w:r w:rsidR="00CE5959" w:rsidRPr="00402AE8">
        <w:t>ONR guidance ‘The role of the Approval Officer in Enforcement</w:t>
      </w:r>
      <w:r w:rsidR="007D28DF">
        <w:t>’</w:t>
      </w:r>
      <w:r w:rsidR="00CE5959" w:rsidRPr="00402AE8">
        <w:t xml:space="preserve"> Decisions ONR-ENF-GD-20</w:t>
      </w:r>
      <w:r w:rsidR="006360DD">
        <w:t xml:space="preserve"> </w:t>
      </w:r>
      <w:r w:rsidR="006360DD">
        <w:rPr>
          <w:vertAlign w:val="superscript"/>
        </w:rPr>
        <w:t>5</w:t>
      </w:r>
      <w:r w:rsidR="00CE5959" w:rsidRPr="00402AE8">
        <w:t xml:space="preserve">). </w:t>
      </w:r>
      <w:r w:rsidR="007D28DF">
        <w:t>T</w:t>
      </w:r>
      <w:r w:rsidR="00CE5959" w:rsidRPr="00402AE8">
        <w:t>he question then is</w:t>
      </w:r>
      <w:r w:rsidR="00CF4E54">
        <w:t>,</w:t>
      </w:r>
      <w:r w:rsidR="00CE5959" w:rsidRPr="00402AE8">
        <w:t xml:space="preserve"> do they </w:t>
      </w:r>
      <w:r w:rsidR="00CE5959" w:rsidRPr="00A97ADB">
        <w:rPr>
          <w:i/>
        </w:rPr>
        <w:t>need</w:t>
      </w:r>
      <w:r w:rsidR="00CE5959" w:rsidRPr="00402AE8">
        <w:t xml:space="preserve"> to interview the suspect?</w:t>
      </w:r>
    </w:p>
    <w:p w14:paraId="5666A4B3" w14:textId="77777777" w:rsidR="00CF4E54" w:rsidRPr="00402AE8" w:rsidRDefault="00CE5959" w:rsidP="00C82F44">
      <w:pPr>
        <w:pStyle w:val="TSNumberedParagraph11"/>
      </w:pPr>
      <w:r w:rsidRPr="003E47FA">
        <w:rPr>
          <w:rFonts w:ascii="Helvetica" w:hAnsi="Helvetica" w:cs="Arial"/>
          <w:color w:val="333333"/>
        </w:rPr>
        <w:t>There is no express legal requirement that a person suspected of having committed an offence must be interviewed under caution before any decision as to whether to prosecute is taken. However,</w:t>
      </w:r>
      <w:r w:rsidR="00A76A92" w:rsidRPr="003E47FA">
        <w:rPr>
          <w:rFonts w:ascii="Helvetica" w:hAnsi="Helvetica" w:cs="Arial"/>
          <w:color w:val="333333"/>
        </w:rPr>
        <w:t xml:space="preserve"> 11.6</w:t>
      </w:r>
      <w:r w:rsidR="009E4BD7" w:rsidRPr="003E47FA">
        <w:rPr>
          <w:rFonts w:ascii="Helvetica" w:hAnsi="Helvetica" w:cs="Arial"/>
          <w:color w:val="333333"/>
        </w:rPr>
        <w:t>(a)</w:t>
      </w:r>
      <w:r w:rsidR="00A76A92" w:rsidRPr="003E47FA">
        <w:rPr>
          <w:rFonts w:ascii="Helvetica" w:hAnsi="Helvetica" w:cs="Arial"/>
          <w:color w:val="333333"/>
        </w:rPr>
        <w:t xml:space="preserve"> o</w:t>
      </w:r>
      <w:r w:rsidR="00750155" w:rsidRPr="003E47FA">
        <w:rPr>
          <w:rFonts w:ascii="Helvetica" w:hAnsi="Helvetica" w:cs="Arial"/>
          <w:color w:val="333333"/>
        </w:rPr>
        <w:t xml:space="preserve">f </w:t>
      </w:r>
      <w:r w:rsidR="003E47FA" w:rsidRPr="003E47FA">
        <w:rPr>
          <w:rFonts w:ascii="Helvetica" w:hAnsi="Helvetica" w:cs="Arial"/>
          <w:color w:val="333333"/>
        </w:rPr>
        <w:t>reference 4</w:t>
      </w:r>
      <w:r w:rsidR="00750155" w:rsidRPr="003E47FA">
        <w:rPr>
          <w:rFonts w:ascii="Helvetica" w:hAnsi="Helvetica" w:cs="Arial"/>
          <w:color w:val="333333"/>
        </w:rPr>
        <w:t xml:space="preserve"> </w:t>
      </w:r>
      <w:r w:rsidR="00A76A92" w:rsidRPr="003E47FA">
        <w:rPr>
          <w:rFonts w:ascii="Helvetica" w:hAnsi="Helvetica" w:cs="Arial"/>
          <w:color w:val="333333"/>
        </w:rPr>
        <w:t>makes it clear</w:t>
      </w:r>
      <w:r w:rsidR="00BA3FD0">
        <w:rPr>
          <w:rFonts w:ascii="Helvetica" w:hAnsi="Helvetica" w:cs="Arial"/>
          <w:color w:val="333333"/>
        </w:rPr>
        <w:t xml:space="preserve"> that</w:t>
      </w:r>
      <w:r w:rsidR="00A76A92" w:rsidRPr="003E47FA">
        <w:rPr>
          <w:rFonts w:ascii="Helvetica" w:hAnsi="Helvetica" w:cs="Arial"/>
          <w:color w:val="333333"/>
        </w:rPr>
        <w:t xml:space="preserve"> </w:t>
      </w:r>
      <w:r w:rsidRPr="003E47FA">
        <w:rPr>
          <w:rFonts w:ascii="Helvetica" w:hAnsi="Helvetica" w:cs="Arial"/>
          <w:color w:val="333333"/>
        </w:rPr>
        <w:t>investigators have a duty to allow a suspect the opportunity to answer the allegations against them and give their own account before a decision on prosecution is made</w:t>
      </w:r>
      <w:r w:rsidR="007417F3" w:rsidRPr="003E47FA">
        <w:rPr>
          <w:rFonts w:ascii="Helvetica" w:hAnsi="Helvetica" w:cs="Arial"/>
          <w:color w:val="333333"/>
        </w:rPr>
        <w:t>.</w:t>
      </w:r>
      <w:r w:rsidR="003E47FA">
        <w:rPr>
          <w:rFonts w:ascii="Helvetica" w:hAnsi="Helvetica" w:cs="Arial"/>
          <w:color w:val="333333"/>
        </w:rPr>
        <w:t xml:space="preserve"> </w:t>
      </w:r>
      <w:r w:rsidR="00A76A92" w:rsidRPr="00402AE8">
        <w:t xml:space="preserve">Whether this </w:t>
      </w:r>
      <w:r w:rsidR="00A76A92" w:rsidRPr="00402AE8">
        <w:lastRenderedPageBreak/>
        <w:t>should be via an interview or by providing the opportunity to</w:t>
      </w:r>
      <w:r w:rsidR="00255336" w:rsidRPr="00402AE8">
        <w:t xml:space="preserve"> make a written submission will be subject to the circumstances of each</w:t>
      </w:r>
      <w:r w:rsidR="00A76A92" w:rsidRPr="00402AE8">
        <w:t xml:space="preserve"> </w:t>
      </w:r>
      <w:r w:rsidR="00255336" w:rsidRPr="00402AE8">
        <w:t>investigation.</w:t>
      </w:r>
    </w:p>
    <w:p w14:paraId="3AC957B8" w14:textId="77777777" w:rsidR="001A365E" w:rsidRPr="00F75732" w:rsidRDefault="001A365E" w:rsidP="001C2C12">
      <w:pPr>
        <w:pStyle w:val="TSHeadingNumbered1"/>
      </w:pPr>
      <w:bookmarkStart w:id="4" w:name="_Toc50653634"/>
      <w:r w:rsidRPr="00C21B7F">
        <w:t>Legislation relevant to Great Britain</w:t>
      </w:r>
      <w:bookmarkEnd w:id="4"/>
    </w:p>
    <w:p w14:paraId="59370EE0" w14:textId="77777777" w:rsidR="001A365E" w:rsidRPr="00402AE8" w:rsidRDefault="00EE2606" w:rsidP="001C2C12">
      <w:pPr>
        <w:pStyle w:val="TSNumberedParagraph11"/>
      </w:pPr>
      <w:r>
        <w:t>Wh</w:t>
      </w:r>
      <w:r w:rsidR="001A365E" w:rsidRPr="00402AE8">
        <w:t>oever the person an investigator is speaking to has rights.</w:t>
      </w:r>
    </w:p>
    <w:p w14:paraId="304289D5" w14:textId="77777777" w:rsidR="001A365E" w:rsidRPr="00736D39" w:rsidRDefault="001A365E">
      <w:pPr>
        <w:pStyle w:val="TSNumberedParagraph11"/>
      </w:pPr>
      <w:r w:rsidRPr="00402AE8">
        <w:t xml:space="preserve">Investigators must act fairly when questioning victims, </w:t>
      </w:r>
      <w:proofErr w:type="gramStart"/>
      <w:r w:rsidRPr="00402AE8">
        <w:t>witnesses</w:t>
      </w:r>
      <w:proofErr w:type="gramEnd"/>
      <w:r w:rsidRPr="00402AE8">
        <w:t xml:space="preserve"> or suspects. They must ensure that they comply with all the provisions and duties under the Equality Act 2010</w:t>
      </w:r>
      <w:r w:rsidR="006360DD">
        <w:t xml:space="preserve"> </w:t>
      </w:r>
      <w:r w:rsidR="006360DD">
        <w:rPr>
          <w:vertAlign w:val="superscript"/>
        </w:rPr>
        <w:t>6</w:t>
      </w:r>
      <w:r w:rsidRPr="00402AE8">
        <w:t xml:space="preserve"> and the Human Rights Act 1998</w:t>
      </w:r>
      <w:r w:rsidR="003E47FA">
        <w:t xml:space="preserve"> </w:t>
      </w:r>
      <w:r w:rsidR="006360DD">
        <w:rPr>
          <w:vertAlign w:val="superscript"/>
        </w:rPr>
        <w:t>7</w:t>
      </w:r>
      <w:r w:rsidRPr="00402AE8">
        <w:t>. Guidance on both Acts can be found on</w:t>
      </w:r>
      <w:r w:rsidR="002A43A8">
        <w:t xml:space="preserve"> The Equality and Human Rights Commission’s</w:t>
      </w:r>
      <w:r w:rsidRPr="00736D39">
        <w:t xml:space="preserve"> website</w:t>
      </w:r>
      <w:r w:rsidR="006360DD">
        <w:t xml:space="preserve"> </w:t>
      </w:r>
      <w:r w:rsidR="006360DD">
        <w:rPr>
          <w:vertAlign w:val="superscript"/>
        </w:rPr>
        <w:t>8</w:t>
      </w:r>
      <w:r w:rsidRPr="00736D39">
        <w:t>.</w:t>
      </w:r>
    </w:p>
    <w:p w14:paraId="03AE7DC9" w14:textId="77777777" w:rsidR="001A365E" w:rsidRPr="00402AE8" w:rsidRDefault="001A365E">
      <w:pPr>
        <w:pStyle w:val="TSNumberedParagraph11"/>
      </w:pPr>
      <w:r w:rsidRPr="00402AE8">
        <w:t>Acting fairly means that the investigator must not approach any interview with prejudice. The interviewer should be prepared to believe the account that they are given but use common sense and judgement rather than personal beliefs to assess the accuracy of what is being said.</w:t>
      </w:r>
    </w:p>
    <w:p w14:paraId="581C2D7C" w14:textId="77777777" w:rsidR="001A365E" w:rsidRPr="00402AE8" w:rsidRDefault="001A365E" w:rsidP="001C2C12">
      <w:pPr>
        <w:pStyle w:val="TSNumberedParagraph11"/>
      </w:pPr>
      <w:r w:rsidRPr="00402AE8">
        <w:t>People with clear or perceived vulnerabilities should be treated with particular care, and extra safeguards should be put in place. Interviewing vulnerable person</w:t>
      </w:r>
      <w:r w:rsidR="00A05AD3" w:rsidRPr="00402AE8">
        <w:t>s</w:t>
      </w:r>
      <w:r w:rsidRPr="00402AE8">
        <w:t xml:space="preserve"> will be </w:t>
      </w:r>
      <w:r w:rsidR="00A05AD3" w:rsidRPr="00402AE8">
        <w:t>considered later in this guide.</w:t>
      </w:r>
    </w:p>
    <w:p w14:paraId="4C09C0FE" w14:textId="77777777" w:rsidR="006B5537" w:rsidRPr="00402AE8" w:rsidRDefault="006B5537" w:rsidP="006B5537">
      <w:pPr>
        <w:pStyle w:val="TSHeadingNumbered1"/>
      </w:pPr>
      <w:bookmarkStart w:id="5" w:name="_Toc50653635"/>
      <w:r w:rsidRPr="00402AE8">
        <w:t xml:space="preserve">the </w:t>
      </w:r>
      <w:r w:rsidR="00A05AD3" w:rsidRPr="00402AE8">
        <w:t xml:space="preserve">Key </w:t>
      </w:r>
      <w:r w:rsidRPr="00402AE8">
        <w:t>legislation</w:t>
      </w:r>
      <w:r w:rsidR="00FE08DA" w:rsidRPr="00402AE8">
        <w:t xml:space="preserve"> and guidance</w:t>
      </w:r>
      <w:r w:rsidRPr="00402AE8">
        <w:t xml:space="preserve"> relevant </w:t>
      </w:r>
      <w:r w:rsidR="009E4BD7" w:rsidRPr="00402AE8">
        <w:t>in</w:t>
      </w:r>
      <w:r w:rsidRPr="00402AE8">
        <w:t xml:space="preserve"> england and wales</w:t>
      </w:r>
      <w:bookmarkEnd w:id="5"/>
      <w:r w:rsidR="006A18B0" w:rsidRPr="00402AE8">
        <w:t xml:space="preserve"> </w:t>
      </w:r>
    </w:p>
    <w:p w14:paraId="2D3DAD09" w14:textId="77777777" w:rsidR="009E4BD7" w:rsidRPr="00C21B7F" w:rsidRDefault="00A05AD3" w:rsidP="001C2C12">
      <w:pPr>
        <w:pStyle w:val="TSNumberedParagraph11"/>
        <w:numPr>
          <w:ilvl w:val="0"/>
          <w:numId w:val="0"/>
        </w:numPr>
        <w:ind w:left="720"/>
      </w:pPr>
      <w:r w:rsidRPr="001C2C12">
        <w:rPr>
          <w:b/>
        </w:rPr>
        <w:t>The Police and Criminal Evidence Act 1984</w:t>
      </w:r>
    </w:p>
    <w:p w14:paraId="3224072A" w14:textId="3543CA56" w:rsidR="00A05AD3" w:rsidRPr="001C2C12" w:rsidRDefault="00A05AD3" w:rsidP="001C2C12">
      <w:pPr>
        <w:pStyle w:val="TSNumberedParagraph11"/>
      </w:pPr>
      <w:r w:rsidRPr="00F75732">
        <w:t>The Police and Criminal Evidence Act 1984 (PACE) (1984 c. 60)</w:t>
      </w:r>
      <w:r w:rsidR="00E72195">
        <w:t xml:space="preserve"> </w:t>
      </w:r>
      <w:r w:rsidR="006360DD">
        <w:rPr>
          <w:vertAlign w:val="superscript"/>
        </w:rPr>
        <w:t>9</w:t>
      </w:r>
      <w:r w:rsidRPr="00F75732">
        <w:t xml:space="preserve"> is an Act of Parliament which </w:t>
      </w:r>
      <w:r w:rsidR="00E72195">
        <w:t>provides</w:t>
      </w:r>
      <w:r w:rsidRPr="00F75732">
        <w:t xml:space="preserve"> a legislative framework for the powers of police officers in England and Wales to </w:t>
      </w:r>
      <w:r w:rsidRPr="001C2C12">
        <w:t>combat crime and provide</w:t>
      </w:r>
      <w:r w:rsidR="002535D3">
        <w:t>s</w:t>
      </w:r>
      <w:r w:rsidRPr="001C2C12">
        <w:t xml:space="preserve"> codes of practice for the exercise of those powers. The aim of PACE is to strike a balance between the powers of the police in England and Wales and the rights and freedoms of the public. PACE was brought in following recommendations set out by the Royal Commission on Criminal Procedure, which followed</w:t>
      </w:r>
      <w:r w:rsidR="00AB3C8E" w:rsidRPr="001C2C12">
        <w:t xml:space="preserve"> the Brixton Riot of 1981. A key causative element of the riot was the disproportionate and indiscriminate use of 'stop and search' powers by the police.</w:t>
      </w:r>
    </w:p>
    <w:p w14:paraId="2B33A861" w14:textId="77777777" w:rsidR="00A05AD3" w:rsidRPr="001C2C12" w:rsidRDefault="00AB3C8E" w:rsidP="001C2C12">
      <w:pPr>
        <w:pStyle w:val="TSNumberedParagraph11"/>
      </w:pPr>
      <w:r w:rsidRPr="001C2C12">
        <w:t xml:space="preserve">Although PACE is a </w:t>
      </w:r>
      <w:proofErr w:type="gramStart"/>
      <w:r w:rsidRPr="001C2C12">
        <w:t>fairly wide-ranging</w:t>
      </w:r>
      <w:proofErr w:type="gramEnd"/>
      <w:r w:rsidRPr="001C2C12">
        <w:t xml:space="preserve"> piece of legislation, it mainly deals with police powers to search an individual or premises, including their powers to gain entry to those premises, the handling of exhibits seized from those searches, and the treatment of suspects once they are in custody, including being interviewed.</w:t>
      </w:r>
    </w:p>
    <w:p w14:paraId="77CF6E12" w14:textId="77777777" w:rsidR="00F8556E" w:rsidRPr="001C2C12" w:rsidRDefault="002703AC" w:rsidP="001C2C12">
      <w:pPr>
        <w:pStyle w:val="TSNumberedParagraph11"/>
      </w:pPr>
      <w:r w:rsidRPr="001C2C12">
        <w:t xml:space="preserve">Two sections of PACE are of relevance to the work of ONR Investigators. </w:t>
      </w:r>
    </w:p>
    <w:p w14:paraId="6BBEAAC3" w14:textId="77777777" w:rsidR="00AB3C8E" w:rsidRPr="001C2C12" w:rsidRDefault="002703AC" w:rsidP="001C2C12">
      <w:pPr>
        <w:pStyle w:val="TSNumberedParagraph11"/>
      </w:pPr>
      <w:r w:rsidRPr="001C2C12">
        <w:t>Section 66 says the following:</w:t>
      </w:r>
    </w:p>
    <w:p w14:paraId="0CA9EF5B" w14:textId="77777777" w:rsidR="002703AC" w:rsidRPr="001C2C12" w:rsidRDefault="00372F51" w:rsidP="001C2C12">
      <w:pPr>
        <w:pStyle w:val="TSNumberedParagraph11"/>
        <w:numPr>
          <w:ilvl w:val="0"/>
          <w:numId w:val="0"/>
        </w:numPr>
        <w:ind w:left="1080"/>
        <w:rPr>
          <w:szCs w:val="22"/>
        </w:rPr>
      </w:pPr>
      <w:r w:rsidRPr="001C2C12">
        <w:rPr>
          <w:szCs w:val="22"/>
        </w:rPr>
        <w:t>“</w:t>
      </w:r>
      <w:r w:rsidR="002703AC" w:rsidRPr="001C2C12">
        <w:rPr>
          <w:b/>
          <w:szCs w:val="22"/>
        </w:rPr>
        <w:t>Codes of practice</w:t>
      </w:r>
      <w:r w:rsidR="002703AC" w:rsidRPr="00C21B7F">
        <w:rPr>
          <w:szCs w:val="22"/>
        </w:rPr>
        <w:t>.</w:t>
      </w:r>
    </w:p>
    <w:p w14:paraId="6E503AEA" w14:textId="77777777" w:rsidR="00372F51" w:rsidRPr="00402AE8" w:rsidRDefault="00372F51" w:rsidP="001C2C12">
      <w:pPr>
        <w:pStyle w:val="TSNumberedParagraph11"/>
        <w:numPr>
          <w:ilvl w:val="0"/>
          <w:numId w:val="0"/>
        </w:numPr>
        <w:ind w:left="1080"/>
        <w:rPr>
          <w:szCs w:val="22"/>
        </w:rPr>
      </w:pPr>
      <w:r w:rsidRPr="00402AE8">
        <w:rPr>
          <w:szCs w:val="22"/>
        </w:rPr>
        <w:t>The Secretary of State shall issue Codes of Practice in connection with-               …</w:t>
      </w:r>
    </w:p>
    <w:p w14:paraId="16F12071" w14:textId="77777777" w:rsidR="00DA70E7" w:rsidRDefault="00372F51" w:rsidP="00C82F44">
      <w:pPr>
        <w:pStyle w:val="TSNumberedParagraph11"/>
        <w:numPr>
          <w:ilvl w:val="0"/>
          <w:numId w:val="0"/>
        </w:numPr>
      </w:pPr>
      <w:r w:rsidRPr="00C21B7F">
        <w:rPr>
          <w:szCs w:val="22"/>
        </w:rPr>
        <w:t>(b) the</w:t>
      </w:r>
      <w:r w:rsidRPr="00F75732">
        <w:rPr>
          <w:szCs w:val="22"/>
        </w:rPr>
        <w:t xml:space="preserve"> detention, treatment, questioning and identification of persons by police officers.</w:t>
      </w:r>
      <w:r w:rsidR="009B08F7" w:rsidRPr="001C2C12">
        <w:rPr>
          <w:szCs w:val="22"/>
        </w:rPr>
        <w:t>”</w:t>
      </w:r>
    </w:p>
    <w:p w14:paraId="3B764539" w14:textId="77777777" w:rsidR="00DA70E7" w:rsidRDefault="00F8556E">
      <w:pPr>
        <w:pStyle w:val="TSNumberedParagraph11"/>
      </w:pPr>
      <w:r w:rsidRPr="001C2C12">
        <w:t xml:space="preserve">Section 67 </w:t>
      </w:r>
      <w:r w:rsidR="00372F51" w:rsidRPr="001C2C12">
        <w:t>says the following:</w:t>
      </w:r>
    </w:p>
    <w:p w14:paraId="434A820F" w14:textId="77777777" w:rsidR="00372F51" w:rsidRPr="00402AE8" w:rsidRDefault="009B08F7" w:rsidP="00372F51">
      <w:pPr>
        <w:ind w:firstLine="720"/>
      </w:pPr>
      <w:r w:rsidRPr="001C2C12">
        <w:t>“</w:t>
      </w:r>
      <w:r w:rsidR="00372F51" w:rsidRPr="00402AE8">
        <w:rPr>
          <w:b/>
        </w:rPr>
        <w:t>Codes of practice</w:t>
      </w:r>
      <w:r w:rsidR="00DA70E7">
        <w:rPr>
          <w:b/>
        </w:rPr>
        <w:t xml:space="preserve"> - </w:t>
      </w:r>
      <w:r w:rsidR="00372F51" w:rsidRPr="00402AE8">
        <w:rPr>
          <w:b/>
        </w:rPr>
        <w:t>supplementary</w:t>
      </w:r>
      <w:r w:rsidR="00372F51" w:rsidRPr="00402AE8">
        <w:t>.</w:t>
      </w:r>
    </w:p>
    <w:p w14:paraId="1C6C57F0" w14:textId="77777777" w:rsidR="00372F51" w:rsidRPr="00402AE8" w:rsidRDefault="00372F51" w:rsidP="00372F51">
      <w:pPr>
        <w:ind w:firstLine="720"/>
      </w:pPr>
      <w:r w:rsidRPr="00402AE8">
        <w:t xml:space="preserve"> …</w:t>
      </w:r>
    </w:p>
    <w:p w14:paraId="0376478A" w14:textId="77777777" w:rsidR="00372F51" w:rsidRPr="00402AE8" w:rsidRDefault="00372F51" w:rsidP="00372F51">
      <w:pPr>
        <w:ind w:left="720"/>
      </w:pPr>
      <w:r w:rsidRPr="00402AE8">
        <w:lastRenderedPageBreak/>
        <w:t xml:space="preserve">(9)   Persons other than police officers who are charged with the duty of investigating offences or charging offenders shall in the discharge of that duty have regard to any relevant provision of a code. </w:t>
      </w:r>
    </w:p>
    <w:p w14:paraId="6BA33932" w14:textId="77777777" w:rsidR="00372F51" w:rsidRPr="00402AE8" w:rsidRDefault="00372F51">
      <w:pPr>
        <w:ind w:firstLine="720"/>
      </w:pPr>
      <w:r w:rsidRPr="00402AE8">
        <w:t>…</w:t>
      </w:r>
    </w:p>
    <w:p w14:paraId="6FD6189D" w14:textId="77777777" w:rsidR="009B08F7" w:rsidRPr="00402AE8" w:rsidRDefault="00372F51" w:rsidP="001C2C12">
      <w:pPr>
        <w:ind w:left="720"/>
      </w:pPr>
      <w:r w:rsidRPr="00402AE8">
        <w:t>(11)   In all criminal and civil proceedings any</w:t>
      </w:r>
      <w:r w:rsidR="009B08F7" w:rsidRPr="00402AE8">
        <w:t xml:space="preserve"> </w:t>
      </w:r>
      <w:r w:rsidRPr="00402AE8">
        <w:t xml:space="preserve">code shall be admissible in evidence; and if any provision of a code appears to the court or tribunal conducting the proceedings to be relevant to any question arising in the proceedings it shall be </w:t>
      </w:r>
      <w:proofErr w:type="gramStart"/>
      <w:r w:rsidRPr="00402AE8">
        <w:t>taken into account</w:t>
      </w:r>
      <w:proofErr w:type="gramEnd"/>
      <w:r w:rsidRPr="00402AE8">
        <w:t xml:space="preserve"> in determining that question.</w:t>
      </w:r>
      <w:r w:rsidR="009B08F7" w:rsidRPr="00402AE8">
        <w:t>”</w:t>
      </w:r>
      <w:r w:rsidRPr="00402AE8">
        <w:t xml:space="preserve"> </w:t>
      </w:r>
    </w:p>
    <w:p w14:paraId="037B3D25" w14:textId="77777777" w:rsidR="009B08F7" w:rsidRPr="00402AE8" w:rsidRDefault="009B08F7" w:rsidP="001C2C12">
      <w:pPr>
        <w:ind w:left="720"/>
      </w:pPr>
    </w:p>
    <w:p w14:paraId="29E55C88" w14:textId="77777777" w:rsidR="00372F51" w:rsidRPr="00402AE8" w:rsidRDefault="00372F51" w:rsidP="001C2C12">
      <w:pPr>
        <w:pStyle w:val="TSNumberedParagraph11"/>
      </w:pPr>
      <w:r w:rsidRPr="00402AE8">
        <w:t xml:space="preserve">ONR and its officers are people who should have regard to the </w:t>
      </w:r>
      <w:r w:rsidR="00AE6B1A">
        <w:t xml:space="preserve">PACE </w:t>
      </w:r>
      <w:r w:rsidRPr="00402AE8">
        <w:t>Codes.</w:t>
      </w:r>
    </w:p>
    <w:p w14:paraId="5F1B87B3" w14:textId="77777777" w:rsidR="009B08F7" w:rsidRPr="00402AE8" w:rsidRDefault="009B08F7" w:rsidP="001C2C12">
      <w:pPr>
        <w:pStyle w:val="TSNumberedParagraph11"/>
      </w:pPr>
      <w:r w:rsidRPr="00402AE8">
        <w:t xml:space="preserve">The High Court has found that the duty “to have regard to” guidance requires that guidance to be </w:t>
      </w:r>
      <w:proofErr w:type="gramStart"/>
      <w:r w:rsidRPr="00402AE8">
        <w:t>taken into account</w:t>
      </w:r>
      <w:proofErr w:type="gramEnd"/>
      <w:r w:rsidRPr="00402AE8">
        <w:t>, and for there to be “clear” reasons for any departure from it, but that it does not go so far as to require a “compelling justification” for a departure</w:t>
      </w:r>
      <w:r w:rsidR="006360DD">
        <w:t xml:space="preserve"> </w:t>
      </w:r>
      <w:r w:rsidR="006360DD">
        <w:rPr>
          <w:vertAlign w:val="superscript"/>
        </w:rPr>
        <w:t>10</w:t>
      </w:r>
      <w:r w:rsidR="00CE5074">
        <w:t>.</w:t>
      </w:r>
    </w:p>
    <w:p w14:paraId="3E31C401" w14:textId="77777777" w:rsidR="00F16BDD" w:rsidRPr="00402AE8" w:rsidRDefault="00F16BDD" w:rsidP="001C2C12">
      <w:pPr>
        <w:pStyle w:val="TSNumberedParagraph11"/>
        <w:numPr>
          <w:ilvl w:val="0"/>
          <w:numId w:val="0"/>
        </w:numPr>
        <w:ind w:left="720"/>
        <w:rPr>
          <w:b/>
        </w:rPr>
      </w:pPr>
      <w:r w:rsidRPr="00402AE8">
        <w:rPr>
          <w:b/>
        </w:rPr>
        <w:t>PACE Codes of Practice, Codes</w:t>
      </w:r>
      <w:r w:rsidR="00FC6BF4" w:rsidRPr="00402AE8">
        <w:rPr>
          <w:b/>
        </w:rPr>
        <w:t xml:space="preserve"> C and E</w:t>
      </w:r>
    </w:p>
    <w:p w14:paraId="16393C5F" w14:textId="77777777" w:rsidR="0005405C" w:rsidRPr="00402AE8" w:rsidRDefault="0005405C" w:rsidP="001C2C12">
      <w:pPr>
        <w:pStyle w:val="TSNumberedParagraph11"/>
      </w:pPr>
      <w:r w:rsidRPr="00402AE8">
        <w:t>The Secretary of State has issued eight Codes of Practice under Section 66 of PACE</w:t>
      </w:r>
      <w:r w:rsidR="00E72195">
        <w:t>.</w:t>
      </w:r>
      <w:r w:rsidRPr="00402AE8">
        <w:t xml:space="preserve">  </w:t>
      </w:r>
      <w:r w:rsidR="00E72195">
        <w:t>O</w:t>
      </w:r>
      <w:r w:rsidRPr="00402AE8">
        <w:t xml:space="preserve">nly </w:t>
      </w:r>
      <w:r w:rsidR="00127C90">
        <w:t xml:space="preserve">PACE </w:t>
      </w:r>
      <w:r w:rsidRPr="00402AE8">
        <w:t>Codes C</w:t>
      </w:r>
      <w:r w:rsidR="00E72195">
        <w:t xml:space="preserve"> </w:t>
      </w:r>
      <w:r w:rsidR="006360DD">
        <w:rPr>
          <w:vertAlign w:val="superscript"/>
        </w:rPr>
        <w:t>4</w:t>
      </w:r>
      <w:r w:rsidRPr="00402AE8">
        <w:t xml:space="preserve"> and E</w:t>
      </w:r>
      <w:r w:rsidR="006360DD">
        <w:t xml:space="preserve"> </w:t>
      </w:r>
      <w:r w:rsidR="006360DD">
        <w:rPr>
          <w:vertAlign w:val="superscript"/>
        </w:rPr>
        <w:t>11</w:t>
      </w:r>
      <w:r w:rsidRPr="00402AE8">
        <w:t xml:space="preserve"> are relevant to the ONR investigator when interviewing suspects. </w:t>
      </w:r>
      <w:r w:rsidR="00AE6B1A">
        <w:t>T</w:t>
      </w:r>
      <w:r w:rsidRPr="00402AE8">
        <w:t xml:space="preserve">he admissibility </w:t>
      </w:r>
      <w:r w:rsidR="00AE6B1A">
        <w:t xml:space="preserve">of PACE Codes </w:t>
      </w:r>
      <w:r w:rsidRPr="00402AE8">
        <w:t>as evidence in criminal proceedings</w:t>
      </w:r>
      <w:r w:rsidR="00AE6B1A">
        <w:t xml:space="preserve"> means</w:t>
      </w:r>
      <w:r w:rsidRPr="00402AE8">
        <w:t xml:space="preserve"> they have the same status as Approve</w:t>
      </w:r>
      <w:r w:rsidR="00AE6B1A">
        <w:t>d</w:t>
      </w:r>
      <w:r w:rsidRPr="00402AE8">
        <w:t xml:space="preserve"> Codes of Practice (</w:t>
      </w:r>
      <w:proofErr w:type="spellStart"/>
      <w:r w:rsidRPr="00402AE8">
        <w:t>ACoP</w:t>
      </w:r>
      <w:proofErr w:type="spellEnd"/>
      <w:r w:rsidRPr="00402AE8">
        <w:t>) created under the Health and Safety at work etc. Act 1974.</w:t>
      </w:r>
      <w:r w:rsidR="0089587E" w:rsidRPr="00402AE8">
        <w:t xml:space="preserve"> </w:t>
      </w:r>
      <w:r w:rsidR="00127C90">
        <w:t>T</w:t>
      </w:r>
      <w:r w:rsidR="0089587E" w:rsidRPr="00402AE8">
        <w:t xml:space="preserve">he PACE </w:t>
      </w:r>
      <w:r w:rsidR="00CD7E00">
        <w:t>C</w:t>
      </w:r>
      <w:r w:rsidR="0089587E" w:rsidRPr="00402AE8">
        <w:t>odes</w:t>
      </w:r>
      <w:r w:rsidR="00CD7E00">
        <w:t>, like an ACOP,</w:t>
      </w:r>
      <w:r w:rsidR="00127C90">
        <w:t xml:space="preserve"> </w:t>
      </w:r>
      <w:r w:rsidR="0089587E" w:rsidRPr="00402AE8">
        <w:t>include other information, known as Notes.</w:t>
      </w:r>
      <w:r w:rsidR="00095239" w:rsidRPr="00402AE8">
        <w:t xml:space="preserve"> (</w:t>
      </w:r>
      <w:r w:rsidR="00095239" w:rsidRPr="00C82F44">
        <w:rPr>
          <w:i/>
        </w:rPr>
        <w:t xml:space="preserve">The </w:t>
      </w:r>
      <w:r w:rsidR="00D0268F" w:rsidRPr="00C82F44">
        <w:rPr>
          <w:i/>
        </w:rPr>
        <w:t xml:space="preserve">Notes </w:t>
      </w:r>
      <w:r w:rsidR="00095239" w:rsidRPr="00C82F44">
        <w:rPr>
          <w:i/>
        </w:rPr>
        <w:t>are written in italics.)</w:t>
      </w:r>
      <w:r w:rsidR="00F75732">
        <w:t xml:space="preserve"> The Notes for Guidance included are not provisions of the Codes. They form guidance about their application and interpretation.</w:t>
      </w:r>
    </w:p>
    <w:p w14:paraId="2CCDD278" w14:textId="77777777" w:rsidR="0005405C" w:rsidRPr="00402AE8" w:rsidRDefault="00127C90" w:rsidP="001C2C12">
      <w:pPr>
        <w:pStyle w:val="TSNumberedParagraph11"/>
      </w:pPr>
      <w:r>
        <w:t xml:space="preserve">PACE </w:t>
      </w:r>
      <w:r w:rsidR="0005405C" w:rsidRPr="00402AE8">
        <w:t>Code C list</w:t>
      </w:r>
      <w:r w:rsidR="00265931">
        <w:t>s</w:t>
      </w:r>
      <w:r w:rsidR="0005405C" w:rsidRPr="00402AE8">
        <w:t xml:space="preserve"> the requirements for the detention, treatment and questioning of suspects not related to terrorism in police custody by police officers. It includes the requirement to explain a person’s rights while detained and the requirement to explain the rights of a person who has not been arrested that apply to a voluntary interview; the latter element is particular</w:t>
      </w:r>
      <w:r w:rsidR="00EE2606">
        <w:t>ly</w:t>
      </w:r>
      <w:r w:rsidR="0005405C" w:rsidRPr="00402AE8">
        <w:t xml:space="preserve"> relevan</w:t>
      </w:r>
      <w:r w:rsidR="00EE2606">
        <w:t>t</w:t>
      </w:r>
      <w:r w:rsidR="0005405C" w:rsidRPr="00402AE8">
        <w:t xml:space="preserve">. The </w:t>
      </w:r>
      <w:r w:rsidR="000A1516">
        <w:t xml:space="preserve">current </w:t>
      </w:r>
      <w:r w:rsidR="0005405C" w:rsidRPr="00402AE8">
        <w:t xml:space="preserve">version </w:t>
      </w:r>
      <w:r w:rsidR="000A1516">
        <w:t>of PACE Code C</w:t>
      </w:r>
      <w:r w:rsidR="0005405C" w:rsidRPr="00402AE8">
        <w:t xml:space="preserve"> was </w:t>
      </w:r>
      <w:r w:rsidR="00EE2606">
        <w:t>issued</w:t>
      </w:r>
      <w:r w:rsidR="0005405C" w:rsidRPr="00402AE8">
        <w:t xml:space="preserve"> in August 2019</w:t>
      </w:r>
      <w:r w:rsidR="0089587E" w:rsidRPr="00402AE8">
        <w:t>. Investigators should always refer to the current version when conducting interviews with suspects.</w:t>
      </w:r>
    </w:p>
    <w:p w14:paraId="6F1003C8" w14:textId="77777777" w:rsidR="0005405C" w:rsidRPr="00402AE8" w:rsidRDefault="00127C90" w:rsidP="001C2C12">
      <w:pPr>
        <w:pStyle w:val="TSNumberedParagraph11"/>
      </w:pPr>
      <w:r>
        <w:t xml:space="preserve">PACE </w:t>
      </w:r>
      <w:r w:rsidR="0005405C" w:rsidRPr="00402AE8">
        <w:t>Code E lists the requirements for audio recording of interviews with suspects. Whilst interviews can be recorded visually or by handwriting, audio</w:t>
      </w:r>
      <w:r w:rsidR="0089587E" w:rsidRPr="00402AE8">
        <w:t xml:space="preserve"> recording is the preferred method when facilities and equipment are available. The current version</w:t>
      </w:r>
      <w:r w:rsidR="000A1516">
        <w:t xml:space="preserve"> of PACE Code E</w:t>
      </w:r>
      <w:r w:rsidR="0089587E" w:rsidRPr="00402AE8">
        <w:t xml:space="preserve"> was </w:t>
      </w:r>
      <w:r w:rsidR="00EE2606">
        <w:t>issued</w:t>
      </w:r>
      <w:r w:rsidR="0089587E" w:rsidRPr="00402AE8">
        <w:t xml:space="preserve"> in July 2018.</w:t>
      </w:r>
    </w:p>
    <w:p w14:paraId="546E06B7" w14:textId="77777777" w:rsidR="0089587E" w:rsidRPr="00402AE8" w:rsidRDefault="0089587E" w:rsidP="001C2C12">
      <w:pPr>
        <w:pStyle w:val="TSNumberedParagraph11"/>
      </w:pPr>
      <w:r w:rsidRPr="00402AE8">
        <w:t xml:space="preserve">Both </w:t>
      </w:r>
      <w:r w:rsidR="000A1516">
        <w:t>PACE C</w:t>
      </w:r>
      <w:r w:rsidRPr="00402AE8">
        <w:t xml:space="preserve">odes </w:t>
      </w:r>
      <w:r w:rsidR="000A1516">
        <w:t xml:space="preserve">C and E </w:t>
      </w:r>
      <w:r w:rsidRPr="00402AE8">
        <w:t xml:space="preserve">must be available </w:t>
      </w:r>
      <w:r w:rsidR="00EE2606">
        <w:t>during</w:t>
      </w:r>
      <w:r w:rsidRPr="00402AE8">
        <w:t xml:space="preserve"> an interview with a suspect.</w:t>
      </w:r>
    </w:p>
    <w:p w14:paraId="1C048C73" w14:textId="77777777" w:rsidR="00C7036C" w:rsidRDefault="0089587E" w:rsidP="007830CF">
      <w:pPr>
        <w:pStyle w:val="TSNumberedParagraph11"/>
      </w:pPr>
      <w:r w:rsidRPr="00402AE8">
        <w:t>Th</w:t>
      </w:r>
      <w:r w:rsidR="00CE5074">
        <w:t>is guide considers the material above, and then reflects the differences in Scotland (which are small). We now consider</w:t>
      </w:r>
      <w:r w:rsidRPr="00402AE8">
        <w:t xml:space="preserve"> those parts </w:t>
      </w:r>
      <w:r w:rsidR="00127C90">
        <w:t xml:space="preserve">of PACE Codes C and E </w:t>
      </w:r>
      <w:r w:rsidRPr="00402AE8">
        <w:t>which are</w:t>
      </w:r>
      <w:r w:rsidR="00127C90">
        <w:t xml:space="preserve"> relevant to the work of ONR</w:t>
      </w:r>
      <w:r w:rsidR="00CE5074">
        <w:t xml:space="preserve"> in England and Wales</w:t>
      </w:r>
      <w:r w:rsidRPr="00402AE8">
        <w:t>.</w:t>
      </w:r>
    </w:p>
    <w:p w14:paraId="758CD5D1" w14:textId="77777777" w:rsidR="00095239" w:rsidRDefault="00811D95" w:rsidP="001C2C12">
      <w:pPr>
        <w:pStyle w:val="TSHeadingNumbered1"/>
      </w:pPr>
      <w:bookmarkStart w:id="6" w:name="_Toc50653636"/>
      <w:r>
        <w:t>relevant parts of code c</w:t>
      </w:r>
      <w:bookmarkEnd w:id="6"/>
    </w:p>
    <w:p w14:paraId="36F39C0D" w14:textId="77777777" w:rsidR="00802609" w:rsidRPr="001C2C12" w:rsidRDefault="00802609" w:rsidP="001C2C12">
      <w:pPr>
        <w:pStyle w:val="TSNumberedParagraph11"/>
        <w:numPr>
          <w:ilvl w:val="0"/>
          <w:numId w:val="0"/>
        </w:numPr>
        <w:ind w:left="720"/>
        <w:rPr>
          <w:b/>
        </w:rPr>
      </w:pPr>
      <w:r>
        <w:rPr>
          <w:b/>
        </w:rPr>
        <w:t>When to conduct an interview</w:t>
      </w:r>
    </w:p>
    <w:p w14:paraId="3AB67291" w14:textId="77777777" w:rsidR="00095239" w:rsidRPr="00402AE8" w:rsidRDefault="00095239" w:rsidP="001C2C12">
      <w:pPr>
        <w:pStyle w:val="TSNumberedParagraph11"/>
      </w:pPr>
      <w:r w:rsidRPr="00402AE8">
        <w:t>The first point to note is that</w:t>
      </w:r>
      <w:r w:rsidR="00DC25BE" w:rsidRPr="00402AE8">
        <w:t xml:space="preserve"> an interview is not with a suspect unless:</w:t>
      </w:r>
    </w:p>
    <w:p w14:paraId="04560856" w14:textId="56235CC3" w:rsidR="00DC25BE" w:rsidRPr="00402AE8" w:rsidRDefault="00CE0094" w:rsidP="001C2C12">
      <w:pPr>
        <w:pStyle w:val="TSNumberedParagraph11"/>
        <w:numPr>
          <w:ilvl w:val="0"/>
          <w:numId w:val="20"/>
        </w:numPr>
      </w:pPr>
      <w:r w:rsidRPr="00402AE8">
        <w:t>There are</w:t>
      </w:r>
      <w:r w:rsidR="00DC25BE" w:rsidRPr="00402AE8">
        <w:t xml:space="preserve"> reasonable, objective grounds for the suspicion, based on known facts or information which are relevant to the likelihood the offence has been committed and the person to be questioned committed it, and</w:t>
      </w:r>
    </w:p>
    <w:p w14:paraId="738A6EAE" w14:textId="77777777" w:rsidR="00DC25BE" w:rsidRDefault="00CE0094" w:rsidP="001C2C12">
      <w:pPr>
        <w:pStyle w:val="TSNumberedParagraph11"/>
        <w:numPr>
          <w:ilvl w:val="0"/>
          <w:numId w:val="20"/>
        </w:numPr>
      </w:pPr>
      <w:r w:rsidRPr="00402AE8">
        <w:t>The intention is to ask th</w:t>
      </w:r>
      <w:r w:rsidR="00B77D12" w:rsidRPr="00402AE8">
        <w:t>em questions about that offence</w:t>
      </w:r>
    </w:p>
    <w:p w14:paraId="20C50632" w14:textId="77777777" w:rsidR="00DA70E7" w:rsidRPr="00402AE8" w:rsidRDefault="00DA70E7" w:rsidP="00C82F44">
      <w:pPr>
        <w:pStyle w:val="TSNumberedParagraph11"/>
      </w:pPr>
      <w:r>
        <w:lastRenderedPageBreak/>
        <w:t>Because a person was previously interviewed as a suspect, that does not make the record of their interview ‘evidence’. If evidence is required from them, then they must have their statement taken as ‘a witness’.</w:t>
      </w:r>
      <w:r>
        <w:rPr>
          <w:vertAlign w:val="superscript"/>
        </w:rPr>
        <w:t>1</w:t>
      </w:r>
    </w:p>
    <w:p w14:paraId="418B5EBE" w14:textId="77777777" w:rsidR="00CE0094" w:rsidRPr="00402AE8" w:rsidRDefault="00190CEE" w:rsidP="001C2C12">
      <w:pPr>
        <w:pStyle w:val="TSNumberedParagraph11"/>
      </w:pPr>
      <w:r w:rsidRPr="00402AE8">
        <w:t>Even if there are reasonable, objective grounds to suspect a person of an offence, the investigator can talk to them about other matters. However, i</w:t>
      </w:r>
      <w:r w:rsidR="00B77D12" w:rsidRPr="00402AE8">
        <w:t xml:space="preserve">f there is an intention to ask them questions about that offence </w:t>
      </w:r>
      <w:r w:rsidR="00B77D12" w:rsidRPr="001C2C12">
        <w:rPr>
          <w:i/>
        </w:rPr>
        <w:t>for the purposes of collecting evidence</w:t>
      </w:r>
      <w:r w:rsidR="00B77D12" w:rsidRPr="00402AE8">
        <w:t>, th</w:t>
      </w:r>
      <w:r w:rsidRPr="00402AE8">
        <w:t>en the person must be cautioned.</w:t>
      </w:r>
      <w:r w:rsidR="00B77D12" w:rsidRPr="00402AE8">
        <w:t xml:space="preserve"> </w:t>
      </w:r>
    </w:p>
    <w:p w14:paraId="1ABE69CE" w14:textId="77777777" w:rsidR="00802609" w:rsidRDefault="00190CEE">
      <w:pPr>
        <w:pStyle w:val="TSNumberedParagraph11"/>
      </w:pPr>
      <w:r w:rsidRPr="001C2C12">
        <w:t>An interview is the questioning of a person regarding their involvement or suspected involvement in a criminal offence or offences. The interview</w:t>
      </w:r>
      <w:r w:rsidR="00A62A72">
        <w:t xml:space="preserve"> can only </w:t>
      </w:r>
      <w:r w:rsidR="00EE2606">
        <w:t>start</w:t>
      </w:r>
      <w:r w:rsidR="00A62A72">
        <w:t xml:space="preserve"> once</w:t>
      </w:r>
      <w:r w:rsidRPr="001C2C12">
        <w:t xml:space="preserve"> they are cautioned</w:t>
      </w:r>
      <w:r w:rsidR="00802609">
        <w:t xml:space="preserve"> (unsolicited comments are considered later in this guide)</w:t>
      </w:r>
      <w:r w:rsidRPr="001C2C12">
        <w:t xml:space="preserve">. </w:t>
      </w:r>
    </w:p>
    <w:p w14:paraId="15EDC1F4" w14:textId="77777777" w:rsidR="00190CEE" w:rsidRPr="001C2C12" w:rsidRDefault="00802609">
      <w:pPr>
        <w:pStyle w:val="TSNumberedParagraph11"/>
      </w:pPr>
      <w:proofErr w:type="gramStart"/>
      <w:r>
        <w:t>In order to</w:t>
      </w:r>
      <w:proofErr w:type="gramEnd"/>
      <w:r>
        <w:t xml:space="preserve"> help ensure that the relevant parts of the PACE Codes that consider a voluntary interview with a suspect</w:t>
      </w:r>
      <w:r w:rsidR="0065514D">
        <w:t xml:space="preserve"> are adhered to</w:t>
      </w:r>
      <w:r>
        <w:t xml:space="preserve">, the investigator should use the resources found in the annexes to this guide. </w:t>
      </w:r>
    </w:p>
    <w:p w14:paraId="5D36775E" w14:textId="77777777" w:rsidR="00372F51" w:rsidRDefault="00972DE9" w:rsidP="001C2C12">
      <w:pPr>
        <w:pStyle w:val="TSNumberedParagraph11"/>
      </w:pPr>
      <w:r>
        <w:t xml:space="preserve">Prior to being </w:t>
      </w:r>
      <w:proofErr w:type="gramStart"/>
      <w:r>
        <w:t xml:space="preserve">interviewed, </w:t>
      </w:r>
      <w:r w:rsidR="00190CEE" w:rsidRPr="001C2C12">
        <w:t xml:space="preserve"> a</w:t>
      </w:r>
      <w:proofErr w:type="gramEnd"/>
      <w:r w:rsidR="00190CEE" w:rsidRPr="001C2C12">
        <w:t xml:space="preserve"> person  and, if they are represented, their</w:t>
      </w:r>
      <w:r w:rsidR="00F02043" w:rsidRPr="001C2C12">
        <w:t xml:space="preserve"> </w:t>
      </w:r>
      <w:r w:rsidR="00190CEE" w:rsidRPr="001C2C12">
        <w:t>solicitor must be given sufficient information to enable them to understand the nature of any</w:t>
      </w:r>
      <w:r w:rsidR="00F02043" w:rsidRPr="001C2C12">
        <w:t xml:space="preserve"> </w:t>
      </w:r>
      <w:r w:rsidR="00190CEE" w:rsidRPr="001C2C12">
        <w:t>such offence, and why they are suspected of committing it in order to allow for the effective exercise of the rights of the defence. However,</w:t>
      </w:r>
      <w:r w:rsidR="00F02043" w:rsidRPr="001C2C12">
        <w:t xml:space="preserve"> </w:t>
      </w:r>
      <w:r w:rsidR="00190CEE" w:rsidRPr="001C2C12">
        <w:t xml:space="preserve">whilst the information must always be </w:t>
      </w:r>
      <w:r w:rsidR="00EE2606" w:rsidRPr="001C2C12">
        <w:t>enough</w:t>
      </w:r>
      <w:r w:rsidR="00190CEE" w:rsidRPr="001C2C12">
        <w:t xml:space="preserve"> for the person to understand the nature of</w:t>
      </w:r>
      <w:r w:rsidR="00F02043" w:rsidRPr="001C2C12">
        <w:t xml:space="preserve"> any offence</w:t>
      </w:r>
      <w:r w:rsidR="00190CEE" w:rsidRPr="001C2C12">
        <w:t>, this does not require the disclosure of details at a time which</w:t>
      </w:r>
      <w:r w:rsidR="00F02043" w:rsidRPr="001C2C12">
        <w:t xml:space="preserve"> </w:t>
      </w:r>
      <w:r w:rsidR="00190CEE" w:rsidRPr="001C2C12">
        <w:t>might prejudice the criminal investigation. The decision about what needs to be disclosed</w:t>
      </w:r>
      <w:r w:rsidR="00F02043" w:rsidRPr="001C2C12">
        <w:t xml:space="preserve"> </w:t>
      </w:r>
      <w:r w:rsidR="00190CEE" w:rsidRPr="001C2C12">
        <w:t>for the purpose of this requirement therefore rest</w:t>
      </w:r>
      <w:r w:rsidR="00F02043" w:rsidRPr="001C2C12">
        <w:t>s with the investigator</w:t>
      </w:r>
      <w:r w:rsidR="00190CEE" w:rsidRPr="001C2C12">
        <w:t xml:space="preserve"> who has</w:t>
      </w:r>
      <w:r w:rsidR="00F02043" w:rsidRPr="001C2C12">
        <w:t xml:space="preserve"> </w:t>
      </w:r>
      <w:r w:rsidR="00EE2606" w:rsidRPr="001C2C12">
        <w:t>enough</w:t>
      </w:r>
      <w:r w:rsidR="00190CEE" w:rsidRPr="001C2C12">
        <w:t xml:space="preserve"> knowledge of the case to make that decisi</w:t>
      </w:r>
      <w:r w:rsidR="00F02043" w:rsidRPr="001C2C12">
        <w:t>on. A</w:t>
      </w:r>
      <w:r w:rsidR="00190CEE" w:rsidRPr="001C2C12">
        <w:t xml:space="preserve"> record of the information disc</w:t>
      </w:r>
      <w:r w:rsidR="00F02043" w:rsidRPr="001C2C12">
        <w:t xml:space="preserve">losed and when it was disclosed must be made and kept </w:t>
      </w:r>
      <w:proofErr w:type="gramStart"/>
      <w:r w:rsidR="00F02043" w:rsidRPr="001C2C12">
        <w:t>to prevent</w:t>
      </w:r>
      <w:proofErr w:type="gramEnd"/>
      <w:r w:rsidR="00F02043" w:rsidRPr="001C2C12">
        <w:t xml:space="preserve"> the possibility of later challenge (see</w:t>
      </w:r>
      <w:r w:rsidR="002A43A8">
        <w:t xml:space="preserve"> R v. Ali </w:t>
      </w:r>
      <w:proofErr w:type="spellStart"/>
      <w:r w:rsidR="002A43A8">
        <w:t>Hersi</w:t>
      </w:r>
      <w:proofErr w:type="spellEnd"/>
      <w:r w:rsidR="002A43A8">
        <w:t xml:space="preserve"> Roble [1997]</w:t>
      </w:r>
      <w:r w:rsidR="006360DD">
        <w:t xml:space="preserve"> </w:t>
      </w:r>
      <w:r w:rsidR="006360DD">
        <w:rPr>
          <w:vertAlign w:val="superscript"/>
        </w:rPr>
        <w:t>12</w:t>
      </w:r>
      <w:r w:rsidR="002A43A8">
        <w:t>).</w:t>
      </w:r>
      <w:r w:rsidR="00F02043" w:rsidRPr="001C2C12">
        <w:t xml:space="preserve"> </w:t>
      </w:r>
      <w:r w:rsidR="002A43A8">
        <w:t xml:space="preserve"> </w:t>
      </w:r>
    </w:p>
    <w:p w14:paraId="0D8E472A" w14:textId="77777777" w:rsidR="00802609" w:rsidRPr="001C2C12" w:rsidRDefault="00802609" w:rsidP="001C2C12">
      <w:pPr>
        <w:pStyle w:val="TSNumberedParagraph11"/>
        <w:numPr>
          <w:ilvl w:val="0"/>
          <w:numId w:val="0"/>
        </w:numPr>
        <w:ind w:left="720"/>
        <w:rPr>
          <w:b/>
        </w:rPr>
      </w:pPr>
      <w:r>
        <w:rPr>
          <w:b/>
        </w:rPr>
        <w:t>The solicitor</w:t>
      </w:r>
    </w:p>
    <w:p w14:paraId="264CCCF5" w14:textId="77777777" w:rsidR="00F02043" w:rsidRDefault="0041296C" w:rsidP="001C2C12">
      <w:pPr>
        <w:pStyle w:val="TSNumberedParagraph11"/>
      </w:pPr>
      <w:r>
        <w:t xml:space="preserve">As indicated above, a suspect is entitled to have representation if they are to be interviewed. If they were being interviewed by the police, then they would have the right to have free, independent advice provided for them.  However, </w:t>
      </w:r>
      <w:r w:rsidR="00EE2606">
        <w:t>n</w:t>
      </w:r>
      <w:r>
        <w:t>ote 3J of PACE Code C has the following to say about organisations such as ONR:</w:t>
      </w:r>
    </w:p>
    <w:p w14:paraId="6B5F9D68" w14:textId="77777777" w:rsidR="0041296C" w:rsidRDefault="0041296C" w:rsidP="001C2C12">
      <w:pPr>
        <w:autoSpaceDE w:val="0"/>
        <w:autoSpaceDN w:val="0"/>
        <w:adjustRightInd w:val="0"/>
        <w:ind w:left="1440"/>
        <w:rPr>
          <w:rFonts w:cs="Arial"/>
          <w:i/>
          <w:iCs/>
          <w:szCs w:val="22"/>
        </w:rPr>
      </w:pPr>
      <w:r w:rsidRPr="001C2C12">
        <w:rPr>
          <w:rFonts w:cs="Arial"/>
          <w:i/>
          <w:iCs/>
          <w:color w:val="000000"/>
          <w:szCs w:val="22"/>
          <w:lang w:eastAsia="en-GB"/>
        </w:rPr>
        <w:t>For voluntary interviews conducted by non-police investigators, the provision of legal advice</w:t>
      </w:r>
      <w:r>
        <w:rPr>
          <w:rFonts w:cs="Arial"/>
          <w:i/>
          <w:iCs/>
          <w:color w:val="000000"/>
          <w:szCs w:val="22"/>
          <w:lang w:eastAsia="en-GB"/>
        </w:rPr>
        <w:t xml:space="preserve"> </w:t>
      </w:r>
      <w:r w:rsidRPr="001C2C12">
        <w:rPr>
          <w:rFonts w:cs="Arial"/>
          <w:i/>
          <w:iCs/>
          <w:color w:val="000000"/>
          <w:szCs w:val="22"/>
          <w:lang w:eastAsia="en-GB"/>
        </w:rPr>
        <w:t>is set out by the Legal Aid Agency</w:t>
      </w:r>
      <w:r w:rsidR="00C766BA">
        <w:rPr>
          <w:rFonts w:cs="Arial"/>
          <w:i/>
          <w:iCs/>
          <w:color w:val="000000"/>
          <w:szCs w:val="22"/>
          <w:lang w:eastAsia="en-GB"/>
        </w:rPr>
        <w:t xml:space="preserve"> </w:t>
      </w:r>
      <w:r w:rsidRPr="001C2C12">
        <w:rPr>
          <w:rFonts w:cs="Arial"/>
          <w:i/>
          <w:iCs/>
          <w:color w:val="000000"/>
          <w:szCs w:val="22"/>
          <w:lang w:eastAsia="en-GB"/>
        </w:rPr>
        <w:t>at paragraph 9.54 of the 2017 Standard Crime Contract</w:t>
      </w:r>
      <w:r>
        <w:rPr>
          <w:rFonts w:cs="Arial"/>
          <w:i/>
          <w:iCs/>
          <w:color w:val="000000"/>
          <w:szCs w:val="22"/>
          <w:lang w:eastAsia="en-GB"/>
        </w:rPr>
        <w:t xml:space="preserve"> </w:t>
      </w:r>
      <w:r w:rsidRPr="001C2C12">
        <w:rPr>
          <w:rFonts w:cs="Arial"/>
          <w:i/>
          <w:iCs/>
          <w:color w:val="000000"/>
          <w:szCs w:val="22"/>
          <w:lang w:eastAsia="en-GB"/>
        </w:rPr>
        <w:t>Specification</w:t>
      </w:r>
      <w:r w:rsidR="004110E2">
        <w:rPr>
          <w:rFonts w:cs="Arial"/>
          <w:i/>
          <w:iCs/>
          <w:color w:val="000000"/>
          <w:szCs w:val="22"/>
          <w:lang w:eastAsia="en-GB"/>
        </w:rPr>
        <w:t xml:space="preserve"> (reference 13)</w:t>
      </w:r>
      <w:r w:rsidRPr="001C2C12">
        <w:rPr>
          <w:rFonts w:cs="Arial"/>
          <w:i/>
          <w:iCs/>
          <w:color w:val="000000"/>
          <w:szCs w:val="22"/>
          <w:lang w:eastAsia="en-GB"/>
        </w:rPr>
        <w:t xml:space="preserve">. </w:t>
      </w:r>
      <w:r w:rsidR="004110E2">
        <w:rPr>
          <w:rFonts w:cs="Arial"/>
          <w:i/>
          <w:iCs/>
          <w:color w:val="1F497D"/>
          <w:szCs w:val="22"/>
          <w:lang w:eastAsia="en-GB"/>
        </w:rPr>
        <w:t>T</w:t>
      </w:r>
      <w:r w:rsidRPr="001C2C12">
        <w:rPr>
          <w:rFonts w:cs="Arial"/>
          <w:i/>
          <w:iCs/>
          <w:color w:val="000000"/>
          <w:szCs w:val="22"/>
          <w:lang w:eastAsia="en-GB"/>
        </w:rPr>
        <w:t>he rules mean that a non-police interviewer who does not have</w:t>
      </w:r>
      <w:r>
        <w:rPr>
          <w:rFonts w:cs="Arial"/>
          <w:i/>
          <w:iCs/>
          <w:color w:val="000000"/>
          <w:szCs w:val="22"/>
          <w:lang w:eastAsia="en-GB"/>
        </w:rPr>
        <w:t xml:space="preserve"> </w:t>
      </w:r>
      <w:r w:rsidRPr="001C2C12">
        <w:rPr>
          <w:rFonts w:cs="Arial"/>
          <w:i/>
          <w:iCs/>
          <w:color w:val="000000"/>
          <w:szCs w:val="22"/>
          <w:lang w:eastAsia="en-GB"/>
        </w:rPr>
        <w:t>their own statutory power of arrest would have to inform the suspect that they have a right</w:t>
      </w:r>
      <w:r w:rsidR="001974B7">
        <w:rPr>
          <w:rFonts w:cs="Arial"/>
          <w:i/>
          <w:iCs/>
          <w:color w:val="000000"/>
          <w:szCs w:val="22"/>
          <w:lang w:eastAsia="en-GB"/>
        </w:rPr>
        <w:t xml:space="preserve"> </w:t>
      </w:r>
      <w:r w:rsidRPr="001C2C12">
        <w:rPr>
          <w:rFonts w:cs="Arial"/>
          <w:i/>
          <w:iCs/>
          <w:color w:val="000000"/>
          <w:szCs w:val="22"/>
          <w:lang w:eastAsia="en-GB"/>
        </w:rPr>
        <w:t>to seek legal advice if they wish, but payment would be a matter for them to arrange with</w:t>
      </w:r>
      <w:r>
        <w:rPr>
          <w:rFonts w:cs="Arial"/>
          <w:i/>
          <w:iCs/>
          <w:color w:val="000000"/>
          <w:szCs w:val="22"/>
          <w:lang w:eastAsia="en-GB"/>
        </w:rPr>
        <w:t xml:space="preserve"> </w:t>
      </w:r>
      <w:r w:rsidRPr="001C2C12">
        <w:rPr>
          <w:rFonts w:cs="Arial"/>
          <w:i/>
          <w:iCs/>
          <w:color w:val="000000"/>
          <w:szCs w:val="22"/>
          <w:lang w:eastAsia="en-GB"/>
        </w:rPr>
        <w:t>the solicitor.</w:t>
      </w:r>
    </w:p>
    <w:p w14:paraId="4E2686C8" w14:textId="77777777" w:rsidR="00C7036C" w:rsidRDefault="00C7036C" w:rsidP="001C2C12">
      <w:pPr>
        <w:pStyle w:val="TSNumberedParagraph11"/>
        <w:numPr>
          <w:ilvl w:val="0"/>
          <w:numId w:val="0"/>
        </w:numPr>
        <w:ind w:left="720"/>
        <w:rPr>
          <w:b/>
        </w:rPr>
      </w:pPr>
    </w:p>
    <w:p w14:paraId="370D84FE" w14:textId="77777777" w:rsidR="00C21B7F" w:rsidRDefault="00C21B7F" w:rsidP="001C2C12">
      <w:pPr>
        <w:pStyle w:val="TSNumberedParagraph11"/>
        <w:numPr>
          <w:ilvl w:val="0"/>
          <w:numId w:val="0"/>
        </w:numPr>
        <w:ind w:left="720"/>
      </w:pPr>
      <w:r>
        <w:rPr>
          <w:b/>
        </w:rPr>
        <w:t>Vulnerable persons</w:t>
      </w:r>
    </w:p>
    <w:p w14:paraId="1CB3D20D" w14:textId="77777777" w:rsidR="00C21B7F" w:rsidRPr="00C21B7F" w:rsidRDefault="00C21B7F">
      <w:pPr>
        <w:pStyle w:val="TSNumberedParagraph11"/>
      </w:pPr>
      <w:r>
        <w:t xml:space="preserve">PACE Code C describes the protections that must be in place if it becomes necessary to interview a vulnerable person. The Code describes a vulnerable person as </w:t>
      </w:r>
      <w:r w:rsidRPr="00C21B7F">
        <w:t xml:space="preserve">any person who, because </w:t>
      </w:r>
      <w:r>
        <w:t xml:space="preserve">of a mental health condition or </w:t>
      </w:r>
      <w:r w:rsidRPr="00C21B7F">
        <w:t>mental disorde</w:t>
      </w:r>
      <w:r w:rsidR="00802609">
        <w:t>r</w:t>
      </w:r>
      <w:r w:rsidRPr="00C21B7F">
        <w:t>:</w:t>
      </w:r>
    </w:p>
    <w:p w14:paraId="398E0507" w14:textId="77777777" w:rsidR="00C21B7F" w:rsidRDefault="00C21B7F" w:rsidP="001C2C12">
      <w:pPr>
        <w:pStyle w:val="TSNumberedParagraph11"/>
        <w:numPr>
          <w:ilvl w:val="0"/>
          <w:numId w:val="22"/>
        </w:numPr>
      </w:pPr>
      <w:r w:rsidRPr="00C21B7F">
        <w:t>may have difficulty understanding or communicating effectively about the full</w:t>
      </w:r>
      <w:r>
        <w:t xml:space="preserve"> </w:t>
      </w:r>
      <w:r w:rsidRPr="00C21B7F">
        <w:t>implications for them of any procedur</w:t>
      </w:r>
      <w:r>
        <w:t>es and processes connected with the exercise of their rights and entitlements</w:t>
      </w:r>
    </w:p>
    <w:p w14:paraId="1863C240" w14:textId="77777777" w:rsidR="00C21B7F" w:rsidRDefault="00C21B7F" w:rsidP="001C2C12">
      <w:pPr>
        <w:pStyle w:val="TSNumberedParagraph11"/>
        <w:numPr>
          <w:ilvl w:val="0"/>
          <w:numId w:val="22"/>
        </w:numPr>
      </w:pPr>
      <w:r>
        <w:t>does not appear to understand the significance of what they are told, of the questions they are asked or of their replies</w:t>
      </w:r>
    </w:p>
    <w:p w14:paraId="461FC985" w14:textId="77777777" w:rsidR="00C21B7F" w:rsidRDefault="00C21B7F" w:rsidP="001C2C12">
      <w:pPr>
        <w:pStyle w:val="TSNumberedParagraph11"/>
        <w:numPr>
          <w:ilvl w:val="0"/>
          <w:numId w:val="22"/>
        </w:numPr>
      </w:pPr>
      <w:r w:rsidRPr="00C21B7F">
        <w:lastRenderedPageBreak/>
        <w:t>appears to be particularly prone to:</w:t>
      </w:r>
    </w:p>
    <w:p w14:paraId="4C82DCF7" w14:textId="77777777" w:rsidR="00C21B7F" w:rsidRDefault="00C21B7F" w:rsidP="001C2C12">
      <w:pPr>
        <w:pStyle w:val="TSNumberedParagraph11"/>
        <w:numPr>
          <w:ilvl w:val="0"/>
          <w:numId w:val="23"/>
        </w:numPr>
      </w:pPr>
      <w:r w:rsidRPr="00C21B7F">
        <w:t xml:space="preserve">becoming confused and unclear about their </w:t>
      </w:r>
      <w:proofErr w:type="gramStart"/>
      <w:r w:rsidRPr="00C21B7F">
        <w:t>position;</w:t>
      </w:r>
      <w:proofErr w:type="gramEnd"/>
    </w:p>
    <w:p w14:paraId="5363CDEA" w14:textId="77777777" w:rsidR="00C21B7F" w:rsidRDefault="00C21B7F" w:rsidP="001C2C12">
      <w:pPr>
        <w:pStyle w:val="TSNumberedParagraph11"/>
        <w:numPr>
          <w:ilvl w:val="0"/>
          <w:numId w:val="23"/>
        </w:numPr>
      </w:pPr>
      <w:r w:rsidRPr="00C21B7F">
        <w:t>providing unreliable, misleading or incriminating information without knowing</w:t>
      </w:r>
      <w:r>
        <w:t xml:space="preserve"> </w:t>
      </w:r>
      <w:r w:rsidRPr="00C21B7F">
        <w:t xml:space="preserve">or wishing to do </w:t>
      </w:r>
      <w:proofErr w:type="gramStart"/>
      <w:r w:rsidRPr="00C21B7F">
        <w:t>so;</w:t>
      </w:r>
      <w:proofErr w:type="gramEnd"/>
    </w:p>
    <w:p w14:paraId="36DF7036" w14:textId="77777777" w:rsidR="00C21B7F" w:rsidRDefault="00C21B7F" w:rsidP="001C2C12">
      <w:pPr>
        <w:pStyle w:val="TSNumberedParagraph11"/>
        <w:numPr>
          <w:ilvl w:val="0"/>
          <w:numId w:val="23"/>
        </w:numPr>
      </w:pPr>
      <w:r w:rsidRPr="00C21B7F">
        <w:t>accepting or acting on suggestions from others without consciously knowing</w:t>
      </w:r>
      <w:r>
        <w:t xml:space="preserve"> or wishing to do so; or</w:t>
      </w:r>
      <w:r w:rsidRPr="00C21B7F">
        <w:t xml:space="preserve"> readily agreeing to suggestions or proposals without any protest or question</w:t>
      </w:r>
      <w:r>
        <w:t>.</w:t>
      </w:r>
    </w:p>
    <w:p w14:paraId="34E0982B" w14:textId="77777777" w:rsidR="00C21B7F" w:rsidRDefault="00C21B7F" w:rsidP="001C2C12">
      <w:pPr>
        <w:pStyle w:val="TSNumberedParagraph11"/>
      </w:pPr>
      <w:r>
        <w:t xml:space="preserve">A person may be vulnerable </w:t>
      </w:r>
      <w:proofErr w:type="gramStart"/>
      <w:r>
        <w:t>as a result of</w:t>
      </w:r>
      <w:proofErr w:type="gramEnd"/>
      <w:r>
        <w:t xml:space="preserve"> having a mental health condition or mental disorder. Similarly, simply because an individual does not have, or is not known to have, any such condition or disorder, does not mean that they are not vulnerable for the purposes</w:t>
      </w:r>
      <w:r w:rsidR="00265931">
        <w:t xml:space="preserve"> of</w:t>
      </w:r>
      <w:r w:rsidR="00636A49">
        <w:t xml:space="preserve"> an interview</w:t>
      </w:r>
      <w:r>
        <w:t>. It is theref</w:t>
      </w:r>
      <w:r w:rsidR="00636A49">
        <w:t>ore important that the person</w:t>
      </w:r>
      <w:r>
        <w:t xml:space="preserve"> in</w:t>
      </w:r>
      <w:r w:rsidR="00636A49">
        <w:t xml:space="preserve">vestigating the offence </w:t>
      </w:r>
      <w:r>
        <w:t xml:space="preserve">considers on a </w:t>
      </w:r>
      <w:proofErr w:type="gramStart"/>
      <w:r>
        <w:t>case by case</w:t>
      </w:r>
      <w:proofErr w:type="gramEnd"/>
      <w:r>
        <w:t xml:space="preserve"> basis, whether any of the</w:t>
      </w:r>
      <w:r w:rsidR="00636A49">
        <w:t xml:space="preserve"> </w:t>
      </w:r>
      <w:r>
        <w:t xml:space="preserve">factors described in </w:t>
      </w:r>
      <w:r w:rsidR="00636A49">
        <w:t>the paragraph above</w:t>
      </w:r>
      <w:r>
        <w:t xml:space="preserve"> might apply to the person in question. In doing so,</w:t>
      </w:r>
      <w:r w:rsidR="00636A49">
        <w:t xml:space="preserve"> the investigator</w:t>
      </w:r>
      <w:r>
        <w:t xml:space="preserve"> must </w:t>
      </w:r>
      <w:proofErr w:type="gramStart"/>
      <w:r>
        <w:t>take into account</w:t>
      </w:r>
      <w:proofErr w:type="gramEnd"/>
      <w:r>
        <w:t xml:space="preserve"> the particular circumstances of the individual and how the</w:t>
      </w:r>
      <w:r w:rsidR="00636A49">
        <w:t xml:space="preserve"> </w:t>
      </w:r>
      <w:r>
        <w:t>nature of the investigation might affect them</w:t>
      </w:r>
      <w:r w:rsidR="00636A49">
        <w:t>.</w:t>
      </w:r>
    </w:p>
    <w:p w14:paraId="273A6737" w14:textId="77777777" w:rsidR="00636A49" w:rsidRDefault="00636A49">
      <w:pPr>
        <w:pStyle w:val="TSNumberedParagraph11"/>
      </w:pPr>
      <w:r>
        <w:t>The Mental Health Act 1983 Code of Practice</w:t>
      </w:r>
      <w:r w:rsidR="00A038C9">
        <w:t xml:space="preserve"> </w:t>
      </w:r>
      <w:r w:rsidR="00CE5074">
        <w:rPr>
          <w:vertAlign w:val="superscript"/>
        </w:rPr>
        <w:t>14</w:t>
      </w:r>
      <w:r>
        <w:t xml:space="preserve"> at page 26 describes the range of clinically recognised conditions which can fall with the meaning of mental disorder for the purpose of paragraph </w:t>
      </w:r>
      <w:r w:rsidR="00802609">
        <w:t>7.6</w:t>
      </w:r>
      <w:r>
        <w:t xml:space="preserve">. </w:t>
      </w:r>
    </w:p>
    <w:p w14:paraId="0696684C" w14:textId="77777777" w:rsidR="00636A49" w:rsidRDefault="00636A49" w:rsidP="001C2C12">
      <w:pPr>
        <w:pStyle w:val="TSNumberedParagraph11"/>
      </w:pPr>
      <w:r>
        <w:t>Investigators are minded that those involved in an incident may need to be treated as a vulnerable person because of the events they have witnessed, participated in, or have knowledge of.</w:t>
      </w:r>
    </w:p>
    <w:p w14:paraId="532BF1BE" w14:textId="77777777" w:rsidR="00656049" w:rsidRDefault="00656049" w:rsidP="001C2C12">
      <w:pPr>
        <w:pStyle w:val="TSNumberedParagraph11"/>
      </w:pPr>
      <w:r>
        <w:t xml:space="preserve">If there are grounds to suspect that the persons who the investigator wishes to interview about a suspected offence </w:t>
      </w:r>
      <w:r w:rsidR="00483628">
        <w:t xml:space="preserve">are </w:t>
      </w:r>
      <w:r w:rsidR="00AC4366">
        <w:t>vulnerable,</w:t>
      </w:r>
      <w:r>
        <w:t xml:space="preserve"> then the guidance found </w:t>
      </w:r>
      <w:r w:rsidRPr="001C2C12">
        <w:rPr>
          <w:i/>
        </w:rPr>
        <w:t xml:space="preserve">at </w:t>
      </w:r>
      <w:r w:rsidR="00483628" w:rsidRPr="001C2C12">
        <w:rPr>
          <w:i/>
        </w:rPr>
        <w:t>A</w:t>
      </w:r>
      <w:r w:rsidR="00483628">
        <w:rPr>
          <w:i/>
        </w:rPr>
        <w:t xml:space="preserve">nnex </w:t>
      </w:r>
      <w:r w:rsidR="00483628" w:rsidRPr="001C2C12">
        <w:rPr>
          <w:i/>
        </w:rPr>
        <w:t>E</w:t>
      </w:r>
      <w:r w:rsidRPr="001C2C12">
        <w:rPr>
          <w:i/>
        </w:rPr>
        <w:t xml:space="preserve"> of </w:t>
      </w:r>
      <w:r w:rsidR="0066538A">
        <w:rPr>
          <w:i/>
        </w:rPr>
        <w:t xml:space="preserve">PACE </w:t>
      </w:r>
      <w:r w:rsidRPr="001C2C12">
        <w:rPr>
          <w:i/>
        </w:rPr>
        <w:t>Code C must be followed where appropriate.</w:t>
      </w:r>
    </w:p>
    <w:p w14:paraId="57E5E076" w14:textId="77777777" w:rsidR="00802609" w:rsidRDefault="008354E6" w:rsidP="001C2C12">
      <w:pPr>
        <w:pStyle w:val="TSNumberedParagraph11"/>
        <w:numPr>
          <w:ilvl w:val="0"/>
          <w:numId w:val="0"/>
        </w:numPr>
        <w:ind w:left="720"/>
      </w:pPr>
      <w:r>
        <w:rPr>
          <w:b/>
        </w:rPr>
        <w:t>Interpreters</w:t>
      </w:r>
    </w:p>
    <w:p w14:paraId="28E0F1ED" w14:textId="77777777" w:rsidR="00736F2C" w:rsidRDefault="008354E6" w:rsidP="001C2C12">
      <w:pPr>
        <w:pStyle w:val="TSNumberedParagraph11"/>
      </w:pPr>
      <w:r>
        <w:t>ONR is responsible for provid</w:t>
      </w:r>
      <w:r w:rsidR="00AC4366">
        <w:t>ing</w:t>
      </w:r>
      <w:r>
        <w:t xml:space="preserve"> appropriately qualified independent persons to act as interpreters and to provide translations of essential documents. ONR </w:t>
      </w:r>
      <w:r w:rsidR="007823C5">
        <w:t>addresses this responsibility</w:t>
      </w:r>
      <w:r>
        <w:t xml:space="preserve"> by having arrangements with HSE to access their services. Further guidance is found in ONR-ENF-GD-013 – Witness statement taking</w:t>
      </w:r>
      <w:r w:rsidR="00CE5074">
        <w:t xml:space="preserve"> </w:t>
      </w:r>
      <w:r w:rsidR="00CE5074">
        <w:rPr>
          <w:vertAlign w:val="superscript"/>
        </w:rPr>
        <w:t>1</w:t>
      </w:r>
      <w:r>
        <w:t>.</w:t>
      </w:r>
    </w:p>
    <w:p w14:paraId="58ADC984" w14:textId="77777777" w:rsidR="00C6216D" w:rsidRDefault="00C6216D" w:rsidP="001C2C12">
      <w:pPr>
        <w:pStyle w:val="TSNumberedParagraph11"/>
      </w:pPr>
      <w:r>
        <w:t>A suspect who requires an interpreter because they do not appear to speak or understand English must not be interviewed unless arrangements are made for a person capable of interpreting to assist the suspect to understand and communicate.</w:t>
      </w:r>
    </w:p>
    <w:p w14:paraId="1E18C48B" w14:textId="77777777" w:rsidR="00C6216D" w:rsidRDefault="00C6216D" w:rsidP="001C2C12">
      <w:pPr>
        <w:pStyle w:val="TSNumberedParagraph11"/>
      </w:pPr>
      <w:r>
        <w:t xml:space="preserve">When a written record of the interview is made (see later in this guide), the interviewer shall make sure </w:t>
      </w:r>
      <w:r w:rsidR="001A11AC">
        <w:t xml:space="preserve">that </w:t>
      </w:r>
      <w:r>
        <w:t xml:space="preserve">the interpreter makes a note of the interview at the time in the person’s language for use in the event of the interpreter being called to give </w:t>
      </w:r>
      <w:proofErr w:type="gramStart"/>
      <w:r>
        <w:t>evidence, and</w:t>
      </w:r>
      <w:proofErr w:type="gramEnd"/>
      <w:r>
        <w:t xml:space="preserve"> certifies its accuracy. The interviewer should allow </w:t>
      </w:r>
      <w:r w:rsidR="00AC4366">
        <w:t>enough</w:t>
      </w:r>
      <w:r>
        <w:t xml:space="preserve"> time for the interpreter to note each question and answer after each is put, </w:t>
      </w:r>
      <w:proofErr w:type="gramStart"/>
      <w:r>
        <w:t>given</w:t>
      </w:r>
      <w:proofErr w:type="gramEnd"/>
      <w:r>
        <w:t xml:space="preserve"> and interpreted. The person should be allowed to read the </w:t>
      </w:r>
      <w:r w:rsidR="00AC4366">
        <w:t>record,</w:t>
      </w:r>
      <w:r>
        <w:t xml:space="preserve"> or have it read to them and sign it as correct or indicate the respects in which they consider it inaccurate.</w:t>
      </w:r>
    </w:p>
    <w:p w14:paraId="3738B814" w14:textId="77777777" w:rsidR="00C6216D" w:rsidRDefault="00C6216D">
      <w:pPr>
        <w:pStyle w:val="TSNumberedParagraph11"/>
      </w:pPr>
      <w:r>
        <w:t>In the case of a person making a statement under caution (see later in this guide) to an ONR investigator in a language other than English:</w:t>
      </w:r>
    </w:p>
    <w:p w14:paraId="15FA97DB" w14:textId="77777777" w:rsidR="00C6216D" w:rsidRDefault="00C6216D" w:rsidP="001C2C12">
      <w:pPr>
        <w:pStyle w:val="TSNumberedParagraph11"/>
        <w:numPr>
          <w:ilvl w:val="0"/>
          <w:numId w:val="0"/>
        </w:numPr>
        <w:ind w:left="720" w:firstLine="720"/>
      </w:pPr>
      <w:r>
        <w:t xml:space="preserve">(a) the interpreter shall record the statement in the language it is </w:t>
      </w:r>
      <w:proofErr w:type="gramStart"/>
      <w:r>
        <w:t>made;</w:t>
      </w:r>
      <w:proofErr w:type="gramEnd"/>
    </w:p>
    <w:p w14:paraId="49A07610" w14:textId="77777777" w:rsidR="00C6216D" w:rsidRDefault="00C6216D" w:rsidP="001C2C12">
      <w:pPr>
        <w:pStyle w:val="TSNumberedParagraph11"/>
        <w:numPr>
          <w:ilvl w:val="0"/>
          <w:numId w:val="0"/>
        </w:numPr>
        <w:ind w:left="720" w:firstLine="720"/>
      </w:pPr>
      <w:r>
        <w:t xml:space="preserve">(b) the person shall be invited to sign </w:t>
      </w:r>
      <w:proofErr w:type="gramStart"/>
      <w:r>
        <w:t>it;</w:t>
      </w:r>
      <w:proofErr w:type="gramEnd"/>
    </w:p>
    <w:p w14:paraId="2BDE24EC" w14:textId="77777777" w:rsidR="00C6216D" w:rsidRDefault="00C6216D" w:rsidP="001C2C12">
      <w:pPr>
        <w:pStyle w:val="TSNumberedParagraph11"/>
        <w:numPr>
          <w:ilvl w:val="0"/>
          <w:numId w:val="0"/>
        </w:numPr>
        <w:ind w:left="720" w:firstLine="720"/>
      </w:pPr>
      <w:r>
        <w:lastRenderedPageBreak/>
        <w:t>(c) an official English translation shall be made in due course.</w:t>
      </w:r>
    </w:p>
    <w:p w14:paraId="043B34CD" w14:textId="77777777" w:rsidR="00C6216D" w:rsidRDefault="00C6216D" w:rsidP="001C2C12">
      <w:pPr>
        <w:pStyle w:val="TSNumberedParagraph11"/>
      </w:pPr>
      <w:r>
        <w:t>Where a suspect requires an interpreter or other appropriate assistance to enable effective communication with them because they appear to have a hearing or speech impediment, they must not be interviewed without arrangements having been made to provide an independent person capable of interpreting or of providing other appropriate assistance. In these circumstances IRG should be contacted for</w:t>
      </w:r>
      <w:r w:rsidR="008354E6">
        <w:t xml:space="preserve"> </w:t>
      </w:r>
      <w:r>
        <w:t>advice.</w:t>
      </w:r>
    </w:p>
    <w:p w14:paraId="6E653F63" w14:textId="77777777" w:rsidR="008354E6" w:rsidRDefault="008354E6" w:rsidP="001C2C12">
      <w:pPr>
        <w:pStyle w:val="TSNumberedParagraph11"/>
      </w:pPr>
      <w:r>
        <w:t>If translation services</w:t>
      </w:r>
      <w:r w:rsidR="001958D0">
        <w:t xml:space="preserve"> in </w:t>
      </w:r>
      <w:r w:rsidR="007A6089">
        <w:t xml:space="preserve">the </w:t>
      </w:r>
      <w:r w:rsidR="001958D0">
        <w:t>circumstance</w:t>
      </w:r>
      <w:r w:rsidR="007A6089">
        <w:t>s</w:t>
      </w:r>
      <w:r w:rsidR="001958D0">
        <w:t xml:space="preserve"> described in the paragraph above</w:t>
      </w:r>
      <w:r>
        <w:t xml:space="preserve"> are </w:t>
      </w:r>
      <w:r w:rsidR="00AC4366">
        <w:t>required,</w:t>
      </w:r>
      <w:r>
        <w:t xml:space="preserve"> then IRG should again be contacted.</w:t>
      </w:r>
    </w:p>
    <w:p w14:paraId="3D3DAB88" w14:textId="77777777" w:rsidR="001958D0" w:rsidRDefault="001958D0" w:rsidP="001C2C12">
      <w:pPr>
        <w:pStyle w:val="TSNumberedParagraph11"/>
        <w:numPr>
          <w:ilvl w:val="0"/>
          <w:numId w:val="0"/>
        </w:numPr>
        <w:ind w:left="720"/>
        <w:rPr>
          <w:b/>
        </w:rPr>
      </w:pPr>
      <w:r>
        <w:rPr>
          <w:b/>
        </w:rPr>
        <w:t>The interview</w:t>
      </w:r>
    </w:p>
    <w:p w14:paraId="01EA4FE9" w14:textId="77777777" w:rsidR="001958D0" w:rsidRDefault="001958D0" w:rsidP="001C2C12">
      <w:pPr>
        <w:pStyle w:val="TSNumberedParagraph11"/>
      </w:pPr>
      <w:r>
        <w:t>The interview should, wherever possible, be carried out at a</w:t>
      </w:r>
      <w:r w:rsidR="00A62A72">
        <w:t xml:space="preserve"> location</w:t>
      </w:r>
      <w:r>
        <w:t xml:space="preserve"> which has a PACE room. The PACE room </w:t>
      </w:r>
      <w:r w:rsidR="00A62A72">
        <w:t xml:space="preserve">should be </w:t>
      </w:r>
      <w:r>
        <w:t xml:space="preserve">laid out so that, where possible, it meets the </w:t>
      </w:r>
      <w:proofErr w:type="gramStart"/>
      <w:r>
        <w:t>Home</w:t>
      </w:r>
      <w:proofErr w:type="gramEnd"/>
      <w:r>
        <w:t xml:space="preserve"> Office requirements for such facilities. </w:t>
      </w:r>
    </w:p>
    <w:p w14:paraId="7981D66D" w14:textId="77777777" w:rsidR="001958D0" w:rsidRDefault="001958D0" w:rsidP="001C2C12">
      <w:pPr>
        <w:pStyle w:val="TSNumberedParagraph11"/>
      </w:pPr>
      <w:r>
        <w:t>As mentioned above, t</w:t>
      </w:r>
      <w:r w:rsidRPr="001958D0">
        <w:t xml:space="preserve">he interview </w:t>
      </w:r>
      <w:r w:rsidR="005D0AB6">
        <w:t xml:space="preserve">cannot commence </w:t>
      </w:r>
      <w:r w:rsidR="00483628">
        <w:t>until the</w:t>
      </w:r>
      <w:r>
        <w:t xml:space="preserve"> suspect is</w:t>
      </w:r>
      <w:r w:rsidRPr="001958D0">
        <w:t xml:space="preserve"> cautioned</w:t>
      </w:r>
      <w:r>
        <w:t>. (If there is a break in the interview then upon its resumption the suspect must be reminded that they are still under caution.)</w:t>
      </w:r>
    </w:p>
    <w:p w14:paraId="050C11DB" w14:textId="77777777" w:rsidR="001958D0" w:rsidRDefault="001958D0">
      <w:pPr>
        <w:pStyle w:val="TSNumberedParagraph11"/>
      </w:pPr>
      <w:r>
        <w:t>The caution should be given in the following terms:</w:t>
      </w:r>
    </w:p>
    <w:p w14:paraId="3B15B495" w14:textId="77777777" w:rsidR="001958D0" w:rsidRDefault="001958D0" w:rsidP="001C2C12">
      <w:pPr>
        <w:pStyle w:val="TSNumberedParagraph11"/>
        <w:numPr>
          <w:ilvl w:val="0"/>
          <w:numId w:val="0"/>
        </w:numPr>
        <w:ind w:left="1440"/>
      </w:pPr>
      <w:r>
        <w:t>“You do not have to say anything. But it may harm your defence if you do not mention when questioned something which you later rely on in Court. Anything you do say may be given in evidence.”</w:t>
      </w:r>
    </w:p>
    <w:p w14:paraId="4ABD908B" w14:textId="77777777" w:rsidR="001958D0" w:rsidRDefault="001958D0" w:rsidP="001C2C12">
      <w:pPr>
        <w:pStyle w:val="TSNumberedParagraph11"/>
        <w:numPr>
          <w:ilvl w:val="0"/>
          <w:numId w:val="0"/>
        </w:numPr>
        <w:ind w:left="720"/>
      </w:pPr>
      <w:r>
        <w:t>Where the use of the Welsh Language is appropriate, the investigator may provide the caution directly in Welsh in the following terms:</w:t>
      </w:r>
    </w:p>
    <w:p w14:paraId="655F0B39" w14:textId="77777777" w:rsidR="001958D0" w:rsidRDefault="001958D0" w:rsidP="001C2C12">
      <w:pPr>
        <w:pStyle w:val="TSNumberedParagraph11"/>
        <w:numPr>
          <w:ilvl w:val="0"/>
          <w:numId w:val="0"/>
        </w:numPr>
        <w:ind w:left="1440"/>
      </w:pPr>
      <w:r>
        <w:t xml:space="preserve">“Does dim </w:t>
      </w:r>
      <w:proofErr w:type="spellStart"/>
      <w:r>
        <w:t>rhaid</w:t>
      </w:r>
      <w:proofErr w:type="spellEnd"/>
      <w:r>
        <w:t xml:space="preserve"> </w:t>
      </w:r>
      <w:proofErr w:type="spellStart"/>
      <w:r>
        <w:t>i</w:t>
      </w:r>
      <w:proofErr w:type="spellEnd"/>
      <w:r>
        <w:t xml:space="preserve"> chi </w:t>
      </w:r>
      <w:proofErr w:type="spellStart"/>
      <w:r>
        <w:t>ddweud</w:t>
      </w:r>
      <w:proofErr w:type="spellEnd"/>
      <w:r>
        <w:t xml:space="preserve"> dim </w:t>
      </w:r>
      <w:proofErr w:type="spellStart"/>
      <w:r>
        <w:t>byd</w:t>
      </w:r>
      <w:proofErr w:type="spellEnd"/>
      <w:r>
        <w:t xml:space="preserve">. </w:t>
      </w:r>
      <w:proofErr w:type="spellStart"/>
      <w:r>
        <w:t>Ond</w:t>
      </w:r>
      <w:proofErr w:type="spellEnd"/>
      <w:r>
        <w:t xml:space="preserve"> gall </w:t>
      </w:r>
      <w:proofErr w:type="spellStart"/>
      <w:r>
        <w:t>niweidio</w:t>
      </w:r>
      <w:proofErr w:type="spellEnd"/>
      <w:r>
        <w:t xml:space="preserve"> </w:t>
      </w:r>
      <w:proofErr w:type="spellStart"/>
      <w:r>
        <w:t>eich</w:t>
      </w:r>
      <w:proofErr w:type="spellEnd"/>
      <w:r>
        <w:t xml:space="preserve"> </w:t>
      </w:r>
      <w:proofErr w:type="spellStart"/>
      <w:r>
        <w:t>amddiffyniad</w:t>
      </w:r>
      <w:proofErr w:type="spellEnd"/>
      <w:r>
        <w:t xml:space="preserve"> </w:t>
      </w:r>
      <w:proofErr w:type="spellStart"/>
      <w:r>
        <w:t>os</w:t>
      </w:r>
      <w:proofErr w:type="spellEnd"/>
      <w:r>
        <w:t xml:space="preserve"> </w:t>
      </w:r>
      <w:proofErr w:type="spellStart"/>
      <w:r>
        <w:t>na</w:t>
      </w:r>
      <w:proofErr w:type="spellEnd"/>
      <w:r>
        <w:t xml:space="preserve"> </w:t>
      </w:r>
      <w:proofErr w:type="spellStart"/>
      <w:r>
        <w:t>fyddwchchi’n</w:t>
      </w:r>
      <w:proofErr w:type="spellEnd"/>
      <w:r>
        <w:t xml:space="preserve"> </w:t>
      </w:r>
      <w:proofErr w:type="spellStart"/>
      <w:r>
        <w:t>sôn</w:t>
      </w:r>
      <w:proofErr w:type="spellEnd"/>
      <w:r>
        <w:t xml:space="preserve">, </w:t>
      </w:r>
      <w:proofErr w:type="spellStart"/>
      <w:r>
        <w:t>wrth</w:t>
      </w:r>
      <w:proofErr w:type="spellEnd"/>
      <w:r>
        <w:t xml:space="preserve"> </w:t>
      </w:r>
      <w:proofErr w:type="spellStart"/>
      <w:r>
        <w:t>gael</w:t>
      </w:r>
      <w:proofErr w:type="spellEnd"/>
      <w:r>
        <w:t xml:space="preserve"> </w:t>
      </w:r>
      <w:proofErr w:type="spellStart"/>
      <w:r>
        <w:t>eich</w:t>
      </w:r>
      <w:proofErr w:type="spellEnd"/>
      <w:r>
        <w:t xml:space="preserve"> </w:t>
      </w:r>
      <w:proofErr w:type="spellStart"/>
      <w:r>
        <w:t>holi</w:t>
      </w:r>
      <w:proofErr w:type="spellEnd"/>
      <w:r>
        <w:t xml:space="preserve">, am </w:t>
      </w:r>
      <w:proofErr w:type="spellStart"/>
      <w:r>
        <w:t>rywbeth</w:t>
      </w:r>
      <w:proofErr w:type="spellEnd"/>
      <w:r>
        <w:t xml:space="preserve"> y </w:t>
      </w:r>
      <w:proofErr w:type="spellStart"/>
      <w:r>
        <w:t>byddwch</w:t>
      </w:r>
      <w:proofErr w:type="spellEnd"/>
      <w:r>
        <w:t xml:space="preserve"> </w:t>
      </w:r>
      <w:proofErr w:type="spellStart"/>
      <w:r>
        <w:t>chi’n</w:t>
      </w:r>
      <w:proofErr w:type="spellEnd"/>
      <w:r>
        <w:t xml:space="preserve"> </w:t>
      </w:r>
      <w:proofErr w:type="spellStart"/>
      <w:r>
        <w:t>dibynnu</w:t>
      </w:r>
      <w:proofErr w:type="spellEnd"/>
      <w:r>
        <w:t xml:space="preserve"> </w:t>
      </w:r>
      <w:proofErr w:type="spellStart"/>
      <w:r>
        <w:t>arno</w:t>
      </w:r>
      <w:proofErr w:type="spellEnd"/>
      <w:r>
        <w:t xml:space="preserve"> </w:t>
      </w:r>
      <w:proofErr w:type="spellStart"/>
      <w:proofErr w:type="gramStart"/>
      <w:r>
        <w:t>nes</w:t>
      </w:r>
      <w:proofErr w:type="spellEnd"/>
      <w:r>
        <w:t xml:space="preserve">  </w:t>
      </w:r>
      <w:proofErr w:type="spellStart"/>
      <w:r>
        <w:t>ymlaen</w:t>
      </w:r>
      <w:proofErr w:type="spellEnd"/>
      <w:proofErr w:type="gramEnd"/>
      <w:r>
        <w:t xml:space="preserve"> </w:t>
      </w:r>
      <w:proofErr w:type="spellStart"/>
      <w:r>
        <w:t>yn</w:t>
      </w:r>
      <w:proofErr w:type="spellEnd"/>
      <w:r>
        <w:t xml:space="preserve"> y </w:t>
      </w:r>
      <w:proofErr w:type="spellStart"/>
      <w:r>
        <w:t>Llys</w:t>
      </w:r>
      <w:proofErr w:type="spellEnd"/>
      <w:r>
        <w:t xml:space="preserve">. Gall </w:t>
      </w:r>
      <w:proofErr w:type="spellStart"/>
      <w:r>
        <w:t>unrhyw</w:t>
      </w:r>
      <w:proofErr w:type="spellEnd"/>
      <w:r>
        <w:t xml:space="preserve"> </w:t>
      </w:r>
      <w:proofErr w:type="spellStart"/>
      <w:r>
        <w:t>beth</w:t>
      </w:r>
      <w:proofErr w:type="spellEnd"/>
      <w:r>
        <w:t xml:space="preserve"> </w:t>
      </w:r>
      <w:proofErr w:type="spellStart"/>
      <w:r>
        <w:t>yr</w:t>
      </w:r>
      <w:proofErr w:type="spellEnd"/>
      <w:r>
        <w:t xml:space="preserve"> </w:t>
      </w:r>
      <w:proofErr w:type="spellStart"/>
      <w:r>
        <w:t>ydych</w:t>
      </w:r>
      <w:proofErr w:type="spellEnd"/>
      <w:r>
        <w:t xml:space="preserve"> </w:t>
      </w:r>
      <w:proofErr w:type="spellStart"/>
      <w:r>
        <w:t>yn</w:t>
      </w:r>
      <w:proofErr w:type="spellEnd"/>
      <w:r>
        <w:t xml:space="preserve"> </w:t>
      </w:r>
      <w:proofErr w:type="spellStart"/>
      <w:r>
        <w:t>ei</w:t>
      </w:r>
      <w:proofErr w:type="spellEnd"/>
      <w:r>
        <w:t xml:space="preserve"> </w:t>
      </w:r>
      <w:proofErr w:type="spellStart"/>
      <w:r>
        <w:t>ddweud</w:t>
      </w:r>
      <w:proofErr w:type="spellEnd"/>
      <w:r>
        <w:t xml:space="preserve"> </w:t>
      </w:r>
      <w:proofErr w:type="spellStart"/>
      <w:r>
        <w:t>gael</w:t>
      </w:r>
      <w:proofErr w:type="spellEnd"/>
      <w:r>
        <w:t xml:space="preserve"> </w:t>
      </w:r>
      <w:proofErr w:type="spellStart"/>
      <w:r>
        <w:t>ei</w:t>
      </w:r>
      <w:proofErr w:type="spellEnd"/>
      <w:r>
        <w:t xml:space="preserve"> </w:t>
      </w:r>
      <w:proofErr w:type="spellStart"/>
      <w:r>
        <w:t>roi</w:t>
      </w:r>
      <w:proofErr w:type="spellEnd"/>
      <w:r>
        <w:t xml:space="preserve"> </w:t>
      </w:r>
      <w:proofErr w:type="spellStart"/>
      <w:r>
        <w:t>fel</w:t>
      </w:r>
      <w:proofErr w:type="spellEnd"/>
      <w:r>
        <w:t xml:space="preserve"> </w:t>
      </w:r>
      <w:proofErr w:type="spellStart"/>
      <w:r>
        <w:t>tystiolaeth</w:t>
      </w:r>
      <w:proofErr w:type="spellEnd"/>
      <w:r>
        <w:t>.”</w:t>
      </w:r>
    </w:p>
    <w:p w14:paraId="0A3E64AC" w14:textId="77777777" w:rsidR="00367EF0" w:rsidRDefault="00367EF0" w:rsidP="001C2C12">
      <w:pPr>
        <w:pStyle w:val="TSNumberedParagraph11"/>
        <w:numPr>
          <w:ilvl w:val="0"/>
          <w:numId w:val="0"/>
        </w:numPr>
        <w:ind w:left="1440"/>
      </w:pPr>
      <w:r>
        <w:t xml:space="preserve">[If the investigator is not fluent in the Welsh language, then HSE Interpretation and Translation Services </w:t>
      </w:r>
      <w:r w:rsidR="00856B44">
        <w:t xml:space="preserve">should </w:t>
      </w:r>
      <w:r>
        <w:t xml:space="preserve">be used as </w:t>
      </w:r>
      <w:r w:rsidR="00880EEA">
        <w:t xml:space="preserve">previously </w:t>
      </w:r>
      <w:r>
        <w:t>noted.]</w:t>
      </w:r>
    </w:p>
    <w:p w14:paraId="16A8E198" w14:textId="77777777" w:rsidR="001958D0" w:rsidRDefault="001958D0" w:rsidP="001C2C12">
      <w:pPr>
        <w:pStyle w:val="TSNumberedParagraph11"/>
      </w:pPr>
      <w:r>
        <w:t>Minor deviations from the words of any ca</w:t>
      </w:r>
      <w:r w:rsidR="00011C72">
        <w:t>ution given in accordance with PACE Code C</w:t>
      </w:r>
      <w:r>
        <w:t xml:space="preserve"> do not</w:t>
      </w:r>
      <w:r w:rsidR="00011C72">
        <w:t xml:space="preserve"> constitute a breach of the</w:t>
      </w:r>
      <w:r>
        <w:t xml:space="preserve"> Code, provided the sense of the relevant caution is preserved.</w:t>
      </w:r>
    </w:p>
    <w:p w14:paraId="67E34627" w14:textId="5C12C396" w:rsidR="00011C72" w:rsidRDefault="00011C72" w:rsidP="001C2C12">
      <w:pPr>
        <w:pStyle w:val="TSNumberedParagraph11"/>
      </w:pPr>
      <w:r>
        <w:t>The</w:t>
      </w:r>
      <w:r w:rsidR="004732CF">
        <w:t xml:space="preserve"> </w:t>
      </w:r>
      <w:r w:rsidR="004732CF" w:rsidRPr="004732CF">
        <w:rPr>
          <w:highlight w:val="yellow"/>
        </w:rPr>
        <w:t>specialist PACE trained ICT Inspector</w:t>
      </w:r>
      <w:r>
        <w:t xml:space="preserve"> conducting the interview must be prepared to explain the caution in </w:t>
      </w:r>
      <w:r w:rsidR="00C015DD">
        <w:t>their own words if it appears a person does not understand the caution.</w:t>
      </w:r>
      <w:r>
        <w:t xml:space="preserve"> Where an interpreter is required, the interpreter should also make such preparations.</w:t>
      </w:r>
    </w:p>
    <w:p w14:paraId="15074061" w14:textId="77777777" w:rsidR="00011C72" w:rsidRDefault="00C015DD" w:rsidP="001C2C12">
      <w:pPr>
        <w:pStyle w:val="TSNumberedParagraph11"/>
      </w:pPr>
      <w:r>
        <w:t>The following extracts from part 11 of PACE Code C are relevant:</w:t>
      </w:r>
    </w:p>
    <w:p w14:paraId="523D8687" w14:textId="77777777" w:rsidR="00C015DD" w:rsidRDefault="00C015DD" w:rsidP="001C2C12">
      <w:pPr>
        <w:pStyle w:val="TSNumberedParagraph11"/>
        <w:numPr>
          <w:ilvl w:val="0"/>
          <w:numId w:val="24"/>
        </w:numPr>
      </w:pPr>
      <w:r>
        <w:t>At the beginning of an interview</w:t>
      </w:r>
      <w:r w:rsidR="0066093B">
        <w:t>,</w:t>
      </w:r>
      <w:r>
        <w:t xml:space="preserve"> the interviewer, after cautioning the suspect, shall put to them any significant statement or silence which occurred in the presence and hearing of an ONR inspector before the start of the interview and which have not been put to the suspect </w:t>
      </w:r>
      <w:proofErr w:type="gramStart"/>
      <w:r>
        <w:t>in the course of</w:t>
      </w:r>
      <w:proofErr w:type="gramEnd"/>
      <w:r>
        <w:t xml:space="preserve"> a previous interview. The interviewer shall ask the suspect whether they confirm or deny that earlier statement or silence and if they want to add anything.</w:t>
      </w:r>
    </w:p>
    <w:p w14:paraId="1D5ED937" w14:textId="77777777" w:rsidR="00C015DD" w:rsidRDefault="00C015DD" w:rsidP="001C2C12">
      <w:pPr>
        <w:pStyle w:val="TSNumberedParagraph11"/>
        <w:numPr>
          <w:ilvl w:val="0"/>
          <w:numId w:val="24"/>
        </w:numPr>
      </w:pPr>
      <w:r>
        <w:lastRenderedPageBreak/>
        <w:t>A significant statement is one which appears capable of being used in evidence against the suspect, in particular a direct admission of guilt. A significant silence is a failure or refusal to answer a question or answer satisfactorily when under caution.</w:t>
      </w:r>
    </w:p>
    <w:p w14:paraId="5ABFC33C" w14:textId="77777777" w:rsidR="00C015DD" w:rsidRDefault="00C015DD" w:rsidP="001C2C12">
      <w:pPr>
        <w:pStyle w:val="TSNumberedParagraph11"/>
        <w:numPr>
          <w:ilvl w:val="0"/>
          <w:numId w:val="24"/>
        </w:numPr>
      </w:pPr>
      <w:r>
        <w:t xml:space="preserve"> No interviewer may try to obtain answers or elicit a statement </w:t>
      </w:r>
      <w:proofErr w:type="gramStart"/>
      <w:r>
        <w:t>by the use of</w:t>
      </w:r>
      <w:proofErr w:type="gramEnd"/>
      <w:r>
        <w:t xml:space="preserve"> oppression.</w:t>
      </w:r>
    </w:p>
    <w:p w14:paraId="09B1ADBE" w14:textId="6371624D" w:rsidR="00C015DD" w:rsidRDefault="00C015DD" w:rsidP="001C2C12">
      <w:pPr>
        <w:pStyle w:val="TSNumberedParagraph11"/>
        <w:numPr>
          <w:ilvl w:val="0"/>
          <w:numId w:val="24"/>
        </w:numPr>
      </w:pPr>
      <w:r>
        <w:t xml:space="preserve">No interviewer shall indicate, except to answer a direct question, what action will be taken by the police if the person being questioned answers questions, makes a </w:t>
      </w:r>
      <w:proofErr w:type="gramStart"/>
      <w:r>
        <w:t>statement</w:t>
      </w:r>
      <w:proofErr w:type="gramEnd"/>
      <w:r>
        <w:t xml:space="preserve"> or refuses to do either. If the person asks directly what action will be taken if they answer questions, make a statement or refuse do either, the interviewer may inform them what action the police propose to take </w:t>
      </w:r>
      <w:proofErr w:type="gramStart"/>
      <w:r>
        <w:t>provided that</w:t>
      </w:r>
      <w:proofErr w:type="gramEnd"/>
      <w:r>
        <w:t xml:space="preserve"> action is itself proper and warranted.</w:t>
      </w:r>
    </w:p>
    <w:p w14:paraId="0062F671" w14:textId="77777777" w:rsidR="00C015DD" w:rsidRDefault="00C015DD">
      <w:pPr>
        <w:pStyle w:val="TSNumberedParagraph11"/>
      </w:pPr>
      <w:r>
        <w:t>The interview or further interview of a person about an offence with which that person has</w:t>
      </w:r>
      <w:r w:rsidR="006F1BE1">
        <w:t xml:space="preserve"> </w:t>
      </w:r>
      <w:r>
        <w:t>not been informed they may be prosecuted, must</w:t>
      </w:r>
      <w:r w:rsidR="006F1BE1">
        <w:t xml:space="preserve"> </w:t>
      </w:r>
      <w:r>
        <w:t>cease when:</w:t>
      </w:r>
    </w:p>
    <w:p w14:paraId="6F950B2A" w14:textId="77777777" w:rsidR="00C015DD" w:rsidRDefault="006F1BE1" w:rsidP="001C2C12">
      <w:pPr>
        <w:pStyle w:val="TSNumberedParagraph11"/>
        <w:numPr>
          <w:ilvl w:val="0"/>
          <w:numId w:val="0"/>
        </w:numPr>
        <w:ind w:left="1440"/>
      </w:pPr>
      <w:r>
        <w:t>(a) the investigator</w:t>
      </w:r>
      <w:r w:rsidR="00C015DD">
        <w:t xml:space="preserve"> in charge of the investigation is satisfied </w:t>
      </w:r>
      <w:r w:rsidR="00812582">
        <w:t xml:space="preserve">that </w:t>
      </w:r>
      <w:r w:rsidR="00C015DD">
        <w:t>all the questions they consider</w:t>
      </w:r>
      <w:r>
        <w:t xml:space="preserve"> </w:t>
      </w:r>
      <w:r w:rsidR="00C015DD">
        <w:t>relevant to obtaining accurate and reliable information about the offence have been</w:t>
      </w:r>
      <w:r>
        <w:t xml:space="preserve"> </w:t>
      </w:r>
      <w:r w:rsidR="00C015DD">
        <w:t>put to the suspect, this includes allowing the suspect an opportunity to give an</w:t>
      </w:r>
      <w:r>
        <w:t xml:space="preserve"> </w:t>
      </w:r>
      <w:r w:rsidR="00C015DD">
        <w:t>innocent explanation and asking questions to test if the explanation is accurate and</w:t>
      </w:r>
      <w:r>
        <w:t xml:space="preserve"> </w:t>
      </w:r>
      <w:r w:rsidR="00C015DD">
        <w:t xml:space="preserve">reliable, </w:t>
      </w:r>
      <w:proofErr w:type="gramStart"/>
      <w:r w:rsidR="00C015DD">
        <w:t>e.g.</w:t>
      </w:r>
      <w:proofErr w:type="gramEnd"/>
      <w:r w:rsidR="00C015DD">
        <w:t xml:space="preserve"> to clear up ambiguities or clarify what the suspect said;</w:t>
      </w:r>
    </w:p>
    <w:p w14:paraId="43DA3A5A" w14:textId="77777777" w:rsidR="00C015DD" w:rsidRDefault="006F1BE1" w:rsidP="001C2C12">
      <w:pPr>
        <w:pStyle w:val="TSNumberedParagraph11"/>
        <w:numPr>
          <w:ilvl w:val="0"/>
          <w:numId w:val="0"/>
        </w:numPr>
        <w:ind w:left="1440"/>
      </w:pPr>
      <w:r>
        <w:t>(b) the investigator</w:t>
      </w:r>
      <w:r w:rsidR="00C015DD">
        <w:t xml:space="preserve"> in charge of the investigation has taken account of any other available</w:t>
      </w:r>
      <w:r>
        <w:t xml:space="preserve"> </w:t>
      </w:r>
      <w:r w:rsidR="00C015DD">
        <w:t>evidence; and</w:t>
      </w:r>
    </w:p>
    <w:p w14:paraId="25FD6CBB" w14:textId="4B5ED7E9" w:rsidR="00C015DD" w:rsidRDefault="006F1BE1" w:rsidP="001C2C12">
      <w:pPr>
        <w:pStyle w:val="TSNumberedParagraph11"/>
        <w:numPr>
          <w:ilvl w:val="0"/>
          <w:numId w:val="0"/>
        </w:numPr>
        <w:ind w:left="1440"/>
      </w:pPr>
      <w:r>
        <w:t>(c) the investigator</w:t>
      </w:r>
      <w:r w:rsidR="00C015DD">
        <w:t xml:space="preserve"> in charg</w:t>
      </w:r>
      <w:r>
        <w:t>e of the investigation</w:t>
      </w:r>
      <w:r w:rsidR="00C015DD">
        <w:t xml:space="preserve"> reasonably believes there is sufficient</w:t>
      </w:r>
      <w:r>
        <w:t xml:space="preserve"> evidence to provide a realistic prospect of conviction for that offence.</w:t>
      </w:r>
    </w:p>
    <w:p w14:paraId="06411A34" w14:textId="77777777" w:rsidR="006F1BE1" w:rsidRDefault="006F1BE1" w:rsidP="001C2C12">
      <w:pPr>
        <w:pStyle w:val="TSNumberedParagraph11"/>
      </w:pPr>
      <w:r>
        <w:t xml:space="preserve">The Criminal Procedure and Investigations Act 1996 Code of Practice states ‘In </w:t>
      </w:r>
      <w:proofErr w:type="gramStart"/>
      <w:r>
        <w:t>conducting an investigation</w:t>
      </w:r>
      <w:proofErr w:type="gramEnd"/>
      <w:r>
        <w:t xml:space="preserve">, the investigator should pursue all reasonable lines of enquiry, whether these point towards or away from the suspect. What is reasonable will depend on the </w:t>
      </w:r>
      <w:proofErr w:type="gramStart"/>
      <w:r>
        <w:t>particular circumstances</w:t>
      </w:r>
      <w:proofErr w:type="gramEnd"/>
      <w:r>
        <w:t>.’ Interviewers should keep this in mind when deciding what questions to ask in an interview.</w:t>
      </w:r>
    </w:p>
    <w:p w14:paraId="0A96EF52" w14:textId="77777777" w:rsidR="006F1BE1" w:rsidRDefault="00811D95" w:rsidP="001C2C12">
      <w:pPr>
        <w:pStyle w:val="TSHeadingNumbered1"/>
      </w:pPr>
      <w:bookmarkStart w:id="7" w:name="_Toc50653637"/>
      <w:r>
        <w:t xml:space="preserve">relevant parts of </w:t>
      </w:r>
      <w:r w:rsidR="004602DA">
        <w:t xml:space="preserve">PACE </w:t>
      </w:r>
      <w:r>
        <w:t>code e</w:t>
      </w:r>
      <w:bookmarkEnd w:id="7"/>
    </w:p>
    <w:p w14:paraId="5B67D9A1" w14:textId="77777777" w:rsidR="00D34244" w:rsidRDefault="004602DA" w:rsidP="001C2C12">
      <w:pPr>
        <w:pStyle w:val="TSNumberedParagraph11"/>
      </w:pPr>
      <w:r>
        <w:t xml:space="preserve">The majority </w:t>
      </w:r>
      <w:r w:rsidR="00794B97">
        <w:t xml:space="preserve">of </w:t>
      </w:r>
      <w:r w:rsidR="00856B44">
        <w:t xml:space="preserve">PACE </w:t>
      </w:r>
      <w:r w:rsidR="00794B97">
        <w:t xml:space="preserve">Code E is relevant to the work of </w:t>
      </w:r>
      <w:proofErr w:type="gramStart"/>
      <w:r w:rsidR="00794B97">
        <w:t>ONR</w:t>
      </w:r>
      <w:r>
        <w:t>,</w:t>
      </w:r>
      <w:proofErr w:type="gramEnd"/>
      <w:r w:rsidR="00856B44">
        <w:t xml:space="preserve"> </w:t>
      </w:r>
      <w:r>
        <w:t>hence</w:t>
      </w:r>
      <w:r w:rsidR="00F75732">
        <w:t xml:space="preserve"> </w:t>
      </w:r>
      <w:r w:rsidR="00794B97">
        <w:t>the current version s</w:t>
      </w:r>
      <w:r w:rsidR="00F75732">
        <w:t xml:space="preserve">hould be referred to directly. The provisions of this Code which govern the conduct and recording of interviews do not apply to interviews </w:t>
      </w:r>
      <w:r w:rsidR="00045574">
        <w:t>with</w:t>
      </w:r>
      <w:r w:rsidR="00F75732">
        <w:t xml:space="preserve"> or taking statements from, witnesses</w:t>
      </w:r>
      <w:r w:rsidR="00F75732" w:rsidRPr="0066093B">
        <w:t xml:space="preserve">. </w:t>
      </w:r>
      <w:r w:rsidR="00856B44" w:rsidRPr="0066093B">
        <w:t xml:space="preserve"> </w:t>
      </w:r>
    </w:p>
    <w:p w14:paraId="3A14E236" w14:textId="77777777" w:rsidR="00794B97" w:rsidRPr="0066093B" w:rsidRDefault="00856B44" w:rsidP="001C2C12">
      <w:pPr>
        <w:pStyle w:val="TSNumberedParagraph11"/>
      </w:pPr>
      <w:r w:rsidRPr="0066093B">
        <w:t>T</w:t>
      </w:r>
      <w:r w:rsidR="00794B97" w:rsidRPr="0066093B">
        <w:t>he following points are highlighted:</w:t>
      </w:r>
    </w:p>
    <w:p w14:paraId="4E36FA99" w14:textId="77777777" w:rsidR="00F75732" w:rsidRDefault="00B74285" w:rsidP="001C2C12">
      <w:pPr>
        <w:pStyle w:val="TSNumberedParagraph11"/>
        <w:numPr>
          <w:ilvl w:val="0"/>
          <w:numId w:val="26"/>
        </w:numPr>
      </w:pPr>
      <w:r>
        <w:t>An authorised recording device</w:t>
      </w:r>
      <w:r w:rsidR="00F75732">
        <w:t xml:space="preserve"> with removable media</w:t>
      </w:r>
      <w:r>
        <w:t xml:space="preserve"> must be used. </w:t>
      </w:r>
      <w:r w:rsidR="00F75732">
        <w:t>‘</w:t>
      </w:r>
      <w:r w:rsidR="00717E83">
        <w:t>R</w:t>
      </w:r>
      <w:r w:rsidR="00F75732">
        <w:t xml:space="preserve">emovable recording media device’ means a recording device which, when set up and operated in accordance with the manufacturer’s instructions and the operating uses removable, physical recording (such as magnetic tape, optical disc or </w:t>
      </w:r>
      <w:proofErr w:type="gramStart"/>
      <w:r w:rsidR="00F75732">
        <w:t>solid state</w:t>
      </w:r>
      <w:proofErr w:type="gramEnd"/>
      <w:r w:rsidR="00F75732">
        <w:t xml:space="preserve"> memory card) for the purpose of making a clear and accurate, audio recording of the interview in question which can then be played back and copied using that device or any other device. A sign or indicator on the device which is visible to the suspect must show when the device is recording. </w:t>
      </w:r>
    </w:p>
    <w:p w14:paraId="2E389647" w14:textId="77777777" w:rsidR="00B74285" w:rsidRDefault="00B74285" w:rsidP="001E611F">
      <w:pPr>
        <w:pStyle w:val="TSNumberedParagraph11"/>
        <w:numPr>
          <w:ilvl w:val="0"/>
          <w:numId w:val="26"/>
        </w:numPr>
      </w:pPr>
      <w:r>
        <w:lastRenderedPageBreak/>
        <w:t>The device currently</w:t>
      </w:r>
      <w:r w:rsidR="001E611F">
        <w:t xml:space="preserve"> authorised for</w:t>
      </w:r>
      <w:r>
        <w:t xml:space="preserve"> use is</w:t>
      </w:r>
      <w:r w:rsidR="00F75732">
        <w:t xml:space="preserve"> t</w:t>
      </w:r>
      <w:r w:rsidRPr="00B74285">
        <w:t>he</w:t>
      </w:r>
      <w:r w:rsidR="001E611F" w:rsidRPr="001E611F">
        <w:t xml:space="preserve"> NEAL 9321P Fully Portable triple sim</w:t>
      </w:r>
      <w:r w:rsidR="001E611F">
        <w:t>ultaneous CD interview recorder. (ONR also has its own transcribing machines, seals, and CDs.)</w:t>
      </w:r>
      <w:r>
        <w:t xml:space="preserve"> A smart phone or similar device is not an alternative means of recording an interview. A summary of the instructions for its use are found at </w:t>
      </w:r>
      <w:r w:rsidR="00483628">
        <w:t>Appendix 1</w:t>
      </w:r>
      <w:r>
        <w:t>. Further information can be found on the NEAL website.</w:t>
      </w:r>
      <w:r w:rsidR="00F75732">
        <w:t xml:space="preserve"> The maximum recordable time of</w:t>
      </w:r>
      <w:r>
        <w:t xml:space="preserve"> CD</w:t>
      </w:r>
      <w:r w:rsidR="00F75732">
        <w:t>s</w:t>
      </w:r>
      <w:r>
        <w:t xml:space="preserve"> used in the NEAL recorder is 77 minutes.</w:t>
      </w:r>
    </w:p>
    <w:p w14:paraId="4BE9DB56" w14:textId="77777777" w:rsidR="001974B7" w:rsidRDefault="002435DD" w:rsidP="001C2C12">
      <w:pPr>
        <w:pStyle w:val="TSNumberedParagraph11"/>
        <w:numPr>
          <w:ilvl w:val="0"/>
          <w:numId w:val="26"/>
        </w:numPr>
      </w:pPr>
      <w:r>
        <w:t xml:space="preserve">Provisions in section 2 of </w:t>
      </w:r>
      <w:r w:rsidR="00483628">
        <w:t>PACE Code</w:t>
      </w:r>
      <w:r>
        <w:t xml:space="preserve"> </w:t>
      </w:r>
      <w:r w:rsidR="00717E83">
        <w:t xml:space="preserve">E </w:t>
      </w:r>
      <w:r>
        <w:t xml:space="preserve">set out the requirement that should be met when an authorised recording device is used to record a suspect interview. Provisions in </w:t>
      </w:r>
      <w:r w:rsidR="00717E83">
        <w:t xml:space="preserve">PACE Code E </w:t>
      </w:r>
      <w:r>
        <w:t xml:space="preserve">Section 3 apply to removable recording media devices. </w:t>
      </w:r>
      <w:r w:rsidR="00717E83">
        <w:t xml:space="preserve"> </w:t>
      </w:r>
      <w:r>
        <w:t xml:space="preserve">A written record of interview </w:t>
      </w:r>
      <w:r w:rsidR="003F0D44">
        <w:t xml:space="preserve">is considered in section 9 of </w:t>
      </w:r>
      <w:r>
        <w:t>this guide.</w:t>
      </w:r>
    </w:p>
    <w:p w14:paraId="65905F43" w14:textId="77777777" w:rsidR="00045574" w:rsidRDefault="00045574" w:rsidP="001C2C12">
      <w:pPr>
        <w:pStyle w:val="TSNumberedParagraph11"/>
        <w:numPr>
          <w:ilvl w:val="0"/>
          <w:numId w:val="26"/>
        </w:numPr>
      </w:pPr>
      <w:r>
        <w:t>Interviewers should use the guide to audio interviewing found at A</w:t>
      </w:r>
      <w:r w:rsidR="00717E83">
        <w:t xml:space="preserve">ppendix </w:t>
      </w:r>
      <w:r w:rsidR="00483628">
        <w:t>4 to</w:t>
      </w:r>
      <w:r>
        <w:t xml:space="preserve"> this guide to ensure that key requirements for an interview are met.</w:t>
      </w:r>
    </w:p>
    <w:p w14:paraId="6EA37231" w14:textId="77777777" w:rsidR="00045574" w:rsidRDefault="00C233AE" w:rsidP="001C2C12">
      <w:pPr>
        <w:numPr>
          <w:ilvl w:val="0"/>
          <w:numId w:val="26"/>
        </w:numPr>
      </w:pPr>
      <w:r w:rsidRPr="00C233AE">
        <w:t>The interview should allow for regular breaks, and the interviewee should be offered or allowed refreshments at appropriate times.</w:t>
      </w:r>
    </w:p>
    <w:p w14:paraId="0F60AE60" w14:textId="77777777" w:rsidR="00C233AE" w:rsidRDefault="00C233AE" w:rsidP="001C2C12">
      <w:pPr>
        <w:ind w:left="1440"/>
      </w:pPr>
    </w:p>
    <w:p w14:paraId="0B0E53FF" w14:textId="77777777" w:rsidR="003F0D44" w:rsidRDefault="00632A18" w:rsidP="001C2C12">
      <w:pPr>
        <w:pStyle w:val="TSNumberedParagraph11"/>
        <w:numPr>
          <w:ilvl w:val="0"/>
          <w:numId w:val="26"/>
        </w:numPr>
      </w:pPr>
      <w:r>
        <w:t xml:space="preserve">When using an authorised removable recording media device one recording, the master recording, will be sealed in the suspect’s presence. A second recording will be used as a working copy. The master recording is any of the recordings made by </w:t>
      </w:r>
      <w:r w:rsidR="001E611F">
        <w:t>the</w:t>
      </w:r>
      <w:r w:rsidR="00B65537">
        <w:t xml:space="preserve"> </w:t>
      </w:r>
      <w:r>
        <w:t xml:space="preserve">multi-drive machine. The working copy is one of the other recordings made by </w:t>
      </w:r>
      <w:r w:rsidR="001E611F">
        <w:t>the</w:t>
      </w:r>
      <w:r>
        <w:t xml:space="preserve"> multi</w:t>
      </w:r>
      <w:r w:rsidR="00B65537">
        <w:t xml:space="preserve"> </w:t>
      </w:r>
      <w:proofErr w:type="gramStart"/>
      <w:r>
        <w:t>drive</w:t>
      </w:r>
      <w:proofErr w:type="gramEnd"/>
      <w:r>
        <w:t xml:space="preserve"> machine. (</w:t>
      </w:r>
      <w:r w:rsidR="001E611F">
        <w:t>T</w:t>
      </w:r>
      <w:r>
        <w:t xml:space="preserve">he remaining copy </w:t>
      </w:r>
      <w:r w:rsidR="001E611F">
        <w:t>can be</w:t>
      </w:r>
      <w:r>
        <w:t xml:space="preserve"> provided to the suspect for their own use.)</w:t>
      </w:r>
      <w:r w:rsidR="00045574">
        <w:t xml:space="preserve"> The purpose of sealing the master recording before it leaves the suspect’s presence is to establish their confidence that the integrity of the recording is preserved.</w:t>
      </w:r>
    </w:p>
    <w:p w14:paraId="3FB91D2D" w14:textId="77777777" w:rsidR="00B1514B" w:rsidRDefault="00B1514B" w:rsidP="001C2C12">
      <w:pPr>
        <w:autoSpaceDE w:val="0"/>
        <w:autoSpaceDN w:val="0"/>
        <w:adjustRightInd w:val="0"/>
        <w:jc w:val="center"/>
        <w:rPr>
          <w:rFonts w:cs="Arial"/>
          <w:iCs/>
          <w:szCs w:val="22"/>
        </w:rPr>
      </w:pPr>
    </w:p>
    <w:p w14:paraId="3BA12263" w14:textId="77777777" w:rsidR="00A42D5B" w:rsidRDefault="00F75732" w:rsidP="001C2C12">
      <w:pPr>
        <w:pStyle w:val="TSHeadingNumbered1"/>
      </w:pPr>
      <w:bookmarkStart w:id="8" w:name="_Toc50653638"/>
      <w:r>
        <w:t>Written records of interviews</w:t>
      </w:r>
      <w:bookmarkEnd w:id="8"/>
    </w:p>
    <w:p w14:paraId="2FB0FE0B" w14:textId="77777777" w:rsidR="00A42D5B" w:rsidRPr="001C2C12" w:rsidRDefault="00A42D5B" w:rsidP="001C2C12">
      <w:pPr>
        <w:pStyle w:val="TSNumberedParagraph11"/>
        <w:numPr>
          <w:ilvl w:val="0"/>
          <w:numId w:val="0"/>
        </w:numPr>
        <w:ind w:left="720"/>
        <w:rPr>
          <w:b/>
        </w:rPr>
      </w:pPr>
      <w:r>
        <w:rPr>
          <w:b/>
        </w:rPr>
        <w:t>Written statement under caution</w:t>
      </w:r>
    </w:p>
    <w:p w14:paraId="340EA9D0" w14:textId="77777777" w:rsidR="00F744FB" w:rsidRDefault="00F744FB" w:rsidP="001C2C12">
      <w:pPr>
        <w:pStyle w:val="TSNumberedParagraph11"/>
      </w:pPr>
      <w:r>
        <w:t>A written record of</w:t>
      </w:r>
      <w:r w:rsidR="00E15875">
        <w:t xml:space="preserve"> an interview with a suspect should</w:t>
      </w:r>
      <w:r>
        <w:t xml:space="preserve"> be made only if,</w:t>
      </w:r>
    </w:p>
    <w:p w14:paraId="319564C8" w14:textId="77777777" w:rsidR="00F744FB" w:rsidRDefault="00F744FB" w:rsidP="001C2C12">
      <w:pPr>
        <w:pStyle w:val="TSNumberedParagraph11"/>
        <w:numPr>
          <w:ilvl w:val="0"/>
          <w:numId w:val="0"/>
        </w:numPr>
        <w:ind w:left="720" w:firstLine="720"/>
      </w:pPr>
      <w:r>
        <w:t>(a) an authorised recording device in working order is not available;</w:t>
      </w:r>
      <w:r w:rsidR="00632A18">
        <w:t xml:space="preserve"> </w:t>
      </w:r>
      <w:r>
        <w:t>or</w:t>
      </w:r>
    </w:p>
    <w:p w14:paraId="4B482CCA" w14:textId="77777777" w:rsidR="00BB4A9E" w:rsidRDefault="00F744FB" w:rsidP="001C2C12">
      <w:pPr>
        <w:pStyle w:val="TSNumberedParagraph11"/>
        <w:numPr>
          <w:ilvl w:val="0"/>
          <w:numId w:val="0"/>
        </w:numPr>
        <w:ind w:left="1440"/>
      </w:pPr>
      <w:r>
        <w:t>(b)  the suspect or the appropriate adult on their behalf, objects to the interview being audibly recorded and the interviewer, after having regard to the nature and circumstances of the objections decides that a written record shall be made. (</w:t>
      </w:r>
      <w:r w:rsidR="00632A18">
        <w:t>Objections are those</w:t>
      </w:r>
      <w:r>
        <w:t xml:space="preserve"> based on the suspect’s genuine and honestly he</w:t>
      </w:r>
      <w:r w:rsidR="00632A18">
        <w:t>ld beliefs which allow the interviewer</w:t>
      </w:r>
      <w:r>
        <w:t xml:space="preserve"> to exercise their discretion to decide that a written interview record is to be made according to the circumstances surrounding the suspect and the investigation. Objections that appear to be frivolous with the intentions of frustrating or delaying the investigation would not be relevant.</w:t>
      </w:r>
      <w:r w:rsidR="00632A18">
        <w:t>)</w:t>
      </w:r>
    </w:p>
    <w:p w14:paraId="2AEB1CF2" w14:textId="77777777" w:rsidR="00A42D5B" w:rsidRDefault="00A42D5B" w:rsidP="001C2C12">
      <w:pPr>
        <w:pStyle w:val="TSNumberedParagraph11"/>
      </w:pPr>
      <w:r>
        <w:t>However, p</w:t>
      </w:r>
      <w:r w:rsidR="00BB4A9E" w:rsidRPr="00BB4A9E">
        <w:t xml:space="preserve">aragraph 12.13 of </w:t>
      </w:r>
      <w:r w:rsidR="00F932E9">
        <w:t xml:space="preserve">PACE </w:t>
      </w:r>
      <w:r w:rsidR="00BB4A9E" w:rsidRPr="00BB4A9E">
        <w:t xml:space="preserve">Code C refers to “written statements </w:t>
      </w:r>
      <w:r>
        <w:t>made … under caution”, so there is a process to follow if such a record needs to be made.</w:t>
      </w:r>
    </w:p>
    <w:p w14:paraId="18C24868" w14:textId="77777777" w:rsidR="00BB4A9E" w:rsidRDefault="00BB4A9E" w:rsidP="001C2C12">
      <w:pPr>
        <w:pStyle w:val="TSNumberedParagraph11"/>
      </w:pPr>
      <w:r w:rsidRPr="00BB4A9E">
        <w:t>Written statements under caution should be made on form</w:t>
      </w:r>
      <w:r w:rsidR="00A42D5B">
        <w:t>s ONR</w:t>
      </w:r>
      <w:r w:rsidRPr="00BB4A9E">
        <w:t xml:space="preserve"> LP77</w:t>
      </w:r>
      <w:r w:rsidR="00B65537">
        <w:t xml:space="preserve"> </w:t>
      </w:r>
      <w:r w:rsidR="00B65537">
        <w:rPr>
          <w:vertAlign w:val="superscript"/>
        </w:rPr>
        <w:t>15</w:t>
      </w:r>
      <w:r w:rsidR="008D4084">
        <w:t xml:space="preserve"> </w:t>
      </w:r>
      <w:r w:rsidR="00A42D5B">
        <w:t>and ONR LP 78</w:t>
      </w:r>
      <w:r w:rsidR="008D4084">
        <w:t xml:space="preserve"> </w:t>
      </w:r>
      <w:r w:rsidR="00B65537">
        <w:rPr>
          <w:vertAlign w:val="superscript"/>
        </w:rPr>
        <w:t>16</w:t>
      </w:r>
      <w:r w:rsidRPr="00BB4A9E">
        <w:t>. These statements should only be made in person and not in correspondence.</w:t>
      </w:r>
    </w:p>
    <w:p w14:paraId="7060851C" w14:textId="77777777" w:rsidR="001C2C12" w:rsidRDefault="00635B41" w:rsidP="001C2C12">
      <w:pPr>
        <w:pStyle w:val="TSNumberedParagraph11"/>
      </w:pPr>
      <w:r>
        <w:t>T</w:t>
      </w:r>
      <w:r w:rsidR="00BB4A9E" w:rsidRPr="00BB4A9E">
        <w:t xml:space="preserve">he guidance found in </w:t>
      </w:r>
      <w:r w:rsidR="009C13D9">
        <w:t xml:space="preserve">PACE Code </w:t>
      </w:r>
      <w:r w:rsidR="00483628" w:rsidRPr="00BB4A9E">
        <w:t>A</w:t>
      </w:r>
      <w:r w:rsidR="00483628">
        <w:t xml:space="preserve">nnex </w:t>
      </w:r>
      <w:r w:rsidR="00483628" w:rsidRPr="00BB4A9E">
        <w:t>D</w:t>
      </w:r>
      <w:r w:rsidR="00BB4A9E" w:rsidRPr="00BB4A9E">
        <w:t xml:space="preserve"> </w:t>
      </w:r>
      <w:r w:rsidR="00176F53">
        <w:t>“Written statements under caution”</w:t>
      </w:r>
      <w:r w:rsidR="00BB4A9E" w:rsidRPr="00BB4A9E">
        <w:t xml:space="preserve"> should be applied as appropriate. </w:t>
      </w:r>
    </w:p>
    <w:p w14:paraId="41DF8061" w14:textId="77777777" w:rsidR="001C2C12" w:rsidRPr="001C2C12" w:rsidRDefault="00BB4A9E" w:rsidP="001C2C12">
      <w:pPr>
        <w:pStyle w:val="TSNumberedParagraph11"/>
        <w:numPr>
          <w:ilvl w:val="0"/>
          <w:numId w:val="0"/>
        </w:numPr>
        <w:ind w:left="720"/>
        <w:rPr>
          <w:b/>
        </w:rPr>
      </w:pPr>
      <w:r w:rsidRPr="00BB4A9E">
        <w:t xml:space="preserve"> </w:t>
      </w:r>
      <w:r w:rsidR="001C2C12" w:rsidRPr="001C2C12">
        <w:rPr>
          <w:b/>
        </w:rPr>
        <w:t xml:space="preserve">Written </w:t>
      </w:r>
      <w:r w:rsidR="001C2C12">
        <w:rPr>
          <w:b/>
        </w:rPr>
        <w:t>statement under caution</w:t>
      </w:r>
      <w:r w:rsidR="001C2C12" w:rsidRPr="001C2C12">
        <w:rPr>
          <w:b/>
        </w:rPr>
        <w:t xml:space="preserve"> – Foreign languages</w:t>
      </w:r>
    </w:p>
    <w:p w14:paraId="364CD0CC" w14:textId="77777777" w:rsidR="001C2C12" w:rsidRDefault="001C2C12" w:rsidP="001C2C12">
      <w:pPr>
        <w:pStyle w:val="TSNumberedParagraph11"/>
      </w:pPr>
      <w:r>
        <w:lastRenderedPageBreak/>
        <w:t>In the case of a person making a statement under caution in a language other than English:</w:t>
      </w:r>
    </w:p>
    <w:p w14:paraId="3BF2E77E" w14:textId="77777777" w:rsidR="001C2C12" w:rsidRDefault="001C2C12" w:rsidP="001C2C12">
      <w:pPr>
        <w:pStyle w:val="TSNumberedParagraph11"/>
        <w:numPr>
          <w:ilvl w:val="0"/>
          <w:numId w:val="0"/>
        </w:numPr>
        <w:ind w:left="720" w:firstLine="720"/>
      </w:pPr>
      <w:r>
        <w:t xml:space="preserve">(a) the interpreter shall record the statement in the language it is </w:t>
      </w:r>
      <w:proofErr w:type="gramStart"/>
      <w:r>
        <w:t>made;</w:t>
      </w:r>
      <w:proofErr w:type="gramEnd"/>
    </w:p>
    <w:p w14:paraId="70A7AE41" w14:textId="77777777" w:rsidR="001C2C12" w:rsidRDefault="001C2C12" w:rsidP="001C2C12">
      <w:pPr>
        <w:pStyle w:val="TSNumberedParagraph11"/>
        <w:numPr>
          <w:ilvl w:val="0"/>
          <w:numId w:val="0"/>
        </w:numPr>
        <w:ind w:left="720" w:firstLine="720"/>
      </w:pPr>
      <w:r>
        <w:t xml:space="preserve">(b) the person shall be invited to sign </w:t>
      </w:r>
      <w:proofErr w:type="gramStart"/>
      <w:r>
        <w:t>it;</w:t>
      </w:r>
      <w:proofErr w:type="gramEnd"/>
    </w:p>
    <w:p w14:paraId="6BD4D983" w14:textId="77777777" w:rsidR="00BB4A9E" w:rsidRPr="001C2C12" w:rsidRDefault="001C2C12" w:rsidP="001C2C12">
      <w:pPr>
        <w:pStyle w:val="TSNumberedParagraph11"/>
        <w:numPr>
          <w:ilvl w:val="0"/>
          <w:numId w:val="0"/>
        </w:numPr>
        <w:ind w:left="720" w:firstLine="720"/>
      </w:pPr>
      <w:r>
        <w:t>(c) an official English translation shall be made in due course.</w:t>
      </w:r>
    </w:p>
    <w:p w14:paraId="5FA977FD" w14:textId="77777777" w:rsidR="005D2D71" w:rsidRPr="001C2C12" w:rsidRDefault="003D3818" w:rsidP="001C2C12">
      <w:pPr>
        <w:pStyle w:val="TSNumberedParagraph11"/>
        <w:numPr>
          <w:ilvl w:val="0"/>
          <w:numId w:val="0"/>
        </w:numPr>
        <w:ind w:left="720"/>
        <w:rPr>
          <w:b/>
        </w:rPr>
      </w:pPr>
      <w:r>
        <w:rPr>
          <w:b/>
        </w:rPr>
        <w:t>Written record when a suspect</w:t>
      </w:r>
      <w:r w:rsidR="005D2D71">
        <w:rPr>
          <w:b/>
        </w:rPr>
        <w:t xml:space="preserve"> appea</w:t>
      </w:r>
      <w:r>
        <w:rPr>
          <w:b/>
        </w:rPr>
        <w:t>r</w:t>
      </w:r>
      <w:r w:rsidR="005D2D71">
        <w:rPr>
          <w:b/>
        </w:rPr>
        <w:t>s to have a hearing impediment</w:t>
      </w:r>
    </w:p>
    <w:p w14:paraId="036D196D" w14:textId="108DE69B" w:rsidR="0041296C" w:rsidRDefault="003D3818" w:rsidP="001C2C12">
      <w:pPr>
        <w:pStyle w:val="TSNumberedParagraph11"/>
      </w:pPr>
      <w:r>
        <w:t xml:space="preserve">If the suspect appears to have a hearing impediment, the interviewer shall make a written note of the interview at the same time as audio recording it. (This provision is to give a person who is deaf or has impaired hearing equivalent rights of access to the full interview record as far as this is possible using audio recording.) </w:t>
      </w:r>
      <w:r w:rsidR="005D2D71">
        <w:t xml:space="preserve">If a written record is </w:t>
      </w:r>
      <w:r>
        <w:t>required</w:t>
      </w:r>
      <w:r w:rsidR="00731EB3">
        <w:t>,</w:t>
      </w:r>
      <w:r w:rsidR="005D2D71">
        <w:t xml:space="preserve"> then forms ONR LP 75 </w:t>
      </w:r>
      <w:r w:rsidR="00B65537">
        <w:rPr>
          <w:vertAlign w:val="superscript"/>
        </w:rPr>
        <w:t>17</w:t>
      </w:r>
      <w:r w:rsidR="008D4084">
        <w:t xml:space="preserve"> </w:t>
      </w:r>
      <w:r w:rsidR="005D2D71">
        <w:t xml:space="preserve">and ONR </w:t>
      </w:r>
      <w:r>
        <w:t>LP 76</w:t>
      </w:r>
      <w:r w:rsidR="008D4084">
        <w:t xml:space="preserve"> </w:t>
      </w:r>
      <w:r w:rsidR="00B65537">
        <w:rPr>
          <w:vertAlign w:val="superscript"/>
        </w:rPr>
        <w:t xml:space="preserve">18 </w:t>
      </w:r>
      <w:r>
        <w:t>should be used.</w:t>
      </w:r>
    </w:p>
    <w:p w14:paraId="0B752F63" w14:textId="77777777" w:rsidR="0086179B" w:rsidRDefault="0086179B" w:rsidP="001C2C12">
      <w:pPr>
        <w:pStyle w:val="TSHeadingNumbered1"/>
      </w:pPr>
      <w:bookmarkStart w:id="9" w:name="_Toc50653639"/>
      <w:r>
        <w:t>prepared statements</w:t>
      </w:r>
      <w:bookmarkEnd w:id="9"/>
    </w:p>
    <w:p w14:paraId="29A792B4" w14:textId="77777777" w:rsidR="0027603E" w:rsidRDefault="0027603E" w:rsidP="001C2C12">
      <w:pPr>
        <w:pStyle w:val="TSNumberedParagraph11"/>
      </w:pPr>
      <w:r>
        <w:t>Suspects may wish to use prepared statements. Prior to starting the interview, the interviewer may wish to ask the legal representative whether a prepared statement is likely to be produced.</w:t>
      </w:r>
    </w:p>
    <w:p w14:paraId="1CB3BD8A" w14:textId="77777777" w:rsidR="0027603E" w:rsidRDefault="0027603E" w:rsidP="001C2C12">
      <w:pPr>
        <w:pStyle w:val="TSNumberedParagraph11"/>
      </w:pPr>
      <w:r>
        <w:t>If a pre-prepared statement is handed in or read out by the suspect’s legal representative at the beginning of an interview, the investigator is still entitled to question the suspect about either the contents of the prepared statement or other matters.</w:t>
      </w:r>
    </w:p>
    <w:p w14:paraId="367B08D0" w14:textId="77777777" w:rsidR="0027603E" w:rsidRDefault="0027603E" w:rsidP="001C2C12">
      <w:pPr>
        <w:pStyle w:val="TSNumberedParagraph11"/>
      </w:pPr>
      <w:r>
        <w:t>A prepared statement is compiled by the suspect’s legal representative in consultation with the suspect, signed and dated by the suspect and submitted by the defence prior to or during a suspect interview. Where the investigator is aware that a statement has been prepared but is not submitted, the interview should be conducted as planned, based on the material available to the investigator at that time.</w:t>
      </w:r>
    </w:p>
    <w:p w14:paraId="290DD773" w14:textId="77777777" w:rsidR="0027603E" w:rsidRDefault="0027603E" w:rsidP="001C2C12">
      <w:pPr>
        <w:pStyle w:val="TSNumberedParagraph11"/>
      </w:pPr>
      <w:r>
        <w:t>On receipt of a prepared statement, the investigator should consider suspending the interview to consider the contents of this document.</w:t>
      </w:r>
    </w:p>
    <w:p w14:paraId="130F1FFC" w14:textId="77777777" w:rsidR="0027603E" w:rsidRDefault="0027603E" w:rsidP="001C2C12">
      <w:pPr>
        <w:pStyle w:val="TSNumberedParagraph11"/>
      </w:pPr>
      <w:r>
        <w:t>There may be occasions when the suspect prepares a signed and dated statement that is not submitted to the police until charge or, in some cases, until trial. This may be because the statement contains incriminating information or may otherwise assist the prosecution case.</w:t>
      </w:r>
    </w:p>
    <w:p w14:paraId="464ACBC8" w14:textId="77777777" w:rsidR="001C6AE2" w:rsidRDefault="0027603E" w:rsidP="00980E77">
      <w:pPr>
        <w:pStyle w:val="TSNumberedParagraph11"/>
      </w:pPr>
      <w:r>
        <w:t xml:space="preserve">Even if the suspect maintains their right to silence, the investigator should ensure that the questions posed give the suspect every opportunity to provide a full verbal account. </w:t>
      </w:r>
      <w:r w:rsidR="008D4084">
        <w:t>For t</w:t>
      </w:r>
      <w:r>
        <w:t xml:space="preserve">he leading cases in relation to prepared statements </w:t>
      </w:r>
      <w:r w:rsidR="008D4084">
        <w:t xml:space="preserve">see reference </w:t>
      </w:r>
      <w:r w:rsidR="002A43A8">
        <w:t>19</w:t>
      </w:r>
      <w:r w:rsidR="008D4084">
        <w:t xml:space="preserve"> and 2</w:t>
      </w:r>
      <w:r w:rsidR="002A43A8">
        <w:t>0.</w:t>
      </w:r>
    </w:p>
    <w:p w14:paraId="3E788B34" w14:textId="77777777" w:rsidR="00FA01B1" w:rsidRDefault="00FA01B1" w:rsidP="00FA01B1">
      <w:pPr>
        <w:pStyle w:val="TSHeadingNumbered1"/>
      </w:pPr>
      <w:bookmarkStart w:id="10" w:name="_Toc50653640"/>
      <w:r w:rsidRPr="00402AE8">
        <w:t>unsolicited comment</w:t>
      </w:r>
      <w:r>
        <w:t>s</w:t>
      </w:r>
      <w:bookmarkEnd w:id="10"/>
    </w:p>
    <w:p w14:paraId="318111AC" w14:textId="77777777" w:rsidR="00FA01B1" w:rsidRDefault="00FA01B1" w:rsidP="00FA01B1">
      <w:pPr>
        <w:pStyle w:val="TSNumberedParagraph11"/>
      </w:pPr>
      <w:proofErr w:type="gramStart"/>
      <w:r>
        <w:t>During the course of</w:t>
      </w:r>
      <w:proofErr w:type="gramEnd"/>
      <w:r>
        <w:t xml:space="preserve"> an investigation a comment might be made by a person that is significant and gives the investigator reasonable grounds to suspect the person of an offence. Normal practice is not to discuss the matter further with the person who has now become a suspect and return to the comment </w:t>
      </w:r>
      <w:proofErr w:type="gramStart"/>
      <w:r>
        <w:t>at a later date</w:t>
      </w:r>
      <w:proofErr w:type="gramEnd"/>
      <w:r>
        <w:t xml:space="preserve"> when the investigator is better prepared. However, on occasion in an ONR investigation the comment could contain significant information, which it is important to capture at the time in a format which gives it some evidential value. If this occurs a record should be made of such </w:t>
      </w:r>
      <w:r>
        <w:lastRenderedPageBreak/>
        <w:t xml:space="preserve">any comments, along with the time at which the comment was made. The investigator should sign the record and record the time the comment(s) were made. </w:t>
      </w:r>
    </w:p>
    <w:p w14:paraId="3F8FCDC6" w14:textId="77777777" w:rsidR="00FA01B1" w:rsidRDefault="00FA01B1">
      <w:pPr>
        <w:pStyle w:val="TSNumberedParagraph11"/>
      </w:pPr>
      <w:r>
        <w:t>The investigator should also give the suspect the opportunity, where practicable, to read the record and sign it as correct or to indicate the respects in which they consider it inaccurate. If the suspect agrees the record is correct, they should be asked to endorse the record with, for example, 'I agree this is a correct record of what was said’ and add their signature. Where the suspect disagrees with the record, the investigator should record the details of any disagreement and ask the suspect to read these details and sign them to the effect that they accurately reflect their disagreement. Any refusal to sign should also be recorded.</w:t>
      </w:r>
    </w:p>
    <w:p w14:paraId="0AD5FA0D" w14:textId="77777777" w:rsidR="008C3352" w:rsidRDefault="008C3352" w:rsidP="008C3352">
      <w:pPr>
        <w:pStyle w:val="TSHeadingNumbered1"/>
      </w:pPr>
      <w:bookmarkStart w:id="11" w:name="_Toc50653641"/>
      <w:r>
        <w:t>Invitation to make a written submission</w:t>
      </w:r>
      <w:bookmarkEnd w:id="11"/>
    </w:p>
    <w:p w14:paraId="4DE68563" w14:textId="77777777" w:rsidR="008C3352" w:rsidRDefault="008C3352" w:rsidP="008C3352">
      <w:pPr>
        <w:pStyle w:val="TSNumberedParagraph11"/>
      </w:pPr>
      <w:r>
        <w:t xml:space="preserve">If a suspect declines to attend for a PACE interview, and the investigator believes they already have </w:t>
      </w:r>
      <w:r w:rsidR="00AC4366">
        <w:t>enough</w:t>
      </w:r>
      <w:r>
        <w:t xml:space="preserve"> evidence for a realistic prospect of conviction, it is still recommended that the investigator writes to invite them to make a written submission. This gives the suspect an opportunity to bring matters they think are relevant to the potential charge they could be facing to the attention of the investigator. This process occurs prior to the investigation papers being submitted to the Approval Officer for their consideration.</w:t>
      </w:r>
    </w:p>
    <w:p w14:paraId="1F97F771" w14:textId="77777777" w:rsidR="008C3352" w:rsidRPr="001C2C12" w:rsidRDefault="008C3352" w:rsidP="008C3352">
      <w:pPr>
        <w:pStyle w:val="TSNumberedParagraph11"/>
      </w:pPr>
      <w:r>
        <w:t xml:space="preserve">If the approach above is </w:t>
      </w:r>
      <w:r w:rsidR="00AC4366">
        <w:t>adopted,</w:t>
      </w:r>
      <w:r>
        <w:t xml:space="preserve"> then the template found at Appendix 5 can be used.</w:t>
      </w:r>
    </w:p>
    <w:p w14:paraId="23FC60AD" w14:textId="77777777" w:rsidR="008C3352" w:rsidRDefault="008C3352">
      <w:pPr>
        <w:pStyle w:val="TSNumberedParagraph11"/>
      </w:pPr>
      <w:r>
        <w:t>Formal admissions are not captured by PACE, instead being part of the pre-trial process. They occur where</w:t>
      </w:r>
      <w:r w:rsidRPr="00A42D5B">
        <w:t xml:space="preserve"> certain facts </w:t>
      </w:r>
      <w:r>
        <w:t xml:space="preserve">are agreed </w:t>
      </w:r>
      <w:r w:rsidRPr="00A42D5B">
        <w:t>with the defence, so that these facts will no</w:t>
      </w:r>
      <w:r>
        <w:t xml:space="preserve">t need to be proved at court. </w:t>
      </w:r>
      <w:r w:rsidRPr="00A42D5B">
        <w:t>This procedure is known as making admissions of fact, or formal admissions (as distinct from the confession, or informal admission, of a defendant).</w:t>
      </w:r>
    </w:p>
    <w:p w14:paraId="24159049" w14:textId="77777777" w:rsidR="001C6AE2" w:rsidRDefault="001C6AE2">
      <w:pPr>
        <w:pStyle w:val="TSHeadingNumbered1"/>
      </w:pPr>
      <w:bookmarkStart w:id="12" w:name="_Toc50653642"/>
      <w:r>
        <w:t>the key legislation and guidance relevant in scotland</w:t>
      </w:r>
      <w:bookmarkEnd w:id="12"/>
    </w:p>
    <w:p w14:paraId="6A4D0647" w14:textId="77777777" w:rsidR="001C6AE2" w:rsidRPr="00C82F44" w:rsidRDefault="001C6AE2" w:rsidP="00C82F44">
      <w:pPr>
        <w:pStyle w:val="TSNumberedParagraph11"/>
      </w:pPr>
      <w:r w:rsidRPr="00C82F44">
        <w:t>The Criminal Justice (Scotland) Act 2016 ("CJSA")</w:t>
      </w:r>
      <w:r w:rsidR="00366035">
        <w:t xml:space="preserve"> </w:t>
      </w:r>
      <w:r w:rsidR="00366035">
        <w:rPr>
          <w:vertAlign w:val="superscript"/>
        </w:rPr>
        <w:t>21</w:t>
      </w:r>
      <w:r w:rsidRPr="00C82F44">
        <w:t xml:space="preserve"> is the Scottish legislation analogous to PACE. One of its purposes is to make provision about police powers.</w:t>
      </w:r>
    </w:p>
    <w:p w14:paraId="27F6AFC1" w14:textId="77777777" w:rsidR="001C6AE2" w:rsidRPr="00C82F44" w:rsidRDefault="001C6AE2" w:rsidP="001C6AE2">
      <w:pPr>
        <w:pStyle w:val="TSNumberedParagraph11"/>
        <w:numPr>
          <w:ilvl w:val="0"/>
          <w:numId w:val="0"/>
        </w:numPr>
        <w:ind w:left="720"/>
        <w:jc w:val="both"/>
        <w:rPr>
          <w:b/>
        </w:rPr>
      </w:pPr>
      <w:r w:rsidRPr="00C82F44">
        <w:rPr>
          <w:b/>
        </w:rPr>
        <w:t>Lord Advocate's Code of Practice</w:t>
      </w:r>
    </w:p>
    <w:p w14:paraId="3DC15069" w14:textId="77777777" w:rsidR="001C6AE2" w:rsidRPr="00C82F44" w:rsidRDefault="001C6AE2" w:rsidP="00C82F44">
      <w:pPr>
        <w:pStyle w:val="TSNumberedParagraph11"/>
      </w:pPr>
      <w:r w:rsidRPr="00C82F44">
        <w:t>Section 57 of the CJSA which commenced on 25 January 2018 obliges the Lord Advocate (</w:t>
      </w:r>
      <w:proofErr w:type="gramStart"/>
      <w:r w:rsidR="002673DE" w:rsidRPr="00C82F44">
        <w:t>i.e.</w:t>
      </w:r>
      <w:proofErr w:type="gramEnd"/>
      <w:r w:rsidRPr="00C82F44">
        <w:t xml:space="preserve"> Scotland's equivalent of both the Attorney General and the Director of Public Prosecutions), following public consultation, to issue a Code of Practice which includes the questioning, and recording of questioning, of persons suspected of committing offences. Section 57(3) provides that the code is to apply to the Police Service of Scotland and such other bodies as are specified in the code responsible for reporting offences to the procurator fiscal. The Office for Nuclear Regulation is such a body. </w:t>
      </w:r>
      <w:r w:rsidR="002673DE">
        <w:t>References below to ‘police’ should be read as meaning ONR investigator.</w:t>
      </w:r>
      <w:r w:rsidR="002673DE" w:rsidRPr="00C82F44">
        <w:t xml:space="preserve"> The</w:t>
      </w:r>
      <w:r w:rsidRPr="00C82F44">
        <w:t xml:space="preserve"> Lord Advocate's Code of Practice is awaited.</w:t>
      </w:r>
    </w:p>
    <w:p w14:paraId="3C36A90E" w14:textId="77777777" w:rsidR="001C6AE2" w:rsidRPr="00C82F44" w:rsidRDefault="001C6AE2" w:rsidP="001C6AE2">
      <w:pPr>
        <w:pStyle w:val="TSNumberedParagraph11"/>
        <w:numPr>
          <w:ilvl w:val="0"/>
          <w:numId w:val="0"/>
        </w:numPr>
        <w:ind w:left="720" w:hanging="720"/>
        <w:jc w:val="both"/>
      </w:pPr>
      <w:r w:rsidRPr="00C82F44">
        <w:tab/>
      </w:r>
      <w:proofErr w:type="spellStart"/>
      <w:r w:rsidRPr="00C82F44">
        <w:rPr>
          <w:b/>
        </w:rPr>
        <w:t>Cadder</w:t>
      </w:r>
      <w:proofErr w:type="spellEnd"/>
      <w:r w:rsidRPr="00C82F44">
        <w:rPr>
          <w:b/>
        </w:rPr>
        <w:t xml:space="preserve"> v HM Advocate </w:t>
      </w:r>
      <w:r w:rsidRPr="00C82F44">
        <w:t xml:space="preserve">  </w:t>
      </w:r>
    </w:p>
    <w:p w14:paraId="180060EB" w14:textId="77777777" w:rsidR="001C6AE2" w:rsidRPr="00C82F44" w:rsidRDefault="001C6AE2" w:rsidP="00C82F44">
      <w:pPr>
        <w:pStyle w:val="TSNumberedParagraph11"/>
      </w:pPr>
      <w:r w:rsidRPr="00C82F44">
        <w:t xml:space="preserve">Chapter 4 of Part 1 of the CJSA, consisting of sections 31 - 37, is entitled "Police Interview". The impetus behind chapter 4 is the Supreme Court decision of </w:t>
      </w:r>
      <w:proofErr w:type="spellStart"/>
      <w:r w:rsidRPr="00C82F44">
        <w:rPr>
          <w:i/>
        </w:rPr>
        <w:t>Cadder</w:t>
      </w:r>
      <w:proofErr w:type="spellEnd"/>
      <w:r w:rsidRPr="00C82F44">
        <w:rPr>
          <w:i/>
        </w:rPr>
        <w:t xml:space="preserve"> v HM Advocate [2010] UKSC 43</w:t>
      </w:r>
      <w:r w:rsidR="00366035">
        <w:rPr>
          <w:i/>
        </w:rPr>
        <w:t xml:space="preserve"> </w:t>
      </w:r>
      <w:r w:rsidR="00366035">
        <w:rPr>
          <w:vertAlign w:val="superscript"/>
        </w:rPr>
        <w:t>22</w:t>
      </w:r>
      <w:r w:rsidRPr="00C82F44">
        <w:t xml:space="preserve">. This changed the law in Scotland in this area. </w:t>
      </w:r>
      <w:proofErr w:type="spellStart"/>
      <w:r w:rsidRPr="00C82F44">
        <w:rPr>
          <w:i/>
        </w:rPr>
        <w:t>Cadder</w:t>
      </w:r>
      <w:proofErr w:type="spellEnd"/>
      <w:r w:rsidRPr="00C82F44">
        <w:rPr>
          <w:i/>
        </w:rPr>
        <w:t xml:space="preserve"> </w:t>
      </w:r>
      <w:r w:rsidRPr="00C82F44">
        <w:t xml:space="preserve">provides that a detainee's Article 6 rights require they should have access to advice from a lawyer </w:t>
      </w:r>
      <w:r w:rsidRPr="00C82F44">
        <w:rPr>
          <w:b/>
        </w:rPr>
        <w:t xml:space="preserve">before </w:t>
      </w:r>
      <w:r w:rsidRPr="00C82F44">
        <w:t>being subjected to police questioning, unless a compelling reason exist not to do so.</w:t>
      </w:r>
    </w:p>
    <w:p w14:paraId="6192E140" w14:textId="77777777" w:rsidR="001C6AE2" w:rsidRPr="00C82F44" w:rsidRDefault="00C82F44" w:rsidP="00C82F44">
      <w:pPr>
        <w:pStyle w:val="TSNumberedParagraph11"/>
      </w:pPr>
      <w:r>
        <w:lastRenderedPageBreak/>
        <w:t xml:space="preserve">It is </w:t>
      </w:r>
      <w:r w:rsidR="001C6AE2" w:rsidRPr="00C82F44">
        <w:t>anticipate</w:t>
      </w:r>
      <w:r>
        <w:t>d</w:t>
      </w:r>
      <w:r w:rsidR="001C6AE2" w:rsidRPr="00C82F44">
        <w:t xml:space="preserve"> the Lord Advocate's Code of Practice in terms of section 57 of the CJSA </w:t>
      </w:r>
      <w:r w:rsidR="002673DE">
        <w:t>will</w:t>
      </w:r>
      <w:r w:rsidR="001C6AE2" w:rsidRPr="00C82F44">
        <w:t xml:space="preserve"> refer to chapter 4 of Part 1 of the CJSA. Police Scotland's Crime Investigation Standard Operating Procedur</w:t>
      </w:r>
      <w:r w:rsidR="00366035">
        <w:t xml:space="preserve">e (SOP) dated 28 November 2018 </w:t>
      </w:r>
      <w:r w:rsidR="00366035">
        <w:rPr>
          <w:vertAlign w:val="superscript"/>
        </w:rPr>
        <w:t>23</w:t>
      </w:r>
      <w:r w:rsidR="00366035">
        <w:t xml:space="preserve"> </w:t>
      </w:r>
      <w:r w:rsidR="001C6AE2" w:rsidRPr="00C82F44">
        <w:t xml:space="preserve">deals, at Section 7 with Interviewing of Suspects </w:t>
      </w:r>
      <w:r w:rsidR="002673DE">
        <w:t xml:space="preserve">and </w:t>
      </w:r>
      <w:r w:rsidR="001C6AE2" w:rsidRPr="00C82F44">
        <w:t>is replete with references to Chapter 4 of Par</w:t>
      </w:r>
      <w:r w:rsidR="006360DD">
        <w:t>t 1 of the CJSA.</w:t>
      </w:r>
    </w:p>
    <w:p w14:paraId="5AD831D6" w14:textId="77777777" w:rsidR="001C6AE2" w:rsidRPr="00C82F44" w:rsidRDefault="001C6AE2" w:rsidP="001C6AE2">
      <w:pPr>
        <w:pStyle w:val="TSNumberedParagraph11"/>
        <w:numPr>
          <w:ilvl w:val="0"/>
          <w:numId w:val="0"/>
        </w:numPr>
        <w:ind w:left="720"/>
        <w:jc w:val="both"/>
        <w:rPr>
          <w:b/>
        </w:rPr>
      </w:pPr>
      <w:r w:rsidRPr="00C82F44">
        <w:rPr>
          <w:b/>
        </w:rPr>
        <w:t>Chapter 4 of Part 1 of the CJSA</w:t>
      </w:r>
    </w:p>
    <w:p w14:paraId="32FCB390" w14:textId="77777777" w:rsidR="001C6AE2" w:rsidRPr="00C82F44" w:rsidRDefault="001C6AE2" w:rsidP="00C82F44">
      <w:pPr>
        <w:pStyle w:val="TSNumberedParagraph11"/>
      </w:pPr>
      <w:r w:rsidRPr="00C82F44">
        <w:t>Section 31 sets out the information to be given to a person before interview. The key points of this section for ONR's purposes are that not more than one hour before the interview of a person about an offence the police officer has reasonable grounds to suspect them of committing, the person must be informed:</w:t>
      </w:r>
    </w:p>
    <w:p w14:paraId="23816678" w14:textId="77777777" w:rsidR="001C6AE2" w:rsidRPr="00C82F44" w:rsidRDefault="001C6AE2" w:rsidP="001C6AE2">
      <w:pPr>
        <w:pStyle w:val="TSNumberedParagraph11"/>
        <w:numPr>
          <w:ilvl w:val="0"/>
          <w:numId w:val="0"/>
        </w:numPr>
        <w:ind w:left="720"/>
        <w:jc w:val="both"/>
      </w:pPr>
      <w:r w:rsidRPr="00C82F44">
        <w:tab/>
        <w:t>(</w:t>
      </w:r>
      <w:proofErr w:type="spellStart"/>
      <w:r w:rsidRPr="00C82F44">
        <w:t>i</w:t>
      </w:r>
      <w:proofErr w:type="spellEnd"/>
      <w:r w:rsidRPr="00C82F44">
        <w:t xml:space="preserve">) of the general nature of that </w:t>
      </w:r>
      <w:proofErr w:type="gramStart"/>
      <w:r w:rsidRPr="00C82F44">
        <w:t>offence;</w:t>
      </w:r>
      <w:proofErr w:type="gramEnd"/>
    </w:p>
    <w:p w14:paraId="3644C430" w14:textId="77777777" w:rsidR="001C6AE2" w:rsidRPr="00C82F44" w:rsidRDefault="001C6AE2" w:rsidP="001C6AE2">
      <w:pPr>
        <w:pStyle w:val="TSNumberedParagraph11"/>
        <w:numPr>
          <w:ilvl w:val="0"/>
          <w:numId w:val="0"/>
        </w:numPr>
        <w:ind w:left="1440"/>
        <w:jc w:val="both"/>
      </w:pPr>
      <w:r w:rsidRPr="00C82F44">
        <w:t xml:space="preserve">(ii) that the person is under no obligation to say anything other than to give their name, address, date of birth, place of birth and </w:t>
      </w:r>
      <w:proofErr w:type="gramStart"/>
      <w:r w:rsidRPr="00C82F44">
        <w:t>nationality;</w:t>
      </w:r>
      <w:proofErr w:type="gramEnd"/>
    </w:p>
    <w:p w14:paraId="072740EE" w14:textId="77777777" w:rsidR="001C6AE2" w:rsidRPr="00C82F44" w:rsidRDefault="001C6AE2" w:rsidP="001C6AE2">
      <w:pPr>
        <w:pStyle w:val="TSNumberedParagraph11"/>
        <w:numPr>
          <w:ilvl w:val="0"/>
          <w:numId w:val="0"/>
        </w:numPr>
        <w:ind w:left="1440"/>
        <w:jc w:val="both"/>
      </w:pPr>
      <w:r w:rsidRPr="00C82F44">
        <w:t>(iii) of their right to have a solicitor present during the interview.</w:t>
      </w:r>
    </w:p>
    <w:p w14:paraId="07F295A0" w14:textId="77777777" w:rsidR="002673DE" w:rsidRPr="00C82F44" w:rsidRDefault="001C6AE2" w:rsidP="001C6AE2">
      <w:pPr>
        <w:ind w:left="720"/>
        <w:jc w:val="both"/>
        <w:rPr>
          <w:rFonts w:cs="Arial"/>
          <w:color w:val="000000"/>
          <w:szCs w:val="20"/>
        </w:rPr>
      </w:pPr>
      <w:r w:rsidRPr="00C82F44">
        <w:rPr>
          <w:rFonts w:cs="Arial"/>
          <w:color w:val="000000"/>
          <w:szCs w:val="20"/>
        </w:rPr>
        <w:t xml:space="preserve">Section 31 raises the question as to whether it would be unlawful for the Police to inform the interviewee of the information set out in this section </w:t>
      </w:r>
      <w:r w:rsidRPr="00C82F44">
        <w:rPr>
          <w:rFonts w:cs="Arial"/>
          <w:i/>
          <w:color w:val="000000"/>
          <w:szCs w:val="20"/>
        </w:rPr>
        <w:t>more</w:t>
      </w:r>
      <w:r w:rsidRPr="00C82F44">
        <w:rPr>
          <w:rFonts w:cs="Arial"/>
          <w:color w:val="000000"/>
          <w:szCs w:val="20"/>
        </w:rPr>
        <w:t xml:space="preserve"> than one hour before the interview commenced. It is submitted that the courts would interpret this provision as meaning that it would be lawful for the Police to inform the interviewee of the information set out in s.31 more than one hour before the interview commenced, provided they did so </w:t>
      </w:r>
      <w:r w:rsidRPr="00C82F44">
        <w:rPr>
          <w:rFonts w:cs="Arial"/>
          <w:i/>
          <w:color w:val="000000"/>
          <w:szCs w:val="20"/>
        </w:rPr>
        <w:t>again</w:t>
      </w:r>
      <w:r w:rsidRPr="00C82F44">
        <w:rPr>
          <w:rFonts w:cs="Arial"/>
          <w:color w:val="000000"/>
          <w:szCs w:val="20"/>
        </w:rPr>
        <w:t xml:space="preserve"> during the </w:t>
      </w:r>
      <w:proofErr w:type="gramStart"/>
      <w:r w:rsidRPr="00C82F44">
        <w:rPr>
          <w:rFonts w:cs="Arial"/>
          <w:color w:val="000000"/>
          <w:szCs w:val="20"/>
        </w:rPr>
        <w:t>one hour</w:t>
      </w:r>
      <w:proofErr w:type="gramEnd"/>
      <w:r w:rsidRPr="00C82F44">
        <w:rPr>
          <w:rFonts w:cs="Arial"/>
          <w:color w:val="000000"/>
          <w:szCs w:val="20"/>
        </w:rPr>
        <w:t xml:space="preserve"> window before the start of the interview.</w:t>
      </w:r>
      <w:r w:rsidR="002673DE">
        <w:rPr>
          <w:rFonts w:cs="Arial"/>
          <w:color w:val="000000"/>
          <w:szCs w:val="20"/>
        </w:rPr>
        <w:t xml:space="preserve"> This means ONR current practice of providing ‘Roble disclosure’ (see 7.6 above) is valid in Scotland.</w:t>
      </w:r>
    </w:p>
    <w:p w14:paraId="0062C038" w14:textId="77777777" w:rsidR="001C6AE2" w:rsidRPr="00C82F44" w:rsidRDefault="001C6AE2" w:rsidP="00387E96">
      <w:pPr>
        <w:ind w:left="720"/>
        <w:jc w:val="both"/>
      </w:pPr>
    </w:p>
    <w:p w14:paraId="6774D472" w14:textId="77777777" w:rsidR="001C6AE2" w:rsidRPr="00C82F44" w:rsidRDefault="001C6AE2" w:rsidP="00C82F44">
      <w:pPr>
        <w:pStyle w:val="TSNumberedParagraph11"/>
      </w:pPr>
      <w:r w:rsidRPr="00C82F44">
        <w:t>Section 32 establishes the architecture supportive of the right to have a solicitor present when being interviewed by a police officer in terms of s.31. The key points of s.32 for ONR's purposes are as follows:</w:t>
      </w:r>
    </w:p>
    <w:p w14:paraId="08070AC9" w14:textId="77777777" w:rsidR="001C6AE2" w:rsidRPr="00C82F44" w:rsidRDefault="006360DD" w:rsidP="001C6AE2">
      <w:pPr>
        <w:pStyle w:val="TSNumberedParagraph11"/>
        <w:numPr>
          <w:ilvl w:val="0"/>
          <w:numId w:val="0"/>
        </w:numPr>
        <w:ind w:left="1440"/>
        <w:jc w:val="both"/>
      </w:pPr>
      <w:r>
        <w:t>(</w:t>
      </w:r>
      <w:proofErr w:type="spellStart"/>
      <w:r>
        <w:t>i</w:t>
      </w:r>
      <w:proofErr w:type="spellEnd"/>
      <w:r>
        <w:t>) U</w:t>
      </w:r>
      <w:r w:rsidR="001C6AE2" w:rsidRPr="00C82F44">
        <w:t xml:space="preserve">nless the person consents to being interviewed without a having a solicitor present, the officer must not begin the interview until their solicitor is </w:t>
      </w:r>
      <w:proofErr w:type="gramStart"/>
      <w:r w:rsidR="001C6AE2" w:rsidRPr="00C82F44">
        <w:t>present;</w:t>
      </w:r>
      <w:proofErr w:type="gramEnd"/>
    </w:p>
    <w:p w14:paraId="11357C11" w14:textId="77777777" w:rsidR="001C6AE2" w:rsidRPr="00C82F44" w:rsidRDefault="006360DD" w:rsidP="001C6AE2">
      <w:pPr>
        <w:pStyle w:val="TSNumberedParagraph11"/>
        <w:numPr>
          <w:ilvl w:val="0"/>
          <w:numId w:val="0"/>
        </w:numPr>
        <w:ind w:left="1440"/>
        <w:jc w:val="both"/>
      </w:pPr>
      <w:r>
        <w:t>(ii) T</w:t>
      </w:r>
      <w:r w:rsidR="001C6AE2" w:rsidRPr="00C82F44">
        <w:t xml:space="preserve">heir solicitor must not be denied access to the person at any time during the </w:t>
      </w:r>
      <w:proofErr w:type="gramStart"/>
      <w:r w:rsidR="001C6AE2" w:rsidRPr="00C82F44">
        <w:t>interview;</w:t>
      </w:r>
      <w:proofErr w:type="gramEnd"/>
      <w:r w:rsidR="001C6AE2" w:rsidRPr="00C82F44">
        <w:t xml:space="preserve">         </w:t>
      </w:r>
    </w:p>
    <w:p w14:paraId="4BE550BF" w14:textId="48874E48" w:rsidR="001C6AE2" w:rsidRPr="00C82F44" w:rsidRDefault="006360DD" w:rsidP="001C6AE2">
      <w:pPr>
        <w:pStyle w:val="TSNumberedParagraph11"/>
        <w:numPr>
          <w:ilvl w:val="0"/>
          <w:numId w:val="0"/>
        </w:numPr>
        <w:ind w:left="1440"/>
        <w:jc w:val="both"/>
      </w:pPr>
      <w:r>
        <w:t>(iii) N</w:t>
      </w:r>
      <w:r w:rsidR="001C6AE2" w:rsidRPr="00C82F44">
        <w:t>otwithstanding (</w:t>
      </w:r>
      <w:proofErr w:type="spellStart"/>
      <w:r w:rsidR="001C6AE2" w:rsidRPr="00C82F44">
        <w:t>i</w:t>
      </w:r>
      <w:proofErr w:type="spellEnd"/>
      <w:r w:rsidR="001C6AE2" w:rsidRPr="00C82F44">
        <w:t>) and (ii) in exceptional circumstances a</w:t>
      </w:r>
      <w:r w:rsidR="0037682E">
        <w:t>n [investigator]</w:t>
      </w:r>
      <w:r w:rsidR="001C6AE2" w:rsidRPr="00C82F44">
        <w:t xml:space="preserve"> may proceed to carry out the interview without the solicitor, if necessary, in the interests of the investigation or the prevention of crime, or the apprehension of offenders. The decision to do this may only be taken by </w:t>
      </w:r>
      <w:r w:rsidR="001C6AE2" w:rsidRPr="005C1319">
        <w:t>a</w:t>
      </w:r>
      <w:r w:rsidR="009158A6">
        <w:t xml:space="preserve"> [Superintending Inspector]</w:t>
      </w:r>
      <w:r w:rsidR="001C6AE2" w:rsidRPr="005C1319">
        <w:t xml:space="preserve"> who </w:t>
      </w:r>
      <w:r w:rsidR="004F71D0">
        <w:t>…</w:t>
      </w:r>
      <w:r w:rsidR="001C6AE2" w:rsidRPr="00C82F44">
        <w:t xml:space="preserve"> has not been involved in investigating the offence of which the person is </w:t>
      </w:r>
      <w:proofErr w:type="gramStart"/>
      <w:r w:rsidR="001C6AE2" w:rsidRPr="00C82F44">
        <w:t>suspected;</w:t>
      </w:r>
      <w:proofErr w:type="gramEnd"/>
    </w:p>
    <w:p w14:paraId="37578E8C" w14:textId="77777777" w:rsidR="001C6AE2" w:rsidRPr="00C82F44" w:rsidRDefault="006360DD" w:rsidP="001C6AE2">
      <w:pPr>
        <w:pStyle w:val="TSNumberedParagraph11"/>
        <w:numPr>
          <w:ilvl w:val="0"/>
          <w:numId w:val="0"/>
        </w:numPr>
        <w:ind w:left="1440"/>
        <w:jc w:val="both"/>
      </w:pPr>
      <w:r>
        <w:t>(iv) W</w:t>
      </w:r>
      <w:r w:rsidR="001C6AE2" w:rsidRPr="00C82F44">
        <w:t>here the person consents to be interviewed without having a solicitor present, the time of consent must be recorded along with any reason given by the person for waiving thei</w:t>
      </w:r>
      <w:bookmarkStart w:id="13" w:name="LASTCURSORPOSITION"/>
      <w:bookmarkEnd w:id="13"/>
      <w:r w:rsidR="001C6AE2" w:rsidRPr="00C82F44">
        <w:t>r right to have a solicitor present.</w:t>
      </w:r>
    </w:p>
    <w:p w14:paraId="35045E90" w14:textId="77777777" w:rsidR="001C6AE2" w:rsidRPr="00C82F44" w:rsidRDefault="001C6AE2" w:rsidP="00387E96">
      <w:pPr>
        <w:pStyle w:val="TSNumberedParagraph11"/>
      </w:pPr>
      <w:r w:rsidRPr="00C82F44">
        <w:t>Section 33 deals with vulnerable people consenting to being interviewed without a solicitor.  The key points of s.33 for ONR's purposes are as follows:</w:t>
      </w:r>
    </w:p>
    <w:p w14:paraId="03AC7BA7" w14:textId="77777777" w:rsidR="001C6AE2" w:rsidRPr="00C82F44" w:rsidRDefault="001C6AE2" w:rsidP="00C82F44">
      <w:pPr>
        <w:pStyle w:val="ScheduleLvl7"/>
        <w:tabs>
          <w:tab w:val="clear" w:pos="1440"/>
        </w:tabs>
        <w:ind w:left="1418" w:firstLine="0"/>
        <w:rPr>
          <w:sz w:val="22"/>
        </w:rPr>
      </w:pPr>
      <w:r w:rsidRPr="00C82F44">
        <w:rPr>
          <w:sz w:val="22"/>
        </w:rPr>
        <w:t xml:space="preserve">The following persons may not consent to being interviewed without having a solicitor present - </w:t>
      </w:r>
      <w:r w:rsidRPr="00C82F44">
        <w:rPr>
          <w:sz w:val="22"/>
        </w:rPr>
        <w:tab/>
        <w:t xml:space="preserve">any person under 16 years of age; any person aged 16 or 17 years who is subject to a compulsory  supervision order (CSO), or interim CSO, made under the Children's Hearings (Scotland) Act 2011; and </w:t>
      </w:r>
      <w:r w:rsidRPr="00C82F44">
        <w:rPr>
          <w:sz w:val="22"/>
        </w:rPr>
        <w:lastRenderedPageBreak/>
        <w:t>any persons aged  16 years or over who, owing to mental disorder, appears to a police officer to be unable to understand sufficiently what is happening or communicate effectively with the police;</w:t>
      </w:r>
    </w:p>
    <w:p w14:paraId="0B107822" w14:textId="77777777" w:rsidR="001C6AE2" w:rsidRPr="00C82F44" w:rsidRDefault="001C6AE2" w:rsidP="00C82F44">
      <w:pPr>
        <w:pStyle w:val="ScheduleLvl7"/>
        <w:tabs>
          <w:tab w:val="clear" w:pos="1440"/>
        </w:tabs>
        <w:ind w:left="1418" w:firstLine="0"/>
        <w:rPr>
          <w:sz w:val="22"/>
        </w:rPr>
      </w:pPr>
      <w:r w:rsidRPr="00C82F44">
        <w:rPr>
          <w:sz w:val="22"/>
        </w:rPr>
        <w:t>A person aged 16 or 17 years, not subject to a CSO or interim CSO, can consent to being interviewed without having a solicitor present if a relevant person agrees.</w:t>
      </w:r>
    </w:p>
    <w:p w14:paraId="11DD6840" w14:textId="77777777" w:rsidR="001C6AE2" w:rsidRPr="00C82F44" w:rsidRDefault="001C6AE2" w:rsidP="00C82F44">
      <w:pPr>
        <w:pStyle w:val="ScheduleLvl7"/>
        <w:tabs>
          <w:tab w:val="clear" w:pos="1440"/>
        </w:tabs>
        <w:ind w:left="1418" w:firstLine="0"/>
        <w:rPr>
          <w:sz w:val="22"/>
        </w:rPr>
      </w:pPr>
      <w:r w:rsidRPr="00C82F44">
        <w:rPr>
          <w:sz w:val="22"/>
        </w:rPr>
        <w:t xml:space="preserve">A "relevant person" for the purposes of (ii) is an adult aged at least 18 years of age who has been reasonably named by the </w:t>
      </w:r>
      <w:proofErr w:type="gramStart"/>
      <w:r w:rsidRPr="00C82F44">
        <w:rPr>
          <w:sz w:val="22"/>
        </w:rPr>
        <w:t>16 or 17 year old</w:t>
      </w:r>
      <w:proofErr w:type="gramEnd"/>
      <w:r w:rsidRPr="00C82F44">
        <w:rPr>
          <w:sz w:val="22"/>
        </w:rPr>
        <w:t>.</w:t>
      </w:r>
    </w:p>
    <w:p w14:paraId="75F5260E" w14:textId="52F2509A" w:rsidR="001C6AE2" w:rsidRPr="00C82F44" w:rsidRDefault="001C6AE2" w:rsidP="00C82F44">
      <w:pPr>
        <w:pStyle w:val="TSNumberedParagraph11"/>
      </w:pPr>
      <w:r w:rsidRPr="00C82F44">
        <w:t>Section 34 deals with questioning by the police following arrest.</w:t>
      </w:r>
      <w:r w:rsidR="0067233F">
        <w:t xml:space="preserve"> This is not a power ONR has, but ONR may be involved in </w:t>
      </w:r>
      <w:r w:rsidR="00BF31B0">
        <w:t>joint</w:t>
      </w:r>
      <w:r w:rsidR="0067233F">
        <w:t xml:space="preserve"> investigations with the police, so need to be aware</w:t>
      </w:r>
      <w:r w:rsidR="00BF31B0">
        <w:t xml:space="preserve"> of this section.</w:t>
      </w:r>
    </w:p>
    <w:p w14:paraId="58C1D9E0" w14:textId="77777777" w:rsidR="001C6AE2" w:rsidRPr="00C82F44" w:rsidRDefault="001C6AE2" w:rsidP="00C82F44">
      <w:pPr>
        <w:pStyle w:val="TSNumberedParagraph11"/>
      </w:pPr>
      <w:r w:rsidRPr="00C82F44">
        <w:t>Sections 35 to 37 sets out procedures for the court authorising police officers to question a person about an offence after they have been officially accused of committing it</w:t>
      </w:r>
      <w:r w:rsidR="002673DE">
        <w:t xml:space="preserve"> </w:t>
      </w:r>
      <w:proofErr w:type="gramStart"/>
      <w:r w:rsidR="002673DE">
        <w:t>e.g.</w:t>
      </w:r>
      <w:proofErr w:type="gramEnd"/>
      <w:r w:rsidR="002673DE">
        <w:t xml:space="preserve"> after Roble disclosure and cautioning them.</w:t>
      </w:r>
    </w:p>
    <w:p w14:paraId="1FD04AB5" w14:textId="77777777" w:rsidR="001C6AE2" w:rsidRPr="00C82F44" w:rsidRDefault="001C6AE2" w:rsidP="00C82F44">
      <w:pPr>
        <w:pStyle w:val="ScheduleLvl7"/>
        <w:numPr>
          <w:ilvl w:val="0"/>
          <w:numId w:val="0"/>
        </w:numPr>
        <w:ind w:left="1440" w:hanging="1440"/>
        <w:rPr>
          <w:b/>
          <w:color w:val="auto"/>
          <w:sz w:val="22"/>
        </w:rPr>
      </w:pPr>
      <w:r w:rsidRPr="00C82F44">
        <w:rPr>
          <w:b/>
          <w:color w:val="auto"/>
          <w:sz w:val="22"/>
        </w:rPr>
        <w:t xml:space="preserve">Police Scotland's Crime </w:t>
      </w:r>
      <w:r w:rsidR="006360DD" w:rsidRPr="001C6AE2">
        <w:rPr>
          <w:b/>
          <w:color w:val="auto"/>
          <w:sz w:val="22"/>
        </w:rPr>
        <w:t>Investigation SOP</w:t>
      </w:r>
      <w:r w:rsidRPr="00C82F44">
        <w:rPr>
          <w:b/>
          <w:color w:val="auto"/>
          <w:sz w:val="22"/>
        </w:rPr>
        <w:t xml:space="preserve"> - 28 Nov 2018</w:t>
      </w:r>
    </w:p>
    <w:p w14:paraId="14CEBD8D" w14:textId="77777777" w:rsidR="001C6AE2" w:rsidRPr="00C82F44" w:rsidRDefault="001C6AE2" w:rsidP="00C82F44">
      <w:pPr>
        <w:pStyle w:val="TSNumberedParagraph11"/>
      </w:pPr>
      <w:r w:rsidRPr="00C82F44">
        <w:t>Chapter 7 deals with the Interviewing of Suspects. The following points are relevant for ONR's purposes:</w:t>
      </w:r>
    </w:p>
    <w:p w14:paraId="5A4A7BC0" w14:textId="77777777" w:rsidR="001C6AE2" w:rsidRPr="00C82F44" w:rsidRDefault="001C6AE2" w:rsidP="00C82F44">
      <w:pPr>
        <w:pStyle w:val="ScheduleLvl7"/>
        <w:numPr>
          <w:ilvl w:val="0"/>
          <w:numId w:val="0"/>
        </w:numPr>
        <w:ind w:left="1440"/>
        <w:rPr>
          <w:sz w:val="22"/>
        </w:rPr>
      </w:pPr>
      <w:r w:rsidRPr="00C82F44">
        <w:rPr>
          <w:color w:val="auto"/>
          <w:sz w:val="22"/>
        </w:rPr>
        <w:t>(</w:t>
      </w:r>
      <w:proofErr w:type="spellStart"/>
      <w:r w:rsidRPr="00C82F44">
        <w:rPr>
          <w:color w:val="auto"/>
          <w:sz w:val="22"/>
        </w:rPr>
        <w:t>i</w:t>
      </w:r>
      <w:proofErr w:type="spellEnd"/>
      <w:r w:rsidRPr="00C82F44">
        <w:rPr>
          <w:color w:val="auto"/>
          <w:sz w:val="22"/>
        </w:rPr>
        <w:t>)</w:t>
      </w:r>
      <w:r w:rsidRPr="00C82F44">
        <w:rPr>
          <w:sz w:val="22"/>
        </w:rPr>
        <w:t xml:space="preserve"> </w:t>
      </w:r>
      <w:r w:rsidRPr="00C82F44">
        <w:rPr>
          <w:sz w:val="22"/>
        </w:rPr>
        <w:tab/>
        <w:t>Paragraph 7.3.2 provides that where the police are investigating a matter that is likely to proceed on petition</w:t>
      </w:r>
      <w:r w:rsidR="002673DE">
        <w:rPr>
          <w:rStyle w:val="FootnoteReference"/>
          <w:sz w:val="22"/>
        </w:rPr>
        <w:footnoteReference w:id="1"/>
      </w:r>
      <w:r w:rsidRPr="00C82F44">
        <w:rPr>
          <w:sz w:val="22"/>
        </w:rPr>
        <w:t>, the interview should be digitally recorded by suitably trained police officers who have completed their Initial Investigator's Interviewing Course (IIIC) or other previously accredited equivalent training using digital interview recording equipment.</w:t>
      </w:r>
    </w:p>
    <w:p w14:paraId="749E62E5" w14:textId="77777777" w:rsidR="001C6AE2" w:rsidRPr="00C82F44" w:rsidRDefault="001C6AE2" w:rsidP="00C82F44">
      <w:pPr>
        <w:pStyle w:val="ScheduleLvl7"/>
        <w:numPr>
          <w:ilvl w:val="0"/>
          <w:numId w:val="0"/>
        </w:numPr>
        <w:ind w:left="1440"/>
        <w:rPr>
          <w:color w:val="auto"/>
          <w:sz w:val="22"/>
        </w:rPr>
      </w:pPr>
      <w:r w:rsidRPr="00C82F44">
        <w:rPr>
          <w:sz w:val="22"/>
        </w:rPr>
        <w:t>(ii)</w:t>
      </w:r>
      <w:r w:rsidRPr="00C82F44">
        <w:rPr>
          <w:sz w:val="22"/>
        </w:rPr>
        <w:tab/>
        <w:t xml:space="preserve">Paragraph 7.3.5 provides that where digital recorded interviewing equipment is not readily available, dependent upon the matter under investigation, </w:t>
      </w:r>
      <w:r w:rsidR="006360DD" w:rsidRPr="001C6AE2">
        <w:rPr>
          <w:sz w:val="22"/>
        </w:rPr>
        <w:t>officers</w:t>
      </w:r>
      <w:r w:rsidRPr="00C82F44">
        <w:rPr>
          <w:sz w:val="22"/>
        </w:rPr>
        <w:t xml:space="preserve"> may to prevent the loss of potential evidence, conduct a contemporaneous written interview, reading over the contents of the interview under digital recorded conditions as soon as they become available, with the decision appropriately recorded.</w:t>
      </w:r>
    </w:p>
    <w:p w14:paraId="7B44F31C" w14:textId="77777777" w:rsidR="001C6AE2" w:rsidRPr="00C82F44" w:rsidRDefault="001C6AE2" w:rsidP="00C82F44">
      <w:pPr>
        <w:pStyle w:val="ListBullet2"/>
        <w:numPr>
          <w:ilvl w:val="0"/>
          <w:numId w:val="0"/>
        </w:numPr>
        <w:ind w:left="1440"/>
        <w:rPr>
          <w:sz w:val="22"/>
        </w:rPr>
      </w:pPr>
      <w:r w:rsidRPr="00C82F44">
        <w:rPr>
          <w:sz w:val="22"/>
        </w:rPr>
        <w:t xml:space="preserve">(iii) </w:t>
      </w:r>
      <w:r w:rsidRPr="00C82F44">
        <w:rPr>
          <w:sz w:val="22"/>
        </w:rPr>
        <w:tab/>
        <w:t xml:space="preserve">Paragraph 7.4.1 provides that when questioning a not officially accused person who </w:t>
      </w:r>
      <w:proofErr w:type="gramStart"/>
      <w:r w:rsidRPr="00C82F44">
        <w:rPr>
          <w:sz w:val="22"/>
        </w:rPr>
        <w:t>is a vulnerable person</w:t>
      </w:r>
      <w:proofErr w:type="gramEnd"/>
      <w:r w:rsidRPr="00C82F44">
        <w:rPr>
          <w:sz w:val="22"/>
        </w:rPr>
        <w:t>, or whose ability to understand their rights may be impinged by a mental health condition or learning disability, officers should ensure that an Appropriate Adult is present.  The presence of such an independent person will remove any doubt as to the fairness of the interview.</w:t>
      </w:r>
    </w:p>
    <w:p w14:paraId="1F2F6632" w14:textId="77777777" w:rsidR="001C6AE2" w:rsidRPr="001C6AE2" w:rsidRDefault="001C6AE2" w:rsidP="00C82F44">
      <w:pPr>
        <w:pStyle w:val="ListBullet2"/>
        <w:numPr>
          <w:ilvl w:val="0"/>
          <w:numId w:val="0"/>
        </w:numPr>
        <w:ind w:left="1440"/>
        <w:rPr>
          <w:sz w:val="22"/>
        </w:rPr>
      </w:pPr>
      <w:r w:rsidRPr="00C82F44">
        <w:rPr>
          <w:sz w:val="22"/>
        </w:rPr>
        <w:t>(iv)</w:t>
      </w:r>
      <w:r w:rsidRPr="00C82F44">
        <w:rPr>
          <w:sz w:val="22"/>
        </w:rPr>
        <w:tab/>
        <w:t>Paragraph 7.6.1 in cases where English is not a suspect's first or preferred language then consideration must be given to engaging the services of an interpreter.  In addition to any language issues, cultural and religious sensitivities should be addressed where possible.</w:t>
      </w:r>
    </w:p>
    <w:p w14:paraId="78704ABA" w14:textId="77777777" w:rsidR="001C6AE2" w:rsidRPr="00C82F44" w:rsidRDefault="00C82F44" w:rsidP="00C82F44">
      <w:pPr>
        <w:pStyle w:val="TSNumberedParagraph11"/>
      </w:pPr>
      <w:r>
        <w:t>The following are</w:t>
      </w:r>
      <w:r w:rsidR="001C6AE2" w:rsidRPr="00C82F44">
        <w:t xml:space="preserve"> </w:t>
      </w:r>
      <w:proofErr w:type="gramStart"/>
      <w:r w:rsidR="001C6AE2" w:rsidRPr="00C82F44">
        <w:t xml:space="preserve">a number </w:t>
      </w:r>
      <w:r w:rsidR="001C6AE2">
        <w:t>of</w:t>
      </w:r>
      <w:proofErr w:type="gramEnd"/>
      <w:r w:rsidR="001C6AE2">
        <w:t xml:space="preserve"> </w:t>
      </w:r>
      <w:r w:rsidR="001C6AE2" w:rsidRPr="00C82F44">
        <w:t>specific subjects pertinent to interviews from a Scottish perspective</w:t>
      </w:r>
    </w:p>
    <w:p w14:paraId="06EFB51D" w14:textId="77777777" w:rsidR="001C6AE2" w:rsidRPr="00C82F44" w:rsidRDefault="001C6AE2" w:rsidP="00C82F44">
      <w:pPr>
        <w:pStyle w:val="ListBullet2"/>
        <w:numPr>
          <w:ilvl w:val="0"/>
          <w:numId w:val="0"/>
        </w:numPr>
        <w:rPr>
          <w:b/>
          <w:sz w:val="22"/>
        </w:rPr>
      </w:pPr>
      <w:r w:rsidRPr="00C82F44">
        <w:rPr>
          <w:b/>
          <w:sz w:val="22"/>
        </w:rPr>
        <w:t xml:space="preserve">Written </w:t>
      </w:r>
      <w:r w:rsidR="00C82F44">
        <w:rPr>
          <w:b/>
          <w:sz w:val="22"/>
        </w:rPr>
        <w:t>S</w:t>
      </w:r>
      <w:r w:rsidRPr="00C82F44">
        <w:rPr>
          <w:b/>
          <w:sz w:val="22"/>
        </w:rPr>
        <w:t>ubmissions</w:t>
      </w:r>
    </w:p>
    <w:p w14:paraId="3503D09C" w14:textId="77777777" w:rsidR="001C6AE2" w:rsidRPr="00C82F44" w:rsidRDefault="001C6AE2" w:rsidP="00C82F44">
      <w:pPr>
        <w:pStyle w:val="TSNumberedParagraph11"/>
        <w:rPr>
          <w:color w:val="000000"/>
        </w:rPr>
      </w:pPr>
      <w:r w:rsidRPr="00C82F44">
        <w:lastRenderedPageBreak/>
        <w:t>When writing directly to a suspect about an alleged offence in Scotland and inviting them to make a written submission, it would be prudent to include a caution in the letter. The undernoted wording, derived from the caution found at 7.11.15 of Police Scotland's Crime Investig</w:t>
      </w:r>
      <w:r w:rsidR="00E61377">
        <w:t>ation SOP</w:t>
      </w:r>
      <w:r w:rsidRPr="00C82F44">
        <w:t xml:space="preserve">, which is itself based on the Scottish common law caution referred to in paragraph 24.40 on p443 of </w:t>
      </w:r>
      <w:r w:rsidRPr="00C82F44">
        <w:rPr>
          <w:i/>
        </w:rPr>
        <w:t>Renton and Brown: Criminal Procedure</w:t>
      </w:r>
      <w:r w:rsidRPr="00C82F44">
        <w:t xml:space="preserve"> </w:t>
      </w:r>
      <w:r w:rsidR="00E61377">
        <w:rPr>
          <w:vertAlign w:val="superscript"/>
        </w:rPr>
        <w:t xml:space="preserve">24 </w:t>
      </w:r>
      <w:r w:rsidRPr="00C82F44">
        <w:t>- the principal textbook on criminal procedure in Scotland should be used:</w:t>
      </w:r>
    </w:p>
    <w:p w14:paraId="6E66B78D" w14:textId="77777777" w:rsidR="001C6AE2" w:rsidRPr="00C82F44" w:rsidRDefault="001C6AE2" w:rsidP="00C82F44">
      <w:pPr>
        <w:pStyle w:val="ListBullet2"/>
        <w:numPr>
          <w:ilvl w:val="0"/>
          <w:numId w:val="0"/>
        </w:numPr>
        <w:ind w:left="1440"/>
        <w:rPr>
          <w:b/>
          <w:sz w:val="22"/>
          <w:u w:val="single"/>
        </w:rPr>
      </w:pPr>
      <w:r w:rsidRPr="00C82F44">
        <w:rPr>
          <w:color w:val="auto"/>
          <w:sz w:val="22"/>
          <w:szCs w:val="24"/>
        </w:rPr>
        <w:t xml:space="preserve">"You need not provide a written submission, but should you wish to do so, anything </w:t>
      </w:r>
      <w:r>
        <w:rPr>
          <w:color w:val="auto"/>
          <w:sz w:val="22"/>
          <w:szCs w:val="24"/>
        </w:rPr>
        <w:t xml:space="preserve">in </w:t>
      </w:r>
      <w:r w:rsidRPr="00C82F44">
        <w:rPr>
          <w:color w:val="auto"/>
          <w:sz w:val="22"/>
          <w:szCs w:val="24"/>
        </w:rPr>
        <w:t xml:space="preserve">your submission may be used in evidence."   </w:t>
      </w:r>
    </w:p>
    <w:p w14:paraId="759C95FA" w14:textId="77777777" w:rsidR="001C6AE2" w:rsidRPr="00C82F44" w:rsidRDefault="001C6AE2" w:rsidP="00C82F44">
      <w:pPr>
        <w:pStyle w:val="ListBullet2"/>
        <w:numPr>
          <w:ilvl w:val="0"/>
          <w:numId w:val="0"/>
        </w:numPr>
        <w:rPr>
          <w:b/>
          <w:sz w:val="22"/>
        </w:rPr>
      </w:pPr>
      <w:r w:rsidRPr="00C82F44">
        <w:rPr>
          <w:b/>
          <w:sz w:val="22"/>
        </w:rPr>
        <w:t>Prepared statements by suspects</w:t>
      </w:r>
    </w:p>
    <w:p w14:paraId="13329E78" w14:textId="77777777" w:rsidR="001C6AE2" w:rsidRPr="00C82F44" w:rsidRDefault="001C6AE2" w:rsidP="00C82F44">
      <w:pPr>
        <w:pStyle w:val="TSNumberedParagraph11"/>
      </w:pPr>
      <w:r w:rsidRPr="00C82F44">
        <w:t xml:space="preserve">These are not a common feature in Scots criminal law. Indeed, the principal textbook on Criminal Procedure, </w:t>
      </w:r>
      <w:proofErr w:type="gramStart"/>
      <w:r w:rsidRPr="00C82F44">
        <w:t>Renton</w:t>
      </w:r>
      <w:proofErr w:type="gramEnd"/>
      <w:r w:rsidRPr="00C82F44">
        <w:t xml:space="preserve"> and Brown, does not mention them.  However</w:t>
      </w:r>
      <w:r w:rsidR="00AC4366">
        <w:t>,</w:t>
      </w:r>
      <w:r w:rsidRPr="00C82F44">
        <w:t xml:space="preserve"> suspects are not prohibited from handing over prepared statements. It is suggested that the same principles which informs the approach to Written Submissions set out above should apply in this context. For the avoidance of doubt, when a suspect is legally represented, it is considered unnecessary to give a caution prior to the prepared statement being handed over. </w:t>
      </w:r>
    </w:p>
    <w:p w14:paraId="17F624CF" w14:textId="77777777" w:rsidR="001C6AE2" w:rsidRPr="00C82F44" w:rsidRDefault="001C6AE2" w:rsidP="00C82F44">
      <w:pPr>
        <w:pStyle w:val="ListBullet2"/>
        <w:numPr>
          <w:ilvl w:val="0"/>
          <w:numId w:val="0"/>
        </w:numPr>
        <w:rPr>
          <w:b/>
          <w:sz w:val="22"/>
        </w:rPr>
      </w:pPr>
      <w:r w:rsidRPr="00C82F44">
        <w:rPr>
          <w:b/>
          <w:sz w:val="22"/>
        </w:rPr>
        <w:t>The right to silence</w:t>
      </w:r>
    </w:p>
    <w:p w14:paraId="58EECA0D" w14:textId="77777777" w:rsidR="001C6AE2" w:rsidRPr="00C82F44" w:rsidRDefault="001C6AE2" w:rsidP="00C82F44">
      <w:pPr>
        <w:pStyle w:val="TSNumberedParagraph11"/>
      </w:pPr>
      <w:r w:rsidRPr="00C82F44">
        <w:t>Unlike in England and Wales, the law in Scotland does not permit any adverse inference to be drawn at trial when the accused relies there on a factor which they did not mention when questioned by the police or other investigating authorities. No change to the law of Scotland in this area is anticipated.</w:t>
      </w:r>
    </w:p>
    <w:p w14:paraId="5BCA3F0B" w14:textId="77777777" w:rsidR="001C6AE2" w:rsidRPr="00C82F44" w:rsidRDefault="001C6AE2" w:rsidP="00C82F44">
      <w:pPr>
        <w:pStyle w:val="TSNumberedParagraph11"/>
      </w:pPr>
      <w:r w:rsidRPr="00C82F44">
        <w:t>Below is wording for the caution which should be used in Scotland derived from the materials</w:t>
      </w:r>
      <w:r w:rsidRPr="00C82F44">
        <w:rPr>
          <w:i/>
        </w:rPr>
        <w:t xml:space="preserve"> </w:t>
      </w:r>
      <w:r w:rsidRPr="00C82F44">
        <w:t xml:space="preserve">referred to in the </w:t>
      </w:r>
      <w:r w:rsidRPr="00C82F44">
        <w:rPr>
          <w:b/>
        </w:rPr>
        <w:t xml:space="preserve">Written </w:t>
      </w:r>
      <w:r w:rsidR="00C82F44">
        <w:rPr>
          <w:b/>
        </w:rPr>
        <w:t>S</w:t>
      </w:r>
      <w:r w:rsidRPr="00C82F44">
        <w:rPr>
          <w:b/>
        </w:rPr>
        <w:t xml:space="preserve">ubmissions </w:t>
      </w:r>
      <w:r w:rsidRPr="00C82F44">
        <w:t>sub-section above:</w:t>
      </w:r>
    </w:p>
    <w:p w14:paraId="78E17F88" w14:textId="77777777" w:rsidR="001C6AE2" w:rsidRDefault="001C6AE2" w:rsidP="00C82F44">
      <w:pPr>
        <w:pStyle w:val="BodyText"/>
        <w:ind w:left="1440"/>
      </w:pPr>
      <w:r w:rsidRPr="00C82F44">
        <w:t xml:space="preserve">"You need not say anything, but should you wish to do so, anything you say may be noted and used in evidence."  </w:t>
      </w:r>
    </w:p>
    <w:p w14:paraId="7DE66BE1" w14:textId="77777777" w:rsidR="00FA01B1" w:rsidRPr="00C82F44" w:rsidRDefault="00FA01B1" w:rsidP="00C82F44">
      <w:pPr>
        <w:pStyle w:val="BodyText"/>
        <w:ind w:left="1440"/>
      </w:pPr>
    </w:p>
    <w:p w14:paraId="0BC5911A" w14:textId="77777777" w:rsidR="001C6AE2" w:rsidRPr="00C82F44" w:rsidRDefault="001C6AE2" w:rsidP="00C82F44">
      <w:pPr>
        <w:pStyle w:val="ListBullet2"/>
        <w:numPr>
          <w:ilvl w:val="0"/>
          <w:numId w:val="0"/>
        </w:numPr>
        <w:rPr>
          <w:b/>
          <w:sz w:val="22"/>
        </w:rPr>
      </w:pPr>
      <w:r w:rsidRPr="00C82F44">
        <w:rPr>
          <w:b/>
          <w:sz w:val="22"/>
        </w:rPr>
        <w:t>Unsolicited comments</w:t>
      </w:r>
    </w:p>
    <w:p w14:paraId="355C3763" w14:textId="77777777" w:rsidR="001C6AE2" w:rsidRPr="00C82F44" w:rsidRDefault="001C6AE2" w:rsidP="00C82F44">
      <w:pPr>
        <w:pStyle w:val="TSNumberedParagraph11"/>
      </w:pPr>
      <w:r w:rsidRPr="00C82F44">
        <w:t>Th</w:t>
      </w:r>
      <w:r w:rsidR="00FA01B1" w:rsidRPr="00C82F44">
        <w:t>e approach set out in section 1</w:t>
      </w:r>
      <w:r w:rsidR="00FA01B1">
        <w:t>1</w:t>
      </w:r>
      <w:r w:rsidRPr="00C82F44">
        <w:t xml:space="preserve"> of this guidance is also appropriate to Scotland.</w:t>
      </w:r>
    </w:p>
    <w:p w14:paraId="2DC5997F" w14:textId="77777777" w:rsidR="001C6AE2" w:rsidRDefault="001C6AE2" w:rsidP="00C82F44">
      <w:pPr>
        <w:pStyle w:val="ListBullet2"/>
        <w:numPr>
          <w:ilvl w:val="0"/>
          <w:numId w:val="0"/>
        </w:numPr>
        <w:rPr>
          <w:b/>
          <w:sz w:val="22"/>
        </w:rPr>
      </w:pPr>
      <w:r w:rsidRPr="00C82F44">
        <w:rPr>
          <w:b/>
          <w:sz w:val="22"/>
        </w:rPr>
        <w:t>Challenges in communicating with those being questioned</w:t>
      </w:r>
    </w:p>
    <w:p w14:paraId="109E7063" w14:textId="77777777" w:rsidR="001C6AE2" w:rsidRPr="00C82F44" w:rsidRDefault="001C6AE2" w:rsidP="00C82F44">
      <w:pPr>
        <w:pStyle w:val="TSNumberedParagraph11"/>
      </w:pPr>
      <w:r w:rsidRPr="00C82F44">
        <w:t>The approach in Scotland is very similar to that in England and Wales. Police Scotland's Interpreting and Translating Services SOP</w:t>
      </w:r>
      <w:r w:rsidR="006360DD">
        <w:t xml:space="preserve"> </w:t>
      </w:r>
      <w:r w:rsidR="006360DD">
        <w:rPr>
          <w:vertAlign w:val="superscript"/>
        </w:rPr>
        <w:t>25</w:t>
      </w:r>
      <w:r w:rsidRPr="00C82F44">
        <w:t xml:space="preserve"> dated 6 July 2018, </w:t>
      </w:r>
      <w:r w:rsidR="00C82F44">
        <w:t xml:space="preserve">is </w:t>
      </w:r>
      <w:r w:rsidRPr="00C82F44">
        <w:t>referred to in the Crime Investigation SOP</w:t>
      </w:r>
      <w:r w:rsidR="006360DD">
        <w:t xml:space="preserve">. </w:t>
      </w:r>
      <w:r w:rsidR="00C82F44">
        <w:t>Neither</w:t>
      </w:r>
      <w:r w:rsidRPr="00C82F44">
        <w:t xml:space="preserve"> SOP</w:t>
      </w:r>
      <w:r w:rsidR="00C82F44">
        <w:t>s</w:t>
      </w:r>
      <w:r w:rsidRPr="00C82F44">
        <w:t xml:space="preserve"> require the interpreter to make a written note of each question and answer during an interview as set out in section 7.15 of this guidance.  </w:t>
      </w:r>
    </w:p>
    <w:p w14:paraId="294A31E0" w14:textId="77777777" w:rsidR="00E61377" w:rsidRDefault="00E61377" w:rsidP="00C82F44">
      <w:pPr>
        <w:pStyle w:val="ListBullet2"/>
        <w:numPr>
          <w:ilvl w:val="0"/>
          <w:numId w:val="0"/>
        </w:numPr>
        <w:rPr>
          <w:b/>
          <w:color w:val="auto"/>
          <w:sz w:val="22"/>
          <w:szCs w:val="24"/>
        </w:rPr>
      </w:pPr>
    </w:p>
    <w:p w14:paraId="1E6822C9" w14:textId="77777777" w:rsidR="001C6AE2" w:rsidRPr="00C82F44" w:rsidRDefault="001C6AE2" w:rsidP="00C82F44">
      <w:pPr>
        <w:pStyle w:val="ListBullet2"/>
        <w:numPr>
          <w:ilvl w:val="0"/>
          <w:numId w:val="0"/>
        </w:numPr>
        <w:rPr>
          <w:color w:val="auto"/>
          <w:sz w:val="22"/>
          <w:szCs w:val="24"/>
        </w:rPr>
      </w:pPr>
      <w:r w:rsidRPr="00C82F44">
        <w:rPr>
          <w:b/>
          <w:color w:val="auto"/>
          <w:sz w:val="22"/>
          <w:szCs w:val="24"/>
        </w:rPr>
        <w:t>Use of a police station</w:t>
      </w:r>
    </w:p>
    <w:p w14:paraId="1C0B4CA4" w14:textId="77777777" w:rsidR="001C6AE2" w:rsidRPr="00C82F44" w:rsidRDefault="00FA01B1" w:rsidP="00C82F44">
      <w:pPr>
        <w:pStyle w:val="TSNumberedParagraph11"/>
      </w:pPr>
      <w:r>
        <w:t>Th</w:t>
      </w:r>
      <w:r w:rsidR="001C6AE2" w:rsidRPr="00C82F44">
        <w:t>ere is no common law prohibition on an ONR inspector interviewing a suspect in a police station, provided the police</w:t>
      </w:r>
      <w:r w:rsidR="001C6AE2" w:rsidRPr="00C82F44">
        <w:rPr>
          <w:b/>
        </w:rPr>
        <w:t xml:space="preserve"> </w:t>
      </w:r>
      <w:r w:rsidR="001C6AE2" w:rsidRPr="00C82F44">
        <w:t xml:space="preserve">consent. There appears to be no statutory prohibition of this and there is certainly no prohibition found in the principal legislation relating to Police Scotland namely the Police and Fire Reform (Scotland) Act 2012. For Police Scotland not to allow ONR inspectors to interview a suspect in a police station, </w:t>
      </w:r>
      <w:r w:rsidR="001C6AE2" w:rsidRPr="00C82F44">
        <w:lastRenderedPageBreak/>
        <w:t xml:space="preserve">without good </w:t>
      </w:r>
      <w:r w:rsidR="006360DD" w:rsidRPr="00C82F44">
        <w:t>reason, would b</w:t>
      </w:r>
      <w:r w:rsidR="006360DD">
        <w:t>e</w:t>
      </w:r>
      <w:r w:rsidR="001C6AE2" w:rsidRPr="00C82F44">
        <w:t xml:space="preserve"> inconsistent with section 1.3 of the Crime Investigation SOP which states:</w:t>
      </w:r>
    </w:p>
    <w:p w14:paraId="7887FE53" w14:textId="77777777" w:rsidR="00483628" w:rsidRPr="001C6AE2" w:rsidRDefault="001C6AE2" w:rsidP="00C82F44">
      <w:pPr>
        <w:pStyle w:val="ListBullet2"/>
        <w:numPr>
          <w:ilvl w:val="0"/>
          <w:numId w:val="0"/>
        </w:numPr>
        <w:ind w:left="1440"/>
      </w:pPr>
      <w:r w:rsidRPr="00C82F44">
        <w:rPr>
          <w:color w:val="auto"/>
          <w:sz w:val="22"/>
          <w:szCs w:val="24"/>
        </w:rPr>
        <w:t xml:space="preserve">"Where a crime has been committed it is the duty of the Police to trace the offender and bring them to justice. </w:t>
      </w:r>
      <w:r w:rsidRPr="00C82F44">
        <w:rPr>
          <w:i/>
          <w:color w:val="auto"/>
          <w:sz w:val="22"/>
          <w:szCs w:val="24"/>
        </w:rPr>
        <w:t xml:space="preserve">Police Scotland recognises that the investigation of a crime requires a high degree of cooperation between all departments/stakeholders/partner agencies to achieve this goal </w:t>
      </w:r>
      <w:r w:rsidRPr="00C82F44">
        <w:rPr>
          <w:color w:val="auto"/>
          <w:sz w:val="22"/>
          <w:szCs w:val="24"/>
        </w:rPr>
        <w:t xml:space="preserve">(emphasis added)." </w:t>
      </w:r>
      <w:r w:rsidR="008D4084" w:rsidRPr="00C82F44">
        <w:t xml:space="preserve"> </w:t>
      </w:r>
    </w:p>
    <w:p w14:paraId="1434B2B0" w14:textId="77777777" w:rsidR="006B5537" w:rsidRPr="00402AE8" w:rsidRDefault="00023744" w:rsidP="001C2C12">
      <w:pPr>
        <w:pStyle w:val="TSHeadingNumbered1"/>
        <w:numPr>
          <w:ilvl w:val="0"/>
          <w:numId w:val="0"/>
        </w:numPr>
        <w:ind w:left="720"/>
      </w:pPr>
      <w:bookmarkStart w:id="14" w:name="_Toc38367034"/>
      <w:bookmarkEnd w:id="14"/>
      <w:r w:rsidRPr="00402AE8">
        <w:br w:type="page"/>
      </w:r>
    </w:p>
    <w:p w14:paraId="44B7B938" w14:textId="77777777" w:rsidR="008C1359" w:rsidRPr="00402AE8" w:rsidRDefault="008C1359" w:rsidP="001C2C12">
      <w:pPr>
        <w:pStyle w:val="TSHeadingNumbered1"/>
      </w:pPr>
      <w:bookmarkStart w:id="15" w:name="_Toc38367036"/>
      <w:bookmarkStart w:id="16" w:name="_Toc38367037"/>
      <w:bookmarkStart w:id="17" w:name="_Toc38367038"/>
      <w:bookmarkStart w:id="18" w:name="_Toc38367039"/>
      <w:bookmarkStart w:id="19" w:name="_Toc50653643"/>
      <w:bookmarkEnd w:id="15"/>
      <w:bookmarkEnd w:id="16"/>
      <w:bookmarkEnd w:id="17"/>
      <w:bookmarkEnd w:id="18"/>
      <w:r w:rsidRPr="00402AE8">
        <w:lastRenderedPageBreak/>
        <w:t>References</w:t>
      </w:r>
      <w:bookmarkEnd w:id="19"/>
    </w:p>
    <w:p w14:paraId="5749646C" w14:textId="77777777" w:rsidR="008C1359" w:rsidRDefault="000D3236" w:rsidP="00A97ADB">
      <w:pPr>
        <w:pStyle w:val="TSNumberedParagraph11"/>
        <w:numPr>
          <w:ilvl w:val="0"/>
          <w:numId w:val="28"/>
        </w:numPr>
      </w:pPr>
      <w:r w:rsidRPr="000D3236">
        <w:t xml:space="preserve"> ONR-ENF-GD-007 ‘Witness statement taking’</w:t>
      </w:r>
    </w:p>
    <w:p w14:paraId="359E5D39" w14:textId="77777777" w:rsidR="00E72195" w:rsidRDefault="000D3236" w:rsidP="00A97ADB">
      <w:pPr>
        <w:pStyle w:val="TSNumberedParagraph11"/>
        <w:numPr>
          <w:ilvl w:val="0"/>
          <w:numId w:val="28"/>
        </w:numPr>
      </w:pPr>
      <w:r w:rsidRPr="000D3236">
        <w:t>ONR-ENF-GD-005 ‘Process for Conducting Investigations’</w:t>
      </w:r>
    </w:p>
    <w:p w14:paraId="176B3351" w14:textId="77777777" w:rsidR="00E72195" w:rsidRDefault="000D3236" w:rsidP="00736D39">
      <w:pPr>
        <w:pStyle w:val="TSNumberedParagraph11"/>
        <w:numPr>
          <w:ilvl w:val="0"/>
          <w:numId w:val="28"/>
        </w:numPr>
      </w:pPr>
      <w:r w:rsidRPr="000D3236">
        <w:t xml:space="preserve">Ministry of Justice (2011) </w:t>
      </w:r>
      <w:hyperlink r:id="rId17" w:history="1">
        <w:r w:rsidR="005A51A0" w:rsidRPr="005A51A0">
          <w:rPr>
            <w:rStyle w:val="Hyperlink"/>
          </w:rPr>
          <w:t>Achieving Best Evidence in Criminal Proceedings</w:t>
        </w:r>
      </w:hyperlink>
      <w:r w:rsidRPr="000D3236">
        <w:t>‘</w:t>
      </w:r>
      <w:r>
        <w:t xml:space="preserve"> paragraph </w:t>
      </w:r>
      <w:r w:rsidR="002235FF">
        <w:t>2.220</w:t>
      </w:r>
    </w:p>
    <w:p w14:paraId="069C7B94" w14:textId="77777777" w:rsidR="00E72195" w:rsidRDefault="000D3236" w:rsidP="00A97ADB">
      <w:pPr>
        <w:pStyle w:val="TSNumberedParagraph11"/>
        <w:numPr>
          <w:ilvl w:val="0"/>
          <w:numId w:val="28"/>
        </w:numPr>
      </w:pPr>
      <w:r w:rsidRPr="000D3236">
        <w:t>Code C of the Police and Criminal Evidence (PACE) Codes of Practice</w:t>
      </w:r>
      <w:r w:rsidR="00E72195">
        <w:t xml:space="preserve">  </w:t>
      </w:r>
    </w:p>
    <w:p w14:paraId="3C3D8561" w14:textId="77777777" w:rsidR="00E72195" w:rsidRDefault="000D3236" w:rsidP="00A97ADB">
      <w:pPr>
        <w:pStyle w:val="TSNumberedParagraph11"/>
        <w:numPr>
          <w:ilvl w:val="0"/>
          <w:numId w:val="28"/>
        </w:numPr>
      </w:pPr>
      <w:r w:rsidRPr="000D3236">
        <w:t>ONR</w:t>
      </w:r>
      <w:r>
        <w:t>-ENR-GD-020.</w:t>
      </w:r>
      <w:r w:rsidRPr="000D3236">
        <w:t xml:space="preserve"> ‘The role of the Approval Officer in Enf</w:t>
      </w:r>
      <w:r>
        <w:t>orcement Decisions</w:t>
      </w:r>
    </w:p>
    <w:p w14:paraId="1F329EF3" w14:textId="77777777" w:rsidR="000D3236" w:rsidRDefault="00EF325D" w:rsidP="000D3236">
      <w:pPr>
        <w:numPr>
          <w:ilvl w:val="0"/>
          <w:numId w:val="28"/>
        </w:numPr>
      </w:pPr>
      <w:hyperlink r:id="rId18" w:history="1">
        <w:r w:rsidR="00B65537" w:rsidRPr="00B65537">
          <w:rPr>
            <w:rStyle w:val="Hyperlink"/>
          </w:rPr>
          <w:t>Equality Act 2010</w:t>
        </w:r>
      </w:hyperlink>
    </w:p>
    <w:p w14:paraId="74089968" w14:textId="77777777" w:rsidR="000D3236" w:rsidRDefault="000D3236" w:rsidP="00A97ADB">
      <w:pPr>
        <w:ind w:left="1080"/>
      </w:pPr>
    </w:p>
    <w:p w14:paraId="08F20F6A" w14:textId="77777777" w:rsidR="000D3236" w:rsidRDefault="00EF325D" w:rsidP="000D3236">
      <w:pPr>
        <w:numPr>
          <w:ilvl w:val="0"/>
          <w:numId w:val="28"/>
        </w:numPr>
      </w:pPr>
      <w:hyperlink r:id="rId19" w:history="1">
        <w:r w:rsidR="00B65537" w:rsidRPr="00B65537">
          <w:rPr>
            <w:rStyle w:val="Hyperlink"/>
          </w:rPr>
          <w:t>Human Rights Act 1998</w:t>
        </w:r>
      </w:hyperlink>
    </w:p>
    <w:p w14:paraId="494606E3" w14:textId="77777777" w:rsidR="000D3236" w:rsidRDefault="000D3236" w:rsidP="00A97ADB">
      <w:r w:rsidRPr="000D3236">
        <w:t xml:space="preserve"> </w:t>
      </w:r>
    </w:p>
    <w:p w14:paraId="1E8300D8" w14:textId="77777777" w:rsidR="00E72195" w:rsidRDefault="00EF325D" w:rsidP="00A97ADB">
      <w:pPr>
        <w:numPr>
          <w:ilvl w:val="0"/>
          <w:numId w:val="28"/>
        </w:numPr>
      </w:pPr>
      <w:hyperlink r:id="rId20" w:history="1">
        <w:r w:rsidR="005A51A0" w:rsidRPr="005A51A0">
          <w:rPr>
            <w:rStyle w:val="Hyperlink"/>
          </w:rPr>
          <w:t>The Equality and Human Rights Commission</w:t>
        </w:r>
      </w:hyperlink>
      <w:r w:rsidR="005A51A0">
        <w:t xml:space="preserve"> </w:t>
      </w:r>
      <w:r w:rsidR="000D3236">
        <w:t xml:space="preserve"> website</w:t>
      </w:r>
      <w:r w:rsidR="005A51A0">
        <w:t xml:space="preserve"> </w:t>
      </w:r>
    </w:p>
    <w:p w14:paraId="22C411CC" w14:textId="77777777" w:rsidR="000D3236" w:rsidRDefault="000D3236" w:rsidP="00A97ADB">
      <w:pPr>
        <w:pStyle w:val="ListParagraph"/>
      </w:pPr>
    </w:p>
    <w:p w14:paraId="56EB82D8" w14:textId="77777777" w:rsidR="00E72195" w:rsidRDefault="004110E2" w:rsidP="00A97ADB">
      <w:pPr>
        <w:pStyle w:val="TSNumberedParagraph11"/>
        <w:numPr>
          <w:ilvl w:val="0"/>
          <w:numId w:val="28"/>
        </w:numPr>
      </w:pPr>
      <w:r>
        <w:t>T</w:t>
      </w:r>
      <w:r w:rsidR="000D3236" w:rsidRPr="000D3236">
        <w:t>he Police and Criminal Evidence Act 1984</w:t>
      </w:r>
    </w:p>
    <w:p w14:paraId="24077A1A" w14:textId="77777777" w:rsidR="00A73B77" w:rsidRDefault="00EF325D" w:rsidP="00736D39">
      <w:pPr>
        <w:pStyle w:val="TSNumberedParagraph11"/>
        <w:numPr>
          <w:ilvl w:val="0"/>
          <w:numId w:val="28"/>
        </w:numPr>
      </w:pPr>
      <w:hyperlink r:id="rId21" w:history="1">
        <w:r w:rsidR="00A73B77" w:rsidRPr="00A73B77">
          <w:rPr>
            <w:rStyle w:val="Hyperlink"/>
          </w:rPr>
          <w:t>Regina (on the application of London Oratory School Governors) v Schools Adjudicator [2015] EWHC 1012 (admin)</w:t>
        </w:r>
      </w:hyperlink>
    </w:p>
    <w:p w14:paraId="4DE404EC" w14:textId="77777777" w:rsidR="00E72195" w:rsidRDefault="004110E2" w:rsidP="00A97ADB">
      <w:pPr>
        <w:pStyle w:val="TSNumberedParagraph11"/>
        <w:numPr>
          <w:ilvl w:val="0"/>
          <w:numId w:val="28"/>
        </w:numPr>
      </w:pPr>
      <w:r>
        <w:t>Code E of the Police and Criminal Evidence (PACE) Codes of Practice</w:t>
      </w:r>
    </w:p>
    <w:p w14:paraId="3F9DA488" w14:textId="77777777" w:rsidR="00C766BA" w:rsidRDefault="002A43A8" w:rsidP="00736D39">
      <w:pPr>
        <w:pStyle w:val="TSNumberedParagraph11"/>
        <w:numPr>
          <w:ilvl w:val="0"/>
          <w:numId w:val="28"/>
        </w:numPr>
      </w:pPr>
      <w:r>
        <w:t xml:space="preserve"> R. Roble</w:t>
      </w:r>
      <w:r w:rsidR="00A73B77">
        <w:t xml:space="preserve"> </w:t>
      </w:r>
      <w:hyperlink r:id="rId22" w:history="1">
        <w:r w:rsidR="00A73B77" w:rsidRPr="00A73B77">
          <w:rPr>
            <w:rStyle w:val="Hyperlink"/>
          </w:rPr>
          <w:t xml:space="preserve">R. v Ali </w:t>
        </w:r>
        <w:proofErr w:type="spellStart"/>
        <w:r w:rsidR="00A73B77" w:rsidRPr="00A73B77">
          <w:rPr>
            <w:rStyle w:val="Hyperlink"/>
          </w:rPr>
          <w:t>Hersi</w:t>
        </w:r>
        <w:proofErr w:type="spellEnd"/>
        <w:r w:rsidR="00A73B77" w:rsidRPr="00A73B77">
          <w:rPr>
            <w:rStyle w:val="Hyperlink"/>
          </w:rPr>
          <w:t xml:space="preserve"> Roble</w:t>
        </w:r>
      </w:hyperlink>
    </w:p>
    <w:p w14:paraId="1DBDC43C" w14:textId="77777777" w:rsidR="00A73B77" w:rsidRDefault="00EF325D" w:rsidP="00736D39">
      <w:pPr>
        <w:pStyle w:val="TSNumberedParagraph11"/>
        <w:numPr>
          <w:ilvl w:val="0"/>
          <w:numId w:val="28"/>
        </w:numPr>
      </w:pPr>
      <w:hyperlink r:id="rId23" w:history="1">
        <w:r w:rsidR="00A73B77" w:rsidRPr="00A73B77">
          <w:rPr>
            <w:rStyle w:val="Hyperlink"/>
          </w:rPr>
          <w:t>Standard Crime Contract 2017</w:t>
        </w:r>
      </w:hyperlink>
    </w:p>
    <w:p w14:paraId="141DE893" w14:textId="77777777" w:rsidR="00A73B77" w:rsidRPr="00736D39" w:rsidRDefault="00736D39" w:rsidP="00736D39">
      <w:pPr>
        <w:pStyle w:val="TSNumberedParagraph11"/>
        <w:numPr>
          <w:ilvl w:val="0"/>
          <w:numId w:val="0"/>
        </w:numPr>
        <w:ind w:firstLine="720"/>
      </w:pPr>
      <w:r>
        <w:t>14</w:t>
      </w:r>
      <w:r w:rsidR="00A73B77">
        <w:t xml:space="preserve"> </w:t>
      </w:r>
      <w:hyperlink r:id="rId24" w:history="1">
        <w:r w:rsidR="00A73B77">
          <w:rPr>
            <w:rStyle w:val="Hyperlink"/>
          </w:rPr>
          <w:t>Code of Practice: Mental Health Act 1983</w:t>
        </w:r>
      </w:hyperlink>
    </w:p>
    <w:p w14:paraId="5A6FFA69" w14:textId="77777777" w:rsidR="008D4084" w:rsidRDefault="008D4084" w:rsidP="00736D39">
      <w:pPr>
        <w:pStyle w:val="TSNumberedParagraph11"/>
        <w:numPr>
          <w:ilvl w:val="0"/>
          <w:numId w:val="29"/>
        </w:numPr>
      </w:pPr>
      <w:r w:rsidRPr="008D4084">
        <w:t>ONR LP</w:t>
      </w:r>
      <w:r>
        <w:t xml:space="preserve"> </w:t>
      </w:r>
      <w:r w:rsidRPr="008D4084">
        <w:t xml:space="preserve">77 </w:t>
      </w:r>
      <w:r w:rsidR="00BB6D43">
        <w:t xml:space="preserve">– Contemporaneous Records of Interview </w:t>
      </w:r>
    </w:p>
    <w:p w14:paraId="14E67207" w14:textId="77777777" w:rsidR="00C766BA" w:rsidRDefault="008D4084" w:rsidP="00736D39">
      <w:pPr>
        <w:pStyle w:val="TSNumberedParagraph11"/>
        <w:numPr>
          <w:ilvl w:val="0"/>
          <w:numId w:val="29"/>
        </w:numPr>
      </w:pPr>
      <w:r w:rsidRPr="008D4084">
        <w:t>ONR LP 78</w:t>
      </w:r>
      <w:r w:rsidR="00BB6D43">
        <w:t xml:space="preserve"> – Record of Interview – Continuation Sheet</w:t>
      </w:r>
    </w:p>
    <w:p w14:paraId="67B12EE3" w14:textId="77777777" w:rsidR="008D4084" w:rsidRDefault="008D4084" w:rsidP="00736D39">
      <w:pPr>
        <w:pStyle w:val="TSNumberedParagraph11"/>
        <w:numPr>
          <w:ilvl w:val="0"/>
          <w:numId w:val="29"/>
        </w:numPr>
      </w:pPr>
      <w:r>
        <w:t>ONR LP 75</w:t>
      </w:r>
      <w:r w:rsidR="00BB6D43">
        <w:t xml:space="preserve"> – Record of Audio Recorded Interview</w:t>
      </w:r>
    </w:p>
    <w:p w14:paraId="1360AB16" w14:textId="77777777" w:rsidR="008D4084" w:rsidRDefault="008D4084" w:rsidP="00736D39">
      <w:pPr>
        <w:pStyle w:val="TSNumberedParagraph11"/>
        <w:numPr>
          <w:ilvl w:val="0"/>
          <w:numId w:val="29"/>
        </w:numPr>
      </w:pPr>
      <w:r>
        <w:t>ONR LP 76</w:t>
      </w:r>
      <w:r w:rsidR="00BB6D43">
        <w:t xml:space="preserve"> – Continuation of Record of Audio Recorded Interview </w:t>
      </w:r>
    </w:p>
    <w:p w14:paraId="7E901EB0" w14:textId="77777777" w:rsidR="00736D39" w:rsidRDefault="00EF325D" w:rsidP="00736D39">
      <w:pPr>
        <w:pStyle w:val="TSNumberedParagraph11"/>
        <w:numPr>
          <w:ilvl w:val="0"/>
          <w:numId w:val="29"/>
        </w:numPr>
      </w:pPr>
      <w:hyperlink r:id="rId25" w:history="1">
        <w:r w:rsidR="00736D39" w:rsidRPr="00736D39">
          <w:rPr>
            <w:rStyle w:val="Hyperlink"/>
          </w:rPr>
          <w:t>R v Knight [2003] EWCA Crim 1977</w:t>
        </w:r>
      </w:hyperlink>
    </w:p>
    <w:p w14:paraId="79F652E0" w14:textId="77777777" w:rsidR="00736D39" w:rsidRPr="00C82F44" w:rsidRDefault="00EF325D" w:rsidP="00736D39">
      <w:pPr>
        <w:pStyle w:val="TSNumberedParagraph11"/>
        <w:numPr>
          <w:ilvl w:val="0"/>
          <w:numId w:val="29"/>
        </w:numPr>
        <w:rPr>
          <w:rStyle w:val="Hyperlink"/>
          <w:color w:val="auto"/>
          <w:u w:val="none"/>
        </w:rPr>
      </w:pPr>
      <w:hyperlink r:id="rId26" w:history="1">
        <w:r w:rsidR="00736D39" w:rsidRPr="00736D39">
          <w:rPr>
            <w:rStyle w:val="Hyperlink"/>
          </w:rPr>
          <w:t>R v Turner (Dwaine) [2003] EWCA Crim 3108</w:t>
        </w:r>
      </w:hyperlink>
    </w:p>
    <w:p w14:paraId="79D64ED6" w14:textId="77777777" w:rsidR="00366035" w:rsidRDefault="00EF325D" w:rsidP="00736D39">
      <w:pPr>
        <w:pStyle w:val="TSNumberedParagraph11"/>
        <w:numPr>
          <w:ilvl w:val="0"/>
          <w:numId w:val="29"/>
        </w:numPr>
      </w:pPr>
      <w:hyperlink r:id="rId27" w:history="1">
        <w:r w:rsidR="00366035" w:rsidRPr="00366035">
          <w:rPr>
            <w:rStyle w:val="Hyperlink"/>
          </w:rPr>
          <w:t>Criminal Justice (Scotland) Act 2016</w:t>
        </w:r>
      </w:hyperlink>
    </w:p>
    <w:p w14:paraId="2D9B6480" w14:textId="77777777" w:rsidR="00366035" w:rsidRDefault="00EF325D" w:rsidP="00736D39">
      <w:pPr>
        <w:pStyle w:val="TSNumberedParagraph11"/>
        <w:numPr>
          <w:ilvl w:val="0"/>
          <w:numId w:val="29"/>
        </w:numPr>
      </w:pPr>
      <w:hyperlink r:id="rId28" w:history="1">
        <w:proofErr w:type="spellStart"/>
        <w:r w:rsidR="00366035" w:rsidRPr="00366035">
          <w:rPr>
            <w:rStyle w:val="Hyperlink"/>
          </w:rPr>
          <w:t>Cadder</w:t>
        </w:r>
        <w:proofErr w:type="spellEnd"/>
        <w:r w:rsidR="00366035" w:rsidRPr="00366035">
          <w:rPr>
            <w:rStyle w:val="Hyperlink"/>
          </w:rPr>
          <w:t xml:space="preserve"> v HM Advocate [2010]</w:t>
        </w:r>
      </w:hyperlink>
    </w:p>
    <w:p w14:paraId="3D6B469C" w14:textId="77777777" w:rsidR="00366035" w:rsidRDefault="00EF325D" w:rsidP="00736D39">
      <w:pPr>
        <w:pStyle w:val="TSNumberedParagraph11"/>
        <w:numPr>
          <w:ilvl w:val="0"/>
          <w:numId w:val="29"/>
        </w:numPr>
      </w:pPr>
      <w:hyperlink r:id="rId29" w:history="1">
        <w:r w:rsidR="00366035" w:rsidRPr="00366035">
          <w:rPr>
            <w:rStyle w:val="Hyperlink"/>
          </w:rPr>
          <w:t>Crime Investigation Standard Operating Procedure (SOP) 28th November 2018</w:t>
        </w:r>
      </w:hyperlink>
    </w:p>
    <w:p w14:paraId="5780ACC8" w14:textId="77777777" w:rsidR="00E61377" w:rsidRDefault="00E61377" w:rsidP="00E61377">
      <w:pPr>
        <w:pStyle w:val="TSNumberedParagraph11"/>
        <w:numPr>
          <w:ilvl w:val="0"/>
          <w:numId w:val="29"/>
        </w:numPr>
      </w:pPr>
      <w:r w:rsidRPr="00E61377">
        <w:t>Renton and Brown:</w:t>
      </w:r>
      <w:r>
        <w:t xml:space="preserve"> Criminal </w:t>
      </w:r>
      <w:proofErr w:type="gramStart"/>
      <w:r>
        <w:t>Procedure  6</w:t>
      </w:r>
      <w:proofErr w:type="gramEnd"/>
      <w:r w:rsidRPr="00C82F44">
        <w:rPr>
          <w:vertAlign w:val="superscript"/>
        </w:rPr>
        <w:t>th</w:t>
      </w:r>
      <w:r>
        <w:t xml:space="preserve"> Edition </w:t>
      </w:r>
      <w:r w:rsidRPr="00E61377">
        <w:t xml:space="preserve"> 24 Oct</w:t>
      </w:r>
      <w:r>
        <w:t>ober</w:t>
      </w:r>
      <w:r w:rsidRPr="00E61377">
        <w:t xml:space="preserve"> 1996</w:t>
      </w:r>
    </w:p>
    <w:p w14:paraId="7E7153E3" w14:textId="77777777" w:rsidR="00E61377" w:rsidRDefault="00EF325D" w:rsidP="00E61377">
      <w:pPr>
        <w:pStyle w:val="TSNumberedParagraph11"/>
        <w:numPr>
          <w:ilvl w:val="0"/>
          <w:numId w:val="29"/>
        </w:numPr>
      </w:pPr>
      <w:hyperlink r:id="rId30" w:history="1">
        <w:r w:rsidR="00E61377" w:rsidRPr="00E61377">
          <w:rPr>
            <w:rStyle w:val="Hyperlink"/>
          </w:rPr>
          <w:t>Interpreting and Translating Services Standard Operating Procedures 6th July 2018</w:t>
        </w:r>
      </w:hyperlink>
    </w:p>
    <w:p w14:paraId="5CAC267F" w14:textId="77777777" w:rsidR="008D4084" w:rsidRPr="00F75732" w:rsidRDefault="008D4084" w:rsidP="00736D39">
      <w:pPr>
        <w:pStyle w:val="TSNumberedParagraph11"/>
        <w:numPr>
          <w:ilvl w:val="0"/>
          <w:numId w:val="0"/>
        </w:numPr>
        <w:ind w:left="720"/>
      </w:pPr>
    </w:p>
    <w:p w14:paraId="534DB9DE" w14:textId="77777777" w:rsidR="009B5159" w:rsidRPr="00402AE8" w:rsidRDefault="009B5159" w:rsidP="00C8114E">
      <w:pPr>
        <w:pStyle w:val="TSBullet2Circle"/>
        <w:numPr>
          <w:ilvl w:val="0"/>
          <w:numId w:val="0"/>
        </w:numPr>
      </w:pPr>
    </w:p>
    <w:p w14:paraId="67E04A6B" w14:textId="77777777" w:rsidR="009B5159" w:rsidRPr="001C2C12" w:rsidRDefault="009B5159" w:rsidP="00C82F44">
      <w:pPr>
        <w:pStyle w:val="TSHeadingNumbered1"/>
        <w:numPr>
          <w:ilvl w:val="0"/>
          <w:numId w:val="0"/>
        </w:numPr>
      </w:pPr>
      <w:r w:rsidRPr="00402AE8">
        <w:rPr>
          <w:b w:val="0"/>
          <w:caps w:val="0"/>
        </w:rPr>
        <w:br w:type="page"/>
      </w:r>
      <w:bookmarkStart w:id="20" w:name="_Toc50653644"/>
      <w:r w:rsidRPr="00402AE8">
        <w:rPr>
          <w:b w:val="0"/>
          <w:caps w:val="0"/>
        </w:rPr>
        <w:lastRenderedPageBreak/>
        <w:t>APPENDICES</w:t>
      </w:r>
      <w:bookmarkEnd w:id="20"/>
      <w:r w:rsidRPr="00F75732">
        <w:t xml:space="preserve"> </w:t>
      </w:r>
      <w:bookmarkStart w:id="21" w:name="_Toc38367042"/>
      <w:bookmarkEnd w:id="21"/>
    </w:p>
    <w:p w14:paraId="2293E3BC" w14:textId="77777777" w:rsidR="009B08F7" w:rsidRPr="00427F02" w:rsidRDefault="009B5159" w:rsidP="009B5159">
      <w:pPr>
        <w:rPr>
          <w:b/>
        </w:rPr>
      </w:pPr>
      <w:r w:rsidRPr="00427F02">
        <w:rPr>
          <w:b/>
        </w:rPr>
        <w:t xml:space="preserve">APPENDIX 1: </w:t>
      </w:r>
      <w:r w:rsidR="009B08F7" w:rsidRPr="00427F02">
        <w:rPr>
          <w:b/>
        </w:rPr>
        <w:t>Instruction</w:t>
      </w:r>
      <w:r w:rsidR="00597100" w:rsidRPr="00427F02">
        <w:rPr>
          <w:b/>
        </w:rPr>
        <w:t>s</w:t>
      </w:r>
      <w:r w:rsidR="009B08F7" w:rsidRPr="00427F02">
        <w:rPr>
          <w:b/>
        </w:rPr>
        <w:t xml:space="preserve"> for operating a three-CD NEAL tape Recorder</w:t>
      </w:r>
      <w:r w:rsidR="00285410">
        <w:rPr>
          <w:b/>
        </w:rPr>
        <w:t xml:space="preserve"> (instructions are the same for operation of the portable version)</w:t>
      </w:r>
    </w:p>
    <w:p w14:paraId="1E945640" w14:textId="77777777" w:rsidR="00E01658" w:rsidRDefault="00E01658" w:rsidP="009B5159"/>
    <w:p w14:paraId="3BBD9C82" w14:textId="77777777" w:rsidR="00E01658" w:rsidRDefault="00E01658" w:rsidP="009B5159"/>
    <w:p w14:paraId="7429F719" w14:textId="77777777" w:rsidR="00285410" w:rsidRDefault="008C3352" w:rsidP="009B5159">
      <w:pPr>
        <w:rPr>
          <w:rFonts w:cs="Arial"/>
          <w:noProof/>
          <w:sz w:val="19"/>
          <w:szCs w:val="19"/>
          <w:lang w:eastAsia="en-GB"/>
        </w:rPr>
      </w:pPr>
      <w:r>
        <w:rPr>
          <w:rFonts w:cs="Arial"/>
          <w:noProof/>
          <w:sz w:val="19"/>
          <w:szCs w:val="19"/>
          <w:lang w:eastAsia="en-GB"/>
        </w:rPr>
        <w:drawing>
          <wp:inline distT="0" distB="0" distL="0" distR="0" wp14:anchorId="515A6F3A" wp14:editId="1569EFAC">
            <wp:extent cx="4039870" cy="5719445"/>
            <wp:effectExtent l="0" t="0" r="0" b="0"/>
            <wp:docPr id="1" name="Picture 1" descr="Neal 3 CD digital recorde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l 3 CD digital recorder -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39870" cy="5719445"/>
                    </a:xfrm>
                    <a:prstGeom prst="rect">
                      <a:avLst/>
                    </a:prstGeom>
                    <a:noFill/>
                    <a:ln>
                      <a:noFill/>
                    </a:ln>
                  </pic:spPr>
                </pic:pic>
              </a:graphicData>
            </a:graphic>
          </wp:inline>
        </w:drawing>
      </w:r>
    </w:p>
    <w:p w14:paraId="08F96C0D" w14:textId="77777777" w:rsidR="00285410" w:rsidRDefault="00285410" w:rsidP="009B5159">
      <w:pPr>
        <w:rPr>
          <w:rFonts w:cs="Arial"/>
          <w:noProof/>
          <w:sz w:val="19"/>
          <w:szCs w:val="19"/>
          <w:lang w:eastAsia="en-GB"/>
        </w:rPr>
      </w:pPr>
    </w:p>
    <w:p w14:paraId="63B2ECD6" w14:textId="77777777" w:rsidR="00597100" w:rsidRPr="001C2C12" w:rsidRDefault="00285410" w:rsidP="009B5159">
      <w:r>
        <w:rPr>
          <w:rFonts w:cs="Arial"/>
          <w:noProof/>
          <w:sz w:val="19"/>
          <w:szCs w:val="19"/>
          <w:lang w:eastAsia="en-GB"/>
        </w:rPr>
        <w:br w:type="page"/>
      </w:r>
      <w:r w:rsidR="008C3352">
        <w:rPr>
          <w:noProof/>
          <w:lang w:eastAsia="en-GB"/>
        </w:rPr>
        <w:lastRenderedPageBreak/>
        <w:drawing>
          <wp:inline distT="0" distB="0" distL="0" distR="0" wp14:anchorId="1C1C46AB" wp14:editId="03CFD5E8">
            <wp:extent cx="5885180" cy="8229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85180" cy="8229600"/>
                    </a:xfrm>
                    <a:prstGeom prst="rect">
                      <a:avLst/>
                    </a:prstGeom>
                    <a:noFill/>
                    <a:ln>
                      <a:noFill/>
                    </a:ln>
                  </pic:spPr>
                </pic:pic>
              </a:graphicData>
            </a:graphic>
          </wp:inline>
        </w:drawing>
      </w:r>
      <w:r w:rsidRPr="001C2C12">
        <w:t xml:space="preserve"> </w:t>
      </w:r>
      <w:r w:rsidR="009B08F7" w:rsidRPr="001C2C12">
        <w:br w:type="page"/>
      </w:r>
      <w:r w:rsidR="009B08F7" w:rsidRPr="00427F02">
        <w:rPr>
          <w:b/>
        </w:rPr>
        <w:lastRenderedPageBreak/>
        <w:t>APPENDIX 2 – Template Letter</w:t>
      </w:r>
      <w:r w:rsidR="00597100" w:rsidRPr="00427F02">
        <w:rPr>
          <w:b/>
        </w:rPr>
        <w:t xml:space="preserve"> to invite an individual to</w:t>
      </w:r>
      <w:r w:rsidR="007E3366">
        <w:rPr>
          <w:b/>
        </w:rPr>
        <w:t xml:space="preserve"> a recorded</w:t>
      </w:r>
      <w:r w:rsidR="00597100" w:rsidRPr="00427F02">
        <w:rPr>
          <w:b/>
        </w:rPr>
        <w:t xml:space="preserve"> interview</w:t>
      </w:r>
    </w:p>
    <w:p w14:paraId="6234BDD5" w14:textId="77777777" w:rsidR="00E01658" w:rsidRPr="00D074D7" w:rsidRDefault="0068654C" w:rsidP="00E01658">
      <w:pPr>
        <w:jc w:val="center"/>
        <w:rPr>
          <w:b/>
          <w:bCs/>
          <w:color w:val="FF0000"/>
          <w:szCs w:val="22"/>
        </w:rPr>
      </w:pPr>
      <w:r w:rsidRPr="00D074D7">
        <w:rPr>
          <w:b/>
          <w:bCs/>
          <w:color w:val="FF0000"/>
          <w:szCs w:val="22"/>
        </w:rPr>
        <w:t>(Use ONR headers with the letter)</w:t>
      </w:r>
    </w:p>
    <w:p w14:paraId="1C638A65" w14:textId="77777777" w:rsidR="00E01658" w:rsidRPr="00E01658" w:rsidRDefault="00E01658" w:rsidP="00427F02">
      <w:pPr>
        <w:rPr>
          <w:b/>
          <w:bCs/>
          <w:sz w:val="28"/>
        </w:rPr>
      </w:pPr>
    </w:p>
    <w:tbl>
      <w:tblPr>
        <w:tblW w:w="0" w:type="auto"/>
        <w:tblCellMar>
          <w:top w:w="58" w:type="dxa"/>
          <w:left w:w="58" w:type="dxa"/>
          <w:bottom w:w="58" w:type="dxa"/>
          <w:right w:w="58" w:type="dxa"/>
        </w:tblCellMar>
        <w:tblLook w:val="01E0" w:firstRow="1" w:lastRow="1" w:firstColumn="1" w:lastColumn="1" w:noHBand="0" w:noVBand="0"/>
      </w:tblPr>
      <w:tblGrid>
        <w:gridCol w:w="6538"/>
        <w:gridCol w:w="2762"/>
      </w:tblGrid>
      <w:tr w:rsidR="007E3366" w:rsidRPr="007E3366" w14:paraId="330E55CC" w14:textId="77777777" w:rsidTr="0068654C">
        <w:trPr>
          <w:trHeight w:val="773"/>
        </w:trPr>
        <w:tc>
          <w:tcPr>
            <w:tcW w:w="6538" w:type="dxa"/>
            <w:shd w:val="clear" w:color="auto" w:fill="auto"/>
          </w:tcPr>
          <w:p w14:paraId="31C0FB64" w14:textId="77777777" w:rsidR="007E3366" w:rsidRPr="007E3366" w:rsidRDefault="007E3366" w:rsidP="007E3366">
            <w:pPr>
              <w:rPr>
                <w:szCs w:val="22"/>
              </w:rPr>
            </w:pPr>
          </w:p>
        </w:tc>
        <w:tc>
          <w:tcPr>
            <w:tcW w:w="2762" w:type="dxa"/>
            <w:vMerge w:val="restart"/>
            <w:shd w:val="clear" w:color="auto" w:fill="auto"/>
          </w:tcPr>
          <w:p w14:paraId="5378F5BB" w14:textId="77777777" w:rsidR="007E3366" w:rsidRPr="007E3366" w:rsidRDefault="007E3366" w:rsidP="007E3366">
            <w:pPr>
              <w:rPr>
                <w:szCs w:val="22"/>
              </w:rPr>
            </w:pPr>
            <w:r w:rsidRPr="007E3366">
              <w:rPr>
                <w:szCs w:val="22"/>
              </w:rPr>
              <w:t>[Name]</w:t>
            </w:r>
          </w:p>
          <w:p w14:paraId="6277EEEF" w14:textId="77777777" w:rsidR="007E3366" w:rsidRPr="007E3366" w:rsidRDefault="007E3366" w:rsidP="007E3366">
            <w:pPr>
              <w:rPr>
                <w:szCs w:val="22"/>
              </w:rPr>
            </w:pPr>
            <w:r w:rsidRPr="007E3366">
              <w:rPr>
                <w:szCs w:val="22"/>
              </w:rPr>
              <w:t>[Title]</w:t>
            </w:r>
          </w:p>
          <w:p w14:paraId="2E162529" w14:textId="77777777" w:rsidR="007E3366" w:rsidRPr="007E3366" w:rsidRDefault="007E3366" w:rsidP="007E3366">
            <w:pPr>
              <w:rPr>
                <w:szCs w:val="22"/>
              </w:rPr>
            </w:pPr>
            <w:r w:rsidRPr="007E3366">
              <w:rPr>
                <w:szCs w:val="22"/>
              </w:rPr>
              <w:t>[Address line 1]</w:t>
            </w:r>
          </w:p>
          <w:p w14:paraId="229C63AC" w14:textId="77777777" w:rsidR="007E3366" w:rsidRPr="007E3366" w:rsidRDefault="007E3366" w:rsidP="007E3366">
            <w:pPr>
              <w:rPr>
                <w:szCs w:val="22"/>
              </w:rPr>
            </w:pPr>
            <w:r w:rsidRPr="007E3366">
              <w:rPr>
                <w:szCs w:val="22"/>
              </w:rPr>
              <w:t>[Address line 2]</w:t>
            </w:r>
          </w:p>
          <w:p w14:paraId="64A885CA" w14:textId="77777777" w:rsidR="007E3366" w:rsidRPr="007E3366" w:rsidRDefault="007E3366" w:rsidP="007E3366">
            <w:pPr>
              <w:rPr>
                <w:szCs w:val="22"/>
              </w:rPr>
            </w:pPr>
            <w:r w:rsidRPr="007E3366">
              <w:rPr>
                <w:szCs w:val="22"/>
              </w:rPr>
              <w:t>[Address line 3]</w:t>
            </w:r>
          </w:p>
          <w:p w14:paraId="30217B16" w14:textId="77777777" w:rsidR="007E3366" w:rsidRPr="007E3366" w:rsidRDefault="007E3366" w:rsidP="007E3366">
            <w:pPr>
              <w:rPr>
                <w:szCs w:val="22"/>
              </w:rPr>
            </w:pPr>
            <w:r w:rsidRPr="007E3366">
              <w:rPr>
                <w:szCs w:val="22"/>
              </w:rPr>
              <w:t>[Address line 4]</w:t>
            </w:r>
          </w:p>
          <w:p w14:paraId="0F7BD9A1" w14:textId="77777777" w:rsidR="007E3366" w:rsidRPr="007E3366" w:rsidRDefault="007E3366" w:rsidP="007E3366">
            <w:pPr>
              <w:rPr>
                <w:szCs w:val="22"/>
              </w:rPr>
            </w:pPr>
            <w:r w:rsidRPr="007E3366">
              <w:rPr>
                <w:szCs w:val="22"/>
              </w:rPr>
              <w:t>[Postcode]</w:t>
            </w:r>
          </w:p>
          <w:p w14:paraId="1D58B8C7" w14:textId="77777777" w:rsidR="007E3366" w:rsidRPr="007E3366" w:rsidRDefault="007E3366" w:rsidP="007E3366">
            <w:pPr>
              <w:rPr>
                <w:szCs w:val="22"/>
              </w:rPr>
            </w:pPr>
          </w:p>
          <w:p w14:paraId="6FB5621D" w14:textId="77777777" w:rsidR="007E3366" w:rsidRPr="007E3366" w:rsidRDefault="007E3366" w:rsidP="007E3366">
            <w:pPr>
              <w:rPr>
                <w:szCs w:val="22"/>
              </w:rPr>
            </w:pPr>
            <w:r w:rsidRPr="007E3366">
              <w:rPr>
                <w:szCs w:val="22"/>
              </w:rPr>
              <w:t xml:space="preserve">Telephone: [  </w:t>
            </w:r>
            <w:proofErr w:type="gramStart"/>
            <w:r w:rsidRPr="007E3366">
              <w:rPr>
                <w:szCs w:val="22"/>
              </w:rPr>
              <w:t xml:space="preserve">  ]</w:t>
            </w:r>
            <w:proofErr w:type="gramEnd"/>
          </w:p>
          <w:p w14:paraId="1C81D8BD" w14:textId="77777777" w:rsidR="007E3366" w:rsidRPr="007E3366" w:rsidRDefault="007E3366" w:rsidP="007E3366">
            <w:pPr>
              <w:rPr>
                <w:szCs w:val="22"/>
              </w:rPr>
            </w:pPr>
            <w:r w:rsidRPr="007E3366">
              <w:rPr>
                <w:szCs w:val="22"/>
              </w:rPr>
              <w:t xml:space="preserve">Email: [   </w:t>
            </w:r>
            <w:proofErr w:type="gramStart"/>
            <w:r w:rsidRPr="007E3366">
              <w:rPr>
                <w:szCs w:val="22"/>
              </w:rPr>
              <w:t xml:space="preserve">  ]</w:t>
            </w:r>
            <w:proofErr w:type="gramEnd"/>
          </w:p>
          <w:p w14:paraId="3C649B35" w14:textId="77777777" w:rsidR="007E3366" w:rsidRPr="007E3366" w:rsidRDefault="007E3366" w:rsidP="007E3366">
            <w:pPr>
              <w:rPr>
                <w:szCs w:val="22"/>
              </w:rPr>
            </w:pPr>
          </w:p>
          <w:p w14:paraId="7AA32434" w14:textId="77777777" w:rsidR="007E3366" w:rsidRPr="007E3366" w:rsidRDefault="007E3366" w:rsidP="007E3366">
            <w:pPr>
              <w:rPr>
                <w:szCs w:val="22"/>
              </w:rPr>
            </w:pPr>
            <w:r w:rsidRPr="007E3366">
              <w:rPr>
                <w:szCs w:val="22"/>
              </w:rPr>
              <w:t xml:space="preserve">Our </w:t>
            </w:r>
            <w:proofErr w:type="gramStart"/>
            <w:r w:rsidRPr="007E3366">
              <w:rPr>
                <w:szCs w:val="22"/>
              </w:rPr>
              <w:t>Reference:[</w:t>
            </w:r>
            <w:proofErr w:type="gramEnd"/>
            <w:r w:rsidRPr="007E3366">
              <w:rPr>
                <w:szCs w:val="22"/>
              </w:rPr>
              <w:t xml:space="preserve">     ] </w:t>
            </w:r>
          </w:p>
          <w:p w14:paraId="5FB0EAEE" w14:textId="77777777" w:rsidR="007E3366" w:rsidRPr="007E3366" w:rsidRDefault="007E3366" w:rsidP="007E3366">
            <w:pPr>
              <w:rPr>
                <w:szCs w:val="22"/>
              </w:rPr>
            </w:pPr>
            <w:r w:rsidRPr="007E3366">
              <w:rPr>
                <w:szCs w:val="22"/>
              </w:rPr>
              <w:t xml:space="preserve">Unique </w:t>
            </w:r>
            <w:proofErr w:type="gramStart"/>
            <w:r w:rsidRPr="007E3366">
              <w:rPr>
                <w:szCs w:val="22"/>
              </w:rPr>
              <w:t>Number:[</w:t>
            </w:r>
            <w:proofErr w:type="gramEnd"/>
            <w:r w:rsidRPr="007E3366">
              <w:rPr>
                <w:szCs w:val="22"/>
              </w:rPr>
              <w:t xml:space="preserve">     ] </w:t>
            </w:r>
          </w:p>
          <w:p w14:paraId="21319909" w14:textId="77777777" w:rsidR="007E3366" w:rsidRPr="007E3366" w:rsidRDefault="007E3366" w:rsidP="007E3366">
            <w:pPr>
              <w:rPr>
                <w:szCs w:val="22"/>
              </w:rPr>
            </w:pPr>
          </w:p>
          <w:p w14:paraId="06C8A951" w14:textId="77777777" w:rsidR="007E3366" w:rsidRPr="007E3366" w:rsidRDefault="007E3366" w:rsidP="007E3366">
            <w:pPr>
              <w:rPr>
                <w:szCs w:val="22"/>
              </w:rPr>
            </w:pPr>
            <w:r w:rsidRPr="007E3366">
              <w:rPr>
                <w:szCs w:val="22"/>
              </w:rPr>
              <w:t xml:space="preserve">Your </w:t>
            </w:r>
            <w:proofErr w:type="gramStart"/>
            <w:r w:rsidRPr="007E3366">
              <w:rPr>
                <w:szCs w:val="22"/>
              </w:rPr>
              <w:t>Reference:[</w:t>
            </w:r>
            <w:proofErr w:type="gramEnd"/>
            <w:r w:rsidRPr="007E3366">
              <w:rPr>
                <w:szCs w:val="22"/>
              </w:rPr>
              <w:t xml:space="preserve">     ] </w:t>
            </w:r>
          </w:p>
          <w:p w14:paraId="5B1440FF" w14:textId="77777777" w:rsidR="007E3366" w:rsidRPr="007E3366" w:rsidRDefault="007E3366" w:rsidP="007E3366">
            <w:pPr>
              <w:rPr>
                <w:szCs w:val="22"/>
              </w:rPr>
            </w:pPr>
            <w:r w:rsidRPr="007E3366">
              <w:rPr>
                <w:szCs w:val="22"/>
              </w:rPr>
              <w:t xml:space="preserve">Unique </w:t>
            </w:r>
            <w:proofErr w:type="gramStart"/>
            <w:r w:rsidRPr="007E3366">
              <w:rPr>
                <w:szCs w:val="22"/>
              </w:rPr>
              <w:t>Number:[</w:t>
            </w:r>
            <w:proofErr w:type="gramEnd"/>
            <w:r w:rsidRPr="007E3366">
              <w:rPr>
                <w:szCs w:val="22"/>
              </w:rPr>
              <w:t xml:space="preserve">     ] </w:t>
            </w:r>
          </w:p>
        </w:tc>
      </w:tr>
      <w:tr w:rsidR="007E3366" w:rsidRPr="007E3366" w14:paraId="2440D380" w14:textId="77777777" w:rsidTr="0068654C">
        <w:trPr>
          <w:trHeight w:val="772"/>
        </w:trPr>
        <w:tc>
          <w:tcPr>
            <w:tcW w:w="6538" w:type="dxa"/>
            <w:shd w:val="clear" w:color="auto" w:fill="auto"/>
          </w:tcPr>
          <w:p w14:paraId="47FE40CF" w14:textId="77777777" w:rsidR="007E3366" w:rsidRPr="007E3366" w:rsidRDefault="007E3366" w:rsidP="007E3366">
            <w:pPr>
              <w:rPr>
                <w:szCs w:val="22"/>
              </w:rPr>
            </w:pPr>
            <w:r w:rsidRPr="007E3366">
              <w:rPr>
                <w:szCs w:val="22"/>
              </w:rPr>
              <w:t>[Addressee]</w:t>
            </w:r>
          </w:p>
          <w:p w14:paraId="00092CE7" w14:textId="77777777" w:rsidR="007E3366" w:rsidRPr="007E3366" w:rsidRDefault="007E3366" w:rsidP="007E3366">
            <w:pPr>
              <w:rPr>
                <w:szCs w:val="22"/>
              </w:rPr>
            </w:pPr>
            <w:r w:rsidRPr="007E3366">
              <w:rPr>
                <w:szCs w:val="22"/>
              </w:rPr>
              <w:t>[Address]</w:t>
            </w:r>
          </w:p>
        </w:tc>
        <w:tc>
          <w:tcPr>
            <w:tcW w:w="2762" w:type="dxa"/>
            <w:vMerge/>
            <w:shd w:val="clear" w:color="auto" w:fill="auto"/>
          </w:tcPr>
          <w:p w14:paraId="7B0C5C60" w14:textId="77777777" w:rsidR="007E3366" w:rsidRPr="007E3366" w:rsidRDefault="007E3366" w:rsidP="007E3366">
            <w:pPr>
              <w:rPr>
                <w:szCs w:val="22"/>
              </w:rPr>
            </w:pPr>
          </w:p>
        </w:tc>
      </w:tr>
      <w:tr w:rsidR="007E3366" w:rsidRPr="007E3366" w14:paraId="4FE77ED6" w14:textId="77777777" w:rsidTr="0068654C">
        <w:tc>
          <w:tcPr>
            <w:tcW w:w="6538" w:type="dxa"/>
            <w:shd w:val="clear" w:color="auto" w:fill="auto"/>
          </w:tcPr>
          <w:p w14:paraId="65FEAA18" w14:textId="77777777" w:rsidR="007E3366" w:rsidRPr="007E3366" w:rsidRDefault="007E3366" w:rsidP="007E3366">
            <w:pPr>
              <w:rPr>
                <w:szCs w:val="22"/>
              </w:rPr>
            </w:pPr>
            <w:r w:rsidRPr="007E3366">
              <w:rPr>
                <w:szCs w:val="22"/>
              </w:rPr>
              <w:t xml:space="preserve">Date: </w:t>
            </w:r>
          </w:p>
        </w:tc>
        <w:tc>
          <w:tcPr>
            <w:tcW w:w="2762" w:type="dxa"/>
            <w:shd w:val="clear" w:color="auto" w:fill="auto"/>
          </w:tcPr>
          <w:p w14:paraId="75D03754" w14:textId="77777777" w:rsidR="007E3366" w:rsidRPr="007E3366" w:rsidRDefault="007E3366" w:rsidP="007E3366">
            <w:pPr>
              <w:rPr>
                <w:szCs w:val="22"/>
              </w:rPr>
            </w:pPr>
          </w:p>
        </w:tc>
      </w:tr>
    </w:tbl>
    <w:p w14:paraId="7EF9B22D" w14:textId="77777777" w:rsidR="007E3366" w:rsidRPr="007E3366" w:rsidRDefault="007E3366" w:rsidP="007E3366">
      <w:pPr>
        <w:rPr>
          <w:szCs w:val="22"/>
        </w:rPr>
      </w:pPr>
    </w:p>
    <w:p w14:paraId="4C3571C4" w14:textId="77777777" w:rsidR="007E3366" w:rsidRPr="0068654C" w:rsidRDefault="007E3366" w:rsidP="007E3366">
      <w:pPr>
        <w:spacing w:after="120"/>
        <w:rPr>
          <w:rFonts w:cs="Arial"/>
          <w:szCs w:val="22"/>
        </w:rPr>
      </w:pPr>
      <w:r w:rsidRPr="007E3366">
        <w:rPr>
          <w:rFonts w:cs="Arial"/>
          <w:szCs w:val="22"/>
        </w:rPr>
        <w:t>Dear Sir / Mr / Mrs / Ms</w:t>
      </w:r>
    </w:p>
    <w:p w14:paraId="395A4B23" w14:textId="77777777" w:rsidR="00883A94" w:rsidRPr="00387E96" w:rsidRDefault="0068654C" w:rsidP="0068654C">
      <w:pPr>
        <w:tabs>
          <w:tab w:val="left" w:pos="567"/>
        </w:tabs>
        <w:rPr>
          <w:b/>
          <w:sz w:val="16"/>
          <w:szCs w:val="16"/>
        </w:rPr>
      </w:pPr>
      <w:r w:rsidRPr="0068654C">
        <w:rPr>
          <w:b/>
          <w:bCs/>
          <w:szCs w:val="22"/>
        </w:rPr>
        <w:t>The Police and Criminal Evidence Act 1984 (P</w:t>
      </w:r>
      <w:r w:rsidRPr="00387E96">
        <w:rPr>
          <w:b/>
          <w:bCs/>
          <w:szCs w:val="22"/>
        </w:rPr>
        <w:t>ACE)</w:t>
      </w:r>
      <w:r w:rsidR="00883A94" w:rsidRPr="00387E96">
        <w:rPr>
          <w:b/>
          <w:szCs w:val="22"/>
        </w:rPr>
        <w:t>/Criminal Justice (Scotland) Act 2016</w:t>
      </w:r>
      <w:r w:rsidR="00387E96">
        <w:rPr>
          <w:b/>
          <w:sz w:val="16"/>
          <w:szCs w:val="16"/>
        </w:rPr>
        <w:t xml:space="preserve"> delete</w:t>
      </w:r>
      <w:r w:rsidR="00883A94">
        <w:rPr>
          <w:b/>
          <w:sz w:val="16"/>
          <w:szCs w:val="16"/>
        </w:rPr>
        <w:t xml:space="preserve"> as appropriate</w:t>
      </w:r>
    </w:p>
    <w:p w14:paraId="58015CDF" w14:textId="77777777" w:rsidR="0068654C" w:rsidRPr="0068654C" w:rsidRDefault="0068654C" w:rsidP="0068654C">
      <w:pPr>
        <w:tabs>
          <w:tab w:val="left" w:pos="567"/>
        </w:tabs>
        <w:rPr>
          <w:szCs w:val="22"/>
        </w:rPr>
      </w:pPr>
      <w:r w:rsidRPr="0068654C">
        <w:rPr>
          <w:szCs w:val="22"/>
        </w:rPr>
        <w:br/>
      </w:r>
      <w:r w:rsidRPr="0068654C">
        <w:rPr>
          <w:b/>
          <w:bCs/>
          <w:szCs w:val="22"/>
        </w:rPr>
        <w:t xml:space="preserve">Investigation into </w:t>
      </w:r>
      <w:proofErr w:type="gramStart"/>
      <w:r w:rsidRPr="0068654C">
        <w:rPr>
          <w:b/>
          <w:bCs/>
          <w:szCs w:val="22"/>
        </w:rPr>
        <w:t>....[</w:t>
      </w:r>
      <w:proofErr w:type="gramEnd"/>
      <w:r w:rsidRPr="0068654C">
        <w:rPr>
          <w:b/>
          <w:bCs/>
          <w:i/>
          <w:szCs w:val="22"/>
        </w:rPr>
        <w:t>details of investigation</w:t>
      </w:r>
      <w:r w:rsidRPr="0068654C">
        <w:rPr>
          <w:b/>
          <w:bCs/>
          <w:szCs w:val="22"/>
        </w:rPr>
        <w:t>]....</w:t>
      </w:r>
      <w:r w:rsidRPr="0068654C">
        <w:rPr>
          <w:szCs w:val="22"/>
        </w:rPr>
        <w:t xml:space="preserve"> </w:t>
      </w:r>
    </w:p>
    <w:p w14:paraId="4754CB13" w14:textId="77777777" w:rsidR="0068654C" w:rsidRPr="0068654C" w:rsidRDefault="0068654C" w:rsidP="0068654C">
      <w:pPr>
        <w:rPr>
          <w:szCs w:val="22"/>
        </w:rPr>
      </w:pPr>
    </w:p>
    <w:p w14:paraId="1AFF7F9B" w14:textId="77777777" w:rsidR="0068654C" w:rsidRPr="0068654C" w:rsidRDefault="0068654C" w:rsidP="0068654C">
      <w:pPr>
        <w:rPr>
          <w:rFonts w:cs="Arial"/>
          <w:szCs w:val="22"/>
        </w:rPr>
      </w:pPr>
      <w:r w:rsidRPr="0068654C">
        <w:rPr>
          <w:rFonts w:cs="Arial"/>
          <w:szCs w:val="22"/>
        </w:rPr>
        <w:t xml:space="preserve">As part of my investigation into the above matter, I invite you to attend </w:t>
      </w:r>
      <w:r w:rsidR="00883A94">
        <w:rPr>
          <w:rFonts w:cs="Arial"/>
          <w:szCs w:val="22"/>
        </w:rPr>
        <w:t>[</w:t>
      </w:r>
      <w:r w:rsidR="00883A94">
        <w:rPr>
          <w:rFonts w:cs="Arial"/>
          <w:i/>
          <w:szCs w:val="22"/>
        </w:rPr>
        <w:t>insert as appropriate]</w:t>
      </w:r>
      <w:r w:rsidRPr="0068654C">
        <w:rPr>
          <w:rFonts w:cs="Arial"/>
          <w:szCs w:val="22"/>
        </w:rPr>
        <w:t xml:space="preserve"> on [</w:t>
      </w:r>
      <w:r w:rsidRPr="0068654C">
        <w:rPr>
          <w:rFonts w:cs="Arial"/>
          <w:i/>
          <w:szCs w:val="22"/>
        </w:rPr>
        <w:t>insert two dates not more than 4 weeks from the date of this letter</w:t>
      </w:r>
      <w:r w:rsidRPr="0068654C">
        <w:rPr>
          <w:rFonts w:cs="Arial"/>
          <w:szCs w:val="22"/>
        </w:rPr>
        <w:t xml:space="preserve">] for an interview under caution. This interview will be audio recorded and conducted in accordance with </w:t>
      </w:r>
      <w:r w:rsidR="00883A94">
        <w:rPr>
          <w:rFonts w:cs="Arial"/>
          <w:szCs w:val="22"/>
        </w:rPr>
        <w:t>the appropriate legislation and Codes</w:t>
      </w:r>
      <w:r w:rsidRPr="0068654C">
        <w:rPr>
          <w:rFonts w:cs="Arial"/>
          <w:szCs w:val="22"/>
        </w:rPr>
        <w:t>. The purpose of this interview is to investigate the above matter including any possible breaches of legislation by you.</w:t>
      </w:r>
    </w:p>
    <w:p w14:paraId="56CF1FC5" w14:textId="77777777" w:rsidR="0068654C" w:rsidRPr="0068654C" w:rsidRDefault="0068654C" w:rsidP="0068654C">
      <w:pPr>
        <w:rPr>
          <w:rFonts w:cs="Arial"/>
          <w:szCs w:val="22"/>
        </w:rPr>
      </w:pPr>
    </w:p>
    <w:p w14:paraId="6302A6D3" w14:textId="77777777" w:rsidR="0068654C" w:rsidRPr="0068654C" w:rsidRDefault="0068654C" w:rsidP="0068654C">
      <w:pPr>
        <w:tabs>
          <w:tab w:val="left" w:pos="993"/>
        </w:tabs>
        <w:rPr>
          <w:rFonts w:cs="Arial"/>
          <w:szCs w:val="22"/>
        </w:rPr>
      </w:pPr>
      <w:r w:rsidRPr="0068654C">
        <w:rPr>
          <w:rFonts w:cs="Arial"/>
          <w:szCs w:val="22"/>
        </w:rPr>
        <w:t xml:space="preserve">You do not have to attend this interview and you are strongly advised to seek legal advice about the contents of this letter and your rights under </w:t>
      </w:r>
      <w:r w:rsidR="00387E96">
        <w:rPr>
          <w:rFonts w:cs="Arial"/>
          <w:szCs w:val="22"/>
        </w:rPr>
        <w:t>[</w:t>
      </w:r>
      <w:r w:rsidR="00387E96">
        <w:rPr>
          <w:rFonts w:cs="Arial"/>
          <w:i/>
          <w:szCs w:val="22"/>
        </w:rPr>
        <w:t>insert relevant legislation</w:t>
      </w:r>
      <w:r w:rsidR="00387E96">
        <w:rPr>
          <w:rFonts w:cs="Arial"/>
          <w:szCs w:val="22"/>
        </w:rPr>
        <w:t>]</w:t>
      </w:r>
      <w:r w:rsidRPr="00387E96">
        <w:rPr>
          <w:rFonts w:cs="Arial"/>
          <w:i/>
          <w:szCs w:val="22"/>
        </w:rPr>
        <w:t>.</w:t>
      </w:r>
      <w:r w:rsidRPr="0068654C">
        <w:rPr>
          <w:rFonts w:cs="Arial"/>
          <w:szCs w:val="22"/>
        </w:rPr>
        <w:t xml:space="preserve"> You are further advised to have your legal adviser present at the interview. </w:t>
      </w:r>
    </w:p>
    <w:p w14:paraId="77C6D9D2" w14:textId="77777777" w:rsidR="0068654C" w:rsidRPr="0068654C" w:rsidRDefault="0068654C" w:rsidP="0068654C">
      <w:pPr>
        <w:tabs>
          <w:tab w:val="left" w:pos="993"/>
        </w:tabs>
        <w:rPr>
          <w:rFonts w:cs="Arial"/>
          <w:szCs w:val="22"/>
        </w:rPr>
      </w:pPr>
    </w:p>
    <w:p w14:paraId="229F4015" w14:textId="77777777" w:rsidR="0068654C" w:rsidRPr="0068654C" w:rsidRDefault="0068654C" w:rsidP="0068654C">
      <w:pPr>
        <w:rPr>
          <w:szCs w:val="22"/>
        </w:rPr>
      </w:pPr>
      <w:r w:rsidRPr="0068654C">
        <w:rPr>
          <w:szCs w:val="22"/>
        </w:rPr>
        <w:t>I look forward to hearing from you within [</w:t>
      </w:r>
      <w:r w:rsidRPr="0068654C">
        <w:rPr>
          <w:i/>
          <w:iCs/>
          <w:szCs w:val="22"/>
        </w:rPr>
        <w:t>XX</w:t>
      </w:r>
      <w:r w:rsidRPr="0068654C">
        <w:rPr>
          <w:szCs w:val="22"/>
        </w:rPr>
        <w:t xml:space="preserve">] days in relation to whether you will attend an interview under caution and </w:t>
      </w:r>
      <w:r w:rsidRPr="0068654C">
        <w:rPr>
          <w:iCs/>
          <w:szCs w:val="22"/>
        </w:rPr>
        <w:t>which of the two proposed dates is acceptable</w:t>
      </w:r>
      <w:r w:rsidRPr="0068654C">
        <w:rPr>
          <w:szCs w:val="22"/>
        </w:rPr>
        <w:t xml:space="preserve">. If you are unable to attend either of </w:t>
      </w:r>
      <w:proofErr w:type="gramStart"/>
      <w:r w:rsidRPr="0068654C">
        <w:rPr>
          <w:szCs w:val="22"/>
        </w:rPr>
        <w:t>them</w:t>
      </w:r>
      <w:proofErr w:type="gramEnd"/>
      <w:r w:rsidRPr="0068654C">
        <w:rPr>
          <w:szCs w:val="22"/>
        </w:rPr>
        <w:t xml:space="preserve"> please suggest an alternative date before [</w:t>
      </w:r>
      <w:r w:rsidRPr="0068654C">
        <w:rPr>
          <w:i/>
          <w:szCs w:val="22"/>
        </w:rPr>
        <w:t>insert a date – 6 weeks from the date of this letter</w:t>
      </w:r>
      <w:r w:rsidRPr="0068654C">
        <w:rPr>
          <w:szCs w:val="22"/>
        </w:rPr>
        <w:t>]. Alternatively, if you do not wish to attend an interview, please let me know by the same date. If I do not hear from you by [</w:t>
      </w:r>
      <w:r w:rsidRPr="0068654C">
        <w:rPr>
          <w:i/>
          <w:iCs/>
          <w:szCs w:val="22"/>
        </w:rPr>
        <w:t>XX</w:t>
      </w:r>
      <w:r w:rsidRPr="0068654C">
        <w:rPr>
          <w:szCs w:val="22"/>
        </w:rPr>
        <w:t>], I will assume that you have declined this invitation to attend an interview under caution and will progress the investigation accordingly.</w:t>
      </w:r>
    </w:p>
    <w:p w14:paraId="526A2398" w14:textId="77777777" w:rsidR="007E3366" w:rsidRPr="007E3366" w:rsidRDefault="007E3366" w:rsidP="007E3366">
      <w:pPr>
        <w:spacing w:after="120"/>
        <w:rPr>
          <w:rFonts w:cs="Arial"/>
          <w:i/>
          <w:szCs w:val="22"/>
          <w:highlight w:val="cyan"/>
          <w:lang w:val="en"/>
        </w:rPr>
      </w:pPr>
    </w:p>
    <w:p w14:paraId="4CE46060" w14:textId="77777777" w:rsidR="007E3366" w:rsidRPr="007E3366" w:rsidRDefault="007E3366" w:rsidP="007E3366">
      <w:pPr>
        <w:spacing w:after="120"/>
        <w:rPr>
          <w:rFonts w:cs="Arial"/>
          <w:szCs w:val="22"/>
        </w:rPr>
      </w:pPr>
      <w:r w:rsidRPr="007E3366">
        <w:rPr>
          <w:rFonts w:cs="Arial"/>
          <w:szCs w:val="22"/>
        </w:rPr>
        <w:t>Yours faithfully / sincerely</w:t>
      </w:r>
    </w:p>
    <w:p w14:paraId="70521AC3" w14:textId="77777777" w:rsidR="007E3366" w:rsidRPr="007E3366" w:rsidRDefault="007E3366" w:rsidP="007E3366">
      <w:pPr>
        <w:rPr>
          <w:rFonts w:cs="Arial"/>
          <w:b/>
          <w:szCs w:val="22"/>
        </w:rPr>
      </w:pPr>
    </w:p>
    <w:p w14:paraId="18D9AD84" w14:textId="77777777" w:rsidR="007E3366" w:rsidRPr="007E3366" w:rsidRDefault="007E3366" w:rsidP="007E3366">
      <w:pPr>
        <w:rPr>
          <w:rFonts w:cs="Arial"/>
          <w:b/>
          <w:szCs w:val="22"/>
        </w:rPr>
      </w:pPr>
      <w:r w:rsidRPr="007E3366">
        <w:rPr>
          <w:rFonts w:cs="Arial"/>
          <w:b/>
          <w:szCs w:val="22"/>
        </w:rPr>
        <w:t>A N Other</w:t>
      </w:r>
    </w:p>
    <w:p w14:paraId="71E27266" w14:textId="77777777" w:rsidR="007E3366" w:rsidRPr="007E3366" w:rsidRDefault="007E3366" w:rsidP="007E3366">
      <w:pPr>
        <w:rPr>
          <w:rFonts w:cs="Arial"/>
          <w:b/>
          <w:szCs w:val="22"/>
        </w:rPr>
      </w:pPr>
      <w:r w:rsidRPr="007E3366">
        <w:rPr>
          <w:rFonts w:cs="Arial"/>
          <w:b/>
          <w:szCs w:val="22"/>
        </w:rPr>
        <w:t>Title (</w:t>
      </w:r>
      <w:proofErr w:type="gramStart"/>
      <w:r w:rsidRPr="007E3366">
        <w:rPr>
          <w:rFonts w:cs="Arial"/>
          <w:b/>
          <w:szCs w:val="22"/>
        </w:rPr>
        <w:t>e.g.</w:t>
      </w:r>
      <w:proofErr w:type="gramEnd"/>
      <w:r w:rsidRPr="007E3366">
        <w:rPr>
          <w:rFonts w:cs="Arial"/>
          <w:b/>
          <w:szCs w:val="22"/>
        </w:rPr>
        <w:t xml:space="preserve"> ONR Superintending Inspector – Nuclear Safety)</w:t>
      </w:r>
    </w:p>
    <w:p w14:paraId="174B9DE8" w14:textId="77777777" w:rsidR="007E3366" w:rsidRPr="007E3366" w:rsidRDefault="007E3366" w:rsidP="007E3366">
      <w:pPr>
        <w:rPr>
          <w:szCs w:val="22"/>
        </w:rPr>
      </w:pPr>
    </w:p>
    <w:p w14:paraId="4AF581A8" w14:textId="77777777" w:rsidR="007E3366" w:rsidRPr="007E3366" w:rsidRDefault="007E3366" w:rsidP="0068654C">
      <w:pPr>
        <w:rPr>
          <w:rFonts w:cs="Arial"/>
          <w:b/>
          <w:iCs/>
          <w:szCs w:val="22"/>
        </w:rPr>
      </w:pPr>
      <w:r w:rsidRPr="007E3366">
        <w:rPr>
          <w:rFonts w:cs="Arial"/>
          <w:b/>
          <w:iCs/>
          <w:szCs w:val="22"/>
        </w:rPr>
        <w:t>Distribution</w:t>
      </w:r>
    </w:p>
    <w:p w14:paraId="477BE299" w14:textId="77777777" w:rsidR="007E3366" w:rsidRPr="007E3366" w:rsidRDefault="007E3366" w:rsidP="0068654C">
      <w:pPr>
        <w:rPr>
          <w:rFonts w:cs="Arial"/>
          <w:iCs/>
          <w:szCs w:val="22"/>
        </w:rPr>
      </w:pPr>
      <w:r w:rsidRPr="007E3366">
        <w:rPr>
          <w:rFonts w:cs="Arial"/>
          <w:iCs/>
          <w:szCs w:val="22"/>
        </w:rPr>
        <w:t>A N Other 1, ONR GDA</w:t>
      </w:r>
    </w:p>
    <w:p w14:paraId="76B0D5E1" w14:textId="77777777" w:rsidR="007E3366" w:rsidRPr="007E3366" w:rsidRDefault="007E3366" w:rsidP="007E3366">
      <w:pPr>
        <w:rPr>
          <w:szCs w:val="22"/>
        </w:rPr>
      </w:pPr>
    </w:p>
    <w:p w14:paraId="790A11D2" w14:textId="77777777" w:rsidR="007E3366" w:rsidRPr="007E3366" w:rsidRDefault="007E3366" w:rsidP="007E3366">
      <w:pPr>
        <w:rPr>
          <w:szCs w:val="22"/>
        </w:rPr>
      </w:pPr>
    </w:p>
    <w:p w14:paraId="125A9383" w14:textId="77777777" w:rsidR="007E3366" w:rsidRPr="007E3366" w:rsidRDefault="007E3366" w:rsidP="007E3366">
      <w:pPr>
        <w:rPr>
          <w:szCs w:val="22"/>
        </w:rPr>
      </w:pPr>
    </w:p>
    <w:p w14:paraId="37D9C38F" w14:textId="77777777" w:rsidR="007E3366" w:rsidRPr="007E3366" w:rsidRDefault="007E3366" w:rsidP="007E3366">
      <w:pPr>
        <w:rPr>
          <w:sz w:val="20"/>
          <w:szCs w:val="20"/>
        </w:rPr>
      </w:pPr>
    </w:p>
    <w:p w14:paraId="38301CEA" w14:textId="77777777" w:rsidR="00E01658" w:rsidRPr="00D074D7" w:rsidRDefault="00E01658" w:rsidP="00E01658">
      <w:pPr>
        <w:rPr>
          <w:b/>
          <w:szCs w:val="22"/>
        </w:rPr>
      </w:pPr>
      <w:r w:rsidRPr="00D074D7">
        <w:rPr>
          <w:b/>
          <w:szCs w:val="22"/>
        </w:rPr>
        <w:t xml:space="preserve">Guidance </w:t>
      </w:r>
      <w:proofErr w:type="gramStart"/>
      <w:r w:rsidRPr="00D074D7">
        <w:rPr>
          <w:b/>
          <w:szCs w:val="22"/>
        </w:rPr>
        <w:t>note</w:t>
      </w:r>
      <w:proofErr w:type="gramEnd"/>
      <w:r w:rsidRPr="00D074D7">
        <w:rPr>
          <w:b/>
          <w:szCs w:val="22"/>
        </w:rPr>
        <w:t xml:space="preserve"> to inspector [not part of letter text]:</w:t>
      </w:r>
    </w:p>
    <w:p w14:paraId="28D2204A" w14:textId="77777777" w:rsidR="00E01658" w:rsidRPr="00D074D7" w:rsidRDefault="00E01658" w:rsidP="00E01658">
      <w:pPr>
        <w:rPr>
          <w:szCs w:val="22"/>
        </w:rPr>
      </w:pPr>
    </w:p>
    <w:p w14:paraId="202D8436" w14:textId="77777777" w:rsidR="00E01658" w:rsidRPr="00D074D7" w:rsidRDefault="00E01658" w:rsidP="00E01658">
      <w:pPr>
        <w:rPr>
          <w:szCs w:val="22"/>
        </w:rPr>
      </w:pPr>
      <w:r w:rsidRPr="00D074D7">
        <w:rPr>
          <w:szCs w:val="22"/>
        </w:rPr>
        <w:t xml:space="preserve">The Appendix should contain: </w:t>
      </w:r>
    </w:p>
    <w:p w14:paraId="0D35D07B" w14:textId="77777777" w:rsidR="00E01658" w:rsidRPr="00D074D7" w:rsidRDefault="00E01658" w:rsidP="00E01658">
      <w:pPr>
        <w:rPr>
          <w:szCs w:val="22"/>
        </w:rPr>
      </w:pPr>
    </w:p>
    <w:p w14:paraId="648BAF63" w14:textId="77777777" w:rsidR="00E01658" w:rsidRPr="00D074D7" w:rsidRDefault="00E01658" w:rsidP="00E01658">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A description of potential charges,</w:t>
      </w:r>
    </w:p>
    <w:p w14:paraId="5DD4455A" w14:textId="77777777" w:rsidR="00E01658" w:rsidRPr="00D074D7" w:rsidRDefault="00E01658" w:rsidP="00E01658">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A summary of the evidence</w:t>
      </w:r>
    </w:p>
    <w:p w14:paraId="3375661D" w14:textId="77777777" w:rsidR="00E01658" w:rsidRPr="00D074D7" w:rsidRDefault="00E01658" w:rsidP="00E01658">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 xml:space="preserve">A list of documents you intend to refer to at the interview </w:t>
      </w:r>
      <w:r w:rsidRPr="00D074D7">
        <w:rPr>
          <w:rFonts w:cs="Arial"/>
          <w:color w:val="000000"/>
          <w:szCs w:val="22"/>
          <w:lang w:val="en" w:eastAsia="en-GB"/>
        </w:rPr>
        <w:br/>
      </w:r>
    </w:p>
    <w:p w14:paraId="39DB26E6" w14:textId="77777777" w:rsidR="00E01658" w:rsidRPr="00D074D7" w:rsidRDefault="00E01658" w:rsidP="00E01658">
      <w:pPr>
        <w:rPr>
          <w:szCs w:val="22"/>
        </w:rPr>
      </w:pPr>
      <w:r w:rsidRPr="00D074D7">
        <w:rPr>
          <w:szCs w:val="22"/>
        </w:rPr>
        <w:tab/>
        <w:t>and include the following text:</w:t>
      </w:r>
    </w:p>
    <w:p w14:paraId="27702085" w14:textId="77777777" w:rsidR="00E01658" w:rsidRPr="00D074D7" w:rsidRDefault="00E01658" w:rsidP="00E01658">
      <w:pPr>
        <w:rPr>
          <w:szCs w:val="22"/>
        </w:rPr>
      </w:pPr>
    </w:p>
    <w:p w14:paraId="139C556D" w14:textId="77777777" w:rsidR="00E01658" w:rsidRPr="00D074D7" w:rsidRDefault="00E01658" w:rsidP="00E01658">
      <w:pPr>
        <w:rPr>
          <w:szCs w:val="22"/>
        </w:rPr>
      </w:pPr>
      <w:r w:rsidRPr="00D074D7">
        <w:rPr>
          <w:szCs w:val="22"/>
        </w:rPr>
        <w:t>“</w:t>
      </w:r>
      <w:r w:rsidRPr="00D074D7">
        <w:rPr>
          <w:i/>
          <w:szCs w:val="22"/>
        </w:rPr>
        <w:t>The interview will not be limited to these matters and further areas may be explored depending upon the answers given.  Similarly, further material evidence collected during my investigation may be referred to during the interview. You and your legal advisor will have adequate opportunity to go through this evidence before answering related questions</w:t>
      </w:r>
      <w:r w:rsidRPr="00D074D7">
        <w:rPr>
          <w:szCs w:val="22"/>
        </w:rPr>
        <w:t>”.</w:t>
      </w:r>
    </w:p>
    <w:p w14:paraId="6F85F888" w14:textId="77777777" w:rsidR="00402AE8" w:rsidRPr="00427F02" w:rsidRDefault="00597100" w:rsidP="009B5159">
      <w:pPr>
        <w:rPr>
          <w:b/>
        </w:rPr>
      </w:pPr>
      <w:r w:rsidRPr="001C2C12">
        <w:br w:type="page"/>
      </w:r>
      <w:r w:rsidRPr="00427F02">
        <w:rPr>
          <w:b/>
        </w:rPr>
        <w:lastRenderedPageBreak/>
        <w:t xml:space="preserve">APPENDIX 3 – Template </w:t>
      </w:r>
      <w:r w:rsidR="00402AE8" w:rsidRPr="00427F02">
        <w:rPr>
          <w:b/>
        </w:rPr>
        <w:t>l</w:t>
      </w:r>
      <w:r w:rsidRPr="00427F02">
        <w:rPr>
          <w:b/>
        </w:rPr>
        <w:t xml:space="preserve">etter to invite a </w:t>
      </w:r>
      <w:r w:rsidR="00402AE8" w:rsidRPr="00427F02">
        <w:rPr>
          <w:b/>
        </w:rPr>
        <w:t>corporate</w:t>
      </w:r>
      <w:r w:rsidRPr="00427F02">
        <w:rPr>
          <w:b/>
        </w:rPr>
        <w:t xml:space="preserve"> entity to interview</w:t>
      </w:r>
    </w:p>
    <w:p w14:paraId="019C739E" w14:textId="77777777" w:rsidR="00E01658" w:rsidRPr="00D074D7" w:rsidRDefault="00D074D7" w:rsidP="00D074D7">
      <w:pPr>
        <w:jc w:val="center"/>
        <w:rPr>
          <w:b/>
          <w:color w:val="FF0000"/>
        </w:rPr>
      </w:pPr>
      <w:r w:rsidRPr="00D074D7">
        <w:rPr>
          <w:b/>
          <w:color w:val="FF0000"/>
        </w:rPr>
        <w:t>(Use ONR letter headed paper)</w:t>
      </w:r>
    </w:p>
    <w:tbl>
      <w:tblPr>
        <w:tblW w:w="0" w:type="auto"/>
        <w:tblCellMar>
          <w:top w:w="58" w:type="dxa"/>
          <w:left w:w="58" w:type="dxa"/>
          <w:bottom w:w="58" w:type="dxa"/>
          <w:right w:w="58" w:type="dxa"/>
        </w:tblCellMar>
        <w:tblLook w:val="01E0" w:firstRow="1" w:lastRow="1" w:firstColumn="1" w:lastColumn="1" w:noHBand="0" w:noVBand="0"/>
      </w:tblPr>
      <w:tblGrid>
        <w:gridCol w:w="6538"/>
        <w:gridCol w:w="2762"/>
      </w:tblGrid>
      <w:tr w:rsidR="0068654C" w:rsidRPr="00D074D7" w14:paraId="1D5FE5D5" w14:textId="77777777" w:rsidTr="0068654C">
        <w:trPr>
          <w:trHeight w:val="773"/>
        </w:trPr>
        <w:tc>
          <w:tcPr>
            <w:tcW w:w="6538" w:type="dxa"/>
            <w:shd w:val="clear" w:color="auto" w:fill="auto"/>
          </w:tcPr>
          <w:p w14:paraId="6A0C31C3" w14:textId="77777777" w:rsidR="0068654C" w:rsidRPr="00D074D7" w:rsidRDefault="0068654C" w:rsidP="0068654C">
            <w:pPr>
              <w:rPr>
                <w:szCs w:val="22"/>
              </w:rPr>
            </w:pPr>
          </w:p>
        </w:tc>
        <w:tc>
          <w:tcPr>
            <w:tcW w:w="2762" w:type="dxa"/>
            <w:vMerge w:val="restart"/>
            <w:shd w:val="clear" w:color="auto" w:fill="auto"/>
          </w:tcPr>
          <w:p w14:paraId="70DDFCF9" w14:textId="77777777" w:rsidR="0068654C" w:rsidRPr="00D074D7" w:rsidRDefault="0068654C" w:rsidP="0068654C">
            <w:pPr>
              <w:rPr>
                <w:szCs w:val="22"/>
              </w:rPr>
            </w:pPr>
            <w:r w:rsidRPr="00D074D7">
              <w:rPr>
                <w:szCs w:val="22"/>
              </w:rPr>
              <w:t>[Name]</w:t>
            </w:r>
          </w:p>
          <w:p w14:paraId="0F3EE0C9" w14:textId="77777777" w:rsidR="0068654C" w:rsidRPr="00D074D7" w:rsidRDefault="0068654C" w:rsidP="0068654C">
            <w:pPr>
              <w:rPr>
                <w:szCs w:val="22"/>
              </w:rPr>
            </w:pPr>
            <w:r w:rsidRPr="00D074D7">
              <w:rPr>
                <w:szCs w:val="22"/>
              </w:rPr>
              <w:t>[Title]</w:t>
            </w:r>
          </w:p>
          <w:p w14:paraId="7A422A1A" w14:textId="77777777" w:rsidR="0068654C" w:rsidRPr="00D074D7" w:rsidRDefault="0068654C" w:rsidP="0068654C">
            <w:pPr>
              <w:rPr>
                <w:szCs w:val="22"/>
              </w:rPr>
            </w:pPr>
            <w:r w:rsidRPr="00D074D7">
              <w:rPr>
                <w:szCs w:val="22"/>
              </w:rPr>
              <w:t>[Address line 1]</w:t>
            </w:r>
          </w:p>
          <w:p w14:paraId="5756124B" w14:textId="77777777" w:rsidR="0068654C" w:rsidRPr="00D074D7" w:rsidRDefault="0068654C" w:rsidP="0068654C">
            <w:pPr>
              <w:rPr>
                <w:szCs w:val="22"/>
              </w:rPr>
            </w:pPr>
            <w:r w:rsidRPr="00D074D7">
              <w:rPr>
                <w:szCs w:val="22"/>
              </w:rPr>
              <w:t>[Address line 2]</w:t>
            </w:r>
          </w:p>
          <w:p w14:paraId="1C08A1FD" w14:textId="77777777" w:rsidR="0068654C" w:rsidRPr="00D074D7" w:rsidRDefault="0068654C" w:rsidP="0068654C">
            <w:pPr>
              <w:rPr>
                <w:szCs w:val="22"/>
              </w:rPr>
            </w:pPr>
            <w:r w:rsidRPr="00D074D7">
              <w:rPr>
                <w:szCs w:val="22"/>
              </w:rPr>
              <w:t>[Address line 3]</w:t>
            </w:r>
          </w:p>
          <w:p w14:paraId="123B191E" w14:textId="77777777" w:rsidR="0068654C" w:rsidRPr="00D074D7" w:rsidRDefault="0068654C" w:rsidP="0068654C">
            <w:pPr>
              <w:rPr>
                <w:szCs w:val="22"/>
              </w:rPr>
            </w:pPr>
            <w:r w:rsidRPr="00D074D7">
              <w:rPr>
                <w:szCs w:val="22"/>
              </w:rPr>
              <w:t>[Address line 4]</w:t>
            </w:r>
          </w:p>
          <w:p w14:paraId="003F3BD7" w14:textId="77777777" w:rsidR="0068654C" w:rsidRPr="00D074D7" w:rsidRDefault="0068654C" w:rsidP="0068654C">
            <w:pPr>
              <w:rPr>
                <w:szCs w:val="22"/>
              </w:rPr>
            </w:pPr>
            <w:r w:rsidRPr="00D074D7">
              <w:rPr>
                <w:szCs w:val="22"/>
              </w:rPr>
              <w:t>[Postcode]</w:t>
            </w:r>
          </w:p>
          <w:p w14:paraId="14E75377" w14:textId="77777777" w:rsidR="0068654C" w:rsidRPr="00D074D7" w:rsidRDefault="0068654C" w:rsidP="0068654C">
            <w:pPr>
              <w:rPr>
                <w:szCs w:val="22"/>
              </w:rPr>
            </w:pPr>
          </w:p>
          <w:p w14:paraId="0979C418" w14:textId="77777777" w:rsidR="0068654C" w:rsidRPr="00D074D7" w:rsidRDefault="0068654C" w:rsidP="0068654C">
            <w:pPr>
              <w:rPr>
                <w:szCs w:val="22"/>
              </w:rPr>
            </w:pPr>
            <w:r w:rsidRPr="00D074D7">
              <w:rPr>
                <w:szCs w:val="22"/>
              </w:rPr>
              <w:t xml:space="preserve">Telephone: [  </w:t>
            </w:r>
            <w:proofErr w:type="gramStart"/>
            <w:r w:rsidRPr="00D074D7">
              <w:rPr>
                <w:szCs w:val="22"/>
              </w:rPr>
              <w:t xml:space="preserve">  ]</w:t>
            </w:r>
            <w:proofErr w:type="gramEnd"/>
          </w:p>
          <w:p w14:paraId="1F646F9E" w14:textId="77777777" w:rsidR="0068654C" w:rsidRPr="00D074D7" w:rsidRDefault="0068654C" w:rsidP="0068654C">
            <w:pPr>
              <w:rPr>
                <w:szCs w:val="22"/>
              </w:rPr>
            </w:pPr>
            <w:r w:rsidRPr="00D074D7">
              <w:rPr>
                <w:szCs w:val="22"/>
              </w:rPr>
              <w:t xml:space="preserve">Email: [   </w:t>
            </w:r>
            <w:proofErr w:type="gramStart"/>
            <w:r w:rsidRPr="00D074D7">
              <w:rPr>
                <w:szCs w:val="22"/>
              </w:rPr>
              <w:t xml:space="preserve">  ]</w:t>
            </w:r>
            <w:proofErr w:type="gramEnd"/>
          </w:p>
          <w:p w14:paraId="6B1AD472" w14:textId="77777777" w:rsidR="0068654C" w:rsidRPr="00D074D7" w:rsidRDefault="0068654C" w:rsidP="0068654C">
            <w:pPr>
              <w:rPr>
                <w:szCs w:val="22"/>
              </w:rPr>
            </w:pPr>
          </w:p>
          <w:p w14:paraId="7F5519D6" w14:textId="77777777" w:rsidR="0068654C" w:rsidRPr="00D074D7" w:rsidRDefault="0068654C" w:rsidP="0068654C">
            <w:pPr>
              <w:rPr>
                <w:szCs w:val="22"/>
              </w:rPr>
            </w:pPr>
            <w:r w:rsidRPr="00D074D7">
              <w:rPr>
                <w:szCs w:val="22"/>
              </w:rPr>
              <w:t xml:space="preserve">Our </w:t>
            </w:r>
            <w:proofErr w:type="gramStart"/>
            <w:r w:rsidRPr="00D074D7">
              <w:rPr>
                <w:szCs w:val="22"/>
              </w:rPr>
              <w:t>Reference:[</w:t>
            </w:r>
            <w:proofErr w:type="gramEnd"/>
            <w:r w:rsidRPr="00D074D7">
              <w:rPr>
                <w:szCs w:val="22"/>
              </w:rPr>
              <w:t xml:space="preserve">     ] </w:t>
            </w:r>
          </w:p>
          <w:p w14:paraId="7ECD33D4" w14:textId="77777777" w:rsidR="0068654C" w:rsidRPr="00D074D7" w:rsidRDefault="0068654C" w:rsidP="0068654C">
            <w:pPr>
              <w:rPr>
                <w:szCs w:val="22"/>
              </w:rPr>
            </w:pPr>
            <w:r w:rsidRPr="00D074D7">
              <w:rPr>
                <w:szCs w:val="22"/>
              </w:rPr>
              <w:t xml:space="preserve">Unique </w:t>
            </w:r>
            <w:proofErr w:type="gramStart"/>
            <w:r w:rsidRPr="00D074D7">
              <w:rPr>
                <w:szCs w:val="22"/>
              </w:rPr>
              <w:t>Number:[</w:t>
            </w:r>
            <w:proofErr w:type="gramEnd"/>
            <w:r w:rsidRPr="00D074D7">
              <w:rPr>
                <w:szCs w:val="22"/>
              </w:rPr>
              <w:t xml:space="preserve">     ] </w:t>
            </w:r>
          </w:p>
          <w:p w14:paraId="214A4D6B" w14:textId="77777777" w:rsidR="0068654C" w:rsidRPr="00D074D7" w:rsidRDefault="0068654C" w:rsidP="0068654C">
            <w:pPr>
              <w:rPr>
                <w:szCs w:val="22"/>
              </w:rPr>
            </w:pPr>
          </w:p>
          <w:p w14:paraId="3A88D006" w14:textId="77777777" w:rsidR="0068654C" w:rsidRPr="00D074D7" w:rsidRDefault="0068654C" w:rsidP="0068654C">
            <w:pPr>
              <w:rPr>
                <w:szCs w:val="22"/>
              </w:rPr>
            </w:pPr>
            <w:r w:rsidRPr="00D074D7">
              <w:rPr>
                <w:szCs w:val="22"/>
              </w:rPr>
              <w:t xml:space="preserve">Your </w:t>
            </w:r>
            <w:proofErr w:type="gramStart"/>
            <w:r w:rsidRPr="00D074D7">
              <w:rPr>
                <w:szCs w:val="22"/>
              </w:rPr>
              <w:t>Reference:[</w:t>
            </w:r>
            <w:proofErr w:type="gramEnd"/>
            <w:r w:rsidRPr="00D074D7">
              <w:rPr>
                <w:szCs w:val="22"/>
              </w:rPr>
              <w:t xml:space="preserve">     ] </w:t>
            </w:r>
          </w:p>
          <w:p w14:paraId="2DA13AF7" w14:textId="77777777" w:rsidR="0068654C" w:rsidRPr="00D074D7" w:rsidRDefault="0068654C" w:rsidP="0068654C">
            <w:pPr>
              <w:rPr>
                <w:szCs w:val="22"/>
              </w:rPr>
            </w:pPr>
            <w:r w:rsidRPr="00D074D7">
              <w:rPr>
                <w:szCs w:val="22"/>
              </w:rPr>
              <w:t xml:space="preserve">Unique </w:t>
            </w:r>
            <w:proofErr w:type="gramStart"/>
            <w:r w:rsidRPr="00D074D7">
              <w:rPr>
                <w:szCs w:val="22"/>
              </w:rPr>
              <w:t>Number:[</w:t>
            </w:r>
            <w:proofErr w:type="gramEnd"/>
            <w:r w:rsidRPr="00D074D7">
              <w:rPr>
                <w:szCs w:val="22"/>
              </w:rPr>
              <w:t xml:space="preserve">     ] </w:t>
            </w:r>
          </w:p>
        </w:tc>
      </w:tr>
      <w:tr w:rsidR="0068654C" w:rsidRPr="00D074D7" w14:paraId="429D5BED" w14:textId="77777777" w:rsidTr="0068654C">
        <w:trPr>
          <w:trHeight w:val="772"/>
        </w:trPr>
        <w:tc>
          <w:tcPr>
            <w:tcW w:w="6538" w:type="dxa"/>
            <w:shd w:val="clear" w:color="auto" w:fill="auto"/>
          </w:tcPr>
          <w:p w14:paraId="0300D687" w14:textId="77777777" w:rsidR="0068654C" w:rsidRPr="00D074D7" w:rsidRDefault="0068654C" w:rsidP="0068654C">
            <w:pPr>
              <w:rPr>
                <w:szCs w:val="22"/>
              </w:rPr>
            </w:pPr>
            <w:r w:rsidRPr="00D074D7">
              <w:rPr>
                <w:szCs w:val="22"/>
              </w:rPr>
              <w:t>[Addressee]</w:t>
            </w:r>
          </w:p>
          <w:p w14:paraId="5232AAB8" w14:textId="77777777" w:rsidR="0068654C" w:rsidRPr="00D074D7" w:rsidRDefault="0068654C" w:rsidP="0068654C">
            <w:pPr>
              <w:rPr>
                <w:szCs w:val="22"/>
              </w:rPr>
            </w:pPr>
            <w:r w:rsidRPr="00D074D7">
              <w:rPr>
                <w:szCs w:val="22"/>
              </w:rPr>
              <w:t>[Address]</w:t>
            </w:r>
          </w:p>
        </w:tc>
        <w:tc>
          <w:tcPr>
            <w:tcW w:w="2762" w:type="dxa"/>
            <w:vMerge/>
            <w:shd w:val="clear" w:color="auto" w:fill="auto"/>
          </w:tcPr>
          <w:p w14:paraId="7CCC3F17" w14:textId="77777777" w:rsidR="0068654C" w:rsidRPr="00D074D7" w:rsidRDefault="0068654C" w:rsidP="0068654C">
            <w:pPr>
              <w:rPr>
                <w:szCs w:val="22"/>
              </w:rPr>
            </w:pPr>
          </w:p>
        </w:tc>
      </w:tr>
      <w:tr w:rsidR="0068654C" w:rsidRPr="00D074D7" w14:paraId="5F4B40A0" w14:textId="77777777" w:rsidTr="0068654C">
        <w:tc>
          <w:tcPr>
            <w:tcW w:w="6538" w:type="dxa"/>
            <w:shd w:val="clear" w:color="auto" w:fill="auto"/>
          </w:tcPr>
          <w:p w14:paraId="29DC75A1" w14:textId="77777777" w:rsidR="0068654C" w:rsidRPr="00D074D7" w:rsidRDefault="0068654C" w:rsidP="0068654C">
            <w:pPr>
              <w:rPr>
                <w:szCs w:val="22"/>
              </w:rPr>
            </w:pPr>
            <w:r w:rsidRPr="00D074D7">
              <w:rPr>
                <w:szCs w:val="22"/>
              </w:rPr>
              <w:t xml:space="preserve">Date: </w:t>
            </w:r>
          </w:p>
        </w:tc>
        <w:tc>
          <w:tcPr>
            <w:tcW w:w="2762" w:type="dxa"/>
            <w:shd w:val="clear" w:color="auto" w:fill="auto"/>
          </w:tcPr>
          <w:p w14:paraId="099975DC" w14:textId="77777777" w:rsidR="0068654C" w:rsidRPr="00D074D7" w:rsidRDefault="0068654C" w:rsidP="0068654C">
            <w:pPr>
              <w:rPr>
                <w:szCs w:val="22"/>
              </w:rPr>
            </w:pPr>
          </w:p>
        </w:tc>
      </w:tr>
    </w:tbl>
    <w:p w14:paraId="64FB33CE" w14:textId="77777777" w:rsidR="0068654C" w:rsidRPr="00D074D7" w:rsidRDefault="0068654C" w:rsidP="0068654C">
      <w:pPr>
        <w:rPr>
          <w:szCs w:val="22"/>
        </w:rPr>
      </w:pPr>
    </w:p>
    <w:p w14:paraId="13FF6571" w14:textId="77777777" w:rsidR="0068654C" w:rsidRPr="00D074D7" w:rsidRDefault="0068654C" w:rsidP="0068654C">
      <w:pPr>
        <w:rPr>
          <w:szCs w:val="22"/>
        </w:rPr>
      </w:pPr>
    </w:p>
    <w:p w14:paraId="47E36057" w14:textId="77777777" w:rsidR="0068654C" w:rsidRPr="00D074D7" w:rsidRDefault="0068654C" w:rsidP="0068654C">
      <w:pPr>
        <w:spacing w:after="120"/>
        <w:rPr>
          <w:rFonts w:cs="Arial"/>
          <w:szCs w:val="22"/>
        </w:rPr>
      </w:pPr>
      <w:r w:rsidRPr="00D074D7">
        <w:rPr>
          <w:rFonts w:cs="Arial"/>
          <w:szCs w:val="22"/>
        </w:rPr>
        <w:t>Dear Sir / Mr / Mrs / Ms</w:t>
      </w:r>
    </w:p>
    <w:p w14:paraId="78F3BD99" w14:textId="77777777" w:rsidR="00E01658" w:rsidRPr="00D074D7" w:rsidRDefault="00E01658" w:rsidP="00E01658">
      <w:pPr>
        <w:rPr>
          <w:szCs w:val="22"/>
        </w:rPr>
      </w:pPr>
    </w:p>
    <w:p w14:paraId="39BD882D" w14:textId="77777777" w:rsidR="00E01658" w:rsidRPr="00D074D7" w:rsidRDefault="00387E96" w:rsidP="00E01658">
      <w:pPr>
        <w:rPr>
          <w:b/>
          <w:bCs/>
          <w:szCs w:val="22"/>
        </w:rPr>
      </w:pPr>
      <w:r w:rsidRPr="00387E96">
        <w:rPr>
          <w:b/>
          <w:bCs/>
          <w:szCs w:val="22"/>
        </w:rPr>
        <w:t xml:space="preserve">The Police and Criminal Evidence Act 1984 (PACE)/Criminal Justice (Scotland) Act 2016 </w:t>
      </w:r>
      <w:r w:rsidRPr="00387E96">
        <w:rPr>
          <w:b/>
          <w:bCs/>
          <w:sz w:val="16"/>
          <w:szCs w:val="16"/>
        </w:rPr>
        <w:t>delete as appropriate</w:t>
      </w:r>
      <w:r w:rsidR="00E01658" w:rsidRPr="00D074D7">
        <w:rPr>
          <w:b/>
          <w:bCs/>
          <w:szCs w:val="22"/>
        </w:rPr>
        <w:br/>
        <w:t xml:space="preserve">Investigation into </w:t>
      </w:r>
      <w:proofErr w:type="gramStart"/>
      <w:r w:rsidR="00E01658" w:rsidRPr="00D074D7">
        <w:rPr>
          <w:i/>
          <w:iCs/>
          <w:szCs w:val="22"/>
        </w:rPr>
        <w:t>....</w:t>
      </w:r>
      <w:r w:rsidR="00E01658" w:rsidRPr="00D074D7">
        <w:rPr>
          <w:szCs w:val="22"/>
        </w:rPr>
        <w:t>[</w:t>
      </w:r>
      <w:proofErr w:type="gramEnd"/>
      <w:r w:rsidR="00E01658" w:rsidRPr="00D074D7">
        <w:rPr>
          <w:i/>
          <w:iCs/>
          <w:szCs w:val="22"/>
        </w:rPr>
        <w:t>details of investigation</w:t>
      </w:r>
      <w:r w:rsidR="00E01658" w:rsidRPr="00D074D7">
        <w:rPr>
          <w:szCs w:val="22"/>
        </w:rPr>
        <w:t>]…..</w:t>
      </w:r>
      <w:r w:rsidR="00E01658" w:rsidRPr="00D074D7">
        <w:rPr>
          <w:b/>
          <w:bCs/>
          <w:szCs w:val="22"/>
        </w:rPr>
        <w:t xml:space="preserve"> </w:t>
      </w:r>
    </w:p>
    <w:p w14:paraId="371DE7E9" w14:textId="77777777" w:rsidR="00E01658" w:rsidRPr="00D074D7" w:rsidRDefault="00E01658" w:rsidP="00E01658">
      <w:pPr>
        <w:rPr>
          <w:szCs w:val="22"/>
        </w:rPr>
      </w:pPr>
    </w:p>
    <w:p w14:paraId="1156AD04" w14:textId="77777777" w:rsidR="00E01658" w:rsidRPr="00D074D7" w:rsidRDefault="00E01658" w:rsidP="00E01658">
      <w:pPr>
        <w:rPr>
          <w:szCs w:val="22"/>
        </w:rPr>
      </w:pPr>
      <w:r w:rsidRPr="00D074D7">
        <w:rPr>
          <w:szCs w:val="22"/>
        </w:rPr>
        <w:t>As part of my investigation into the above matter, I am writing to invite you to nominate a representative of [</w:t>
      </w:r>
      <w:r w:rsidRPr="00D074D7">
        <w:rPr>
          <w:i/>
          <w:iCs/>
          <w:szCs w:val="22"/>
        </w:rPr>
        <w:t>name of the body corporate</w:t>
      </w:r>
      <w:r w:rsidRPr="00D074D7">
        <w:rPr>
          <w:szCs w:val="22"/>
        </w:rPr>
        <w:t xml:space="preserve">] to attend the Office for Nuclear Regulation’s office at the address below </w:t>
      </w:r>
      <w:proofErr w:type="gramStart"/>
      <w:r w:rsidRPr="00D074D7">
        <w:rPr>
          <w:szCs w:val="22"/>
        </w:rPr>
        <w:t>on  [</w:t>
      </w:r>
      <w:proofErr w:type="gramEnd"/>
      <w:r w:rsidRPr="00D074D7">
        <w:rPr>
          <w:i/>
          <w:iCs/>
          <w:szCs w:val="22"/>
        </w:rPr>
        <w:t>insert two dates no more than 4 weeks from the date of this letter</w:t>
      </w:r>
      <w:r w:rsidRPr="00D074D7">
        <w:rPr>
          <w:szCs w:val="22"/>
        </w:rPr>
        <w:t xml:space="preserve">] to be interviewed under caution. This interview will be audio recorded and conducted in accordance with </w:t>
      </w:r>
      <w:r w:rsidR="00387E96">
        <w:rPr>
          <w:szCs w:val="22"/>
        </w:rPr>
        <w:t>the relevant legislation and Codes</w:t>
      </w:r>
      <w:r w:rsidRPr="00D074D7">
        <w:rPr>
          <w:szCs w:val="22"/>
        </w:rPr>
        <w:t xml:space="preserve">. </w:t>
      </w:r>
    </w:p>
    <w:p w14:paraId="45381DFD" w14:textId="77777777" w:rsidR="00E01658" w:rsidRPr="00D074D7" w:rsidRDefault="00E01658" w:rsidP="00E01658">
      <w:pPr>
        <w:rPr>
          <w:szCs w:val="22"/>
        </w:rPr>
      </w:pPr>
    </w:p>
    <w:p w14:paraId="14E33AD8" w14:textId="77777777" w:rsidR="00E01658" w:rsidRPr="00D074D7" w:rsidRDefault="00E01658" w:rsidP="00E01658">
      <w:pPr>
        <w:rPr>
          <w:szCs w:val="22"/>
        </w:rPr>
      </w:pPr>
      <w:r w:rsidRPr="00D074D7">
        <w:rPr>
          <w:szCs w:val="22"/>
        </w:rPr>
        <w:t>This interview will be conducted on the basis that the person attending is authorised to speak on behalf of [</w:t>
      </w:r>
      <w:r w:rsidRPr="00D074D7">
        <w:rPr>
          <w:i/>
          <w:iCs/>
          <w:szCs w:val="22"/>
        </w:rPr>
        <w:t>name of body corporate</w:t>
      </w:r>
      <w:r w:rsidRPr="00D074D7">
        <w:rPr>
          <w:szCs w:val="22"/>
        </w:rPr>
        <w:t>] and s/he should therefore bring a formal letter signed by another senior officer of [</w:t>
      </w:r>
      <w:r w:rsidRPr="00D074D7">
        <w:rPr>
          <w:i/>
          <w:iCs/>
          <w:szCs w:val="22"/>
        </w:rPr>
        <w:t>name of the body corporate</w:t>
      </w:r>
      <w:r w:rsidRPr="00D074D7">
        <w:rPr>
          <w:szCs w:val="22"/>
        </w:rPr>
        <w:t>] confirming this authorisation.</w:t>
      </w:r>
    </w:p>
    <w:p w14:paraId="6C553254" w14:textId="77777777" w:rsidR="00E01658" w:rsidRPr="00D074D7" w:rsidRDefault="00E01658" w:rsidP="00E01658">
      <w:pPr>
        <w:rPr>
          <w:szCs w:val="22"/>
        </w:rPr>
      </w:pPr>
    </w:p>
    <w:p w14:paraId="1B78B3C2" w14:textId="77777777" w:rsidR="00E01658" w:rsidRPr="00D074D7" w:rsidRDefault="00E01658" w:rsidP="00E01658">
      <w:pPr>
        <w:rPr>
          <w:szCs w:val="22"/>
        </w:rPr>
      </w:pPr>
      <w:r w:rsidRPr="00D074D7">
        <w:rPr>
          <w:szCs w:val="22"/>
        </w:rPr>
        <w:t>The purpose of this interview is to investigate the above matter including any possible breaches of legislation by [</w:t>
      </w:r>
      <w:r w:rsidRPr="00D074D7">
        <w:rPr>
          <w:i/>
          <w:iCs/>
          <w:szCs w:val="22"/>
        </w:rPr>
        <w:t>name of body corporate</w:t>
      </w:r>
      <w:r w:rsidRPr="00D074D7">
        <w:rPr>
          <w:szCs w:val="22"/>
        </w:rPr>
        <w:t>]. The interview will be conducted under caution.  This will be given to the attendee in his/her capacity as authorised representative of [</w:t>
      </w:r>
      <w:r w:rsidRPr="00D074D7">
        <w:rPr>
          <w:i/>
          <w:iCs/>
          <w:szCs w:val="22"/>
        </w:rPr>
        <w:t>name of the body corporate</w:t>
      </w:r>
      <w:r w:rsidRPr="00D074D7">
        <w:rPr>
          <w:szCs w:val="22"/>
        </w:rPr>
        <w:t xml:space="preserve">] and not as an individual. The attendee will not be interviewed in his/her personal capacity and any answers given during the interview will not therefore be used against him/her as an </w:t>
      </w:r>
      <w:proofErr w:type="gramStart"/>
      <w:r w:rsidRPr="00D074D7">
        <w:rPr>
          <w:szCs w:val="22"/>
        </w:rPr>
        <w:t>individual, but</w:t>
      </w:r>
      <w:proofErr w:type="gramEnd"/>
      <w:r w:rsidRPr="00D074D7">
        <w:rPr>
          <w:szCs w:val="22"/>
        </w:rPr>
        <w:t xml:space="preserve"> may be used in evidence against [</w:t>
      </w:r>
      <w:r w:rsidRPr="00D074D7">
        <w:rPr>
          <w:i/>
          <w:iCs/>
          <w:szCs w:val="22"/>
        </w:rPr>
        <w:t>name of body corporate</w:t>
      </w:r>
      <w:r w:rsidRPr="00D074D7">
        <w:rPr>
          <w:szCs w:val="22"/>
        </w:rPr>
        <w:t>].</w:t>
      </w:r>
    </w:p>
    <w:p w14:paraId="0094DB0B" w14:textId="77777777" w:rsidR="00E01658" w:rsidRPr="00D074D7" w:rsidRDefault="00E01658" w:rsidP="00E01658">
      <w:pPr>
        <w:rPr>
          <w:szCs w:val="22"/>
        </w:rPr>
      </w:pPr>
    </w:p>
    <w:p w14:paraId="69A3E5FF" w14:textId="77777777" w:rsidR="00E01658" w:rsidRPr="00D074D7" w:rsidRDefault="00E01658" w:rsidP="00E01658">
      <w:pPr>
        <w:rPr>
          <w:szCs w:val="22"/>
        </w:rPr>
      </w:pPr>
      <w:r w:rsidRPr="00D074D7">
        <w:rPr>
          <w:szCs w:val="22"/>
        </w:rPr>
        <w:t>The Appendix to this letter outlines the areas the interview will cover [and lists the documentation enclosed with this letter as pre-interview disclosure].</w:t>
      </w:r>
    </w:p>
    <w:p w14:paraId="4FBB5FE6" w14:textId="77777777" w:rsidR="00E01658" w:rsidRPr="00D074D7" w:rsidRDefault="00E01658" w:rsidP="00E01658">
      <w:pPr>
        <w:rPr>
          <w:szCs w:val="22"/>
        </w:rPr>
      </w:pPr>
    </w:p>
    <w:p w14:paraId="625ACDF3" w14:textId="77777777" w:rsidR="00E01658" w:rsidRPr="00D074D7" w:rsidRDefault="00E01658" w:rsidP="00E01658">
      <w:pPr>
        <w:rPr>
          <w:szCs w:val="22"/>
        </w:rPr>
      </w:pPr>
      <w:r w:rsidRPr="00D074D7">
        <w:rPr>
          <w:szCs w:val="22"/>
        </w:rPr>
        <w:t>[</w:t>
      </w:r>
      <w:r w:rsidRPr="00D074D7">
        <w:rPr>
          <w:i/>
          <w:iCs/>
          <w:szCs w:val="22"/>
        </w:rPr>
        <w:t>Name of body corporate</w:t>
      </w:r>
      <w:r w:rsidRPr="00D074D7">
        <w:rPr>
          <w:szCs w:val="22"/>
        </w:rPr>
        <w:t>] does not have to attend this interview and you are strongly advised to seek legal advice about the contents of this letter and [</w:t>
      </w:r>
      <w:r w:rsidRPr="00D074D7">
        <w:rPr>
          <w:i/>
          <w:iCs/>
          <w:szCs w:val="22"/>
        </w:rPr>
        <w:t>name of body corporate</w:t>
      </w:r>
      <w:r w:rsidRPr="00D074D7">
        <w:rPr>
          <w:szCs w:val="22"/>
        </w:rPr>
        <w:t xml:space="preserve">]’s rights under </w:t>
      </w:r>
      <w:r w:rsidR="00387E96" w:rsidRPr="00387E96">
        <w:rPr>
          <w:i/>
          <w:szCs w:val="22"/>
        </w:rPr>
        <w:t>[</w:t>
      </w:r>
      <w:r w:rsidR="00387E96">
        <w:rPr>
          <w:i/>
          <w:szCs w:val="22"/>
        </w:rPr>
        <w:t>insert as appropriate</w:t>
      </w:r>
      <w:r w:rsidR="00387E96">
        <w:rPr>
          <w:szCs w:val="22"/>
        </w:rPr>
        <w:t>]</w:t>
      </w:r>
      <w:r w:rsidRPr="00387E96">
        <w:rPr>
          <w:i/>
          <w:szCs w:val="22"/>
        </w:rPr>
        <w:t>.</w:t>
      </w:r>
      <w:r w:rsidRPr="00D074D7">
        <w:rPr>
          <w:szCs w:val="22"/>
        </w:rPr>
        <w:t xml:space="preserve"> You are further advised to have [</w:t>
      </w:r>
      <w:r w:rsidRPr="00D074D7">
        <w:rPr>
          <w:i/>
          <w:iCs/>
          <w:szCs w:val="22"/>
        </w:rPr>
        <w:t>name of the body corporate</w:t>
      </w:r>
      <w:r w:rsidRPr="00D074D7">
        <w:rPr>
          <w:szCs w:val="22"/>
        </w:rPr>
        <w:t xml:space="preserve">]'s legal adviser present at the interview. </w:t>
      </w:r>
    </w:p>
    <w:p w14:paraId="509BC37C" w14:textId="77777777" w:rsidR="00E01658" w:rsidRPr="00D074D7" w:rsidRDefault="00E01658" w:rsidP="00E01658">
      <w:pPr>
        <w:rPr>
          <w:szCs w:val="22"/>
        </w:rPr>
      </w:pPr>
    </w:p>
    <w:p w14:paraId="02A74E95" w14:textId="77777777" w:rsidR="00E01658" w:rsidRPr="00D074D7" w:rsidRDefault="00E01658" w:rsidP="00E01658">
      <w:pPr>
        <w:rPr>
          <w:szCs w:val="22"/>
        </w:rPr>
      </w:pPr>
      <w:r w:rsidRPr="00D074D7">
        <w:rPr>
          <w:szCs w:val="22"/>
        </w:rPr>
        <w:lastRenderedPageBreak/>
        <w:t>I look forward to hearing from you within [</w:t>
      </w:r>
      <w:r w:rsidRPr="00D074D7">
        <w:rPr>
          <w:i/>
          <w:iCs/>
          <w:szCs w:val="22"/>
        </w:rPr>
        <w:t>XX</w:t>
      </w:r>
      <w:r w:rsidRPr="00D074D7">
        <w:rPr>
          <w:szCs w:val="22"/>
        </w:rPr>
        <w:t xml:space="preserve">] days in relation to (a) whether a nominated person will attend an interview under caution; (b) the identity of the nominated person; and (c) </w:t>
      </w:r>
      <w:r w:rsidRPr="00D074D7">
        <w:rPr>
          <w:iCs/>
          <w:szCs w:val="22"/>
        </w:rPr>
        <w:t>which of the two proposed dates is acceptable</w:t>
      </w:r>
      <w:r w:rsidRPr="00D074D7">
        <w:rPr>
          <w:szCs w:val="22"/>
        </w:rPr>
        <w:t xml:space="preserve">. If you are unable to attend any of </w:t>
      </w:r>
      <w:proofErr w:type="gramStart"/>
      <w:r w:rsidRPr="00D074D7">
        <w:rPr>
          <w:szCs w:val="22"/>
        </w:rPr>
        <w:t>them</w:t>
      </w:r>
      <w:proofErr w:type="gramEnd"/>
      <w:r w:rsidRPr="00D074D7">
        <w:rPr>
          <w:szCs w:val="22"/>
        </w:rPr>
        <w:t xml:space="preserve"> please suggest an alternative date before [</w:t>
      </w:r>
      <w:r w:rsidRPr="00D074D7">
        <w:rPr>
          <w:i/>
          <w:szCs w:val="22"/>
        </w:rPr>
        <w:t>insert a date – 6 weeks from the date of this letter</w:t>
      </w:r>
      <w:r w:rsidRPr="00D074D7">
        <w:rPr>
          <w:szCs w:val="22"/>
        </w:rPr>
        <w:t>]. Alternatively, if you do not wish to attend an interview, please let me know by the same date. If I do not hear from you by [</w:t>
      </w:r>
      <w:r w:rsidRPr="00D074D7">
        <w:rPr>
          <w:i/>
          <w:iCs/>
          <w:szCs w:val="22"/>
        </w:rPr>
        <w:t>XX</w:t>
      </w:r>
      <w:r w:rsidRPr="00D074D7">
        <w:rPr>
          <w:szCs w:val="22"/>
        </w:rPr>
        <w:t>], I will assume that you have declined this invitation to nominate a representative to attend an interview under caution and will progress the investigation accordingly.</w:t>
      </w:r>
    </w:p>
    <w:p w14:paraId="677E5822" w14:textId="77777777" w:rsidR="00E01658" w:rsidRPr="00D074D7" w:rsidRDefault="00E01658" w:rsidP="00E01658">
      <w:pPr>
        <w:rPr>
          <w:szCs w:val="22"/>
        </w:rPr>
      </w:pPr>
    </w:p>
    <w:p w14:paraId="7507FE6C" w14:textId="77777777" w:rsidR="0068654C" w:rsidRPr="00D074D7" w:rsidRDefault="0068654C" w:rsidP="0068654C">
      <w:pPr>
        <w:spacing w:after="120"/>
        <w:rPr>
          <w:rFonts w:cs="Arial"/>
          <w:szCs w:val="22"/>
        </w:rPr>
      </w:pPr>
      <w:r w:rsidRPr="00D074D7">
        <w:rPr>
          <w:rFonts w:cs="Arial"/>
          <w:szCs w:val="22"/>
        </w:rPr>
        <w:t>Yours faithfully / sincerely</w:t>
      </w:r>
    </w:p>
    <w:p w14:paraId="4EB85F8F" w14:textId="77777777" w:rsidR="0068654C" w:rsidRPr="00D074D7" w:rsidRDefault="0068654C" w:rsidP="0068654C">
      <w:pPr>
        <w:rPr>
          <w:rFonts w:cs="Arial"/>
          <w:b/>
          <w:szCs w:val="22"/>
        </w:rPr>
      </w:pPr>
    </w:p>
    <w:p w14:paraId="1236C133" w14:textId="77777777" w:rsidR="0068654C" w:rsidRPr="00D074D7" w:rsidRDefault="0068654C" w:rsidP="0068654C">
      <w:pPr>
        <w:rPr>
          <w:rFonts w:cs="Arial"/>
          <w:b/>
          <w:szCs w:val="22"/>
        </w:rPr>
      </w:pPr>
      <w:r w:rsidRPr="00D074D7">
        <w:rPr>
          <w:rFonts w:cs="Arial"/>
          <w:b/>
          <w:szCs w:val="22"/>
        </w:rPr>
        <w:t>A N Other</w:t>
      </w:r>
    </w:p>
    <w:p w14:paraId="599E899B" w14:textId="77777777" w:rsidR="0068654C" w:rsidRPr="00D074D7" w:rsidRDefault="0068654C" w:rsidP="0068654C">
      <w:pPr>
        <w:rPr>
          <w:rFonts w:cs="Arial"/>
          <w:b/>
          <w:szCs w:val="22"/>
        </w:rPr>
      </w:pPr>
      <w:r w:rsidRPr="00D074D7">
        <w:rPr>
          <w:rFonts w:cs="Arial"/>
          <w:b/>
          <w:szCs w:val="22"/>
        </w:rPr>
        <w:t>Title (</w:t>
      </w:r>
      <w:proofErr w:type="gramStart"/>
      <w:r w:rsidRPr="00D074D7">
        <w:rPr>
          <w:rFonts w:cs="Arial"/>
          <w:b/>
          <w:szCs w:val="22"/>
        </w:rPr>
        <w:t>e.g.</w:t>
      </w:r>
      <w:proofErr w:type="gramEnd"/>
      <w:r w:rsidRPr="00D074D7">
        <w:rPr>
          <w:rFonts w:cs="Arial"/>
          <w:b/>
          <w:szCs w:val="22"/>
        </w:rPr>
        <w:t xml:space="preserve"> ONR Superintending Inspector – Nuclear Safety)</w:t>
      </w:r>
    </w:p>
    <w:p w14:paraId="3211F579" w14:textId="77777777" w:rsidR="0068654C" w:rsidRPr="00D074D7" w:rsidRDefault="0068654C" w:rsidP="0068654C">
      <w:pPr>
        <w:rPr>
          <w:szCs w:val="22"/>
        </w:rPr>
      </w:pPr>
    </w:p>
    <w:p w14:paraId="7602E797" w14:textId="77777777" w:rsidR="0068654C" w:rsidRPr="00D074D7" w:rsidRDefault="0068654C" w:rsidP="0068654C">
      <w:pPr>
        <w:rPr>
          <w:rFonts w:cs="Arial"/>
          <w:b/>
          <w:iCs/>
          <w:szCs w:val="22"/>
        </w:rPr>
      </w:pPr>
      <w:r w:rsidRPr="00D074D7">
        <w:rPr>
          <w:rFonts w:cs="Arial"/>
          <w:b/>
          <w:iCs/>
          <w:szCs w:val="22"/>
        </w:rPr>
        <w:t>Distribution</w:t>
      </w:r>
    </w:p>
    <w:p w14:paraId="687B7461" w14:textId="77777777" w:rsidR="0068654C" w:rsidRPr="00D074D7" w:rsidRDefault="0068654C" w:rsidP="0068654C">
      <w:pPr>
        <w:rPr>
          <w:rFonts w:cs="Arial"/>
          <w:iCs/>
          <w:szCs w:val="22"/>
        </w:rPr>
      </w:pPr>
      <w:r w:rsidRPr="00D074D7">
        <w:rPr>
          <w:rFonts w:cs="Arial"/>
          <w:iCs/>
          <w:szCs w:val="22"/>
        </w:rPr>
        <w:t>A N Other 1, ONR GDA</w:t>
      </w:r>
    </w:p>
    <w:p w14:paraId="632C9610" w14:textId="77777777" w:rsidR="0068654C" w:rsidRPr="00D074D7" w:rsidRDefault="0068654C" w:rsidP="0068654C">
      <w:pPr>
        <w:rPr>
          <w:szCs w:val="22"/>
        </w:rPr>
      </w:pPr>
    </w:p>
    <w:p w14:paraId="4085C213" w14:textId="77777777" w:rsidR="00E01658" w:rsidRPr="00D074D7" w:rsidRDefault="00E01658" w:rsidP="00E01658">
      <w:pPr>
        <w:rPr>
          <w:szCs w:val="22"/>
        </w:rPr>
      </w:pPr>
    </w:p>
    <w:p w14:paraId="667319B5" w14:textId="77777777" w:rsidR="0068654C" w:rsidRPr="00D074D7" w:rsidRDefault="0068654C" w:rsidP="00E01658">
      <w:pPr>
        <w:rPr>
          <w:szCs w:val="22"/>
        </w:rPr>
      </w:pPr>
    </w:p>
    <w:p w14:paraId="68AE278B" w14:textId="77777777" w:rsidR="0068654C" w:rsidRPr="00D074D7" w:rsidRDefault="0068654C" w:rsidP="00E01658">
      <w:pPr>
        <w:rPr>
          <w:szCs w:val="22"/>
        </w:rPr>
      </w:pPr>
    </w:p>
    <w:p w14:paraId="7C2FE3D2" w14:textId="77777777" w:rsidR="0068654C" w:rsidRPr="00D074D7" w:rsidRDefault="0068654C" w:rsidP="00E01658">
      <w:pPr>
        <w:rPr>
          <w:szCs w:val="22"/>
        </w:rPr>
      </w:pPr>
    </w:p>
    <w:p w14:paraId="5443F7CF" w14:textId="77777777" w:rsidR="0068654C" w:rsidRPr="00D074D7" w:rsidRDefault="0068654C" w:rsidP="00E01658">
      <w:pPr>
        <w:rPr>
          <w:szCs w:val="22"/>
        </w:rPr>
      </w:pPr>
    </w:p>
    <w:p w14:paraId="4E86983D" w14:textId="77777777" w:rsidR="0068654C" w:rsidRPr="00D074D7" w:rsidRDefault="0068654C" w:rsidP="00E01658">
      <w:pPr>
        <w:rPr>
          <w:szCs w:val="22"/>
        </w:rPr>
      </w:pPr>
    </w:p>
    <w:p w14:paraId="1C8B4669" w14:textId="77777777" w:rsidR="0068654C" w:rsidRPr="00D074D7" w:rsidRDefault="0068654C" w:rsidP="00E01658">
      <w:pPr>
        <w:rPr>
          <w:szCs w:val="22"/>
        </w:rPr>
      </w:pPr>
    </w:p>
    <w:p w14:paraId="2618F35A" w14:textId="77777777" w:rsidR="0068654C" w:rsidRPr="00D074D7" w:rsidRDefault="0068654C" w:rsidP="00E01658">
      <w:pPr>
        <w:rPr>
          <w:szCs w:val="22"/>
        </w:rPr>
      </w:pPr>
    </w:p>
    <w:p w14:paraId="263C88EE" w14:textId="77777777" w:rsidR="00E01658" w:rsidRPr="00D074D7" w:rsidRDefault="00E01658" w:rsidP="00E01658">
      <w:pPr>
        <w:rPr>
          <w:szCs w:val="22"/>
        </w:rPr>
      </w:pPr>
      <w:r w:rsidRPr="00D074D7">
        <w:rPr>
          <w:szCs w:val="22"/>
        </w:rPr>
        <w:t xml:space="preserve">Guidance </w:t>
      </w:r>
      <w:proofErr w:type="gramStart"/>
      <w:r w:rsidRPr="00D074D7">
        <w:rPr>
          <w:szCs w:val="22"/>
        </w:rPr>
        <w:t>note</w:t>
      </w:r>
      <w:proofErr w:type="gramEnd"/>
      <w:r w:rsidRPr="00D074D7">
        <w:rPr>
          <w:szCs w:val="22"/>
        </w:rPr>
        <w:t xml:space="preserve"> to inspector [not part of letter text]:</w:t>
      </w:r>
    </w:p>
    <w:p w14:paraId="7B5DE601" w14:textId="77777777" w:rsidR="00E01658" w:rsidRPr="00D074D7" w:rsidRDefault="00E01658" w:rsidP="00E01658">
      <w:pPr>
        <w:rPr>
          <w:szCs w:val="22"/>
        </w:rPr>
      </w:pPr>
    </w:p>
    <w:p w14:paraId="5C4DA282" w14:textId="77777777" w:rsidR="00E01658" w:rsidRPr="00D074D7" w:rsidRDefault="00E01658" w:rsidP="00E01658">
      <w:pPr>
        <w:rPr>
          <w:szCs w:val="22"/>
        </w:rPr>
      </w:pPr>
      <w:r w:rsidRPr="00D074D7">
        <w:rPr>
          <w:szCs w:val="22"/>
        </w:rPr>
        <w:t xml:space="preserve">The Appendix should contain: </w:t>
      </w:r>
    </w:p>
    <w:p w14:paraId="29602FAB" w14:textId="77777777" w:rsidR="00E01658" w:rsidRPr="00D074D7" w:rsidRDefault="00E01658" w:rsidP="00E01658">
      <w:pPr>
        <w:rPr>
          <w:szCs w:val="22"/>
        </w:rPr>
      </w:pPr>
    </w:p>
    <w:p w14:paraId="6A116FD0" w14:textId="77777777" w:rsidR="00E01658" w:rsidRPr="00D074D7" w:rsidRDefault="00E01658" w:rsidP="00E01658">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A description of potential charges,</w:t>
      </w:r>
    </w:p>
    <w:p w14:paraId="39FB5D59" w14:textId="77777777" w:rsidR="00E01658" w:rsidRPr="00D074D7" w:rsidRDefault="00E01658" w:rsidP="00E01658">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A summary of the evidence</w:t>
      </w:r>
    </w:p>
    <w:p w14:paraId="7B38F08D" w14:textId="77777777" w:rsidR="00E01658" w:rsidRPr="00D074D7" w:rsidRDefault="00E01658" w:rsidP="00E01658">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 xml:space="preserve">A list of documents you intend to refer to at the interview </w:t>
      </w:r>
      <w:r w:rsidRPr="00D074D7">
        <w:rPr>
          <w:rFonts w:cs="Arial"/>
          <w:color w:val="000000"/>
          <w:szCs w:val="22"/>
          <w:lang w:val="en" w:eastAsia="en-GB"/>
        </w:rPr>
        <w:br/>
      </w:r>
    </w:p>
    <w:p w14:paraId="52714D87" w14:textId="77777777" w:rsidR="00E01658" w:rsidRPr="00D074D7" w:rsidRDefault="00E01658" w:rsidP="00E01658">
      <w:pPr>
        <w:rPr>
          <w:szCs w:val="22"/>
        </w:rPr>
      </w:pPr>
      <w:r w:rsidRPr="00D074D7">
        <w:rPr>
          <w:szCs w:val="22"/>
        </w:rPr>
        <w:tab/>
        <w:t xml:space="preserve">and include the following </w:t>
      </w:r>
      <w:proofErr w:type="gramStart"/>
      <w:r w:rsidRPr="00D074D7">
        <w:rPr>
          <w:szCs w:val="22"/>
        </w:rPr>
        <w:t>text ;</w:t>
      </w:r>
      <w:proofErr w:type="gramEnd"/>
    </w:p>
    <w:p w14:paraId="5FB81B11" w14:textId="77777777" w:rsidR="00E01658" w:rsidRPr="00D074D7" w:rsidRDefault="00E01658" w:rsidP="00E01658">
      <w:pPr>
        <w:rPr>
          <w:szCs w:val="22"/>
        </w:rPr>
      </w:pPr>
    </w:p>
    <w:p w14:paraId="34F35203" w14:textId="77777777" w:rsidR="00E01658" w:rsidRPr="00D074D7" w:rsidRDefault="00E01658" w:rsidP="00E01658">
      <w:pPr>
        <w:rPr>
          <w:szCs w:val="22"/>
        </w:rPr>
      </w:pPr>
      <w:r w:rsidRPr="00D074D7">
        <w:rPr>
          <w:szCs w:val="22"/>
        </w:rPr>
        <w:t>“</w:t>
      </w:r>
      <w:r w:rsidRPr="00D074D7">
        <w:rPr>
          <w:i/>
          <w:szCs w:val="22"/>
        </w:rPr>
        <w:t>The interview will not be limited to these matters and further areas may be explored depending upon the answers given.  Similarly, further material evidence collected during my investigation may be referred to during the interview. You and your legal advisor will have adequate opportunity to go through this evidence before answering related questions</w:t>
      </w:r>
      <w:r w:rsidRPr="00D074D7">
        <w:rPr>
          <w:szCs w:val="22"/>
        </w:rPr>
        <w:t>”.</w:t>
      </w:r>
    </w:p>
    <w:p w14:paraId="759E1A13" w14:textId="77777777" w:rsidR="00E01658" w:rsidRPr="00D074D7" w:rsidRDefault="00E01658" w:rsidP="00E01658">
      <w:pPr>
        <w:rPr>
          <w:szCs w:val="22"/>
        </w:rPr>
      </w:pPr>
    </w:p>
    <w:p w14:paraId="4D5B34B3" w14:textId="71CA8DBF" w:rsidR="00402AE8" w:rsidRDefault="00402AE8" w:rsidP="009B5159">
      <w:pPr>
        <w:rPr>
          <w:b/>
          <w:szCs w:val="22"/>
        </w:rPr>
      </w:pPr>
      <w:r w:rsidRPr="00D074D7">
        <w:rPr>
          <w:szCs w:val="22"/>
        </w:rPr>
        <w:br w:type="page"/>
      </w:r>
      <w:r w:rsidRPr="00D074D7">
        <w:rPr>
          <w:b/>
          <w:szCs w:val="22"/>
        </w:rPr>
        <w:lastRenderedPageBreak/>
        <w:t xml:space="preserve">APPENDIX </w:t>
      </w:r>
      <w:r w:rsidR="00275272">
        <w:rPr>
          <w:b/>
          <w:szCs w:val="22"/>
        </w:rPr>
        <w:t>4</w:t>
      </w:r>
      <w:r w:rsidR="00275272" w:rsidRPr="00D074D7">
        <w:rPr>
          <w:b/>
          <w:szCs w:val="22"/>
        </w:rPr>
        <w:t xml:space="preserve"> </w:t>
      </w:r>
      <w:r w:rsidRPr="00D074D7">
        <w:rPr>
          <w:b/>
          <w:szCs w:val="22"/>
        </w:rPr>
        <w:t>Audio recording of interview – Guidance</w:t>
      </w:r>
    </w:p>
    <w:p w14:paraId="02ACD825" w14:textId="3BECAB61" w:rsidR="004732CF" w:rsidRDefault="004732CF" w:rsidP="009B5159">
      <w:pPr>
        <w:rPr>
          <w:b/>
          <w:szCs w:val="22"/>
        </w:rPr>
      </w:pPr>
    </w:p>
    <w:p w14:paraId="01777AF7" w14:textId="7F112DDB" w:rsidR="004732CF" w:rsidRPr="004732CF" w:rsidRDefault="004732CF" w:rsidP="009B5159">
      <w:pPr>
        <w:rPr>
          <w:b/>
          <w:szCs w:val="22"/>
        </w:rPr>
      </w:pPr>
      <w:r w:rsidRPr="00432BB5">
        <w:rPr>
          <w:b/>
          <w:szCs w:val="22"/>
          <w:highlight w:val="yellow"/>
        </w:rPr>
        <w:t xml:space="preserve">Note a specialist PACE trained ICT Inspector must conduct the interview on the </w:t>
      </w:r>
      <w:r w:rsidR="00432BB5" w:rsidRPr="00432BB5">
        <w:rPr>
          <w:b/>
          <w:szCs w:val="22"/>
          <w:highlight w:val="yellow"/>
        </w:rPr>
        <w:t>investigator’s</w:t>
      </w:r>
      <w:r w:rsidRPr="00432BB5">
        <w:rPr>
          <w:b/>
          <w:szCs w:val="22"/>
          <w:highlight w:val="yellow"/>
        </w:rPr>
        <w:t xml:space="preserve"> behalf. This is requested via </w:t>
      </w:r>
      <w:r w:rsidR="00432BB5" w:rsidRPr="00432BB5">
        <w:rPr>
          <w:b/>
          <w:szCs w:val="22"/>
          <w:highlight w:val="yellow"/>
        </w:rPr>
        <w:t>email</w:t>
      </w:r>
      <w:r w:rsidRPr="00432BB5">
        <w:rPr>
          <w:b/>
          <w:szCs w:val="22"/>
          <w:highlight w:val="yellow"/>
        </w:rPr>
        <w:t xml:space="preserve"> to </w:t>
      </w:r>
      <w:hyperlink r:id="rId33" w:history="1">
        <w:r w:rsidR="00432BB5" w:rsidRPr="00432BB5">
          <w:rPr>
            <w:rStyle w:val="Hyperlink"/>
            <w:b/>
            <w:szCs w:val="22"/>
            <w:highlight w:val="yellow"/>
          </w:rPr>
          <w:t>onr.operational.investigation@onr.gov.uk</w:t>
        </w:r>
      </w:hyperlink>
      <w:r w:rsidR="00432BB5">
        <w:rPr>
          <w:b/>
          <w:szCs w:val="22"/>
        </w:rPr>
        <w:t xml:space="preserve"> </w:t>
      </w:r>
    </w:p>
    <w:p w14:paraId="3F01A326" w14:textId="77777777" w:rsidR="00402AE8" w:rsidRPr="00D074D7" w:rsidRDefault="00402AE8" w:rsidP="00427F02">
      <w:pPr>
        <w:rPr>
          <w:rFonts w:cs="Arial"/>
          <w:b/>
          <w:szCs w:val="22"/>
        </w:rPr>
      </w:pPr>
    </w:p>
    <w:p w14:paraId="3CDCC6C4" w14:textId="77777777" w:rsidR="00402AE8" w:rsidRPr="00D074D7" w:rsidRDefault="00402AE8" w:rsidP="00402AE8">
      <w:pPr>
        <w:jc w:val="center"/>
        <w:rPr>
          <w:rFonts w:cs="Arial"/>
          <w:szCs w:val="22"/>
        </w:rPr>
      </w:pPr>
      <w:r w:rsidRPr="00D074D7">
        <w:rPr>
          <w:rFonts w:cs="Arial"/>
          <w:szCs w:val="22"/>
        </w:rPr>
        <w:t xml:space="preserve">(Read this guidance in full prior to interview to ensure correct parts are selected and employed. </w:t>
      </w:r>
      <w:r w:rsidRPr="00D074D7">
        <w:rPr>
          <w:rFonts w:cs="Arial"/>
          <w:i/>
          <w:szCs w:val="22"/>
        </w:rPr>
        <w:t>Amend as appropriate.)</w:t>
      </w:r>
    </w:p>
    <w:p w14:paraId="7CC21E7F" w14:textId="77777777" w:rsidR="00402AE8" w:rsidRPr="00D074D7" w:rsidRDefault="00402AE8" w:rsidP="00402AE8">
      <w:pPr>
        <w:jc w:val="cente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402AE8" w:rsidRPr="00D074D7" w14:paraId="5B6EC513" w14:textId="77777777" w:rsidTr="00402AE8">
        <w:tc>
          <w:tcPr>
            <w:tcW w:w="11044" w:type="dxa"/>
            <w:shd w:val="clear" w:color="auto" w:fill="auto"/>
          </w:tcPr>
          <w:p w14:paraId="3E18F169" w14:textId="77777777" w:rsidR="00402AE8" w:rsidRPr="00D074D7" w:rsidRDefault="00402AE8" w:rsidP="00402AE8">
            <w:pPr>
              <w:rPr>
                <w:rFonts w:cs="Arial"/>
                <w:b/>
                <w:szCs w:val="22"/>
              </w:rPr>
            </w:pPr>
            <w:r w:rsidRPr="00D074D7">
              <w:rPr>
                <w:rFonts w:cs="Arial"/>
                <w:b/>
                <w:szCs w:val="22"/>
              </w:rPr>
              <w:t xml:space="preserve">Remember: </w:t>
            </w:r>
          </w:p>
          <w:p w14:paraId="5DF22BF9" w14:textId="77777777" w:rsidR="00747E04" w:rsidRPr="00D074D7" w:rsidRDefault="00747E04" w:rsidP="001C2C12">
            <w:pPr>
              <w:numPr>
                <w:ilvl w:val="0"/>
                <w:numId w:val="27"/>
              </w:numPr>
              <w:rPr>
                <w:rFonts w:cs="Arial"/>
                <w:szCs w:val="22"/>
              </w:rPr>
            </w:pPr>
            <w:r w:rsidRPr="00D074D7">
              <w:rPr>
                <w:rFonts w:cs="Arial"/>
                <w:szCs w:val="22"/>
              </w:rPr>
              <w:t>If in doubt, consult the</w:t>
            </w:r>
            <w:r w:rsidR="00402AE8" w:rsidRPr="00D074D7">
              <w:rPr>
                <w:rFonts w:cs="Arial"/>
                <w:szCs w:val="22"/>
              </w:rPr>
              <w:t xml:space="preserve"> </w:t>
            </w:r>
            <w:r w:rsidRPr="00D074D7">
              <w:rPr>
                <w:rFonts w:cs="Arial"/>
                <w:szCs w:val="22"/>
              </w:rPr>
              <w:t>text of PACE Codes (C) and (E)</w:t>
            </w:r>
            <w:r w:rsidR="00402AE8" w:rsidRPr="00D074D7">
              <w:rPr>
                <w:rFonts w:cs="Arial"/>
                <w:szCs w:val="22"/>
              </w:rPr>
              <w:t xml:space="preserve"> associated guidance.  </w:t>
            </w:r>
          </w:p>
          <w:p w14:paraId="2E8DDFB3" w14:textId="77777777" w:rsidR="00747E04" w:rsidRPr="00D074D7" w:rsidRDefault="00402AE8" w:rsidP="001C2C12">
            <w:pPr>
              <w:numPr>
                <w:ilvl w:val="0"/>
                <w:numId w:val="27"/>
              </w:numPr>
              <w:rPr>
                <w:rFonts w:cs="Arial"/>
                <w:szCs w:val="22"/>
              </w:rPr>
            </w:pPr>
            <w:r w:rsidRPr="00D074D7">
              <w:rPr>
                <w:rFonts w:cs="Arial"/>
                <w:szCs w:val="22"/>
              </w:rPr>
              <w:t>The recorder is blind; describe the p</w:t>
            </w:r>
            <w:r w:rsidR="00747E04" w:rsidRPr="00D074D7">
              <w:rPr>
                <w:rFonts w:cs="Arial"/>
                <w:szCs w:val="22"/>
              </w:rPr>
              <w:t>resentation of exhibits and non-verbal responses.</w:t>
            </w:r>
          </w:p>
          <w:p w14:paraId="13CBB39E" w14:textId="77777777" w:rsidR="00402AE8" w:rsidRPr="00D074D7" w:rsidRDefault="00402AE8" w:rsidP="001C2C12">
            <w:pPr>
              <w:numPr>
                <w:ilvl w:val="0"/>
                <w:numId w:val="27"/>
              </w:numPr>
              <w:rPr>
                <w:rFonts w:cs="Arial"/>
                <w:szCs w:val="22"/>
              </w:rPr>
            </w:pPr>
            <w:r w:rsidRPr="00D074D7">
              <w:rPr>
                <w:rFonts w:cs="Arial"/>
                <w:szCs w:val="22"/>
              </w:rPr>
              <w:t>Explain disruptions, stating times and reason.</w:t>
            </w:r>
          </w:p>
          <w:p w14:paraId="08B662DC" w14:textId="77777777" w:rsidR="00402AE8" w:rsidRPr="00D074D7" w:rsidRDefault="00402AE8" w:rsidP="00402AE8">
            <w:pPr>
              <w:rPr>
                <w:rFonts w:cs="Arial"/>
                <w:szCs w:val="22"/>
              </w:rPr>
            </w:pPr>
          </w:p>
          <w:p w14:paraId="57FB36B6" w14:textId="77777777" w:rsidR="00402AE8" w:rsidRPr="00D074D7" w:rsidRDefault="00402AE8" w:rsidP="00402AE8">
            <w:pPr>
              <w:rPr>
                <w:rFonts w:cs="Arial"/>
                <w:szCs w:val="22"/>
              </w:rPr>
            </w:pPr>
            <w:r w:rsidRPr="00D074D7">
              <w:rPr>
                <w:rFonts w:cs="Arial"/>
                <w:szCs w:val="22"/>
              </w:rPr>
              <w:t xml:space="preserve">Other things to consider: toilets and breaks; phones; smoking; fire alarms (including tests); drinks; have they brought any </w:t>
            </w:r>
            <w:proofErr w:type="gramStart"/>
            <w:r w:rsidRPr="00D074D7">
              <w:rPr>
                <w:rFonts w:cs="Arial"/>
                <w:szCs w:val="22"/>
              </w:rPr>
              <w:t>documents?;</w:t>
            </w:r>
            <w:proofErr w:type="gramEnd"/>
            <w:r w:rsidRPr="00D074D7">
              <w:rPr>
                <w:rFonts w:cs="Arial"/>
                <w:szCs w:val="22"/>
              </w:rPr>
              <w:t xml:space="preserve"> who is the solicitor representing?; introductions … </w:t>
            </w:r>
          </w:p>
        </w:tc>
      </w:tr>
    </w:tbl>
    <w:p w14:paraId="438B4564" w14:textId="77777777" w:rsidR="00402AE8" w:rsidRPr="00D074D7" w:rsidRDefault="00402AE8" w:rsidP="00402AE8">
      <w:pPr>
        <w:jc w:val="center"/>
        <w:rPr>
          <w:rFonts w:cs="Arial"/>
          <w:b/>
          <w:szCs w:val="22"/>
        </w:rPr>
      </w:pPr>
    </w:p>
    <w:p w14:paraId="50F1DED9" w14:textId="77777777" w:rsidR="00402AE8" w:rsidRPr="00D074D7" w:rsidRDefault="00402AE8" w:rsidP="00402AE8">
      <w:pPr>
        <w:jc w:val="center"/>
        <w:rPr>
          <w:rFonts w:cs="Arial"/>
          <w:b/>
          <w:szCs w:val="22"/>
        </w:rPr>
      </w:pPr>
      <w:r w:rsidRPr="00D074D7">
        <w:rPr>
          <w:rFonts w:cs="Arial"/>
          <w:b/>
          <w:szCs w:val="22"/>
        </w:rPr>
        <w:t>1 SETTING UP THE MACHINE</w:t>
      </w:r>
    </w:p>
    <w:p w14:paraId="69FF1CA5" w14:textId="77777777" w:rsidR="00402AE8" w:rsidRPr="00D074D7" w:rsidRDefault="00402AE8" w:rsidP="00402AE8">
      <w:pPr>
        <w:jc w:val="center"/>
        <w:rPr>
          <w:rFonts w:cs="Arial"/>
          <w:b/>
          <w:szCs w:val="22"/>
        </w:rPr>
      </w:pPr>
    </w:p>
    <w:p w14:paraId="7AFAE2C5" w14:textId="77777777" w:rsidR="00402AE8" w:rsidRPr="00D074D7" w:rsidRDefault="00402AE8" w:rsidP="00402AE8">
      <w:pPr>
        <w:rPr>
          <w:rFonts w:cs="Arial"/>
          <w:szCs w:val="22"/>
        </w:rPr>
      </w:pPr>
      <w:r w:rsidRPr="00D074D7">
        <w:rPr>
          <w:rFonts w:cs="Arial"/>
          <w:szCs w:val="22"/>
        </w:rPr>
        <w:t xml:space="preserve">Set up the machine in accordance with the operator instructions for the triple CD recorder. User guides and operator instructions should be in the room, along with the </w:t>
      </w:r>
      <w:proofErr w:type="gramStart"/>
      <w:r w:rsidRPr="00D074D7">
        <w:rPr>
          <w:rFonts w:cs="Arial"/>
          <w:szCs w:val="22"/>
        </w:rPr>
        <w:t>up to date</w:t>
      </w:r>
      <w:proofErr w:type="gramEnd"/>
      <w:r w:rsidRPr="00D074D7">
        <w:rPr>
          <w:rFonts w:cs="Arial"/>
          <w:szCs w:val="22"/>
        </w:rPr>
        <w:t xml:space="preserve"> guides; </w:t>
      </w:r>
      <w:r w:rsidRPr="00D074D7">
        <w:rPr>
          <w:rFonts w:cs="Arial"/>
          <w:i/>
          <w:szCs w:val="22"/>
        </w:rPr>
        <w:t>please check</w:t>
      </w:r>
      <w:r w:rsidRPr="00D074D7">
        <w:rPr>
          <w:rFonts w:cs="Arial"/>
          <w:szCs w:val="22"/>
        </w:rPr>
        <w:t>. Break open the sea</w:t>
      </w:r>
      <w:r w:rsidR="00747E04" w:rsidRPr="00D074D7">
        <w:rPr>
          <w:rFonts w:cs="Arial"/>
          <w:szCs w:val="22"/>
        </w:rPr>
        <w:t>l</w:t>
      </w:r>
      <w:r w:rsidRPr="00D074D7">
        <w:rPr>
          <w:rFonts w:cs="Arial"/>
          <w:szCs w:val="22"/>
        </w:rPr>
        <w:t>ed CDs in the presence of the interviewee and insert them into the machine. Write details o</w:t>
      </w:r>
      <w:r w:rsidR="00747E04" w:rsidRPr="00D074D7">
        <w:rPr>
          <w:rFonts w:cs="Arial"/>
          <w:szCs w:val="22"/>
        </w:rPr>
        <w:t>f interview on an ONR LP 75</w:t>
      </w:r>
      <w:r w:rsidRPr="00D074D7">
        <w:rPr>
          <w:rFonts w:cs="Arial"/>
          <w:szCs w:val="22"/>
        </w:rPr>
        <w:t>. Start recording when you are ready.</w:t>
      </w:r>
    </w:p>
    <w:p w14:paraId="05DA90F0" w14:textId="77777777" w:rsidR="00402AE8" w:rsidRPr="00D074D7" w:rsidRDefault="00402AE8" w:rsidP="00402AE8">
      <w:pPr>
        <w:rPr>
          <w:rFonts w:cs="Arial"/>
          <w:szCs w:val="22"/>
        </w:rPr>
      </w:pPr>
    </w:p>
    <w:p w14:paraId="2CF6F3EC" w14:textId="77777777" w:rsidR="00402AE8" w:rsidRPr="00D074D7" w:rsidRDefault="00402AE8" w:rsidP="00402AE8">
      <w:pPr>
        <w:jc w:val="center"/>
        <w:rPr>
          <w:rFonts w:cs="Arial"/>
          <w:b/>
          <w:szCs w:val="22"/>
        </w:rPr>
      </w:pPr>
      <w:r w:rsidRPr="00D074D7">
        <w:rPr>
          <w:rFonts w:cs="Arial"/>
          <w:b/>
          <w:szCs w:val="22"/>
        </w:rPr>
        <w:t>2A STARTING THE INTERVIEW – AN INDIVIDUAL</w:t>
      </w:r>
    </w:p>
    <w:p w14:paraId="18F86912" w14:textId="77777777" w:rsidR="00402AE8" w:rsidRPr="00D074D7" w:rsidRDefault="00402AE8" w:rsidP="00402AE8">
      <w:pPr>
        <w:jc w:val="center"/>
        <w:rPr>
          <w:rFonts w:cs="Arial"/>
          <w:b/>
          <w:szCs w:val="22"/>
        </w:rPr>
      </w:pPr>
    </w:p>
    <w:p w14:paraId="0CE3A432" w14:textId="77777777" w:rsidR="00402AE8" w:rsidRPr="00D074D7" w:rsidRDefault="00402AE8" w:rsidP="00402AE8">
      <w:pPr>
        <w:rPr>
          <w:rFonts w:cs="Arial"/>
          <w:b/>
          <w:szCs w:val="22"/>
        </w:rPr>
      </w:pPr>
      <w:r w:rsidRPr="00D074D7">
        <w:rPr>
          <w:rFonts w:cs="Arial"/>
          <w:szCs w:val="22"/>
        </w:rPr>
        <w:t xml:space="preserve">SAY: </w:t>
      </w:r>
      <w:r w:rsidRPr="00D074D7">
        <w:rPr>
          <w:rFonts w:cs="Arial"/>
          <w:b/>
          <w:szCs w:val="22"/>
        </w:rPr>
        <w:t>“</w:t>
      </w:r>
      <w:r w:rsidRPr="00D074D7">
        <w:rPr>
          <w:rFonts w:cs="Arial"/>
          <w:b/>
          <w:i/>
          <w:szCs w:val="22"/>
        </w:rPr>
        <w:t xml:space="preserve">This interview is being recorded and is being conducted in the </w:t>
      </w:r>
      <w:r w:rsidRPr="00D074D7">
        <w:rPr>
          <w:rFonts w:cs="Arial"/>
          <w:szCs w:val="22"/>
        </w:rPr>
        <w:t>[interview room]</w:t>
      </w:r>
      <w:r w:rsidRPr="00D074D7">
        <w:rPr>
          <w:rFonts w:cs="Arial"/>
          <w:b/>
          <w:i/>
          <w:szCs w:val="22"/>
        </w:rPr>
        <w:t xml:space="preserve"> </w:t>
      </w:r>
      <w:proofErr w:type="gramStart"/>
      <w:r w:rsidRPr="00D074D7">
        <w:rPr>
          <w:rFonts w:cs="Arial"/>
          <w:b/>
          <w:szCs w:val="22"/>
        </w:rPr>
        <w:t>at</w:t>
      </w:r>
      <w:r w:rsidRPr="00D074D7">
        <w:rPr>
          <w:rFonts w:cs="Arial"/>
          <w:b/>
          <w:i/>
          <w:szCs w:val="22"/>
        </w:rPr>
        <w:t xml:space="preserve">  </w:t>
      </w:r>
      <w:r w:rsidR="00B1514B" w:rsidRPr="00D074D7">
        <w:rPr>
          <w:rFonts w:cs="Arial"/>
          <w:szCs w:val="22"/>
        </w:rPr>
        <w:t>[</w:t>
      </w:r>
      <w:proofErr w:type="gramEnd"/>
      <w:r w:rsidR="00B1514B" w:rsidRPr="00D074D7">
        <w:rPr>
          <w:rFonts w:cs="Arial"/>
          <w:szCs w:val="22"/>
        </w:rPr>
        <w:t xml:space="preserve">state the owner of the office] </w:t>
      </w:r>
      <w:r w:rsidRPr="00D074D7">
        <w:rPr>
          <w:rFonts w:cs="Arial"/>
          <w:b/>
          <w:i/>
          <w:szCs w:val="22"/>
        </w:rPr>
        <w:t xml:space="preserve">office at </w:t>
      </w:r>
      <w:r w:rsidRPr="00D074D7">
        <w:rPr>
          <w:rFonts w:cs="Arial"/>
          <w:szCs w:val="22"/>
        </w:rPr>
        <w:t>[address]</w:t>
      </w:r>
      <w:r w:rsidRPr="00D074D7">
        <w:rPr>
          <w:rFonts w:cs="Arial"/>
          <w:b/>
          <w:szCs w:val="22"/>
        </w:rPr>
        <w:t xml:space="preserve">. </w:t>
      </w:r>
      <w:r w:rsidRPr="00D074D7">
        <w:rPr>
          <w:rFonts w:cs="Arial"/>
          <w:b/>
          <w:i/>
          <w:szCs w:val="22"/>
        </w:rPr>
        <w:t>The date is ….... The time is …….</w:t>
      </w:r>
      <w:r w:rsidRPr="00D074D7">
        <w:rPr>
          <w:rFonts w:cs="Arial"/>
          <w:b/>
          <w:szCs w:val="22"/>
        </w:rPr>
        <w:t xml:space="preserve"> </w:t>
      </w:r>
      <w:r w:rsidRPr="00D074D7">
        <w:rPr>
          <w:rFonts w:cs="Arial"/>
          <w:szCs w:val="22"/>
        </w:rPr>
        <w:t>[make a note of time on LP73/LP73</w:t>
      </w:r>
      <w:r w:rsidR="00387E96">
        <w:rPr>
          <w:rFonts w:cs="Arial"/>
          <w:szCs w:val="22"/>
        </w:rPr>
        <w:t>/</w:t>
      </w:r>
      <w:r w:rsidRPr="00D074D7">
        <w:rPr>
          <w:rFonts w:cs="Arial"/>
          <w:szCs w:val="22"/>
        </w:rPr>
        <w:t>CD].</w:t>
      </w:r>
      <w:r w:rsidRPr="00D074D7">
        <w:rPr>
          <w:rFonts w:cs="Arial"/>
          <w:b/>
          <w:szCs w:val="22"/>
        </w:rPr>
        <w:t xml:space="preserve">    </w:t>
      </w:r>
    </w:p>
    <w:p w14:paraId="141EBEAD" w14:textId="77777777" w:rsidR="00402AE8" w:rsidRPr="00D074D7" w:rsidRDefault="00402AE8" w:rsidP="00402AE8">
      <w:pPr>
        <w:rPr>
          <w:rFonts w:cs="Arial"/>
          <w:b/>
          <w:szCs w:val="22"/>
        </w:rPr>
      </w:pPr>
      <w:r w:rsidRPr="00D074D7">
        <w:rPr>
          <w:rFonts w:cs="Arial"/>
          <w:b/>
          <w:i/>
          <w:szCs w:val="22"/>
        </w:rPr>
        <w:t>I am ……</w:t>
      </w:r>
      <w:proofErr w:type="gramStart"/>
      <w:r w:rsidRPr="00D074D7">
        <w:rPr>
          <w:rFonts w:cs="Arial"/>
          <w:b/>
          <w:i/>
          <w:szCs w:val="22"/>
        </w:rPr>
        <w:t>…..</w:t>
      </w:r>
      <w:proofErr w:type="gramEnd"/>
      <w:r w:rsidRPr="00D074D7">
        <w:rPr>
          <w:rFonts w:cs="Arial"/>
          <w:b/>
          <w:i/>
          <w:szCs w:val="22"/>
        </w:rPr>
        <w:t xml:space="preserve"> Other Inspectors present are……….</w:t>
      </w:r>
      <w:r w:rsidRPr="00D074D7">
        <w:rPr>
          <w:rFonts w:cs="Arial"/>
          <w:b/>
          <w:szCs w:val="22"/>
        </w:rPr>
        <w:t xml:space="preserve"> </w:t>
      </w:r>
      <w:r w:rsidRPr="00D074D7">
        <w:rPr>
          <w:rFonts w:cs="Arial"/>
          <w:szCs w:val="22"/>
        </w:rPr>
        <w:t>[Name(s) and Job title(s) to be spoken by those present]</w:t>
      </w:r>
      <w:r w:rsidRPr="00D074D7">
        <w:rPr>
          <w:rFonts w:cs="Arial"/>
          <w:b/>
          <w:szCs w:val="22"/>
        </w:rPr>
        <w:t xml:space="preserve">. </w:t>
      </w:r>
    </w:p>
    <w:p w14:paraId="7A85A246" w14:textId="77777777" w:rsidR="00402AE8" w:rsidRPr="00D074D7" w:rsidRDefault="00402AE8" w:rsidP="00402AE8">
      <w:pPr>
        <w:rPr>
          <w:rFonts w:cs="Arial"/>
          <w:b/>
          <w:szCs w:val="22"/>
        </w:rPr>
      </w:pPr>
      <w:r w:rsidRPr="00D074D7">
        <w:rPr>
          <w:rFonts w:cs="Arial"/>
          <w:b/>
          <w:szCs w:val="22"/>
        </w:rPr>
        <w:t>I am interviewing ……</w:t>
      </w:r>
      <w:proofErr w:type="gramStart"/>
      <w:r w:rsidRPr="00D074D7">
        <w:rPr>
          <w:rFonts w:cs="Arial"/>
          <w:b/>
          <w:szCs w:val="22"/>
        </w:rPr>
        <w:t>…..</w:t>
      </w:r>
      <w:proofErr w:type="gramEnd"/>
      <w:r w:rsidRPr="00D074D7">
        <w:rPr>
          <w:rFonts w:cs="Arial"/>
          <w:b/>
          <w:szCs w:val="22"/>
        </w:rPr>
        <w:t xml:space="preserve"> </w:t>
      </w:r>
      <w:r w:rsidRPr="00D074D7">
        <w:rPr>
          <w:rFonts w:cs="Arial"/>
          <w:szCs w:val="22"/>
        </w:rPr>
        <w:t>[Name]</w:t>
      </w:r>
      <w:r w:rsidRPr="00D074D7">
        <w:rPr>
          <w:rFonts w:cs="Arial"/>
          <w:b/>
          <w:szCs w:val="22"/>
        </w:rPr>
        <w:t>. Would you please give your name, home address and date of birth ……</w:t>
      </w:r>
      <w:proofErr w:type="gramStart"/>
      <w:r w:rsidRPr="00D074D7">
        <w:rPr>
          <w:rFonts w:cs="Arial"/>
          <w:b/>
          <w:szCs w:val="22"/>
        </w:rPr>
        <w:t>…..</w:t>
      </w:r>
      <w:proofErr w:type="gramEnd"/>
      <w:r w:rsidRPr="00D074D7">
        <w:rPr>
          <w:rFonts w:cs="Arial"/>
          <w:b/>
          <w:szCs w:val="22"/>
        </w:rPr>
        <w:t xml:space="preserve"> </w:t>
      </w:r>
      <w:r w:rsidRPr="00D074D7">
        <w:rPr>
          <w:rFonts w:cs="Arial"/>
          <w:szCs w:val="22"/>
        </w:rPr>
        <w:t xml:space="preserve">[Await answer]. </w:t>
      </w:r>
      <w:r w:rsidRPr="00D074D7">
        <w:rPr>
          <w:rFonts w:cs="Arial"/>
          <w:b/>
          <w:szCs w:val="22"/>
        </w:rPr>
        <w:t>Also present is ……</w:t>
      </w:r>
      <w:proofErr w:type="gramStart"/>
      <w:r w:rsidRPr="00D074D7">
        <w:rPr>
          <w:rFonts w:cs="Arial"/>
          <w:b/>
          <w:szCs w:val="22"/>
        </w:rPr>
        <w:t>…..</w:t>
      </w:r>
      <w:proofErr w:type="gramEnd"/>
      <w:r w:rsidRPr="00D074D7">
        <w:rPr>
          <w:rFonts w:cs="Arial"/>
          <w:b/>
          <w:szCs w:val="22"/>
        </w:rPr>
        <w:t xml:space="preserve"> </w:t>
      </w:r>
      <w:r w:rsidRPr="00D074D7">
        <w:rPr>
          <w:rFonts w:cs="Arial"/>
          <w:szCs w:val="22"/>
        </w:rPr>
        <w:t>[Name and role spoken by those present]</w:t>
      </w:r>
      <w:r w:rsidRPr="00D074D7">
        <w:rPr>
          <w:rFonts w:cs="Arial"/>
          <w:b/>
          <w:szCs w:val="22"/>
        </w:rPr>
        <w:t>.</w:t>
      </w:r>
    </w:p>
    <w:p w14:paraId="73AF56CE" w14:textId="77777777" w:rsidR="00402AE8" w:rsidRPr="00D074D7" w:rsidRDefault="00402AE8" w:rsidP="00402AE8">
      <w:pPr>
        <w:rPr>
          <w:rFonts w:cs="Arial"/>
          <w:b/>
          <w:szCs w:val="22"/>
        </w:rPr>
      </w:pPr>
    </w:p>
    <w:p w14:paraId="28A214F3" w14:textId="77777777" w:rsidR="00402AE8" w:rsidRPr="00D074D7" w:rsidRDefault="00402AE8" w:rsidP="00402AE8">
      <w:pPr>
        <w:rPr>
          <w:rFonts w:cs="Arial"/>
          <w:szCs w:val="22"/>
        </w:rPr>
      </w:pPr>
      <w:r w:rsidRPr="00D074D7">
        <w:rPr>
          <w:rFonts w:cs="Arial"/>
          <w:szCs w:val="22"/>
        </w:rPr>
        <w:t>IF THE INTERVIEWEE HAS NO LEGAL REPRESENTATION:</w:t>
      </w:r>
    </w:p>
    <w:p w14:paraId="6D0A6858" w14:textId="77777777" w:rsidR="00402AE8" w:rsidRPr="00D074D7" w:rsidRDefault="00402AE8" w:rsidP="00402AE8">
      <w:pPr>
        <w:rPr>
          <w:rFonts w:cs="Arial"/>
          <w:b/>
          <w:szCs w:val="22"/>
        </w:rPr>
      </w:pPr>
    </w:p>
    <w:p w14:paraId="4351EF68" w14:textId="77777777" w:rsidR="00402AE8" w:rsidRPr="00D074D7" w:rsidRDefault="00402AE8" w:rsidP="00402AE8">
      <w:pPr>
        <w:rPr>
          <w:rFonts w:cs="Arial"/>
          <w:b/>
          <w:szCs w:val="22"/>
        </w:rPr>
      </w:pPr>
      <w:r w:rsidRPr="00D074D7">
        <w:rPr>
          <w:rFonts w:cs="Arial"/>
          <w:szCs w:val="22"/>
        </w:rPr>
        <w:t>SAY</w:t>
      </w:r>
      <w:proofErr w:type="gramStart"/>
      <w:r w:rsidRPr="00D074D7">
        <w:rPr>
          <w:rFonts w:cs="Arial"/>
          <w:b/>
          <w:szCs w:val="22"/>
        </w:rPr>
        <w:t>:  “</w:t>
      </w:r>
      <w:proofErr w:type="gramEnd"/>
      <w:r w:rsidRPr="00D074D7">
        <w:rPr>
          <w:rFonts w:cs="Arial"/>
          <w:b/>
          <w:i/>
          <w:szCs w:val="22"/>
        </w:rPr>
        <w:t>Before commencing this interview, I must remind you that you are entitled to have a solicitor present. Do you wish to have a solicitor present</w:t>
      </w:r>
      <w:r w:rsidRPr="00D074D7">
        <w:rPr>
          <w:rFonts w:cs="Arial"/>
          <w:b/>
          <w:szCs w:val="22"/>
        </w:rPr>
        <w:t>”?</w:t>
      </w:r>
    </w:p>
    <w:p w14:paraId="395A30F0" w14:textId="77777777" w:rsidR="00402AE8" w:rsidRPr="00D074D7" w:rsidRDefault="00402AE8" w:rsidP="00402AE8">
      <w:pPr>
        <w:rPr>
          <w:rFonts w:cs="Arial"/>
          <w:b/>
          <w:szCs w:val="22"/>
        </w:rPr>
      </w:pPr>
    </w:p>
    <w:p w14:paraId="54143DF4" w14:textId="77777777" w:rsidR="00402AE8" w:rsidRPr="00D074D7" w:rsidRDefault="00402AE8" w:rsidP="00402AE8">
      <w:pPr>
        <w:rPr>
          <w:rFonts w:cs="Arial"/>
          <w:szCs w:val="22"/>
        </w:rPr>
      </w:pPr>
      <w:r w:rsidRPr="00D074D7">
        <w:rPr>
          <w:rFonts w:cs="Arial"/>
          <w:szCs w:val="22"/>
        </w:rPr>
        <w:t>ADMINISTER CAUTION.</w:t>
      </w:r>
    </w:p>
    <w:p w14:paraId="2799A085" w14:textId="77777777" w:rsidR="00402AE8" w:rsidRPr="00D074D7" w:rsidRDefault="00402AE8" w:rsidP="00402AE8">
      <w:pPr>
        <w:rPr>
          <w:rFonts w:cs="Arial"/>
          <w:szCs w:val="22"/>
        </w:rPr>
      </w:pPr>
    </w:p>
    <w:p w14:paraId="4BAFD0DA" w14:textId="77777777" w:rsidR="00402AE8" w:rsidRPr="00D074D7" w:rsidRDefault="00402AE8" w:rsidP="00402AE8">
      <w:pPr>
        <w:rPr>
          <w:rFonts w:cs="Arial"/>
          <w:szCs w:val="22"/>
        </w:rPr>
      </w:pPr>
      <w:r w:rsidRPr="00D074D7">
        <w:rPr>
          <w:rFonts w:cs="Arial"/>
          <w:b/>
          <w:szCs w:val="22"/>
        </w:rPr>
        <w:t>[ADD CAUTION]. “</w:t>
      </w:r>
      <w:r w:rsidRPr="00D074D7">
        <w:rPr>
          <w:rFonts w:cs="Arial"/>
          <w:b/>
          <w:i/>
          <w:szCs w:val="22"/>
        </w:rPr>
        <w:t>Do you understand this</w:t>
      </w:r>
      <w:r w:rsidRPr="00D074D7">
        <w:rPr>
          <w:rFonts w:cs="Arial"/>
          <w:b/>
          <w:szCs w:val="22"/>
        </w:rPr>
        <w:t xml:space="preserve">”? </w:t>
      </w:r>
      <w:r w:rsidRPr="00D074D7">
        <w:rPr>
          <w:rFonts w:cs="Arial"/>
          <w:szCs w:val="22"/>
        </w:rPr>
        <w:t xml:space="preserve">[Confirm the </w:t>
      </w:r>
      <w:r w:rsidR="00747E04" w:rsidRPr="00D074D7">
        <w:rPr>
          <w:rFonts w:cs="Arial"/>
          <w:szCs w:val="22"/>
        </w:rPr>
        <w:t>interviewee understands</w:t>
      </w:r>
      <w:r w:rsidRPr="00D074D7">
        <w:rPr>
          <w:rFonts w:cs="Arial"/>
          <w:szCs w:val="22"/>
        </w:rPr>
        <w:t xml:space="preserve"> of the caution].</w:t>
      </w:r>
    </w:p>
    <w:p w14:paraId="32EC206D" w14:textId="77777777" w:rsidR="00402AE8" w:rsidRPr="00D074D7" w:rsidRDefault="00402AE8" w:rsidP="00402AE8">
      <w:pPr>
        <w:rPr>
          <w:rFonts w:cs="Arial"/>
          <w:szCs w:val="22"/>
        </w:rPr>
      </w:pPr>
    </w:p>
    <w:p w14:paraId="27A4B849" w14:textId="77777777" w:rsidR="00402AE8" w:rsidRPr="00D074D7" w:rsidRDefault="00402AE8" w:rsidP="00402AE8">
      <w:pPr>
        <w:rPr>
          <w:rFonts w:cs="Arial"/>
          <w:b/>
          <w:szCs w:val="22"/>
        </w:rPr>
      </w:pPr>
      <w:r w:rsidRPr="00D074D7">
        <w:rPr>
          <w:rFonts w:cs="Arial"/>
          <w:szCs w:val="22"/>
        </w:rPr>
        <w:t xml:space="preserve">THEN SAY </w:t>
      </w:r>
      <w:r w:rsidRPr="00D074D7">
        <w:rPr>
          <w:rFonts w:cs="Arial"/>
          <w:b/>
          <w:szCs w:val="22"/>
        </w:rPr>
        <w:t>“</w:t>
      </w:r>
      <w:r w:rsidRPr="00D074D7">
        <w:rPr>
          <w:rFonts w:cs="Arial"/>
          <w:b/>
          <w:i/>
          <w:szCs w:val="22"/>
        </w:rPr>
        <w:t>I am NOT using the powers given to me under Section 20 of the 1974 Health and Safety at Work etc. Act, or Schedule 8 of the Energy Act 2013 during this interview. This means that you do NOT have to answer my questions if you do NOT wish to do so. Do you understand this? You are not under arrest and are free to leave any time. Do you understand this</w:t>
      </w:r>
      <w:r w:rsidRPr="00D074D7">
        <w:rPr>
          <w:rFonts w:cs="Arial"/>
          <w:b/>
          <w:szCs w:val="22"/>
        </w:rPr>
        <w:t xml:space="preserve">”? </w:t>
      </w:r>
      <w:r w:rsidRPr="00D074D7">
        <w:rPr>
          <w:rFonts w:cs="Arial"/>
          <w:szCs w:val="22"/>
        </w:rPr>
        <w:t xml:space="preserve">[Confirm </w:t>
      </w:r>
      <w:r w:rsidR="00747E04" w:rsidRPr="00D074D7">
        <w:rPr>
          <w:rFonts w:cs="Arial"/>
          <w:szCs w:val="22"/>
        </w:rPr>
        <w:t>interviewee understands</w:t>
      </w:r>
      <w:r w:rsidRPr="00D074D7">
        <w:rPr>
          <w:rFonts w:cs="Arial"/>
          <w:szCs w:val="22"/>
        </w:rPr>
        <w:t>].</w:t>
      </w:r>
    </w:p>
    <w:p w14:paraId="753E9551" w14:textId="77777777" w:rsidR="00402AE8" w:rsidRPr="00D074D7" w:rsidRDefault="00402AE8" w:rsidP="00402AE8">
      <w:pPr>
        <w:rPr>
          <w:rFonts w:cs="Arial"/>
          <w:b/>
          <w:szCs w:val="22"/>
        </w:rPr>
      </w:pPr>
    </w:p>
    <w:p w14:paraId="7CF34B98" w14:textId="77777777" w:rsidR="00387E96" w:rsidRDefault="00387E96">
      <w:pPr>
        <w:rPr>
          <w:rFonts w:cs="Arial"/>
          <w:b/>
          <w:szCs w:val="22"/>
        </w:rPr>
      </w:pPr>
      <w:r>
        <w:rPr>
          <w:rFonts w:cs="Arial"/>
          <w:b/>
          <w:szCs w:val="22"/>
        </w:rPr>
        <w:br w:type="page"/>
      </w:r>
    </w:p>
    <w:p w14:paraId="1CA7FA23" w14:textId="77777777" w:rsidR="00402AE8" w:rsidRPr="00D074D7" w:rsidRDefault="00402AE8" w:rsidP="00387E96">
      <w:pPr>
        <w:rPr>
          <w:rFonts w:cs="Arial"/>
          <w:b/>
          <w:szCs w:val="22"/>
        </w:rPr>
      </w:pPr>
      <w:r w:rsidRPr="00D074D7">
        <w:rPr>
          <w:rFonts w:cs="Arial"/>
          <w:b/>
          <w:szCs w:val="22"/>
        </w:rPr>
        <w:lastRenderedPageBreak/>
        <w:t>2B STARTING THE INTERVIEW – REPRESENTATIVE OF PARTNERSHIP / COMPANY</w:t>
      </w:r>
    </w:p>
    <w:p w14:paraId="7333C430" w14:textId="77777777" w:rsidR="00402AE8" w:rsidRPr="00D074D7" w:rsidRDefault="00402AE8" w:rsidP="00402AE8">
      <w:pPr>
        <w:jc w:val="center"/>
        <w:rPr>
          <w:rFonts w:cs="Arial"/>
          <w:b/>
          <w:szCs w:val="22"/>
        </w:rPr>
      </w:pPr>
    </w:p>
    <w:p w14:paraId="23FA5D7A" w14:textId="77777777" w:rsidR="00402AE8" w:rsidRPr="00D074D7" w:rsidRDefault="00402AE8" w:rsidP="00402AE8">
      <w:pPr>
        <w:rPr>
          <w:rFonts w:cs="Arial"/>
          <w:b/>
          <w:szCs w:val="22"/>
        </w:rPr>
      </w:pPr>
      <w:r w:rsidRPr="00D074D7">
        <w:rPr>
          <w:rFonts w:cs="Arial"/>
          <w:szCs w:val="22"/>
        </w:rPr>
        <w:t>SAY</w:t>
      </w:r>
      <w:r w:rsidRPr="00D074D7">
        <w:rPr>
          <w:rFonts w:cs="Arial"/>
          <w:b/>
          <w:szCs w:val="22"/>
        </w:rPr>
        <w:t xml:space="preserve"> “</w:t>
      </w:r>
      <w:r w:rsidRPr="00D074D7">
        <w:rPr>
          <w:rFonts w:cs="Arial"/>
          <w:b/>
          <w:i/>
          <w:szCs w:val="22"/>
        </w:rPr>
        <w:t>This interview is being recorded and is being conducted in the</w:t>
      </w:r>
      <w:r w:rsidRPr="00D074D7">
        <w:rPr>
          <w:rFonts w:cs="Arial"/>
          <w:b/>
          <w:szCs w:val="22"/>
        </w:rPr>
        <w:t xml:space="preserve"> </w:t>
      </w:r>
      <w:r w:rsidRPr="00D074D7">
        <w:rPr>
          <w:rFonts w:cs="Arial"/>
          <w:szCs w:val="22"/>
        </w:rPr>
        <w:t>[interview room]</w:t>
      </w:r>
      <w:r w:rsidRPr="00D074D7">
        <w:rPr>
          <w:rFonts w:cs="Arial"/>
          <w:b/>
          <w:szCs w:val="22"/>
        </w:rPr>
        <w:t xml:space="preserve"> </w:t>
      </w:r>
      <w:r w:rsidRPr="00D074D7">
        <w:rPr>
          <w:rFonts w:cs="Arial"/>
          <w:szCs w:val="22"/>
        </w:rPr>
        <w:t>at</w:t>
      </w:r>
      <w:r w:rsidRPr="00D074D7">
        <w:rPr>
          <w:rFonts w:cs="Arial"/>
          <w:b/>
          <w:i/>
          <w:szCs w:val="22"/>
        </w:rPr>
        <w:t xml:space="preserve"> </w:t>
      </w:r>
      <w:r w:rsidR="00B1514B" w:rsidRPr="00D074D7">
        <w:rPr>
          <w:rFonts w:cs="Arial"/>
          <w:szCs w:val="22"/>
        </w:rPr>
        <w:t>[state owner of office]</w:t>
      </w:r>
      <w:r w:rsidRPr="00D074D7">
        <w:rPr>
          <w:rFonts w:cs="Arial"/>
          <w:b/>
          <w:i/>
          <w:szCs w:val="22"/>
        </w:rPr>
        <w:t xml:space="preserve"> office at </w:t>
      </w:r>
      <w:proofErr w:type="gramStart"/>
      <w:r w:rsidRPr="00D074D7">
        <w:rPr>
          <w:rFonts w:cs="Arial"/>
          <w:b/>
          <w:i/>
          <w:szCs w:val="22"/>
        </w:rPr>
        <w:t>…..</w:t>
      </w:r>
      <w:proofErr w:type="gramEnd"/>
      <w:r w:rsidRPr="00D074D7">
        <w:rPr>
          <w:rFonts w:cs="Arial"/>
          <w:b/>
          <w:i/>
          <w:szCs w:val="22"/>
        </w:rPr>
        <w:t xml:space="preserve"> </w:t>
      </w:r>
      <w:r w:rsidRPr="00D074D7">
        <w:rPr>
          <w:rFonts w:cs="Arial"/>
          <w:szCs w:val="22"/>
        </w:rPr>
        <w:t>[address]</w:t>
      </w:r>
      <w:r w:rsidRPr="00D074D7">
        <w:rPr>
          <w:rFonts w:cs="Arial"/>
          <w:b/>
          <w:szCs w:val="22"/>
        </w:rPr>
        <w:t xml:space="preserve">. </w:t>
      </w:r>
      <w:r w:rsidRPr="00D074D7">
        <w:rPr>
          <w:rFonts w:cs="Arial"/>
          <w:b/>
          <w:i/>
          <w:szCs w:val="22"/>
        </w:rPr>
        <w:t xml:space="preserve">The date is </w:t>
      </w:r>
      <w:proofErr w:type="gramStart"/>
      <w:r w:rsidRPr="00D074D7">
        <w:rPr>
          <w:rFonts w:cs="Arial"/>
          <w:b/>
          <w:i/>
          <w:szCs w:val="22"/>
        </w:rPr>
        <w:t>…..</w:t>
      </w:r>
      <w:proofErr w:type="gramEnd"/>
      <w:r w:rsidRPr="00D074D7">
        <w:rPr>
          <w:rFonts w:cs="Arial"/>
          <w:b/>
          <w:i/>
          <w:szCs w:val="22"/>
        </w:rPr>
        <w:t xml:space="preserve"> The time is </w:t>
      </w:r>
      <w:proofErr w:type="gramStart"/>
      <w:r w:rsidRPr="00D074D7">
        <w:rPr>
          <w:rFonts w:cs="Arial"/>
          <w:b/>
          <w:i/>
          <w:szCs w:val="22"/>
        </w:rPr>
        <w:t>….</w:t>
      </w:r>
      <w:r w:rsidRPr="00D074D7">
        <w:rPr>
          <w:rFonts w:cs="Arial"/>
          <w:b/>
          <w:szCs w:val="22"/>
        </w:rPr>
        <w:t>.</w:t>
      </w:r>
      <w:proofErr w:type="gramEnd"/>
      <w:r w:rsidRPr="00D074D7">
        <w:rPr>
          <w:rFonts w:cs="Arial"/>
          <w:b/>
          <w:szCs w:val="22"/>
        </w:rPr>
        <w:t xml:space="preserve"> </w:t>
      </w:r>
      <w:r w:rsidRPr="00D074D7">
        <w:rPr>
          <w:rFonts w:cs="Arial"/>
          <w:szCs w:val="22"/>
        </w:rPr>
        <w:t>[make a note on LP73/LP73</w:t>
      </w:r>
      <w:r w:rsidR="00387E96">
        <w:rPr>
          <w:rFonts w:cs="Arial"/>
          <w:szCs w:val="22"/>
        </w:rPr>
        <w:t>/</w:t>
      </w:r>
      <w:r w:rsidRPr="00D074D7">
        <w:rPr>
          <w:rFonts w:cs="Arial"/>
          <w:szCs w:val="22"/>
        </w:rPr>
        <w:t>CD]</w:t>
      </w:r>
      <w:r w:rsidRPr="00D074D7">
        <w:rPr>
          <w:rFonts w:cs="Arial"/>
          <w:b/>
          <w:szCs w:val="22"/>
        </w:rPr>
        <w:t>.</w:t>
      </w:r>
    </w:p>
    <w:p w14:paraId="56E0C47F" w14:textId="77777777" w:rsidR="00402AE8" w:rsidRPr="00D074D7" w:rsidRDefault="00402AE8" w:rsidP="00402AE8">
      <w:pPr>
        <w:rPr>
          <w:rFonts w:cs="Arial"/>
          <w:b/>
          <w:szCs w:val="22"/>
        </w:rPr>
      </w:pPr>
      <w:r w:rsidRPr="00D074D7">
        <w:rPr>
          <w:rFonts w:cs="Arial"/>
          <w:b/>
          <w:i/>
          <w:szCs w:val="22"/>
        </w:rPr>
        <w:t>I am</w:t>
      </w:r>
      <w:r w:rsidRPr="00D074D7">
        <w:rPr>
          <w:rFonts w:cs="Arial"/>
          <w:b/>
          <w:szCs w:val="22"/>
        </w:rPr>
        <w:t xml:space="preserve"> ………… </w:t>
      </w:r>
      <w:r w:rsidRPr="00D074D7">
        <w:rPr>
          <w:rFonts w:cs="Arial"/>
          <w:b/>
          <w:i/>
          <w:szCs w:val="22"/>
        </w:rPr>
        <w:t>Other Inspectors present are …………</w:t>
      </w:r>
      <w:r w:rsidRPr="00D074D7">
        <w:rPr>
          <w:rFonts w:cs="Arial"/>
          <w:b/>
          <w:szCs w:val="22"/>
        </w:rPr>
        <w:t xml:space="preserve"> </w:t>
      </w:r>
      <w:r w:rsidRPr="00D074D7">
        <w:rPr>
          <w:rFonts w:cs="Arial"/>
          <w:szCs w:val="22"/>
        </w:rPr>
        <w:t xml:space="preserve">[Name(s) and Job title(s) to be spoken by those present </w:t>
      </w:r>
      <w:proofErr w:type="gramStart"/>
      <w:r w:rsidRPr="00D074D7">
        <w:rPr>
          <w:rFonts w:cs="Arial"/>
          <w:szCs w:val="22"/>
        </w:rPr>
        <w:t>… ]</w:t>
      </w:r>
      <w:proofErr w:type="gramEnd"/>
      <w:r w:rsidRPr="00D074D7">
        <w:rPr>
          <w:rFonts w:cs="Arial"/>
          <w:b/>
          <w:szCs w:val="22"/>
        </w:rPr>
        <w:t xml:space="preserve">. </w:t>
      </w:r>
      <w:r w:rsidRPr="00D074D7">
        <w:rPr>
          <w:rFonts w:cs="Arial"/>
          <w:b/>
          <w:i/>
          <w:szCs w:val="22"/>
        </w:rPr>
        <w:t xml:space="preserve">I am interviewing </w:t>
      </w:r>
      <w:proofErr w:type="gramStart"/>
      <w:r w:rsidRPr="00D074D7">
        <w:rPr>
          <w:rFonts w:cs="Arial"/>
          <w:b/>
          <w:i/>
          <w:szCs w:val="22"/>
        </w:rPr>
        <w:t>…..</w:t>
      </w:r>
      <w:proofErr w:type="gramEnd"/>
      <w:r w:rsidRPr="00D074D7">
        <w:rPr>
          <w:rFonts w:cs="Arial"/>
          <w:b/>
          <w:szCs w:val="22"/>
        </w:rPr>
        <w:t xml:space="preserve"> </w:t>
      </w:r>
      <w:r w:rsidRPr="00D074D7">
        <w:rPr>
          <w:rFonts w:cs="Arial"/>
          <w:szCs w:val="22"/>
        </w:rPr>
        <w:t>[</w:t>
      </w:r>
      <w:proofErr w:type="gramStart"/>
      <w:r w:rsidRPr="00D074D7">
        <w:rPr>
          <w:rFonts w:cs="Arial"/>
          <w:szCs w:val="22"/>
        </w:rPr>
        <w:t>Name]</w:t>
      </w:r>
      <w:r w:rsidRPr="00D074D7">
        <w:rPr>
          <w:rFonts w:cs="Arial"/>
          <w:b/>
          <w:szCs w:val="22"/>
        </w:rPr>
        <w:t xml:space="preserve"> </w:t>
      </w:r>
      <w:r w:rsidR="00747E04" w:rsidRPr="00D074D7">
        <w:rPr>
          <w:rFonts w:cs="Arial"/>
          <w:b/>
          <w:szCs w:val="22"/>
        </w:rPr>
        <w:t xml:space="preserve"> </w:t>
      </w:r>
      <w:r w:rsidRPr="00D074D7">
        <w:rPr>
          <w:rFonts w:cs="Arial"/>
          <w:b/>
          <w:i/>
          <w:szCs w:val="22"/>
        </w:rPr>
        <w:t>as</w:t>
      </w:r>
      <w:proofErr w:type="gramEnd"/>
      <w:r w:rsidRPr="00D074D7">
        <w:rPr>
          <w:rFonts w:cs="Arial"/>
          <w:b/>
          <w:i/>
          <w:szCs w:val="22"/>
        </w:rPr>
        <w:t xml:space="preserve"> a representative of the partnership / company</w:t>
      </w:r>
      <w:r w:rsidRPr="00D074D7">
        <w:rPr>
          <w:rFonts w:cs="Arial"/>
          <w:b/>
          <w:szCs w:val="22"/>
        </w:rPr>
        <w:t xml:space="preserve">. </w:t>
      </w:r>
      <w:r w:rsidRPr="00D074D7">
        <w:rPr>
          <w:rFonts w:cs="Arial"/>
          <w:b/>
          <w:i/>
          <w:szCs w:val="22"/>
        </w:rPr>
        <w:t>Would you please give your name, home address and date of birth</w:t>
      </w:r>
      <w:r w:rsidRPr="00D074D7">
        <w:rPr>
          <w:rFonts w:cs="Arial"/>
          <w:b/>
          <w:szCs w:val="22"/>
        </w:rPr>
        <w:t xml:space="preserve"> ………. </w:t>
      </w:r>
      <w:r w:rsidRPr="00D074D7">
        <w:rPr>
          <w:rFonts w:cs="Arial"/>
          <w:szCs w:val="22"/>
        </w:rPr>
        <w:t>[Await Answer].</w:t>
      </w:r>
      <w:r w:rsidRPr="00D074D7">
        <w:rPr>
          <w:rFonts w:cs="Arial"/>
          <w:b/>
          <w:szCs w:val="22"/>
        </w:rPr>
        <w:t xml:space="preserve"> </w:t>
      </w:r>
      <w:r w:rsidRPr="00D074D7">
        <w:rPr>
          <w:rFonts w:cs="Arial"/>
          <w:b/>
          <w:i/>
          <w:szCs w:val="22"/>
        </w:rPr>
        <w:t>Also present is ……</w:t>
      </w:r>
      <w:proofErr w:type="gramStart"/>
      <w:r w:rsidRPr="00D074D7">
        <w:rPr>
          <w:rFonts w:cs="Arial"/>
          <w:b/>
          <w:i/>
          <w:szCs w:val="22"/>
        </w:rPr>
        <w:t>…..</w:t>
      </w:r>
      <w:proofErr w:type="gramEnd"/>
      <w:r w:rsidRPr="00D074D7">
        <w:rPr>
          <w:rFonts w:cs="Arial"/>
          <w:b/>
          <w:szCs w:val="22"/>
        </w:rPr>
        <w:t xml:space="preserve"> </w:t>
      </w:r>
      <w:r w:rsidRPr="00D074D7">
        <w:rPr>
          <w:rFonts w:cs="Arial"/>
          <w:szCs w:val="22"/>
        </w:rPr>
        <w:t>[Name and role spoken by those present]</w:t>
      </w:r>
      <w:r w:rsidRPr="00D074D7">
        <w:rPr>
          <w:rFonts w:cs="Arial"/>
          <w:b/>
          <w:szCs w:val="22"/>
        </w:rPr>
        <w:t>”.</w:t>
      </w:r>
    </w:p>
    <w:p w14:paraId="07DF184D" w14:textId="77777777" w:rsidR="00402AE8" w:rsidRPr="00D074D7" w:rsidRDefault="00402AE8" w:rsidP="00402AE8">
      <w:pPr>
        <w:rPr>
          <w:rFonts w:cs="Arial"/>
          <w:b/>
          <w:szCs w:val="22"/>
        </w:rPr>
      </w:pPr>
    </w:p>
    <w:p w14:paraId="14B4057C" w14:textId="77777777" w:rsidR="00402AE8" w:rsidRPr="00D074D7" w:rsidRDefault="00402AE8" w:rsidP="00402AE8">
      <w:pPr>
        <w:rPr>
          <w:rFonts w:cs="Arial"/>
          <w:szCs w:val="22"/>
        </w:rPr>
      </w:pPr>
      <w:r w:rsidRPr="00D074D7">
        <w:rPr>
          <w:rFonts w:cs="Arial"/>
          <w:szCs w:val="22"/>
        </w:rPr>
        <w:t>IF THE INTERVIEWEE HAS NO LEGAL REPRESENTATION:</w:t>
      </w:r>
    </w:p>
    <w:p w14:paraId="594332C6" w14:textId="77777777" w:rsidR="00402AE8" w:rsidRPr="00D074D7" w:rsidRDefault="00402AE8" w:rsidP="00402AE8">
      <w:pPr>
        <w:rPr>
          <w:rFonts w:cs="Arial"/>
          <w:b/>
          <w:szCs w:val="22"/>
        </w:rPr>
      </w:pPr>
    </w:p>
    <w:p w14:paraId="01FFAFC6" w14:textId="77777777" w:rsidR="00402AE8" w:rsidRPr="00D074D7" w:rsidRDefault="00402AE8" w:rsidP="00402AE8">
      <w:pPr>
        <w:rPr>
          <w:rFonts w:cs="Arial"/>
          <w:b/>
          <w:szCs w:val="22"/>
        </w:rPr>
      </w:pPr>
      <w:r w:rsidRPr="00D074D7">
        <w:rPr>
          <w:rFonts w:cs="Arial"/>
          <w:szCs w:val="22"/>
        </w:rPr>
        <w:t xml:space="preserve">SAY </w:t>
      </w:r>
      <w:r w:rsidRPr="00D074D7">
        <w:rPr>
          <w:rFonts w:cs="Arial"/>
          <w:b/>
          <w:szCs w:val="22"/>
        </w:rPr>
        <w:t>“</w:t>
      </w:r>
      <w:r w:rsidRPr="00D074D7">
        <w:rPr>
          <w:rFonts w:cs="Arial"/>
          <w:b/>
          <w:i/>
          <w:szCs w:val="22"/>
        </w:rPr>
        <w:t>Before commencing this interview, I must remind you that you are entitled to have a solicitor present. Do you wish to have a solicitor present</w:t>
      </w:r>
      <w:proofErr w:type="gramStart"/>
      <w:r w:rsidRPr="00D074D7">
        <w:rPr>
          <w:rFonts w:cs="Arial"/>
          <w:b/>
          <w:szCs w:val="22"/>
        </w:rPr>
        <w:t>”?...</w:t>
      </w:r>
      <w:proofErr w:type="gramEnd"/>
      <w:r w:rsidRPr="00D074D7">
        <w:rPr>
          <w:rFonts w:cs="Arial"/>
          <w:b/>
          <w:szCs w:val="22"/>
        </w:rPr>
        <w:t>..</w:t>
      </w:r>
    </w:p>
    <w:p w14:paraId="4906EA3D" w14:textId="77777777" w:rsidR="00402AE8" w:rsidRPr="00D074D7" w:rsidRDefault="00402AE8" w:rsidP="00402AE8">
      <w:pPr>
        <w:rPr>
          <w:rFonts w:cs="Arial"/>
          <w:b/>
          <w:szCs w:val="22"/>
        </w:rPr>
      </w:pPr>
    </w:p>
    <w:p w14:paraId="2954FF8E" w14:textId="77777777" w:rsidR="00402AE8" w:rsidRPr="00D074D7" w:rsidRDefault="00402AE8" w:rsidP="00402AE8">
      <w:pPr>
        <w:rPr>
          <w:rFonts w:cs="Arial"/>
          <w:szCs w:val="22"/>
        </w:rPr>
      </w:pPr>
      <w:r w:rsidRPr="00D074D7">
        <w:rPr>
          <w:rFonts w:cs="Arial"/>
          <w:szCs w:val="22"/>
        </w:rPr>
        <w:t>THEN SAY:</w:t>
      </w:r>
      <w:r w:rsidRPr="00D074D7">
        <w:rPr>
          <w:rFonts w:cs="Arial"/>
          <w:szCs w:val="22"/>
        </w:rPr>
        <w:br/>
        <w:t xml:space="preserve"> </w:t>
      </w:r>
    </w:p>
    <w:p w14:paraId="3CDCA974" w14:textId="77777777" w:rsidR="00402AE8" w:rsidRPr="00D074D7" w:rsidRDefault="00402AE8" w:rsidP="00402AE8">
      <w:pPr>
        <w:rPr>
          <w:rFonts w:cs="Arial"/>
          <w:b/>
          <w:szCs w:val="22"/>
        </w:rPr>
      </w:pPr>
      <w:r w:rsidRPr="00D074D7">
        <w:rPr>
          <w:rFonts w:cs="Arial"/>
          <w:b/>
          <w:szCs w:val="22"/>
        </w:rPr>
        <w:t>“</w:t>
      </w:r>
      <w:r w:rsidRPr="00D074D7">
        <w:rPr>
          <w:rFonts w:cs="Arial"/>
          <w:b/>
          <w:i/>
          <w:szCs w:val="22"/>
        </w:rPr>
        <w:t>Please confirm which partnership / company you are authorised to speak on behalf of</w:t>
      </w:r>
      <w:r w:rsidRPr="00D074D7">
        <w:rPr>
          <w:rFonts w:cs="Arial"/>
          <w:b/>
          <w:szCs w:val="22"/>
        </w:rPr>
        <w:t>”?</w:t>
      </w:r>
    </w:p>
    <w:p w14:paraId="785D89D3" w14:textId="77777777" w:rsidR="00402AE8" w:rsidRPr="00D074D7" w:rsidRDefault="00402AE8" w:rsidP="00402AE8">
      <w:pPr>
        <w:rPr>
          <w:rFonts w:cs="Arial"/>
          <w:b/>
          <w:szCs w:val="22"/>
        </w:rPr>
      </w:pPr>
    </w:p>
    <w:p w14:paraId="377D56D1" w14:textId="77777777" w:rsidR="00402AE8" w:rsidRPr="00D074D7" w:rsidRDefault="00402AE8" w:rsidP="00402AE8">
      <w:pPr>
        <w:rPr>
          <w:rFonts w:cs="Arial"/>
          <w:b/>
          <w:szCs w:val="22"/>
        </w:rPr>
      </w:pPr>
      <w:r w:rsidRPr="00D074D7">
        <w:rPr>
          <w:rFonts w:cs="Arial"/>
          <w:b/>
          <w:szCs w:val="22"/>
        </w:rPr>
        <w:t>“</w:t>
      </w:r>
      <w:r w:rsidRPr="00D074D7">
        <w:rPr>
          <w:rFonts w:cs="Arial"/>
          <w:b/>
          <w:i/>
          <w:szCs w:val="22"/>
        </w:rPr>
        <w:t>Please confirm how you have been authorised?  Do you have written authority</w:t>
      </w:r>
      <w:r w:rsidRPr="00D074D7">
        <w:rPr>
          <w:rFonts w:cs="Arial"/>
          <w:b/>
          <w:szCs w:val="22"/>
        </w:rPr>
        <w:t xml:space="preserve">”? </w:t>
      </w:r>
      <w:r w:rsidRPr="00D074D7">
        <w:rPr>
          <w:rFonts w:cs="Arial"/>
          <w:szCs w:val="22"/>
        </w:rPr>
        <w:t>[Request sight of and confirm details of any written authority for the benefit of the recording]</w:t>
      </w:r>
      <w:r w:rsidRPr="00D074D7">
        <w:rPr>
          <w:rFonts w:cs="Arial"/>
          <w:b/>
          <w:szCs w:val="22"/>
        </w:rPr>
        <w:t>.</w:t>
      </w:r>
    </w:p>
    <w:p w14:paraId="5E7870CE" w14:textId="77777777" w:rsidR="00402AE8" w:rsidRPr="00D074D7" w:rsidRDefault="00402AE8" w:rsidP="00402AE8">
      <w:pPr>
        <w:rPr>
          <w:rFonts w:cs="Arial"/>
          <w:b/>
          <w:szCs w:val="22"/>
        </w:rPr>
      </w:pPr>
    </w:p>
    <w:p w14:paraId="4D8C89B8" w14:textId="77777777" w:rsidR="00402AE8" w:rsidRPr="00D074D7" w:rsidRDefault="00402AE8" w:rsidP="00402AE8">
      <w:pPr>
        <w:rPr>
          <w:rFonts w:cs="Arial"/>
          <w:b/>
          <w:szCs w:val="22"/>
        </w:rPr>
      </w:pPr>
    </w:p>
    <w:p w14:paraId="238C2D7D" w14:textId="77777777" w:rsidR="00402AE8" w:rsidRPr="00D074D7" w:rsidRDefault="00402AE8" w:rsidP="00402AE8">
      <w:pPr>
        <w:rPr>
          <w:rFonts w:cs="Arial"/>
          <w:szCs w:val="22"/>
        </w:rPr>
      </w:pPr>
      <w:r w:rsidRPr="00D074D7">
        <w:rPr>
          <w:rFonts w:cs="Arial"/>
          <w:szCs w:val="22"/>
        </w:rPr>
        <w:t xml:space="preserve">ADMINISTER CAUTION – You can refer to either “The </w:t>
      </w:r>
      <w:proofErr w:type="gramStart"/>
      <w:r w:rsidRPr="00D074D7">
        <w:rPr>
          <w:rFonts w:cs="Arial"/>
          <w:szCs w:val="22"/>
        </w:rPr>
        <w:t>partnership”</w:t>
      </w:r>
      <w:r w:rsidRPr="00D074D7">
        <w:rPr>
          <w:rFonts w:cs="Arial"/>
          <w:i/>
          <w:szCs w:val="22"/>
        </w:rPr>
        <w:t xml:space="preserve"> </w:t>
      </w:r>
      <w:r w:rsidRPr="00D074D7">
        <w:rPr>
          <w:rFonts w:cs="Arial"/>
          <w:b/>
          <w:i/>
          <w:szCs w:val="22"/>
        </w:rPr>
        <w:t xml:space="preserve"> </w:t>
      </w:r>
      <w:r w:rsidRPr="00D074D7">
        <w:rPr>
          <w:rFonts w:cs="Arial"/>
          <w:szCs w:val="22"/>
        </w:rPr>
        <w:t>“</w:t>
      </w:r>
      <w:proofErr w:type="gramEnd"/>
      <w:r w:rsidRPr="00D074D7">
        <w:rPr>
          <w:rFonts w:cs="Arial"/>
          <w:szCs w:val="22"/>
        </w:rPr>
        <w:t>The company” or “Your company”. ‘The company’ is used below.</w:t>
      </w:r>
    </w:p>
    <w:p w14:paraId="53B9DF7D" w14:textId="77777777" w:rsidR="00402AE8" w:rsidRPr="00D074D7" w:rsidRDefault="00402AE8" w:rsidP="00402AE8">
      <w:pPr>
        <w:rPr>
          <w:rFonts w:cs="Arial"/>
          <w:szCs w:val="22"/>
        </w:rPr>
      </w:pPr>
    </w:p>
    <w:p w14:paraId="1CBF9867" w14:textId="77777777" w:rsidR="00402AE8" w:rsidRPr="00D074D7" w:rsidRDefault="00402AE8" w:rsidP="00402AE8">
      <w:pPr>
        <w:rPr>
          <w:rFonts w:cs="Arial"/>
          <w:b/>
          <w:i/>
          <w:szCs w:val="22"/>
        </w:rPr>
      </w:pPr>
      <w:r w:rsidRPr="00D074D7">
        <w:rPr>
          <w:rFonts w:cs="Arial"/>
          <w:szCs w:val="22"/>
        </w:rPr>
        <w:t>SAY</w:t>
      </w:r>
      <w:r w:rsidRPr="00D074D7">
        <w:rPr>
          <w:rFonts w:cs="Arial"/>
          <w:b/>
          <w:szCs w:val="22"/>
        </w:rPr>
        <w:t xml:space="preserve"> “</w:t>
      </w:r>
      <w:r w:rsidRPr="00D074D7">
        <w:rPr>
          <w:rFonts w:cs="Arial"/>
          <w:b/>
          <w:i/>
          <w:szCs w:val="22"/>
        </w:rPr>
        <w:t>AS A PERSON IN A POSITION TO MAKE AN ADMISSION ON BEHALF OF ……</w:t>
      </w:r>
      <w:proofErr w:type="gramStart"/>
      <w:r w:rsidRPr="00D074D7">
        <w:rPr>
          <w:rFonts w:cs="Arial"/>
          <w:b/>
          <w:i/>
          <w:szCs w:val="22"/>
        </w:rPr>
        <w:t>…..</w:t>
      </w:r>
      <w:proofErr w:type="gramEnd"/>
      <w:r w:rsidRPr="00D074D7">
        <w:rPr>
          <w:rFonts w:cs="Arial"/>
          <w:b/>
          <w:i/>
          <w:szCs w:val="22"/>
        </w:rPr>
        <w:t xml:space="preserve"> </w:t>
      </w:r>
      <w:r w:rsidRPr="00D074D7">
        <w:rPr>
          <w:rFonts w:cs="Arial"/>
          <w:szCs w:val="22"/>
        </w:rPr>
        <w:t>[Name of Company],</w:t>
      </w:r>
      <w:r w:rsidRPr="00D074D7">
        <w:rPr>
          <w:rFonts w:cs="Arial"/>
          <w:b/>
          <w:i/>
          <w:szCs w:val="22"/>
        </w:rPr>
        <w:t xml:space="preserve"> I AM NOW GOING TO CAUTION YOU AS A REPRESENTATIVE OF THE COMPANY……</w:t>
      </w:r>
      <w:proofErr w:type="gramStart"/>
      <w:r w:rsidRPr="00D074D7">
        <w:rPr>
          <w:rFonts w:cs="Arial"/>
          <w:b/>
          <w:i/>
          <w:szCs w:val="22"/>
        </w:rPr>
        <w:t>…..</w:t>
      </w:r>
      <w:proofErr w:type="gramEnd"/>
      <w:r w:rsidRPr="00D074D7">
        <w:rPr>
          <w:rFonts w:cs="Arial"/>
          <w:b/>
          <w:szCs w:val="22"/>
        </w:rPr>
        <w:t>”</w:t>
      </w:r>
      <w:r w:rsidRPr="00D074D7">
        <w:rPr>
          <w:rFonts w:cs="Arial"/>
          <w:b/>
          <w:i/>
          <w:szCs w:val="22"/>
        </w:rPr>
        <w:t xml:space="preserve"> </w:t>
      </w:r>
    </w:p>
    <w:p w14:paraId="7D4660A9" w14:textId="77777777" w:rsidR="00402AE8" w:rsidRPr="00D074D7" w:rsidRDefault="00402AE8" w:rsidP="00402AE8">
      <w:pPr>
        <w:rPr>
          <w:rFonts w:cs="Arial"/>
          <w:b/>
          <w:i/>
          <w:szCs w:val="22"/>
        </w:rPr>
      </w:pPr>
    </w:p>
    <w:p w14:paraId="0FF72AE9" w14:textId="77777777" w:rsidR="00402AE8" w:rsidRPr="00D074D7" w:rsidRDefault="00402AE8" w:rsidP="00402AE8">
      <w:pPr>
        <w:rPr>
          <w:rFonts w:cs="Arial"/>
          <w:szCs w:val="22"/>
        </w:rPr>
      </w:pPr>
      <w:r w:rsidRPr="00D074D7">
        <w:rPr>
          <w:rFonts w:cs="Arial"/>
          <w:b/>
          <w:i/>
          <w:szCs w:val="22"/>
        </w:rPr>
        <w:t>[INSERT APPROPRIATE CAUTION] “Do you understand this</w:t>
      </w:r>
      <w:r w:rsidRPr="00D074D7">
        <w:rPr>
          <w:rFonts w:cs="Arial"/>
          <w:b/>
          <w:szCs w:val="22"/>
        </w:rPr>
        <w:t xml:space="preserve">”? </w:t>
      </w:r>
      <w:r w:rsidRPr="00D074D7">
        <w:rPr>
          <w:rFonts w:cs="Arial"/>
          <w:szCs w:val="22"/>
        </w:rPr>
        <w:t xml:space="preserve">[Confirm </w:t>
      </w:r>
      <w:r w:rsidR="00747E04" w:rsidRPr="00D074D7">
        <w:rPr>
          <w:rFonts w:cs="Arial"/>
          <w:szCs w:val="22"/>
        </w:rPr>
        <w:t>interviewee understands</w:t>
      </w:r>
      <w:r w:rsidRPr="00D074D7">
        <w:rPr>
          <w:rFonts w:cs="Arial"/>
          <w:szCs w:val="22"/>
        </w:rPr>
        <w:t xml:space="preserve"> of the caution].</w:t>
      </w:r>
    </w:p>
    <w:p w14:paraId="1835D555" w14:textId="77777777" w:rsidR="00402AE8" w:rsidRPr="00D074D7" w:rsidRDefault="00402AE8" w:rsidP="00402AE8">
      <w:pPr>
        <w:rPr>
          <w:rFonts w:cs="Arial"/>
          <w:szCs w:val="22"/>
        </w:rPr>
      </w:pPr>
    </w:p>
    <w:p w14:paraId="6445E98E" w14:textId="77777777" w:rsidR="00402AE8" w:rsidRPr="00D074D7" w:rsidRDefault="00402AE8" w:rsidP="00402AE8">
      <w:pPr>
        <w:rPr>
          <w:rFonts w:cs="Arial"/>
          <w:b/>
          <w:szCs w:val="22"/>
        </w:rPr>
      </w:pPr>
      <w:r w:rsidRPr="00D074D7">
        <w:rPr>
          <w:rFonts w:cs="Arial"/>
          <w:szCs w:val="22"/>
        </w:rPr>
        <w:t xml:space="preserve">THEN SAY </w:t>
      </w:r>
      <w:r w:rsidRPr="00D074D7">
        <w:rPr>
          <w:rFonts w:cs="Arial"/>
          <w:b/>
          <w:szCs w:val="22"/>
        </w:rPr>
        <w:t>“</w:t>
      </w:r>
      <w:r w:rsidRPr="00D074D7">
        <w:rPr>
          <w:rFonts w:cs="Arial"/>
          <w:b/>
          <w:i/>
          <w:szCs w:val="22"/>
        </w:rPr>
        <w:t>I am NOT using the powers given to me under Section 20 of the 1974 Health and Safety at Work etc. Act or Schedule 8 of the Energy Act 2013 during this interview. This means that you do NOT have to answer any questions on behalf of the company if you do NOT wish to do so. Do you understand this</w:t>
      </w:r>
      <w:r w:rsidRPr="00D074D7">
        <w:rPr>
          <w:rFonts w:cs="Arial"/>
          <w:b/>
          <w:szCs w:val="22"/>
        </w:rPr>
        <w:t xml:space="preserve">?... </w:t>
      </w:r>
      <w:r w:rsidRPr="00D074D7">
        <w:rPr>
          <w:rFonts w:cs="Arial"/>
          <w:b/>
          <w:i/>
          <w:szCs w:val="22"/>
        </w:rPr>
        <w:t>You are not under arrest and are free to leave any time. Do you understand this</w:t>
      </w:r>
      <w:r w:rsidRPr="00D074D7">
        <w:rPr>
          <w:rFonts w:cs="Arial"/>
          <w:b/>
          <w:szCs w:val="22"/>
        </w:rPr>
        <w:t xml:space="preserve">”? </w:t>
      </w:r>
      <w:r w:rsidRPr="00D074D7">
        <w:rPr>
          <w:rFonts w:cs="Arial"/>
          <w:szCs w:val="22"/>
        </w:rPr>
        <w:t>[Confirm interviewee’s understanding].</w:t>
      </w:r>
    </w:p>
    <w:p w14:paraId="691DD7F5" w14:textId="77777777" w:rsidR="00402AE8" w:rsidRPr="00D074D7" w:rsidRDefault="00402AE8" w:rsidP="00402AE8">
      <w:pPr>
        <w:rPr>
          <w:rFonts w:cs="Arial"/>
          <w:b/>
          <w:szCs w:val="22"/>
        </w:rPr>
      </w:pPr>
    </w:p>
    <w:p w14:paraId="38F2B702" w14:textId="77777777" w:rsidR="00402AE8" w:rsidRPr="00D074D7" w:rsidRDefault="00402AE8" w:rsidP="00402AE8">
      <w:pPr>
        <w:jc w:val="center"/>
        <w:rPr>
          <w:rFonts w:cs="Arial"/>
          <w:b/>
          <w:szCs w:val="22"/>
        </w:rPr>
      </w:pPr>
      <w:r w:rsidRPr="00D074D7">
        <w:rPr>
          <w:rFonts w:cs="Arial"/>
          <w:b/>
          <w:szCs w:val="22"/>
        </w:rPr>
        <w:t xml:space="preserve">3 </w:t>
      </w:r>
      <w:proofErr w:type="gramStart"/>
      <w:r w:rsidRPr="00D074D7">
        <w:rPr>
          <w:rFonts w:cs="Arial"/>
          <w:b/>
          <w:szCs w:val="22"/>
        </w:rPr>
        <w:t>REFUSAL</w:t>
      </w:r>
      <w:proofErr w:type="gramEnd"/>
      <w:r w:rsidRPr="00D074D7">
        <w:rPr>
          <w:rFonts w:cs="Arial"/>
          <w:b/>
          <w:szCs w:val="22"/>
        </w:rPr>
        <w:t xml:space="preserve"> TO HAVE INTERVIEW RECORDED</w:t>
      </w:r>
    </w:p>
    <w:p w14:paraId="52639BDF" w14:textId="77777777" w:rsidR="00402AE8" w:rsidRPr="00D074D7" w:rsidRDefault="00402AE8" w:rsidP="00402AE8">
      <w:pPr>
        <w:jc w:val="center"/>
        <w:rPr>
          <w:rFonts w:cs="Arial"/>
          <w:b/>
          <w:szCs w:val="22"/>
        </w:rPr>
      </w:pPr>
    </w:p>
    <w:p w14:paraId="525F932D" w14:textId="77777777" w:rsidR="00402AE8" w:rsidRPr="00D074D7" w:rsidRDefault="00402AE8" w:rsidP="00402AE8">
      <w:pPr>
        <w:rPr>
          <w:rFonts w:cs="Arial"/>
          <w:szCs w:val="22"/>
        </w:rPr>
      </w:pPr>
      <w:r w:rsidRPr="00D074D7">
        <w:rPr>
          <w:rFonts w:cs="Arial"/>
          <w:szCs w:val="22"/>
        </w:rPr>
        <w:t>Explain that recording will provide a clear and undisputed account. Switch on and introduce interview as normal if objection continues record the objections. Once objections are recorded or if suspect will not speak, SAY</w:t>
      </w:r>
      <w:r w:rsidRPr="00D074D7">
        <w:rPr>
          <w:rFonts w:cs="Arial"/>
          <w:b/>
          <w:szCs w:val="22"/>
        </w:rPr>
        <w:t xml:space="preserve"> </w:t>
      </w:r>
      <w:proofErr w:type="gramStart"/>
      <w:r w:rsidRPr="00D074D7">
        <w:rPr>
          <w:rFonts w:cs="Arial"/>
          <w:b/>
          <w:szCs w:val="22"/>
        </w:rPr>
        <w:t xml:space="preserve">“ </w:t>
      </w:r>
      <w:r w:rsidRPr="00D074D7">
        <w:rPr>
          <w:rFonts w:cs="Arial"/>
          <w:b/>
          <w:i/>
          <w:szCs w:val="22"/>
        </w:rPr>
        <w:t>I</w:t>
      </w:r>
      <w:proofErr w:type="gramEnd"/>
      <w:r w:rsidRPr="00D074D7">
        <w:rPr>
          <w:rFonts w:cs="Arial"/>
          <w:b/>
          <w:i/>
          <w:szCs w:val="22"/>
        </w:rPr>
        <w:t xml:space="preserve"> am switching off the recorder because ….</w:t>
      </w:r>
      <w:r w:rsidRPr="00D074D7">
        <w:rPr>
          <w:rFonts w:cs="Arial"/>
          <w:b/>
          <w:szCs w:val="22"/>
        </w:rPr>
        <w:t xml:space="preserve"> </w:t>
      </w:r>
      <w:proofErr w:type="gramStart"/>
      <w:r w:rsidRPr="00D074D7">
        <w:rPr>
          <w:rFonts w:cs="Arial"/>
          <w:b/>
          <w:szCs w:val="22"/>
        </w:rPr>
        <w:t xml:space="preserve">“ </w:t>
      </w:r>
      <w:r w:rsidRPr="00D074D7">
        <w:rPr>
          <w:rFonts w:cs="Arial"/>
          <w:szCs w:val="22"/>
        </w:rPr>
        <w:t>If</w:t>
      </w:r>
      <w:proofErr w:type="gramEnd"/>
      <w:r w:rsidRPr="00D074D7">
        <w:rPr>
          <w:rFonts w:cs="Arial"/>
          <w:szCs w:val="22"/>
        </w:rPr>
        <w:t xml:space="preserve"> possible continue with contemporaneous notes.</w:t>
      </w:r>
    </w:p>
    <w:p w14:paraId="379E0508" w14:textId="77777777" w:rsidR="00402AE8" w:rsidRPr="00D074D7" w:rsidRDefault="00402AE8" w:rsidP="00402AE8">
      <w:pPr>
        <w:rPr>
          <w:rFonts w:cs="Arial"/>
          <w:szCs w:val="22"/>
        </w:rPr>
      </w:pPr>
    </w:p>
    <w:p w14:paraId="4433DC06" w14:textId="77777777" w:rsidR="00402AE8" w:rsidRPr="00D074D7" w:rsidRDefault="00402AE8" w:rsidP="00402AE8">
      <w:pPr>
        <w:jc w:val="center"/>
        <w:rPr>
          <w:rFonts w:cs="Arial"/>
          <w:b/>
          <w:szCs w:val="22"/>
        </w:rPr>
      </w:pPr>
      <w:r w:rsidRPr="00D074D7">
        <w:rPr>
          <w:rFonts w:cs="Arial"/>
          <w:b/>
          <w:szCs w:val="22"/>
        </w:rPr>
        <w:t>4 MECHANICAL BREAK-DOWN DURING THE INTERVIEW</w:t>
      </w:r>
    </w:p>
    <w:p w14:paraId="148C9D09" w14:textId="77777777" w:rsidR="00402AE8" w:rsidRPr="00D074D7" w:rsidRDefault="00402AE8" w:rsidP="00402AE8">
      <w:pPr>
        <w:jc w:val="center"/>
        <w:rPr>
          <w:rFonts w:cs="Arial"/>
          <w:b/>
          <w:szCs w:val="22"/>
        </w:rPr>
      </w:pPr>
    </w:p>
    <w:p w14:paraId="7171275A" w14:textId="77777777" w:rsidR="00402AE8" w:rsidRPr="00D074D7" w:rsidRDefault="00402AE8" w:rsidP="00402AE8">
      <w:pPr>
        <w:rPr>
          <w:rFonts w:cs="Arial"/>
          <w:szCs w:val="22"/>
        </w:rPr>
      </w:pPr>
      <w:r w:rsidRPr="00D074D7">
        <w:rPr>
          <w:rFonts w:cs="Arial"/>
          <w:szCs w:val="22"/>
        </w:rPr>
        <w:t>Alarm sounds continuously. Refer to message on the recorder alarm display. Otherwise press stop button; check for correct loading or CD damage; check connection of leads; then attempt to restart machine. If successful, resume interview explaining what has happened. If alarm continues, switch off and continue interview using contemporaneous notes.</w:t>
      </w:r>
      <w:r w:rsidRPr="00D074D7">
        <w:rPr>
          <w:rFonts w:cs="Arial"/>
          <w:szCs w:val="22"/>
        </w:rPr>
        <w:br/>
      </w:r>
    </w:p>
    <w:p w14:paraId="1CFF93AB" w14:textId="77777777" w:rsidR="00402AE8" w:rsidRPr="00D074D7" w:rsidRDefault="00402AE8" w:rsidP="00402AE8">
      <w:pPr>
        <w:jc w:val="center"/>
        <w:rPr>
          <w:rFonts w:cs="Arial"/>
          <w:b/>
          <w:szCs w:val="22"/>
        </w:rPr>
      </w:pPr>
      <w:r w:rsidRPr="00D074D7">
        <w:rPr>
          <w:rFonts w:cs="Arial"/>
          <w:b/>
          <w:szCs w:val="22"/>
        </w:rPr>
        <w:t>5 CHANGING THE CD</w:t>
      </w:r>
    </w:p>
    <w:p w14:paraId="13D0D739" w14:textId="77777777" w:rsidR="00402AE8" w:rsidRPr="00D074D7" w:rsidRDefault="00402AE8" w:rsidP="00402AE8">
      <w:pPr>
        <w:jc w:val="center"/>
        <w:rPr>
          <w:rFonts w:cs="Arial"/>
          <w:b/>
          <w:szCs w:val="22"/>
        </w:rPr>
      </w:pPr>
    </w:p>
    <w:p w14:paraId="4DDD5FDA" w14:textId="77777777" w:rsidR="00402AE8" w:rsidRPr="00D074D7" w:rsidRDefault="00402AE8" w:rsidP="00402AE8">
      <w:pPr>
        <w:rPr>
          <w:rFonts w:cs="Arial"/>
          <w:szCs w:val="22"/>
        </w:rPr>
      </w:pPr>
      <w:r w:rsidRPr="00D074D7">
        <w:rPr>
          <w:rFonts w:cs="Arial"/>
          <w:szCs w:val="22"/>
        </w:rPr>
        <w:t>Alarm sounds briefly, explain alarm to the interviewee. Conclude that part of the interview, stating time and that you are switching off the recorder. Switch off the recorder. Remove and mark t</w:t>
      </w:r>
      <w:r w:rsidR="00387E96">
        <w:rPr>
          <w:rFonts w:cs="Arial"/>
          <w:szCs w:val="22"/>
        </w:rPr>
        <w:t>he</w:t>
      </w:r>
      <w:r w:rsidRPr="00D074D7">
        <w:rPr>
          <w:rFonts w:cs="Arial"/>
          <w:szCs w:val="22"/>
        </w:rPr>
        <w:t xml:space="preserve"> CDs (</w:t>
      </w:r>
      <w:proofErr w:type="gramStart"/>
      <w:r w:rsidRPr="00D074D7">
        <w:rPr>
          <w:rFonts w:cs="Arial"/>
          <w:szCs w:val="22"/>
        </w:rPr>
        <w:t>e.g.</w:t>
      </w:r>
      <w:proofErr w:type="gramEnd"/>
      <w:r w:rsidRPr="00D074D7">
        <w:rPr>
          <w:rFonts w:cs="Arial"/>
          <w:szCs w:val="22"/>
        </w:rPr>
        <w:t xml:space="preserve"> M1, W1, D1 - Duty Holder). It is not necessary to seal and label them at this sta</w:t>
      </w:r>
      <w:r w:rsidR="00747E04" w:rsidRPr="00D074D7">
        <w:rPr>
          <w:rFonts w:cs="Arial"/>
          <w:szCs w:val="22"/>
        </w:rPr>
        <w:t>ge. Prepare new ONR LP75</w:t>
      </w:r>
      <w:r w:rsidRPr="00D074D7">
        <w:rPr>
          <w:rFonts w:cs="Arial"/>
          <w:szCs w:val="22"/>
        </w:rPr>
        <w:t xml:space="preserve"> per stage 1. Open new set of CDs, load machine, switch on, sta</w:t>
      </w:r>
      <w:r w:rsidR="00747E04" w:rsidRPr="00D074D7">
        <w:rPr>
          <w:rFonts w:cs="Arial"/>
          <w:szCs w:val="22"/>
        </w:rPr>
        <w:t>te time [note on ONR LP 75</w:t>
      </w:r>
      <w:r w:rsidRPr="00D074D7">
        <w:rPr>
          <w:rFonts w:cs="Arial"/>
          <w:szCs w:val="22"/>
        </w:rPr>
        <w:t>], why the break occurred, verify persons present, that no one has left the room and get interviewee to confirm that they are still under caution [if there is any doubt, re-administer caution] and resume the interview.</w:t>
      </w:r>
    </w:p>
    <w:p w14:paraId="40B3063D" w14:textId="77777777" w:rsidR="00402AE8" w:rsidRPr="00D074D7" w:rsidRDefault="00402AE8" w:rsidP="00402AE8">
      <w:pPr>
        <w:rPr>
          <w:rFonts w:cs="Arial"/>
          <w:szCs w:val="22"/>
        </w:rPr>
      </w:pPr>
    </w:p>
    <w:p w14:paraId="2F03160C" w14:textId="77777777" w:rsidR="00402AE8" w:rsidRPr="00D074D7" w:rsidRDefault="00402AE8" w:rsidP="00402AE8">
      <w:pPr>
        <w:jc w:val="center"/>
        <w:rPr>
          <w:rFonts w:cs="Arial"/>
          <w:b/>
          <w:szCs w:val="22"/>
        </w:rPr>
      </w:pPr>
      <w:r w:rsidRPr="00D074D7">
        <w:rPr>
          <w:rFonts w:cs="Arial"/>
          <w:b/>
          <w:szCs w:val="22"/>
        </w:rPr>
        <w:t>6 BREAKS IN INTERVIEW</w:t>
      </w:r>
    </w:p>
    <w:p w14:paraId="24719391" w14:textId="77777777" w:rsidR="00402AE8" w:rsidRPr="00D074D7" w:rsidRDefault="00402AE8" w:rsidP="00402AE8">
      <w:pPr>
        <w:jc w:val="center"/>
        <w:rPr>
          <w:rFonts w:cs="Arial"/>
          <w:b/>
          <w:szCs w:val="22"/>
        </w:rPr>
      </w:pPr>
    </w:p>
    <w:p w14:paraId="3436E6E9" w14:textId="77777777" w:rsidR="00402AE8" w:rsidRPr="00D074D7" w:rsidRDefault="00402AE8" w:rsidP="00402AE8">
      <w:pPr>
        <w:rPr>
          <w:rFonts w:cs="Arial"/>
          <w:szCs w:val="22"/>
        </w:rPr>
      </w:pPr>
      <w:r w:rsidRPr="00D074D7">
        <w:rPr>
          <w:rFonts w:cs="Arial"/>
          <w:szCs w:val="22"/>
        </w:rPr>
        <w:t>Do not stop the recording without good reason. State the time and reason for the break, then stop the machine.</w:t>
      </w:r>
    </w:p>
    <w:p w14:paraId="39454C31" w14:textId="77777777" w:rsidR="00402AE8" w:rsidRPr="00D074D7" w:rsidRDefault="00402AE8" w:rsidP="00402AE8">
      <w:pPr>
        <w:rPr>
          <w:rFonts w:cs="Arial"/>
          <w:szCs w:val="22"/>
        </w:rPr>
      </w:pPr>
    </w:p>
    <w:p w14:paraId="3288BB95" w14:textId="77777777" w:rsidR="00402AE8" w:rsidRPr="00D074D7" w:rsidRDefault="00402AE8" w:rsidP="00402AE8">
      <w:pPr>
        <w:rPr>
          <w:rFonts w:cs="Arial"/>
          <w:szCs w:val="22"/>
        </w:rPr>
      </w:pPr>
      <w:r w:rsidRPr="00D074D7">
        <w:rPr>
          <w:rFonts w:cs="Arial"/>
          <w:b/>
          <w:szCs w:val="22"/>
        </w:rPr>
        <w:t xml:space="preserve">a)  If no one leaves the room </w:t>
      </w:r>
      <w:proofErr w:type="gramStart"/>
      <w:r w:rsidRPr="00D074D7">
        <w:rPr>
          <w:rFonts w:cs="Arial"/>
          <w:b/>
          <w:szCs w:val="22"/>
        </w:rPr>
        <w:t>-</w:t>
      </w:r>
      <w:r w:rsidRPr="00D074D7">
        <w:rPr>
          <w:rFonts w:cs="Arial"/>
          <w:szCs w:val="22"/>
        </w:rPr>
        <w:t xml:space="preserve">  At</w:t>
      </w:r>
      <w:proofErr w:type="gramEnd"/>
      <w:r w:rsidRPr="00D074D7">
        <w:rPr>
          <w:rFonts w:cs="Arial"/>
          <w:szCs w:val="22"/>
        </w:rPr>
        <w:t xml:space="preserve"> the end of the break, restart the machine, state the time, why the break occurred, verify persons present, that no one has left the room and get interviewee to confirm that he/she is still under caution [</w:t>
      </w:r>
      <w:bookmarkStart w:id="22" w:name="OLE_LINK1"/>
      <w:r w:rsidRPr="00D074D7">
        <w:rPr>
          <w:rFonts w:cs="Arial"/>
          <w:szCs w:val="22"/>
        </w:rPr>
        <w:t xml:space="preserve">if there is any doubt, </w:t>
      </w:r>
      <w:bookmarkEnd w:id="22"/>
      <w:r w:rsidRPr="00D074D7">
        <w:rPr>
          <w:rFonts w:cs="Arial"/>
          <w:szCs w:val="22"/>
        </w:rPr>
        <w:t>re-administer the caution] and resume the interview.</w:t>
      </w:r>
    </w:p>
    <w:p w14:paraId="42911D6B" w14:textId="77777777" w:rsidR="00402AE8" w:rsidRPr="00D074D7" w:rsidRDefault="00402AE8" w:rsidP="00402AE8">
      <w:pPr>
        <w:rPr>
          <w:rFonts w:cs="Arial"/>
          <w:szCs w:val="22"/>
        </w:rPr>
      </w:pPr>
      <w:r w:rsidRPr="00D074D7">
        <w:rPr>
          <w:rFonts w:cs="Arial"/>
          <w:szCs w:val="22"/>
        </w:rPr>
        <w:br/>
      </w:r>
      <w:r w:rsidRPr="00D074D7">
        <w:rPr>
          <w:rFonts w:cs="Arial"/>
          <w:b/>
          <w:szCs w:val="22"/>
        </w:rPr>
        <w:t xml:space="preserve">b)  If the interviewee or interviewers leave the room – </w:t>
      </w:r>
      <w:r w:rsidRPr="00D074D7">
        <w:rPr>
          <w:rFonts w:cs="Arial"/>
          <w:szCs w:val="22"/>
        </w:rPr>
        <w:t>Switch off the recorder. Remove the CDs. Seal and label one as the master and the other as a working copy (CD - label 3</w:t>
      </w:r>
      <w:r w:rsidRPr="00D074D7">
        <w:rPr>
          <w:rFonts w:cs="Arial"/>
          <w:szCs w:val="22"/>
          <w:vertAlign w:val="superscript"/>
        </w:rPr>
        <w:t>rd</w:t>
      </w:r>
      <w:r w:rsidRPr="00D074D7">
        <w:rPr>
          <w:rFonts w:cs="Arial"/>
          <w:szCs w:val="22"/>
        </w:rPr>
        <w:t xml:space="preserve"> as duty holder copy). The interviewee, interviewers and third party should sign the master seal before they or the interviewers leave the room. At the end of the break, open new CDs in the presence of the interviewee, load the machine, switch on, state time, why the break occurred, verify persons present and get interviewee to confirm that they are still under caution [if there is any doubt, re-administer the caution] and resume the interview.</w:t>
      </w:r>
    </w:p>
    <w:p w14:paraId="542266FD" w14:textId="77777777" w:rsidR="00402AE8" w:rsidRPr="00D074D7" w:rsidRDefault="00402AE8" w:rsidP="00402AE8">
      <w:pPr>
        <w:rPr>
          <w:rFonts w:cs="Arial"/>
          <w:szCs w:val="22"/>
        </w:rPr>
      </w:pPr>
    </w:p>
    <w:p w14:paraId="46D5DEF0" w14:textId="77777777" w:rsidR="00402AE8" w:rsidRPr="00D074D7" w:rsidRDefault="00402AE8" w:rsidP="00402AE8">
      <w:pPr>
        <w:jc w:val="center"/>
        <w:rPr>
          <w:rFonts w:cs="Arial"/>
          <w:b/>
          <w:szCs w:val="22"/>
        </w:rPr>
      </w:pPr>
      <w:r w:rsidRPr="00D074D7">
        <w:rPr>
          <w:rFonts w:cs="Arial"/>
          <w:b/>
          <w:szCs w:val="22"/>
        </w:rPr>
        <w:t>7 CONCLUDING THE INTERVIEW</w:t>
      </w:r>
    </w:p>
    <w:p w14:paraId="15D66DAA" w14:textId="77777777" w:rsidR="00402AE8" w:rsidRPr="00D074D7" w:rsidRDefault="00402AE8" w:rsidP="00402AE8">
      <w:pPr>
        <w:jc w:val="center"/>
        <w:rPr>
          <w:rFonts w:cs="Arial"/>
          <w:b/>
          <w:szCs w:val="22"/>
        </w:rPr>
      </w:pPr>
    </w:p>
    <w:p w14:paraId="5E39C961" w14:textId="77777777" w:rsidR="00402AE8" w:rsidRPr="00D074D7" w:rsidRDefault="00402AE8" w:rsidP="00402AE8">
      <w:pPr>
        <w:rPr>
          <w:rFonts w:cs="Arial"/>
          <w:b/>
          <w:szCs w:val="22"/>
        </w:rPr>
      </w:pPr>
      <w:r w:rsidRPr="00D074D7">
        <w:rPr>
          <w:rFonts w:cs="Arial"/>
          <w:szCs w:val="22"/>
        </w:rPr>
        <w:t>SAY</w:t>
      </w:r>
      <w:r w:rsidRPr="00D074D7">
        <w:rPr>
          <w:rFonts w:cs="Arial"/>
          <w:b/>
          <w:szCs w:val="22"/>
        </w:rPr>
        <w:t xml:space="preserve"> </w:t>
      </w:r>
      <w:proofErr w:type="gramStart"/>
      <w:r w:rsidRPr="00D074D7">
        <w:rPr>
          <w:rFonts w:cs="Arial"/>
          <w:b/>
          <w:szCs w:val="22"/>
        </w:rPr>
        <w:t xml:space="preserve">“ </w:t>
      </w:r>
      <w:r w:rsidRPr="00D074D7">
        <w:rPr>
          <w:rFonts w:cs="Arial"/>
          <w:b/>
          <w:i/>
          <w:szCs w:val="22"/>
        </w:rPr>
        <w:t>I</w:t>
      </w:r>
      <w:proofErr w:type="gramEnd"/>
      <w:r w:rsidRPr="00D074D7">
        <w:rPr>
          <w:rFonts w:cs="Arial"/>
          <w:b/>
          <w:i/>
          <w:szCs w:val="22"/>
        </w:rPr>
        <w:t xml:space="preserve"> have no further questions, do you wish to clarify any point or add to anything further</w:t>
      </w:r>
      <w:r w:rsidRPr="00D074D7">
        <w:rPr>
          <w:rFonts w:cs="Arial"/>
          <w:b/>
          <w:szCs w:val="22"/>
        </w:rPr>
        <w:t>”? …..</w:t>
      </w:r>
      <w:r w:rsidRPr="00D074D7">
        <w:rPr>
          <w:rFonts w:cs="Arial"/>
          <w:b/>
          <w:szCs w:val="22"/>
        </w:rPr>
        <w:br/>
      </w:r>
    </w:p>
    <w:p w14:paraId="69EF7809" w14:textId="77777777" w:rsidR="00402AE8" w:rsidRPr="00D074D7" w:rsidRDefault="00402AE8" w:rsidP="00402AE8">
      <w:pPr>
        <w:rPr>
          <w:rFonts w:cs="Arial"/>
          <w:b/>
          <w:szCs w:val="22"/>
        </w:rPr>
      </w:pPr>
      <w:r w:rsidRPr="00D074D7">
        <w:rPr>
          <w:rFonts w:cs="Arial"/>
          <w:szCs w:val="22"/>
        </w:rPr>
        <w:t xml:space="preserve">THEN SAY </w:t>
      </w:r>
      <w:r w:rsidRPr="00D074D7">
        <w:rPr>
          <w:rFonts w:cs="Arial"/>
          <w:b/>
          <w:szCs w:val="22"/>
        </w:rPr>
        <w:t>“</w:t>
      </w:r>
      <w:r w:rsidRPr="00D074D7">
        <w:rPr>
          <w:rFonts w:cs="Arial"/>
          <w:b/>
          <w:i/>
          <w:szCs w:val="22"/>
        </w:rPr>
        <w:t>If</w:t>
      </w:r>
      <w:proofErr w:type="gramStart"/>
      <w:r w:rsidRPr="00D074D7">
        <w:rPr>
          <w:rFonts w:cs="Arial"/>
          <w:b/>
          <w:i/>
          <w:szCs w:val="22"/>
        </w:rPr>
        <w:t>…..</w:t>
      </w:r>
      <w:proofErr w:type="gramEnd"/>
      <w:r w:rsidRPr="00D074D7">
        <w:rPr>
          <w:rFonts w:cs="Arial"/>
          <w:b/>
          <w:i/>
          <w:szCs w:val="22"/>
        </w:rPr>
        <w:t xml:space="preserve"> </w:t>
      </w:r>
      <w:r w:rsidRPr="00D074D7">
        <w:rPr>
          <w:rFonts w:cs="Arial"/>
          <w:szCs w:val="22"/>
        </w:rPr>
        <w:t>[you / the partnership/ the company]</w:t>
      </w:r>
      <w:r w:rsidRPr="00D074D7">
        <w:rPr>
          <w:rFonts w:cs="Arial"/>
          <w:b/>
          <w:szCs w:val="22"/>
        </w:rPr>
        <w:t xml:space="preserve"> </w:t>
      </w:r>
      <w:r w:rsidRPr="00D074D7">
        <w:rPr>
          <w:rFonts w:cs="Arial"/>
          <w:b/>
          <w:i/>
          <w:szCs w:val="22"/>
        </w:rPr>
        <w:t xml:space="preserve">were to be prosecuted is there anything </w:t>
      </w:r>
      <w:r w:rsidRPr="00D074D7">
        <w:rPr>
          <w:rFonts w:cs="Arial"/>
          <w:szCs w:val="22"/>
        </w:rPr>
        <w:t>[you / the partnership/ the company]</w:t>
      </w:r>
      <w:r w:rsidRPr="00D074D7">
        <w:rPr>
          <w:rFonts w:cs="Arial"/>
          <w:b/>
          <w:i/>
          <w:szCs w:val="22"/>
        </w:rPr>
        <w:t xml:space="preserve"> would like to say</w:t>
      </w:r>
      <w:r w:rsidRPr="00D074D7">
        <w:rPr>
          <w:rFonts w:cs="Arial"/>
          <w:b/>
          <w:szCs w:val="22"/>
        </w:rPr>
        <w:t>”? ….</w:t>
      </w:r>
      <w:r w:rsidRPr="00D074D7">
        <w:rPr>
          <w:rFonts w:cs="Arial"/>
          <w:b/>
          <w:szCs w:val="22"/>
        </w:rPr>
        <w:br/>
      </w:r>
    </w:p>
    <w:p w14:paraId="22DCDD65" w14:textId="77777777" w:rsidR="00402AE8" w:rsidRPr="00D074D7" w:rsidRDefault="00402AE8" w:rsidP="00402AE8">
      <w:pPr>
        <w:rPr>
          <w:rFonts w:cs="Arial"/>
          <w:b/>
          <w:szCs w:val="22"/>
        </w:rPr>
      </w:pPr>
      <w:r w:rsidRPr="00D074D7">
        <w:rPr>
          <w:rFonts w:cs="Arial"/>
          <w:szCs w:val="22"/>
        </w:rPr>
        <w:t>THEN SAY</w:t>
      </w:r>
      <w:r w:rsidRPr="00D074D7">
        <w:rPr>
          <w:rFonts w:cs="Arial"/>
          <w:b/>
          <w:szCs w:val="22"/>
        </w:rPr>
        <w:t xml:space="preserve"> </w:t>
      </w:r>
      <w:proofErr w:type="gramStart"/>
      <w:r w:rsidRPr="00D074D7">
        <w:rPr>
          <w:rFonts w:cs="Arial"/>
          <w:b/>
          <w:szCs w:val="22"/>
        </w:rPr>
        <w:t>“ The</w:t>
      </w:r>
      <w:proofErr w:type="gramEnd"/>
      <w:r w:rsidRPr="00D074D7">
        <w:rPr>
          <w:rFonts w:cs="Arial"/>
          <w:b/>
          <w:szCs w:val="22"/>
        </w:rPr>
        <w:t xml:space="preserve"> time is now ….. </w:t>
      </w:r>
      <w:r w:rsidRPr="00D074D7">
        <w:rPr>
          <w:rFonts w:cs="Arial"/>
          <w:szCs w:val="22"/>
        </w:rPr>
        <w:t>[make a note of th</w:t>
      </w:r>
      <w:r w:rsidR="00747E04" w:rsidRPr="00D074D7">
        <w:rPr>
          <w:rFonts w:cs="Arial"/>
          <w:szCs w:val="22"/>
        </w:rPr>
        <w:t>e time on the ONR LP75 (or continuation form ONR LP 76 if used)</w:t>
      </w:r>
      <w:r w:rsidRPr="00D074D7">
        <w:rPr>
          <w:rFonts w:cs="Arial"/>
          <w:b/>
          <w:szCs w:val="22"/>
        </w:rPr>
        <w:t xml:space="preserve"> </w:t>
      </w:r>
      <w:r w:rsidRPr="00D074D7">
        <w:rPr>
          <w:rFonts w:cs="Arial"/>
          <w:b/>
          <w:i/>
          <w:szCs w:val="22"/>
        </w:rPr>
        <w:t>I am now switching off the recorder</w:t>
      </w:r>
      <w:r w:rsidRPr="00D074D7">
        <w:rPr>
          <w:rFonts w:cs="Arial"/>
          <w:b/>
          <w:szCs w:val="22"/>
        </w:rPr>
        <w:t>.”</w:t>
      </w:r>
    </w:p>
    <w:p w14:paraId="0E26234B" w14:textId="77777777" w:rsidR="00402AE8" w:rsidRPr="00D074D7" w:rsidRDefault="00402AE8" w:rsidP="00402AE8">
      <w:pPr>
        <w:rPr>
          <w:rFonts w:cs="Arial"/>
          <w:b/>
          <w:szCs w:val="22"/>
        </w:rPr>
      </w:pPr>
    </w:p>
    <w:p w14:paraId="68249F2E" w14:textId="77777777" w:rsidR="00402AE8" w:rsidRPr="00D074D7" w:rsidRDefault="00402AE8" w:rsidP="00402AE8">
      <w:pPr>
        <w:rPr>
          <w:rFonts w:cs="Arial"/>
          <w:szCs w:val="22"/>
        </w:rPr>
      </w:pPr>
      <w:r w:rsidRPr="00D074D7">
        <w:rPr>
          <w:rFonts w:cs="Arial"/>
          <w:szCs w:val="22"/>
        </w:rPr>
        <w:t xml:space="preserve">Remove final CDs. Seal </w:t>
      </w:r>
      <w:r w:rsidR="005B15C5" w:rsidRPr="00D074D7">
        <w:rPr>
          <w:rFonts w:cs="Arial"/>
          <w:szCs w:val="22"/>
        </w:rPr>
        <w:t xml:space="preserve">the </w:t>
      </w:r>
      <w:r w:rsidRPr="00D074D7">
        <w:rPr>
          <w:rFonts w:cs="Arial"/>
          <w:szCs w:val="22"/>
        </w:rPr>
        <w:t>master CD</w:t>
      </w:r>
      <w:r w:rsidR="005B15C5" w:rsidRPr="00D074D7">
        <w:rPr>
          <w:rFonts w:cs="Arial"/>
          <w:szCs w:val="22"/>
        </w:rPr>
        <w:t>(s)</w:t>
      </w:r>
      <w:r w:rsidRPr="00D074D7">
        <w:rPr>
          <w:rFonts w:cs="Arial"/>
          <w:szCs w:val="22"/>
        </w:rPr>
        <w:t xml:space="preserve"> [</w:t>
      </w:r>
      <w:proofErr w:type="gramStart"/>
      <w:r w:rsidRPr="00D074D7">
        <w:rPr>
          <w:rFonts w:cs="Arial"/>
          <w:szCs w:val="22"/>
        </w:rPr>
        <w:t>i.e.</w:t>
      </w:r>
      <w:proofErr w:type="gramEnd"/>
      <w:r w:rsidRPr="00D074D7">
        <w:rPr>
          <w:rFonts w:cs="Arial"/>
          <w:szCs w:val="22"/>
        </w:rPr>
        <w:t xml:space="preserve"> M1, M2 etc</w:t>
      </w:r>
      <w:r w:rsidR="005B15C5" w:rsidRPr="00D074D7">
        <w:rPr>
          <w:rFonts w:cs="Arial"/>
          <w:szCs w:val="22"/>
        </w:rPr>
        <w:t>.</w:t>
      </w:r>
      <w:r w:rsidRPr="00D074D7">
        <w:rPr>
          <w:rFonts w:cs="Arial"/>
          <w:szCs w:val="22"/>
        </w:rPr>
        <w:t>] using</w:t>
      </w:r>
      <w:r w:rsidR="005B15C5" w:rsidRPr="00D074D7">
        <w:rPr>
          <w:rFonts w:cs="Arial"/>
          <w:szCs w:val="22"/>
        </w:rPr>
        <w:t xml:space="preserve"> the Master Seal</w:t>
      </w:r>
      <w:r w:rsidRPr="00D074D7">
        <w:rPr>
          <w:rFonts w:cs="Arial"/>
          <w:szCs w:val="22"/>
        </w:rPr>
        <w:t xml:space="preserve">. </w:t>
      </w:r>
      <w:r w:rsidR="00387E96">
        <w:rPr>
          <w:rFonts w:cs="Arial"/>
          <w:szCs w:val="22"/>
        </w:rPr>
        <w:t>Label the other CDs</w:t>
      </w:r>
      <w:r w:rsidRPr="00D074D7">
        <w:rPr>
          <w:rFonts w:cs="Arial"/>
          <w:szCs w:val="22"/>
        </w:rPr>
        <w:t>. Complete any missing details on the Seal(s) and then interviewee, interviewers and any third party (legal representative etc.) should sign the Master Seal(s). Ask if Duty Holder requires copies of tapes / pass Duty Holder copies of CDs [</w:t>
      </w:r>
      <w:proofErr w:type="gramStart"/>
      <w:r w:rsidRPr="00D074D7">
        <w:rPr>
          <w:rFonts w:cs="Arial"/>
          <w:szCs w:val="22"/>
        </w:rPr>
        <w:t>i.e.</w:t>
      </w:r>
      <w:proofErr w:type="gramEnd"/>
      <w:r w:rsidRPr="00D074D7">
        <w:rPr>
          <w:rFonts w:cs="Arial"/>
          <w:szCs w:val="22"/>
        </w:rPr>
        <w:t xml:space="preserve"> D1, D2 etc</w:t>
      </w:r>
      <w:r w:rsidR="005B15C5" w:rsidRPr="00D074D7">
        <w:rPr>
          <w:rFonts w:cs="Arial"/>
          <w:szCs w:val="22"/>
        </w:rPr>
        <w:t>.</w:t>
      </w:r>
      <w:r w:rsidRPr="00D074D7">
        <w:rPr>
          <w:rFonts w:cs="Arial"/>
          <w:szCs w:val="22"/>
        </w:rPr>
        <w:t>] to Duty Holder and note in notebook.</w:t>
      </w:r>
    </w:p>
    <w:p w14:paraId="5FFB849F" w14:textId="77777777" w:rsidR="00402AE8" w:rsidRPr="00D074D7" w:rsidRDefault="00402AE8" w:rsidP="00402AE8">
      <w:pPr>
        <w:rPr>
          <w:rFonts w:cs="Arial"/>
          <w:szCs w:val="22"/>
        </w:rPr>
      </w:pPr>
    </w:p>
    <w:p w14:paraId="4F1BAA97" w14:textId="77777777" w:rsidR="00402AE8" w:rsidRPr="00D074D7" w:rsidRDefault="00402AE8" w:rsidP="00402AE8">
      <w:pPr>
        <w:jc w:val="center"/>
        <w:rPr>
          <w:rFonts w:cs="Arial"/>
          <w:b/>
          <w:szCs w:val="22"/>
        </w:rPr>
      </w:pPr>
      <w:r w:rsidRPr="00D074D7">
        <w:rPr>
          <w:rFonts w:cs="Arial"/>
          <w:b/>
          <w:szCs w:val="22"/>
        </w:rPr>
        <w:t>8 AFTER DEPARTURE OF THE SUSPECT</w:t>
      </w:r>
    </w:p>
    <w:p w14:paraId="736C5318" w14:textId="77777777" w:rsidR="00402AE8" w:rsidRPr="00D074D7" w:rsidRDefault="00402AE8" w:rsidP="00402AE8">
      <w:pPr>
        <w:jc w:val="center"/>
        <w:rPr>
          <w:rFonts w:cs="Arial"/>
          <w:b/>
          <w:szCs w:val="22"/>
        </w:rPr>
      </w:pPr>
    </w:p>
    <w:p w14:paraId="1DBCC3AB" w14:textId="77777777" w:rsidR="00402AE8" w:rsidRPr="00D074D7" w:rsidRDefault="00402AE8" w:rsidP="00402AE8">
      <w:pPr>
        <w:rPr>
          <w:rFonts w:cs="Arial"/>
          <w:szCs w:val="22"/>
        </w:rPr>
      </w:pPr>
      <w:r w:rsidRPr="00D074D7">
        <w:rPr>
          <w:rFonts w:cs="Arial"/>
          <w:szCs w:val="22"/>
        </w:rPr>
        <w:t>Ensure master CDs are securely</w:t>
      </w:r>
      <w:r w:rsidR="005B15C5" w:rsidRPr="00D074D7">
        <w:rPr>
          <w:rFonts w:cs="Arial"/>
          <w:szCs w:val="22"/>
        </w:rPr>
        <w:t xml:space="preserve"> stored. Interviewing Inspector</w:t>
      </w:r>
      <w:r w:rsidR="0041296C" w:rsidRPr="00D074D7">
        <w:rPr>
          <w:rFonts w:cs="Arial"/>
          <w:szCs w:val="22"/>
        </w:rPr>
        <w:t xml:space="preserve"> is </w:t>
      </w:r>
      <w:r w:rsidRPr="00D074D7">
        <w:rPr>
          <w:rFonts w:cs="Arial"/>
          <w:szCs w:val="22"/>
        </w:rPr>
        <w:t>to introduce master CDs as exhibits via their statement. Interviewi</w:t>
      </w:r>
      <w:r w:rsidR="005B15C5" w:rsidRPr="00D074D7">
        <w:rPr>
          <w:rFonts w:cs="Arial"/>
          <w:szCs w:val="22"/>
        </w:rPr>
        <w:t>ng Inspector to ensure a typed summary/</w:t>
      </w:r>
      <w:r w:rsidRPr="00D074D7">
        <w:rPr>
          <w:rFonts w:cs="Arial"/>
          <w:szCs w:val="22"/>
        </w:rPr>
        <w:t xml:space="preserve">record of interview is prepared on forms LP75 and LP76. </w:t>
      </w:r>
    </w:p>
    <w:p w14:paraId="6DAB4C03" w14:textId="77777777" w:rsidR="00402AE8" w:rsidRPr="00D074D7" w:rsidRDefault="00402AE8" w:rsidP="00402AE8">
      <w:pPr>
        <w:rPr>
          <w:rFonts w:cs="Arial"/>
          <w:szCs w:val="22"/>
        </w:rPr>
      </w:pPr>
    </w:p>
    <w:p w14:paraId="5F900793" w14:textId="77777777" w:rsidR="00F57B11" w:rsidRPr="00D074D7" w:rsidRDefault="00402AE8" w:rsidP="009B5159">
      <w:pPr>
        <w:rPr>
          <w:rFonts w:cs="Arial"/>
          <w:b/>
          <w:szCs w:val="22"/>
        </w:rPr>
      </w:pPr>
      <w:r w:rsidRPr="00D074D7">
        <w:rPr>
          <w:rFonts w:cs="Arial"/>
          <w:szCs w:val="22"/>
        </w:rPr>
        <w:br w:type="page"/>
      </w:r>
      <w:r w:rsidRPr="00D074D7">
        <w:rPr>
          <w:rFonts w:cs="Arial"/>
          <w:b/>
          <w:szCs w:val="22"/>
        </w:rPr>
        <w:lastRenderedPageBreak/>
        <w:t xml:space="preserve">APPENDIX </w:t>
      </w:r>
      <w:r w:rsidR="00A568E0">
        <w:rPr>
          <w:rFonts w:cs="Arial"/>
          <w:b/>
          <w:szCs w:val="22"/>
        </w:rPr>
        <w:t>5</w:t>
      </w:r>
      <w:r w:rsidR="00A568E0" w:rsidRPr="00D074D7">
        <w:rPr>
          <w:rFonts w:cs="Arial"/>
          <w:b/>
          <w:szCs w:val="22"/>
        </w:rPr>
        <w:t xml:space="preserve"> </w:t>
      </w:r>
      <w:r w:rsidR="00F57B11" w:rsidRPr="00D074D7">
        <w:rPr>
          <w:rFonts w:cs="Arial"/>
          <w:b/>
          <w:szCs w:val="22"/>
        </w:rPr>
        <w:t>Invitation to make a written submission</w:t>
      </w:r>
    </w:p>
    <w:p w14:paraId="337F6F3D" w14:textId="77777777" w:rsidR="00B1514B" w:rsidRPr="00D074D7" w:rsidRDefault="00B1514B" w:rsidP="009B5159">
      <w:pPr>
        <w:rPr>
          <w:rFonts w:cs="Arial"/>
          <w:b/>
          <w:szCs w:val="22"/>
        </w:rPr>
      </w:pPr>
    </w:p>
    <w:p w14:paraId="3ADB5306" w14:textId="77777777" w:rsidR="00F57B11" w:rsidRPr="00D074D7" w:rsidRDefault="00D074D7" w:rsidP="00D074D7">
      <w:pPr>
        <w:jc w:val="center"/>
        <w:rPr>
          <w:rFonts w:cs="Arial"/>
          <w:b/>
          <w:color w:val="FF0000"/>
          <w:szCs w:val="22"/>
        </w:rPr>
      </w:pPr>
      <w:r w:rsidRPr="00D074D7">
        <w:rPr>
          <w:rFonts w:cs="Arial"/>
          <w:b/>
          <w:color w:val="FF0000"/>
          <w:szCs w:val="22"/>
        </w:rPr>
        <w:t>(Use ONR letter headed paper)</w:t>
      </w:r>
    </w:p>
    <w:p w14:paraId="0B0CDB2F" w14:textId="77777777" w:rsidR="00D074D7" w:rsidRPr="00D074D7" w:rsidRDefault="00D074D7" w:rsidP="00D074D7">
      <w:pPr>
        <w:jc w:val="center"/>
        <w:rPr>
          <w:rFonts w:cs="Arial"/>
          <w:szCs w:val="22"/>
        </w:rPr>
      </w:pPr>
    </w:p>
    <w:p w14:paraId="074150ED" w14:textId="77777777" w:rsidR="00D074D7" w:rsidRDefault="00D074D7" w:rsidP="00D074D7">
      <w:pPr>
        <w:rPr>
          <w:b/>
          <w:bCs/>
          <w:szCs w:val="22"/>
        </w:rPr>
      </w:pPr>
    </w:p>
    <w:tbl>
      <w:tblPr>
        <w:tblW w:w="0" w:type="auto"/>
        <w:tblCellMar>
          <w:top w:w="58" w:type="dxa"/>
          <w:left w:w="58" w:type="dxa"/>
          <w:bottom w:w="58" w:type="dxa"/>
          <w:right w:w="58" w:type="dxa"/>
        </w:tblCellMar>
        <w:tblLook w:val="01E0" w:firstRow="1" w:lastRow="1" w:firstColumn="1" w:lastColumn="1" w:noHBand="0" w:noVBand="0"/>
      </w:tblPr>
      <w:tblGrid>
        <w:gridCol w:w="6538"/>
        <w:gridCol w:w="2762"/>
      </w:tblGrid>
      <w:tr w:rsidR="00D074D7" w:rsidRPr="00D074D7" w14:paraId="46EB86DF" w14:textId="77777777" w:rsidTr="002F3345">
        <w:trPr>
          <w:trHeight w:val="773"/>
        </w:trPr>
        <w:tc>
          <w:tcPr>
            <w:tcW w:w="6538" w:type="dxa"/>
            <w:shd w:val="clear" w:color="auto" w:fill="auto"/>
          </w:tcPr>
          <w:p w14:paraId="6FCA4612" w14:textId="77777777" w:rsidR="00D074D7" w:rsidRPr="00D074D7" w:rsidRDefault="00D074D7" w:rsidP="002F3345">
            <w:pPr>
              <w:rPr>
                <w:szCs w:val="22"/>
              </w:rPr>
            </w:pPr>
          </w:p>
        </w:tc>
        <w:tc>
          <w:tcPr>
            <w:tcW w:w="2762" w:type="dxa"/>
            <w:vMerge w:val="restart"/>
            <w:shd w:val="clear" w:color="auto" w:fill="auto"/>
          </w:tcPr>
          <w:p w14:paraId="3DEF26A9" w14:textId="77777777" w:rsidR="00D074D7" w:rsidRPr="00D074D7" w:rsidRDefault="00D074D7" w:rsidP="002F3345">
            <w:pPr>
              <w:rPr>
                <w:szCs w:val="22"/>
              </w:rPr>
            </w:pPr>
            <w:r w:rsidRPr="00D074D7">
              <w:rPr>
                <w:szCs w:val="22"/>
              </w:rPr>
              <w:t>[Name]</w:t>
            </w:r>
          </w:p>
          <w:p w14:paraId="1AAB00A2" w14:textId="77777777" w:rsidR="00D074D7" w:rsidRPr="00D074D7" w:rsidRDefault="00D074D7" w:rsidP="002F3345">
            <w:pPr>
              <w:rPr>
                <w:szCs w:val="22"/>
              </w:rPr>
            </w:pPr>
            <w:r w:rsidRPr="00D074D7">
              <w:rPr>
                <w:szCs w:val="22"/>
              </w:rPr>
              <w:t>[Title]</w:t>
            </w:r>
          </w:p>
          <w:p w14:paraId="2D43F529" w14:textId="77777777" w:rsidR="00D074D7" w:rsidRPr="00D074D7" w:rsidRDefault="00D074D7" w:rsidP="002F3345">
            <w:pPr>
              <w:rPr>
                <w:szCs w:val="22"/>
              </w:rPr>
            </w:pPr>
            <w:r w:rsidRPr="00D074D7">
              <w:rPr>
                <w:szCs w:val="22"/>
              </w:rPr>
              <w:t>[Address line 1]</w:t>
            </w:r>
          </w:p>
          <w:p w14:paraId="2320E31D" w14:textId="77777777" w:rsidR="00D074D7" w:rsidRPr="00D074D7" w:rsidRDefault="00D074D7" w:rsidP="002F3345">
            <w:pPr>
              <w:rPr>
                <w:szCs w:val="22"/>
              </w:rPr>
            </w:pPr>
            <w:r w:rsidRPr="00D074D7">
              <w:rPr>
                <w:szCs w:val="22"/>
              </w:rPr>
              <w:t>[Address line 2]</w:t>
            </w:r>
          </w:p>
          <w:p w14:paraId="3FB5925F" w14:textId="77777777" w:rsidR="00D074D7" w:rsidRPr="00D074D7" w:rsidRDefault="00D074D7" w:rsidP="002F3345">
            <w:pPr>
              <w:rPr>
                <w:szCs w:val="22"/>
              </w:rPr>
            </w:pPr>
            <w:r w:rsidRPr="00D074D7">
              <w:rPr>
                <w:szCs w:val="22"/>
              </w:rPr>
              <w:t>[Address line 3]</w:t>
            </w:r>
          </w:p>
          <w:p w14:paraId="33BD2140" w14:textId="77777777" w:rsidR="00D074D7" w:rsidRPr="00D074D7" w:rsidRDefault="00D074D7" w:rsidP="002F3345">
            <w:pPr>
              <w:rPr>
                <w:szCs w:val="22"/>
              </w:rPr>
            </w:pPr>
            <w:r w:rsidRPr="00D074D7">
              <w:rPr>
                <w:szCs w:val="22"/>
              </w:rPr>
              <w:t>[Address line 4]</w:t>
            </w:r>
          </w:p>
          <w:p w14:paraId="79B16CD0" w14:textId="77777777" w:rsidR="00D074D7" w:rsidRPr="00D074D7" w:rsidRDefault="00D074D7" w:rsidP="002F3345">
            <w:pPr>
              <w:rPr>
                <w:szCs w:val="22"/>
              </w:rPr>
            </w:pPr>
            <w:r w:rsidRPr="00D074D7">
              <w:rPr>
                <w:szCs w:val="22"/>
              </w:rPr>
              <w:t>[Postcode]</w:t>
            </w:r>
          </w:p>
          <w:p w14:paraId="26A85C3A" w14:textId="77777777" w:rsidR="00D074D7" w:rsidRPr="00D074D7" w:rsidRDefault="00D074D7" w:rsidP="002F3345">
            <w:pPr>
              <w:rPr>
                <w:szCs w:val="22"/>
              </w:rPr>
            </w:pPr>
          </w:p>
          <w:p w14:paraId="23E6EFDE" w14:textId="77777777" w:rsidR="00D074D7" w:rsidRPr="00D074D7" w:rsidRDefault="00D074D7" w:rsidP="002F3345">
            <w:pPr>
              <w:rPr>
                <w:szCs w:val="22"/>
              </w:rPr>
            </w:pPr>
            <w:r w:rsidRPr="00D074D7">
              <w:rPr>
                <w:szCs w:val="22"/>
              </w:rPr>
              <w:t xml:space="preserve">Telephone: [  </w:t>
            </w:r>
            <w:proofErr w:type="gramStart"/>
            <w:r w:rsidRPr="00D074D7">
              <w:rPr>
                <w:szCs w:val="22"/>
              </w:rPr>
              <w:t xml:space="preserve">  ]</w:t>
            </w:r>
            <w:proofErr w:type="gramEnd"/>
          </w:p>
          <w:p w14:paraId="6D8CE678" w14:textId="77777777" w:rsidR="00D074D7" w:rsidRPr="00D074D7" w:rsidRDefault="00D074D7" w:rsidP="002F3345">
            <w:pPr>
              <w:rPr>
                <w:szCs w:val="22"/>
              </w:rPr>
            </w:pPr>
            <w:r w:rsidRPr="00D074D7">
              <w:rPr>
                <w:szCs w:val="22"/>
              </w:rPr>
              <w:t xml:space="preserve">Email: [   </w:t>
            </w:r>
            <w:proofErr w:type="gramStart"/>
            <w:r w:rsidRPr="00D074D7">
              <w:rPr>
                <w:szCs w:val="22"/>
              </w:rPr>
              <w:t xml:space="preserve">  ]</w:t>
            </w:r>
            <w:proofErr w:type="gramEnd"/>
          </w:p>
          <w:p w14:paraId="51728D18" w14:textId="77777777" w:rsidR="00D074D7" w:rsidRPr="00D074D7" w:rsidRDefault="00D074D7" w:rsidP="002F3345">
            <w:pPr>
              <w:rPr>
                <w:szCs w:val="22"/>
              </w:rPr>
            </w:pPr>
          </w:p>
          <w:p w14:paraId="329BA32B" w14:textId="77777777" w:rsidR="00D074D7" w:rsidRPr="00D074D7" w:rsidRDefault="00D074D7" w:rsidP="002F3345">
            <w:pPr>
              <w:rPr>
                <w:szCs w:val="22"/>
              </w:rPr>
            </w:pPr>
            <w:r w:rsidRPr="00D074D7">
              <w:rPr>
                <w:szCs w:val="22"/>
              </w:rPr>
              <w:t xml:space="preserve">Our </w:t>
            </w:r>
            <w:proofErr w:type="gramStart"/>
            <w:r w:rsidRPr="00D074D7">
              <w:rPr>
                <w:szCs w:val="22"/>
              </w:rPr>
              <w:t>Reference:[</w:t>
            </w:r>
            <w:proofErr w:type="gramEnd"/>
            <w:r w:rsidRPr="00D074D7">
              <w:rPr>
                <w:szCs w:val="22"/>
              </w:rPr>
              <w:t xml:space="preserve">     ] </w:t>
            </w:r>
          </w:p>
          <w:p w14:paraId="17CF6D1C" w14:textId="77777777" w:rsidR="00D074D7" w:rsidRPr="00D074D7" w:rsidRDefault="00D074D7" w:rsidP="002F3345">
            <w:pPr>
              <w:rPr>
                <w:szCs w:val="22"/>
              </w:rPr>
            </w:pPr>
            <w:r w:rsidRPr="00D074D7">
              <w:rPr>
                <w:szCs w:val="22"/>
              </w:rPr>
              <w:t xml:space="preserve">Unique </w:t>
            </w:r>
            <w:proofErr w:type="gramStart"/>
            <w:r w:rsidRPr="00D074D7">
              <w:rPr>
                <w:szCs w:val="22"/>
              </w:rPr>
              <w:t>Number:[</w:t>
            </w:r>
            <w:proofErr w:type="gramEnd"/>
            <w:r w:rsidRPr="00D074D7">
              <w:rPr>
                <w:szCs w:val="22"/>
              </w:rPr>
              <w:t xml:space="preserve">     ] </w:t>
            </w:r>
          </w:p>
          <w:p w14:paraId="0B997F67" w14:textId="77777777" w:rsidR="00D074D7" w:rsidRPr="00D074D7" w:rsidRDefault="00D074D7" w:rsidP="002F3345">
            <w:pPr>
              <w:rPr>
                <w:szCs w:val="22"/>
              </w:rPr>
            </w:pPr>
          </w:p>
          <w:p w14:paraId="1AB936B0" w14:textId="77777777" w:rsidR="00D074D7" w:rsidRPr="00D074D7" w:rsidRDefault="00D074D7" w:rsidP="002F3345">
            <w:pPr>
              <w:rPr>
                <w:szCs w:val="22"/>
              </w:rPr>
            </w:pPr>
            <w:r w:rsidRPr="00D074D7">
              <w:rPr>
                <w:szCs w:val="22"/>
              </w:rPr>
              <w:t xml:space="preserve">Your </w:t>
            </w:r>
            <w:proofErr w:type="gramStart"/>
            <w:r w:rsidRPr="00D074D7">
              <w:rPr>
                <w:szCs w:val="22"/>
              </w:rPr>
              <w:t>Reference:[</w:t>
            </w:r>
            <w:proofErr w:type="gramEnd"/>
            <w:r w:rsidRPr="00D074D7">
              <w:rPr>
                <w:szCs w:val="22"/>
              </w:rPr>
              <w:t xml:space="preserve">     ] </w:t>
            </w:r>
          </w:p>
          <w:p w14:paraId="4E73AE1E" w14:textId="77777777" w:rsidR="00D074D7" w:rsidRPr="00D074D7" w:rsidRDefault="00D074D7" w:rsidP="002F3345">
            <w:pPr>
              <w:rPr>
                <w:szCs w:val="22"/>
              </w:rPr>
            </w:pPr>
            <w:r w:rsidRPr="00D074D7">
              <w:rPr>
                <w:szCs w:val="22"/>
              </w:rPr>
              <w:t xml:space="preserve">Unique </w:t>
            </w:r>
            <w:proofErr w:type="gramStart"/>
            <w:r w:rsidRPr="00D074D7">
              <w:rPr>
                <w:szCs w:val="22"/>
              </w:rPr>
              <w:t>Number:[</w:t>
            </w:r>
            <w:proofErr w:type="gramEnd"/>
            <w:r w:rsidRPr="00D074D7">
              <w:rPr>
                <w:szCs w:val="22"/>
              </w:rPr>
              <w:t xml:space="preserve">     ] </w:t>
            </w:r>
          </w:p>
        </w:tc>
      </w:tr>
      <w:tr w:rsidR="00D074D7" w:rsidRPr="00D074D7" w14:paraId="03398C42" w14:textId="77777777" w:rsidTr="002F3345">
        <w:trPr>
          <w:trHeight w:val="772"/>
        </w:trPr>
        <w:tc>
          <w:tcPr>
            <w:tcW w:w="6538" w:type="dxa"/>
            <w:shd w:val="clear" w:color="auto" w:fill="auto"/>
          </w:tcPr>
          <w:p w14:paraId="54A1E7E9" w14:textId="77777777" w:rsidR="00D074D7" w:rsidRPr="00D074D7" w:rsidRDefault="00D074D7" w:rsidP="002F3345">
            <w:pPr>
              <w:rPr>
                <w:szCs w:val="22"/>
              </w:rPr>
            </w:pPr>
            <w:r w:rsidRPr="00D074D7">
              <w:rPr>
                <w:szCs w:val="22"/>
              </w:rPr>
              <w:t>[Addressee]</w:t>
            </w:r>
          </w:p>
          <w:p w14:paraId="624AB9BF" w14:textId="77777777" w:rsidR="00D074D7" w:rsidRPr="00D074D7" w:rsidRDefault="00D074D7" w:rsidP="002F3345">
            <w:pPr>
              <w:rPr>
                <w:szCs w:val="22"/>
              </w:rPr>
            </w:pPr>
            <w:r w:rsidRPr="00D074D7">
              <w:rPr>
                <w:szCs w:val="22"/>
              </w:rPr>
              <w:t>[Address]</w:t>
            </w:r>
          </w:p>
        </w:tc>
        <w:tc>
          <w:tcPr>
            <w:tcW w:w="2762" w:type="dxa"/>
            <w:vMerge/>
            <w:shd w:val="clear" w:color="auto" w:fill="auto"/>
          </w:tcPr>
          <w:p w14:paraId="67C4C800" w14:textId="77777777" w:rsidR="00D074D7" w:rsidRPr="00D074D7" w:rsidRDefault="00D074D7" w:rsidP="002F3345">
            <w:pPr>
              <w:rPr>
                <w:szCs w:val="22"/>
              </w:rPr>
            </w:pPr>
          </w:p>
        </w:tc>
      </w:tr>
      <w:tr w:rsidR="00D074D7" w:rsidRPr="00D074D7" w14:paraId="36615FFD" w14:textId="77777777" w:rsidTr="002F3345">
        <w:tc>
          <w:tcPr>
            <w:tcW w:w="6538" w:type="dxa"/>
            <w:shd w:val="clear" w:color="auto" w:fill="auto"/>
          </w:tcPr>
          <w:p w14:paraId="51C674CD" w14:textId="77777777" w:rsidR="00D074D7" w:rsidRPr="00D074D7" w:rsidRDefault="00D074D7" w:rsidP="002F3345">
            <w:pPr>
              <w:rPr>
                <w:szCs w:val="22"/>
              </w:rPr>
            </w:pPr>
            <w:r w:rsidRPr="00D074D7">
              <w:rPr>
                <w:szCs w:val="22"/>
              </w:rPr>
              <w:t xml:space="preserve">Date: </w:t>
            </w:r>
          </w:p>
        </w:tc>
        <w:tc>
          <w:tcPr>
            <w:tcW w:w="2762" w:type="dxa"/>
            <w:shd w:val="clear" w:color="auto" w:fill="auto"/>
          </w:tcPr>
          <w:p w14:paraId="457BB87D" w14:textId="77777777" w:rsidR="00D074D7" w:rsidRPr="00D074D7" w:rsidRDefault="00D074D7" w:rsidP="002F3345">
            <w:pPr>
              <w:rPr>
                <w:szCs w:val="22"/>
              </w:rPr>
            </w:pPr>
          </w:p>
        </w:tc>
      </w:tr>
    </w:tbl>
    <w:p w14:paraId="50AC38D0" w14:textId="77777777" w:rsidR="00D074D7" w:rsidRPr="00D074D7" w:rsidRDefault="00D074D7" w:rsidP="00D074D7">
      <w:pPr>
        <w:rPr>
          <w:szCs w:val="22"/>
        </w:rPr>
      </w:pPr>
    </w:p>
    <w:p w14:paraId="7A0C5D79" w14:textId="77777777" w:rsidR="00D074D7" w:rsidRPr="00D074D7" w:rsidRDefault="00D074D7" w:rsidP="00D074D7">
      <w:pPr>
        <w:rPr>
          <w:szCs w:val="22"/>
        </w:rPr>
      </w:pPr>
    </w:p>
    <w:p w14:paraId="476AE9F6" w14:textId="77777777" w:rsidR="00D074D7" w:rsidRPr="00D074D7" w:rsidRDefault="00D074D7" w:rsidP="00D074D7">
      <w:pPr>
        <w:spacing w:after="120"/>
        <w:rPr>
          <w:rFonts w:cs="Arial"/>
          <w:szCs w:val="22"/>
        </w:rPr>
      </w:pPr>
      <w:r w:rsidRPr="00D074D7">
        <w:rPr>
          <w:rFonts w:cs="Arial"/>
          <w:szCs w:val="22"/>
        </w:rPr>
        <w:t>Dear Sir / Mr / Mrs / Ms</w:t>
      </w:r>
    </w:p>
    <w:p w14:paraId="6B9E57B5" w14:textId="77777777" w:rsidR="00D074D7" w:rsidRDefault="00D074D7" w:rsidP="00F57B11">
      <w:pPr>
        <w:jc w:val="center"/>
        <w:rPr>
          <w:b/>
          <w:bCs/>
          <w:szCs w:val="22"/>
        </w:rPr>
      </w:pPr>
    </w:p>
    <w:p w14:paraId="3497B6B0" w14:textId="77777777" w:rsidR="00F57B11" w:rsidRPr="00D074D7" w:rsidRDefault="00F57B11" w:rsidP="00F57B11">
      <w:pPr>
        <w:jc w:val="center"/>
        <w:rPr>
          <w:b/>
          <w:bCs/>
          <w:szCs w:val="22"/>
        </w:rPr>
      </w:pPr>
      <w:r w:rsidRPr="00D074D7">
        <w:rPr>
          <w:b/>
          <w:bCs/>
          <w:szCs w:val="22"/>
        </w:rPr>
        <w:t>Invitation to provide a written submission</w:t>
      </w:r>
      <w:r w:rsidR="00387E96">
        <w:rPr>
          <w:b/>
          <w:bCs/>
          <w:szCs w:val="22"/>
        </w:rPr>
        <w:t xml:space="preserve"> [amend as per guidance for Scotland]</w:t>
      </w:r>
    </w:p>
    <w:p w14:paraId="3B484233" w14:textId="77777777" w:rsidR="00F57B11" w:rsidRPr="00D074D7" w:rsidRDefault="00F57B11" w:rsidP="00F57B11">
      <w:pPr>
        <w:rPr>
          <w:b/>
          <w:bCs/>
          <w:szCs w:val="22"/>
        </w:rPr>
      </w:pPr>
    </w:p>
    <w:p w14:paraId="5E206436" w14:textId="77777777" w:rsidR="00F57B11" w:rsidRPr="00D074D7" w:rsidRDefault="00F57B11" w:rsidP="00F57B11">
      <w:pPr>
        <w:rPr>
          <w:szCs w:val="22"/>
        </w:rPr>
      </w:pPr>
    </w:p>
    <w:p w14:paraId="1BB1429D" w14:textId="77777777" w:rsidR="00F57B11" w:rsidRPr="00D074D7" w:rsidRDefault="00F57B11" w:rsidP="00F57B11">
      <w:pPr>
        <w:rPr>
          <w:b/>
          <w:bCs/>
          <w:szCs w:val="22"/>
        </w:rPr>
      </w:pPr>
      <w:r w:rsidRPr="00D074D7">
        <w:rPr>
          <w:b/>
          <w:bCs/>
          <w:szCs w:val="22"/>
        </w:rPr>
        <w:t xml:space="preserve">Investigation into </w:t>
      </w:r>
      <w:proofErr w:type="gramStart"/>
      <w:r w:rsidRPr="00D074D7">
        <w:rPr>
          <w:i/>
          <w:iCs/>
          <w:szCs w:val="22"/>
        </w:rPr>
        <w:t>....</w:t>
      </w:r>
      <w:r w:rsidRPr="00D074D7">
        <w:rPr>
          <w:szCs w:val="22"/>
        </w:rPr>
        <w:t>[</w:t>
      </w:r>
      <w:proofErr w:type="gramEnd"/>
      <w:r w:rsidRPr="00D074D7">
        <w:rPr>
          <w:i/>
          <w:iCs/>
          <w:szCs w:val="22"/>
        </w:rPr>
        <w:t>details of investigation</w:t>
      </w:r>
      <w:r w:rsidRPr="00D074D7">
        <w:rPr>
          <w:szCs w:val="22"/>
        </w:rPr>
        <w:t>]…..</w:t>
      </w:r>
      <w:r w:rsidRPr="00D074D7">
        <w:rPr>
          <w:b/>
          <w:bCs/>
          <w:szCs w:val="22"/>
        </w:rPr>
        <w:t xml:space="preserve"> </w:t>
      </w:r>
    </w:p>
    <w:p w14:paraId="7A553016" w14:textId="77777777" w:rsidR="00F57B11" w:rsidRPr="00D074D7" w:rsidRDefault="00F57B11" w:rsidP="00F57B11">
      <w:pPr>
        <w:rPr>
          <w:szCs w:val="22"/>
        </w:rPr>
      </w:pPr>
    </w:p>
    <w:p w14:paraId="3122BEE5" w14:textId="77777777" w:rsidR="00F57B11" w:rsidRPr="00D074D7" w:rsidRDefault="00F57B11" w:rsidP="00F57B11">
      <w:pPr>
        <w:rPr>
          <w:i/>
          <w:szCs w:val="22"/>
        </w:rPr>
      </w:pPr>
      <w:r w:rsidRPr="00D074D7">
        <w:rPr>
          <w:szCs w:val="22"/>
        </w:rPr>
        <w:t xml:space="preserve">I have completed my investigation into the above </w:t>
      </w:r>
      <w:proofErr w:type="gramStart"/>
      <w:r w:rsidRPr="00D074D7">
        <w:rPr>
          <w:szCs w:val="22"/>
        </w:rPr>
        <w:t>matter</w:t>
      </w:r>
      <w:proofErr w:type="gramEnd"/>
      <w:r w:rsidRPr="00D074D7">
        <w:rPr>
          <w:szCs w:val="22"/>
        </w:rPr>
        <w:t xml:space="preserve"> and I have identified possible breaches of legislation by [</w:t>
      </w:r>
      <w:r w:rsidRPr="00D074D7">
        <w:rPr>
          <w:i/>
          <w:szCs w:val="22"/>
        </w:rPr>
        <w:t>name of the body corporate/you].</w:t>
      </w:r>
    </w:p>
    <w:p w14:paraId="1D021742" w14:textId="77777777" w:rsidR="00F57B11" w:rsidRPr="00D074D7" w:rsidRDefault="00F57B11" w:rsidP="00F57B11">
      <w:pPr>
        <w:rPr>
          <w:i/>
          <w:szCs w:val="22"/>
        </w:rPr>
      </w:pPr>
    </w:p>
    <w:p w14:paraId="7442FE10" w14:textId="77777777" w:rsidR="00F57B11" w:rsidRPr="00D074D7" w:rsidRDefault="00F57B11" w:rsidP="00F57B11">
      <w:pPr>
        <w:rPr>
          <w:szCs w:val="22"/>
        </w:rPr>
      </w:pPr>
      <w:r w:rsidRPr="00D074D7">
        <w:rPr>
          <w:szCs w:val="22"/>
        </w:rPr>
        <w:t>The Appendix to this letter describes the potential charges and provides a summary of the evidence.</w:t>
      </w:r>
      <w:r w:rsidRPr="00D074D7">
        <w:rPr>
          <w:rFonts w:cs="Arial"/>
          <w:szCs w:val="22"/>
        </w:rPr>
        <w:t xml:space="preserve"> [</w:t>
      </w:r>
      <w:r w:rsidRPr="00D074D7">
        <w:rPr>
          <w:rFonts w:cs="Arial"/>
          <w:i/>
          <w:szCs w:val="22"/>
        </w:rPr>
        <w:t>It also lists the documentation enclosed with this letter</w:t>
      </w:r>
      <w:r w:rsidRPr="00D074D7">
        <w:rPr>
          <w:rFonts w:cs="Arial"/>
          <w:szCs w:val="22"/>
        </w:rPr>
        <w:t>].</w:t>
      </w:r>
    </w:p>
    <w:p w14:paraId="4919A9C4" w14:textId="77777777" w:rsidR="00F57B11" w:rsidRPr="00D074D7" w:rsidRDefault="00F57B11" w:rsidP="00F57B11">
      <w:pPr>
        <w:rPr>
          <w:szCs w:val="22"/>
        </w:rPr>
      </w:pPr>
    </w:p>
    <w:p w14:paraId="7892AB14" w14:textId="77777777" w:rsidR="00F57B11" w:rsidRPr="00D074D7" w:rsidRDefault="00F57B11" w:rsidP="00F57B11">
      <w:pPr>
        <w:rPr>
          <w:szCs w:val="22"/>
        </w:rPr>
      </w:pPr>
      <w:r w:rsidRPr="00D074D7">
        <w:rPr>
          <w:szCs w:val="22"/>
        </w:rPr>
        <w:t xml:space="preserve">Prior to ONR’s enforcement decision you are entitled to provide written submissions on matters you wish ONR to </w:t>
      </w:r>
      <w:proofErr w:type="gramStart"/>
      <w:r w:rsidRPr="00D074D7">
        <w:rPr>
          <w:szCs w:val="22"/>
        </w:rPr>
        <w:t>take into account</w:t>
      </w:r>
      <w:proofErr w:type="gramEnd"/>
      <w:r w:rsidRPr="00D074D7">
        <w:rPr>
          <w:szCs w:val="22"/>
        </w:rPr>
        <w:t xml:space="preserve"> when making the decision. This is a formal opportunity for [</w:t>
      </w:r>
      <w:r w:rsidRPr="00D074D7">
        <w:rPr>
          <w:i/>
          <w:iCs/>
          <w:szCs w:val="22"/>
        </w:rPr>
        <w:t>name of body corporate/you</w:t>
      </w:r>
      <w:r w:rsidRPr="00D074D7">
        <w:rPr>
          <w:szCs w:val="22"/>
        </w:rPr>
        <w:t>] to provide an explanation as to the matters under investigation.  You are strongly advised to seek legal advice about the contents of this letter. Your submission should reach this office by [</w:t>
      </w:r>
      <w:r w:rsidRPr="00D074D7">
        <w:rPr>
          <w:i/>
          <w:szCs w:val="22"/>
        </w:rPr>
        <w:t>insert date – 6 weeks from the date of this letter</w:t>
      </w:r>
      <w:r w:rsidRPr="00D074D7">
        <w:rPr>
          <w:szCs w:val="22"/>
        </w:rPr>
        <w:t xml:space="preserve">]. Submissions received after this date may not be </w:t>
      </w:r>
      <w:proofErr w:type="gramStart"/>
      <w:r w:rsidRPr="00D074D7">
        <w:rPr>
          <w:szCs w:val="22"/>
        </w:rPr>
        <w:t>taken into account</w:t>
      </w:r>
      <w:proofErr w:type="gramEnd"/>
      <w:r w:rsidRPr="00D074D7">
        <w:rPr>
          <w:szCs w:val="22"/>
        </w:rPr>
        <w:t xml:space="preserve"> when decisions are made about what action ONR will take following the investigation. </w:t>
      </w:r>
    </w:p>
    <w:p w14:paraId="2DBA072B" w14:textId="77777777" w:rsidR="00F57B11" w:rsidRPr="00D074D7" w:rsidRDefault="00F57B11" w:rsidP="00F57B11">
      <w:pPr>
        <w:rPr>
          <w:szCs w:val="22"/>
        </w:rPr>
      </w:pPr>
    </w:p>
    <w:p w14:paraId="54B1BB7C" w14:textId="77777777" w:rsidR="00F57B11" w:rsidRPr="00D074D7" w:rsidRDefault="00F57B11" w:rsidP="00F57B11">
      <w:pPr>
        <w:rPr>
          <w:szCs w:val="22"/>
        </w:rPr>
      </w:pPr>
      <w:r w:rsidRPr="00D074D7">
        <w:rPr>
          <w:szCs w:val="22"/>
        </w:rPr>
        <w:t>Yours faithfully</w:t>
      </w:r>
      <w:r w:rsidR="00D074D7">
        <w:rPr>
          <w:szCs w:val="22"/>
        </w:rPr>
        <w:t xml:space="preserve"> / sincerely</w:t>
      </w:r>
    </w:p>
    <w:p w14:paraId="41726D19" w14:textId="77777777" w:rsidR="00D074D7" w:rsidRPr="00D074D7" w:rsidRDefault="00D074D7" w:rsidP="00F57B11">
      <w:pPr>
        <w:rPr>
          <w:szCs w:val="22"/>
        </w:rPr>
      </w:pPr>
    </w:p>
    <w:p w14:paraId="5DD024E2" w14:textId="77777777" w:rsidR="00D074D7" w:rsidRPr="00D074D7" w:rsidRDefault="00D074D7" w:rsidP="00D074D7">
      <w:pPr>
        <w:rPr>
          <w:rFonts w:cs="Arial"/>
          <w:b/>
          <w:szCs w:val="22"/>
        </w:rPr>
      </w:pPr>
      <w:r w:rsidRPr="00D074D7">
        <w:rPr>
          <w:rFonts w:cs="Arial"/>
          <w:b/>
          <w:szCs w:val="22"/>
        </w:rPr>
        <w:t>A N Other</w:t>
      </w:r>
    </w:p>
    <w:p w14:paraId="1523D2E9" w14:textId="77777777" w:rsidR="00D074D7" w:rsidRPr="00D074D7" w:rsidRDefault="00D074D7" w:rsidP="00D074D7">
      <w:pPr>
        <w:rPr>
          <w:rFonts w:cs="Arial"/>
          <w:b/>
          <w:szCs w:val="22"/>
        </w:rPr>
      </w:pPr>
      <w:r w:rsidRPr="00D074D7">
        <w:rPr>
          <w:rFonts w:cs="Arial"/>
          <w:b/>
          <w:szCs w:val="22"/>
        </w:rPr>
        <w:t>Title (</w:t>
      </w:r>
      <w:proofErr w:type="gramStart"/>
      <w:r w:rsidRPr="00D074D7">
        <w:rPr>
          <w:rFonts w:cs="Arial"/>
          <w:b/>
          <w:szCs w:val="22"/>
        </w:rPr>
        <w:t>e.g.</w:t>
      </w:r>
      <w:proofErr w:type="gramEnd"/>
      <w:r w:rsidRPr="00D074D7">
        <w:rPr>
          <w:rFonts w:cs="Arial"/>
          <w:b/>
          <w:szCs w:val="22"/>
        </w:rPr>
        <w:t xml:space="preserve"> ONR Superintending Inspector – Nuclear Safety)</w:t>
      </w:r>
    </w:p>
    <w:p w14:paraId="1A5F0233" w14:textId="77777777" w:rsidR="00D074D7" w:rsidRPr="00D074D7" w:rsidRDefault="00D074D7" w:rsidP="00D074D7">
      <w:pPr>
        <w:rPr>
          <w:szCs w:val="22"/>
        </w:rPr>
      </w:pPr>
    </w:p>
    <w:p w14:paraId="49E411EE" w14:textId="77777777" w:rsidR="00D074D7" w:rsidRDefault="00D074D7" w:rsidP="00D074D7">
      <w:pPr>
        <w:rPr>
          <w:rFonts w:cs="Arial"/>
          <w:b/>
          <w:iCs/>
          <w:szCs w:val="22"/>
        </w:rPr>
      </w:pPr>
    </w:p>
    <w:p w14:paraId="4D90A22A" w14:textId="77777777" w:rsidR="00D074D7" w:rsidRDefault="00D074D7" w:rsidP="00D074D7">
      <w:pPr>
        <w:rPr>
          <w:rFonts w:cs="Arial"/>
          <w:b/>
          <w:iCs/>
          <w:szCs w:val="22"/>
        </w:rPr>
      </w:pPr>
    </w:p>
    <w:p w14:paraId="40AA02C5" w14:textId="77777777" w:rsidR="00D074D7" w:rsidRPr="00D074D7" w:rsidRDefault="00D074D7" w:rsidP="00D074D7">
      <w:pPr>
        <w:rPr>
          <w:rFonts w:cs="Arial"/>
          <w:b/>
          <w:iCs/>
          <w:szCs w:val="22"/>
        </w:rPr>
      </w:pPr>
      <w:r w:rsidRPr="00D074D7">
        <w:rPr>
          <w:rFonts w:cs="Arial"/>
          <w:b/>
          <w:iCs/>
          <w:szCs w:val="22"/>
        </w:rPr>
        <w:t>Distribution</w:t>
      </w:r>
    </w:p>
    <w:p w14:paraId="55390D6A" w14:textId="77777777" w:rsidR="00D074D7" w:rsidRPr="00D074D7" w:rsidRDefault="00D074D7" w:rsidP="00D074D7">
      <w:pPr>
        <w:rPr>
          <w:rFonts w:cs="Arial"/>
          <w:iCs/>
          <w:szCs w:val="22"/>
        </w:rPr>
      </w:pPr>
      <w:r w:rsidRPr="00D074D7">
        <w:rPr>
          <w:rFonts w:cs="Arial"/>
          <w:iCs/>
          <w:szCs w:val="22"/>
        </w:rPr>
        <w:t>A N Other 1, ONR GDA</w:t>
      </w:r>
    </w:p>
    <w:p w14:paraId="08C49126" w14:textId="77777777" w:rsidR="00F57B11" w:rsidRPr="00D074D7" w:rsidRDefault="00F57B11" w:rsidP="00F57B11">
      <w:pPr>
        <w:rPr>
          <w:szCs w:val="22"/>
        </w:rPr>
      </w:pPr>
    </w:p>
    <w:p w14:paraId="78011905" w14:textId="77777777" w:rsidR="00F57B11" w:rsidRPr="00D074D7" w:rsidRDefault="00F57B11" w:rsidP="00F57B11">
      <w:pPr>
        <w:rPr>
          <w:szCs w:val="22"/>
        </w:rPr>
      </w:pPr>
      <w:r w:rsidRPr="00D074D7">
        <w:rPr>
          <w:szCs w:val="22"/>
        </w:rPr>
        <w:t xml:space="preserve">Guidance </w:t>
      </w:r>
      <w:proofErr w:type="gramStart"/>
      <w:r w:rsidRPr="00D074D7">
        <w:rPr>
          <w:szCs w:val="22"/>
        </w:rPr>
        <w:t>note</w:t>
      </w:r>
      <w:proofErr w:type="gramEnd"/>
      <w:r w:rsidRPr="00D074D7">
        <w:rPr>
          <w:szCs w:val="22"/>
        </w:rPr>
        <w:t xml:space="preserve"> to investigator [not part of letter text]:</w:t>
      </w:r>
    </w:p>
    <w:p w14:paraId="5D29DA30" w14:textId="77777777" w:rsidR="00F57B11" w:rsidRPr="00D074D7" w:rsidRDefault="00F57B11" w:rsidP="00F57B11">
      <w:pPr>
        <w:rPr>
          <w:szCs w:val="22"/>
        </w:rPr>
      </w:pPr>
    </w:p>
    <w:p w14:paraId="29A44991" w14:textId="77777777" w:rsidR="00F57B11" w:rsidRPr="00D074D7" w:rsidRDefault="00F57B11" w:rsidP="00F57B11">
      <w:pPr>
        <w:rPr>
          <w:szCs w:val="22"/>
        </w:rPr>
      </w:pPr>
      <w:r w:rsidRPr="00D074D7">
        <w:rPr>
          <w:szCs w:val="22"/>
        </w:rPr>
        <w:t xml:space="preserve">The Appendix should contain: </w:t>
      </w:r>
    </w:p>
    <w:p w14:paraId="1EA70942" w14:textId="77777777" w:rsidR="00F57B11" w:rsidRPr="00D074D7" w:rsidRDefault="00F57B11" w:rsidP="00F57B11">
      <w:pPr>
        <w:rPr>
          <w:szCs w:val="22"/>
        </w:rPr>
      </w:pPr>
    </w:p>
    <w:p w14:paraId="091AEAB1" w14:textId="77777777" w:rsidR="00F57B11" w:rsidRPr="00D074D7" w:rsidRDefault="00F57B11" w:rsidP="00F57B11">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A description of potential charges,</w:t>
      </w:r>
    </w:p>
    <w:p w14:paraId="68AA473D" w14:textId="77777777" w:rsidR="00F57B11" w:rsidRPr="00D074D7" w:rsidRDefault="00F57B11" w:rsidP="00F57B11">
      <w:pPr>
        <w:numPr>
          <w:ilvl w:val="1"/>
          <w:numId w:val="21"/>
        </w:numPr>
        <w:tabs>
          <w:tab w:val="left" w:pos="0"/>
        </w:tabs>
        <w:spacing w:after="120"/>
        <w:rPr>
          <w:rFonts w:cs="Arial"/>
          <w:color w:val="000000"/>
          <w:szCs w:val="22"/>
          <w:lang w:val="en" w:eastAsia="en-GB"/>
        </w:rPr>
      </w:pPr>
      <w:r w:rsidRPr="00D074D7">
        <w:rPr>
          <w:rFonts w:cs="Arial"/>
          <w:color w:val="000000"/>
          <w:szCs w:val="22"/>
          <w:lang w:val="en" w:eastAsia="en-GB"/>
        </w:rPr>
        <w:t>A summary of the evidence</w:t>
      </w:r>
    </w:p>
    <w:p w14:paraId="677BDF2D" w14:textId="77777777" w:rsidR="00B1514B" w:rsidRPr="00D074D7" w:rsidRDefault="00F57B11" w:rsidP="007830CF">
      <w:pPr>
        <w:numPr>
          <w:ilvl w:val="1"/>
          <w:numId w:val="21"/>
        </w:numPr>
        <w:tabs>
          <w:tab w:val="left" w:pos="0"/>
        </w:tabs>
        <w:spacing w:after="120"/>
        <w:rPr>
          <w:szCs w:val="22"/>
        </w:rPr>
      </w:pPr>
      <w:r w:rsidRPr="00D074D7">
        <w:rPr>
          <w:rFonts w:cs="Arial"/>
          <w:color w:val="000000"/>
          <w:szCs w:val="22"/>
          <w:lang w:val="en" w:eastAsia="en-GB"/>
        </w:rPr>
        <w:t xml:space="preserve">A list of relevant documents </w:t>
      </w:r>
    </w:p>
    <w:p w14:paraId="162DB065" w14:textId="77777777" w:rsidR="00B1514B" w:rsidRPr="00D074D7" w:rsidRDefault="00B1514B" w:rsidP="007830CF">
      <w:pPr>
        <w:tabs>
          <w:tab w:val="left" w:pos="0"/>
        </w:tabs>
        <w:spacing w:after="120"/>
        <w:rPr>
          <w:szCs w:val="22"/>
        </w:rPr>
      </w:pPr>
    </w:p>
    <w:p w14:paraId="71D4CD82" w14:textId="77777777" w:rsidR="00F57B11" w:rsidRPr="00D074D7" w:rsidRDefault="00B1514B" w:rsidP="007830CF">
      <w:pPr>
        <w:tabs>
          <w:tab w:val="left" w:pos="0"/>
        </w:tabs>
        <w:spacing w:after="120"/>
        <w:rPr>
          <w:b/>
          <w:szCs w:val="22"/>
        </w:rPr>
      </w:pPr>
      <w:r w:rsidRPr="00D074D7">
        <w:rPr>
          <w:rFonts w:cs="Arial"/>
          <w:b/>
          <w:color w:val="000000"/>
          <w:szCs w:val="22"/>
          <w:lang w:val="en" w:eastAsia="en-GB"/>
        </w:rPr>
        <w:t>Information about what is sent should be recorded in Appendix 7 of the Investigation Report.</w:t>
      </w:r>
      <w:r w:rsidR="00F57B11" w:rsidRPr="00D074D7">
        <w:rPr>
          <w:rFonts w:cs="Arial"/>
          <w:b/>
          <w:color w:val="000000"/>
          <w:szCs w:val="22"/>
          <w:lang w:val="en" w:eastAsia="en-GB"/>
        </w:rPr>
        <w:br/>
      </w:r>
    </w:p>
    <w:p w14:paraId="0BDCE49F" w14:textId="77777777" w:rsidR="00F57B11" w:rsidRPr="00D074D7" w:rsidRDefault="00F57B11" w:rsidP="009B5159">
      <w:pPr>
        <w:rPr>
          <w:rFonts w:cs="Arial"/>
          <w:szCs w:val="22"/>
        </w:rPr>
      </w:pPr>
    </w:p>
    <w:p w14:paraId="343B6CEC" w14:textId="77777777" w:rsidR="00B43C54" w:rsidRDefault="00B43C54"/>
    <w:sectPr w:rsidR="00B43C54" w:rsidSect="00EA5EB4">
      <w:type w:val="continuous"/>
      <w:pgSz w:w="11906" w:h="16838" w:code="9"/>
      <w:pgMar w:top="1134"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3B20" w14:textId="77777777" w:rsidR="00093673" w:rsidRDefault="00093673">
      <w:r>
        <w:separator/>
      </w:r>
    </w:p>
  </w:endnote>
  <w:endnote w:type="continuationSeparator" w:id="0">
    <w:p w14:paraId="62CB74AC" w14:textId="77777777" w:rsidR="00093673" w:rsidRDefault="0009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DCF8" w14:textId="77777777" w:rsidR="00E8576F" w:rsidRDefault="00E85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53E4" w14:textId="77777777" w:rsidR="00651305" w:rsidRPr="00487A22" w:rsidRDefault="00651305"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Pr>
        <w:b/>
        <w:noProof/>
        <w:color w:val="006D68"/>
        <w:sz w:val="14"/>
        <w:szCs w:val="14"/>
      </w:rPr>
      <w:t>21</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Pr>
        <w:b/>
        <w:noProof/>
        <w:color w:val="006D68"/>
        <w:sz w:val="14"/>
        <w:szCs w:val="14"/>
      </w:rPr>
      <w:t>29</w:t>
    </w:r>
    <w:r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2297" w14:textId="77777777" w:rsidR="00651305" w:rsidRDefault="00651305" w:rsidP="00AE458C">
    <w:pPr>
      <w:pStyle w:val="Footer"/>
      <w:tabs>
        <w:tab w:val="clear" w:pos="4153"/>
        <w:tab w:val="clear" w:pos="8306"/>
        <w:tab w:val="right" w:pos="9214"/>
      </w:tabs>
      <w:jc w:val="center"/>
      <w:rPr>
        <w:color w:val="006D68"/>
        <w:sz w:val="14"/>
        <w:szCs w:val="14"/>
      </w:rPr>
    </w:pPr>
  </w:p>
  <w:p w14:paraId="0F0FC410" w14:textId="77777777" w:rsidR="00651305" w:rsidRPr="00B56CCE" w:rsidRDefault="00651305" w:rsidP="00B56CCE">
    <w:pPr>
      <w:pStyle w:val="Footer"/>
      <w:tabs>
        <w:tab w:val="clear" w:pos="4153"/>
        <w:tab w:val="clear" w:pos="8306"/>
        <w:tab w:val="right" w:pos="9214"/>
      </w:tabs>
      <w:rPr>
        <w:b/>
        <w:color w:val="006D68"/>
        <w:sz w:val="14"/>
        <w:szCs w:val="14"/>
      </w:rPr>
    </w:pPr>
    <w:r>
      <w:rPr>
        <w:color w:val="006D68"/>
        <w:sz w:val="14"/>
        <w:szCs w:val="14"/>
      </w:rPr>
      <w:t>CM9 2020/270380</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noProof/>
        <w:color w:val="006D68"/>
        <w:sz w:val="14"/>
        <w:szCs w:val="14"/>
      </w:rPr>
      <w:t>29</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D8FC" w14:textId="77777777" w:rsidR="00093673" w:rsidRDefault="00093673">
      <w:r>
        <w:separator/>
      </w:r>
    </w:p>
  </w:footnote>
  <w:footnote w:type="continuationSeparator" w:id="0">
    <w:p w14:paraId="03CC86A9" w14:textId="77777777" w:rsidR="00093673" w:rsidRDefault="00093673">
      <w:r>
        <w:continuationSeparator/>
      </w:r>
    </w:p>
  </w:footnote>
  <w:footnote w:id="1">
    <w:p w14:paraId="543E9BA5" w14:textId="77777777" w:rsidR="00651305" w:rsidRDefault="00651305">
      <w:pPr>
        <w:pStyle w:val="FootnoteText"/>
      </w:pPr>
      <w:r>
        <w:rPr>
          <w:rStyle w:val="FootnoteReference"/>
        </w:rPr>
        <w:footnoteRef/>
      </w:r>
      <w:r>
        <w:t xml:space="preserve"> ‘On petition’ refers to</w:t>
      </w:r>
      <w:r w:rsidRPr="00883A94">
        <w:t xml:space="preserve"> a hearing held in private at the earliest court stage of a serious criminal prosecution.</w:t>
      </w:r>
      <w:r>
        <w:t xml:space="preserve"> All ONR cases are likely to be on petition.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1F77" w14:textId="1DB3E4ED" w:rsidR="00E8576F" w:rsidRDefault="00EF325D">
    <w:pPr>
      <w:pStyle w:val="Header"/>
    </w:pPr>
    <w:r>
      <w:rPr>
        <w:noProof/>
      </w:rPr>
      <w:pict w14:anchorId="758D1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57" o:spid="_x0000_s1026" type="#_x0000_t136" style="position:absolute;margin-left:0;margin-top:0;width:534.45pt;height:112.9pt;rotation:315;z-index:-251655168;mso-position-horizontal:center;mso-position-horizontal-relative:margin;mso-position-vertical:center;mso-position-vertical-relative:margin" o:allowincell="f" fillcolor="red" stroked="f">
          <v:textpath style="font-family:&quot;Arial Black&quot;;font-size:1pt" string="WITHDRAW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909C" w14:textId="519AEC4A" w:rsidR="00651305" w:rsidRDefault="00EF325D">
    <w:pPr>
      <w:pStyle w:val="Header"/>
      <w:rPr>
        <w:b/>
        <w:color w:val="006D68"/>
        <w:sz w:val="14"/>
        <w:szCs w:val="14"/>
      </w:rPr>
    </w:pPr>
    <w:r>
      <w:rPr>
        <w:noProof/>
      </w:rPr>
      <w:pict w14:anchorId="15004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58" o:spid="_x0000_s1027" type="#_x0000_t136" style="position:absolute;margin-left:0;margin-top:0;width:534.45pt;height:112.9pt;rotation:315;z-index:-251653120;mso-position-horizontal:center;mso-position-horizontal-relative:margin;mso-position-vertical:center;mso-position-vertical-relative:margin" o:allowincell="f" fillcolor="red" stroked="f">
          <v:textpath style="font-family:&quot;Arial Black&quot;;font-size:1pt" string="WITHDRAWN"/>
          <w10:wrap anchorx="margin" anchory="margin"/>
        </v:shape>
      </w:pict>
    </w:r>
    <w:r w:rsidR="00651305">
      <w:rPr>
        <w:color w:val="006D68"/>
        <w:sz w:val="14"/>
        <w:szCs w:val="14"/>
      </w:rPr>
      <w:t>Office for Nuclear Regulation</w:t>
    </w:r>
  </w:p>
  <w:p w14:paraId="1B366C64" w14:textId="77777777" w:rsidR="00651305" w:rsidRDefault="00651305">
    <w:pPr>
      <w:pStyle w:val="Header"/>
      <w:rPr>
        <w:b/>
        <w:color w:val="006D68"/>
        <w:sz w:val="14"/>
        <w:szCs w:val="14"/>
      </w:rPr>
    </w:pPr>
  </w:p>
  <w:p w14:paraId="11E90941" w14:textId="77777777" w:rsidR="00651305" w:rsidRDefault="00651305">
    <w:pPr>
      <w:pStyle w:val="Header"/>
      <w:rPr>
        <w:b/>
        <w:color w:val="006D68"/>
        <w:sz w:val="14"/>
        <w:szCs w:val="14"/>
      </w:rPr>
    </w:pPr>
  </w:p>
  <w:p w14:paraId="3414BCAF" w14:textId="77777777" w:rsidR="00651305" w:rsidRDefault="00651305" w:rsidP="001C2C12">
    <w:pPr>
      <w:pStyle w:val="Header"/>
      <w:rPr>
        <w:b/>
        <w:color w:val="006D68"/>
        <w:sz w:val="14"/>
        <w:szCs w:val="14"/>
      </w:rPr>
    </w:pPr>
  </w:p>
  <w:p w14:paraId="1A9756A6" w14:textId="77777777" w:rsidR="00651305" w:rsidRPr="00CA3B14" w:rsidRDefault="00651305" w:rsidP="00CA3B14">
    <w:pPr>
      <w:pStyle w:val="Header"/>
      <w:spacing w:after="240"/>
      <w:jc w:val="center"/>
      <w:rPr>
        <w:b/>
        <w:color w:val="006D68"/>
        <w:sz w:val="2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6C10" w14:textId="165C29C7" w:rsidR="00651305" w:rsidRDefault="00EF325D" w:rsidP="00CA3B14">
    <w:pPr>
      <w:pStyle w:val="Header"/>
      <w:rPr>
        <w:b/>
        <w:color w:val="006D68"/>
        <w:sz w:val="14"/>
        <w:szCs w:val="14"/>
      </w:rPr>
    </w:pPr>
    <w:r>
      <w:rPr>
        <w:noProof/>
      </w:rPr>
      <w:pict w14:anchorId="20E36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56" o:spid="_x0000_s1025" type="#_x0000_t136" style="position:absolute;margin-left:0;margin-top:0;width:534.45pt;height:112.9pt;rotation:315;z-index:-251657216;mso-position-horizontal:center;mso-position-horizontal-relative:margin;mso-position-vertical:center;mso-position-vertical-relative:margin" o:allowincell="f" fillcolor="red" stroked="f">
          <v:textpath style="font-family:&quot;Arial Black&quot;;font-size:1pt" string="WITHDRAWN"/>
          <w10:wrap anchorx="margin" anchory="margin"/>
        </v:shape>
      </w:pict>
    </w:r>
    <w:r w:rsidR="00651305" w:rsidRPr="00CA3B14">
      <w:rPr>
        <w:b/>
        <w:color w:val="006D68"/>
        <w:sz w:val="14"/>
        <w:szCs w:val="14"/>
      </w:rPr>
      <w:t xml:space="preserve"> </w:t>
    </w:r>
    <w:r w:rsidR="00651305" w:rsidRPr="00B56CCE">
      <w:rPr>
        <w:b/>
        <w:color w:val="006D68"/>
        <w:sz w:val="14"/>
        <w:szCs w:val="14"/>
      </w:rPr>
      <w:t xml:space="preserve">Title of </w:t>
    </w:r>
    <w:r w:rsidR="00651305">
      <w:rPr>
        <w:b/>
        <w:color w:val="006D68"/>
        <w:sz w:val="14"/>
        <w:szCs w:val="14"/>
      </w:rPr>
      <w:t>document</w:t>
    </w:r>
  </w:p>
  <w:p w14:paraId="52E08E15" w14:textId="77777777" w:rsidR="00651305" w:rsidRDefault="00651305" w:rsidP="00CA3B14">
    <w:pPr>
      <w:pStyle w:val="Header"/>
      <w:rPr>
        <w:b/>
        <w:color w:val="006D68"/>
        <w:sz w:val="14"/>
        <w:szCs w:val="14"/>
      </w:rPr>
    </w:pPr>
  </w:p>
  <w:p w14:paraId="0BB7A787" w14:textId="77777777" w:rsidR="00651305" w:rsidRDefault="00651305" w:rsidP="00CA3B14">
    <w:pPr>
      <w:pStyle w:val="Header"/>
      <w:rPr>
        <w:b/>
        <w:color w:val="006D68"/>
        <w:sz w:val="14"/>
        <w:szCs w:val="14"/>
      </w:rPr>
    </w:pPr>
  </w:p>
  <w:p w14:paraId="1FA2AF1A" w14:textId="77777777" w:rsidR="00651305" w:rsidRDefault="00651305" w:rsidP="00CA3B14">
    <w:pPr>
      <w:pStyle w:val="Header"/>
      <w:rPr>
        <w:b/>
        <w:color w:val="006D68"/>
        <w:sz w:val="14"/>
        <w:szCs w:val="14"/>
      </w:rPr>
    </w:pPr>
  </w:p>
  <w:p w14:paraId="3F242FBE" w14:textId="77777777" w:rsidR="00651305" w:rsidRDefault="00651305" w:rsidP="00CA3B14">
    <w:pPr>
      <w:pStyle w:val="Header"/>
      <w:rPr>
        <w:b/>
        <w:color w:val="006D68"/>
        <w:sz w:val="14"/>
        <w:szCs w:val="14"/>
      </w:rPr>
    </w:pPr>
  </w:p>
  <w:p w14:paraId="6A4867CF" w14:textId="77777777" w:rsidR="00651305" w:rsidRDefault="00651305" w:rsidP="00CA3B14">
    <w:pPr>
      <w:pStyle w:val="Header"/>
      <w:rPr>
        <w:b/>
        <w:color w:val="006D68"/>
        <w:sz w:val="14"/>
        <w:szCs w:val="14"/>
      </w:rPr>
    </w:pPr>
  </w:p>
  <w:p w14:paraId="76C35D97" w14:textId="77777777" w:rsidR="00651305" w:rsidRDefault="00651305" w:rsidP="00CA3B14">
    <w:pPr>
      <w:pStyle w:val="Header"/>
      <w:rPr>
        <w:b/>
        <w:color w:val="006D68"/>
        <w:sz w:val="14"/>
        <w:szCs w:val="14"/>
      </w:rPr>
    </w:pPr>
  </w:p>
  <w:p w14:paraId="3FEA718D" w14:textId="77777777" w:rsidR="00651305" w:rsidRPr="00D55197" w:rsidRDefault="00651305" w:rsidP="00CA3B14">
    <w:pPr>
      <w:pStyle w:val="Header"/>
      <w:jc w:val="cent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786E067B" wp14:editId="2FFB873C">
          <wp:simplePos x="0" y="0"/>
          <wp:positionH relativeFrom="page">
            <wp:posOffset>288290</wp:posOffset>
          </wp:positionH>
          <wp:positionV relativeFrom="page">
            <wp:posOffset>252095</wp:posOffset>
          </wp:positionV>
          <wp:extent cx="6572250" cy="619125"/>
          <wp:effectExtent l="0" t="0" r="0" b="9525"/>
          <wp:wrapNone/>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4167372"/>
    <w:multiLevelType w:val="hybridMultilevel"/>
    <w:tmpl w:val="0AC6C1F4"/>
    <w:lvl w:ilvl="0" w:tplc="C3BA5E46">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376479"/>
    <w:multiLevelType w:val="hybridMultilevel"/>
    <w:tmpl w:val="7C984C0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910C8"/>
    <w:multiLevelType w:val="hybridMultilevel"/>
    <w:tmpl w:val="DA2C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9" w15:restartNumberingAfterBreak="0">
    <w:nsid w:val="29706A39"/>
    <w:multiLevelType w:val="multilevel"/>
    <w:tmpl w:val="199A8DC8"/>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D8A4674"/>
    <w:multiLevelType w:val="multilevel"/>
    <w:tmpl w:val="3858D28C"/>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15E279C"/>
    <w:multiLevelType w:val="hybridMultilevel"/>
    <w:tmpl w:val="D89801C8"/>
    <w:name w:val="List Bullet 2"/>
    <w:lvl w:ilvl="0" w:tplc="D70448D4">
      <w:start w:val="1"/>
      <w:numFmt w:val="bullet"/>
      <w:pStyle w:val="ListBullet2"/>
      <w:lvlText w:val=""/>
      <w:lvlJc w:val="left"/>
      <w:pPr>
        <w:tabs>
          <w:tab w:val="num" w:pos="1276"/>
        </w:tabs>
        <w:ind w:left="1276" w:hanging="567"/>
      </w:pPr>
      <w:rPr>
        <w:rFonts w:ascii="Symbol" w:hAnsi="Symbol" w:hint="default"/>
        <w:sz w:val="20"/>
        <w:szCs w:val="20"/>
      </w:rPr>
    </w:lvl>
    <w:lvl w:ilvl="1" w:tplc="5970AE56" w:tentative="1">
      <w:start w:val="1"/>
      <w:numFmt w:val="bullet"/>
      <w:lvlText w:val="o"/>
      <w:lvlJc w:val="left"/>
      <w:pPr>
        <w:tabs>
          <w:tab w:val="num" w:pos="1440"/>
        </w:tabs>
        <w:ind w:left="1440" w:hanging="360"/>
      </w:pPr>
      <w:rPr>
        <w:rFonts w:ascii="Courier New" w:hAnsi="Courier New" w:cs="Courier New" w:hint="default"/>
      </w:rPr>
    </w:lvl>
    <w:lvl w:ilvl="2" w:tplc="ADBCA154" w:tentative="1">
      <w:start w:val="1"/>
      <w:numFmt w:val="bullet"/>
      <w:lvlText w:val=""/>
      <w:lvlJc w:val="left"/>
      <w:pPr>
        <w:tabs>
          <w:tab w:val="num" w:pos="2160"/>
        </w:tabs>
        <w:ind w:left="2160" w:hanging="360"/>
      </w:pPr>
      <w:rPr>
        <w:rFonts w:ascii="Wingdings" w:hAnsi="Wingdings" w:hint="default"/>
      </w:rPr>
    </w:lvl>
    <w:lvl w:ilvl="3" w:tplc="9D929626" w:tentative="1">
      <w:start w:val="1"/>
      <w:numFmt w:val="bullet"/>
      <w:lvlText w:val=""/>
      <w:lvlJc w:val="left"/>
      <w:pPr>
        <w:tabs>
          <w:tab w:val="num" w:pos="2880"/>
        </w:tabs>
        <w:ind w:left="2880" w:hanging="360"/>
      </w:pPr>
      <w:rPr>
        <w:rFonts w:ascii="Symbol" w:hAnsi="Symbol" w:hint="default"/>
      </w:rPr>
    </w:lvl>
    <w:lvl w:ilvl="4" w:tplc="D242E1F8" w:tentative="1">
      <w:start w:val="1"/>
      <w:numFmt w:val="bullet"/>
      <w:lvlText w:val="o"/>
      <w:lvlJc w:val="left"/>
      <w:pPr>
        <w:tabs>
          <w:tab w:val="num" w:pos="3600"/>
        </w:tabs>
        <w:ind w:left="3600" w:hanging="360"/>
      </w:pPr>
      <w:rPr>
        <w:rFonts w:ascii="Courier New" w:hAnsi="Courier New" w:cs="Courier New" w:hint="default"/>
      </w:rPr>
    </w:lvl>
    <w:lvl w:ilvl="5" w:tplc="9FBEDAA6" w:tentative="1">
      <w:start w:val="1"/>
      <w:numFmt w:val="bullet"/>
      <w:lvlText w:val=""/>
      <w:lvlJc w:val="left"/>
      <w:pPr>
        <w:tabs>
          <w:tab w:val="num" w:pos="4320"/>
        </w:tabs>
        <w:ind w:left="4320" w:hanging="360"/>
      </w:pPr>
      <w:rPr>
        <w:rFonts w:ascii="Wingdings" w:hAnsi="Wingdings" w:hint="default"/>
      </w:rPr>
    </w:lvl>
    <w:lvl w:ilvl="6" w:tplc="B246B4FA" w:tentative="1">
      <w:start w:val="1"/>
      <w:numFmt w:val="bullet"/>
      <w:lvlText w:val=""/>
      <w:lvlJc w:val="left"/>
      <w:pPr>
        <w:tabs>
          <w:tab w:val="num" w:pos="5040"/>
        </w:tabs>
        <w:ind w:left="5040" w:hanging="360"/>
      </w:pPr>
      <w:rPr>
        <w:rFonts w:ascii="Symbol" w:hAnsi="Symbol" w:hint="default"/>
      </w:rPr>
    </w:lvl>
    <w:lvl w:ilvl="7" w:tplc="75523D66" w:tentative="1">
      <w:start w:val="1"/>
      <w:numFmt w:val="bullet"/>
      <w:lvlText w:val="o"/>
      <w:lvlJc w:val="left"/>
      <w:pPr>
        <w:tabs>
          <w:tab w:val="num" w:pos="5760"/>
        </w:tabs>
        <w:ind w:left="5760" w:hanging="360"/>
      </w:pPr>
      <w:rPr>
        <w:rFonts w:ascii="Courier New" w:hAnsi="Courier New" w:cs="Courier New" w:hint="default"/>
      </w:rPr>
    </w:lvl>
    <w:lvl w:ilvl="8" w:tplc="D70435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475F41A3"/>
    <w:multiLevelType w:val="hybridMultilevel"/>
    <w:tmpl w:val="7C6CB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B828F0"/>
    <w:multiLevelType w:val="hybridMultilevel"/>
    <w:tmpl w:val="2574594C"/>
    <w:lvl w:ilvl="0" w:tplc="6D0E2306">
      <w:start w:val="6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EA0600"/>
    <w:multiLevelType w:val="hybridMultilevel"/>
    <w:tmpl w:val="BD307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622DD8"/>
    <w:multiLevelType w:val="hybridMultilevel"/>
    <w:tmpl w:val="B9BCDF66"/>
    <w:lvl w:ilvl="0" w:tplc="5C2800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0" w15:restartNumberingAfterBreak="0">
    <w:nsid w:val="5D362524"/>
    <w:multiLevelType w:val="hybridMultilevel"/>
    <w:tmpl w:val="BAEC8228"/>
    <w:lvl w:ilvl="0" w:tplc="E53477D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89D0D15"/>
    <w:multiLevelType w:val="hybridMultilevel"/>
    <w:tmpl w:val="1C02C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9C6FFB"/>
    <w:multiLevelType w:val="multilevel"/>
    <w:tmpl w:val="C1EE5A72"/>
    <w:name w:val="Schedule"/>
    <w:lvl w:ilvl="0">
      <w:start w:val="1"/>
      <w:numFmt w:val="decimal"/>
      <w:pStyle w:val="ScheduleHeading"/>
      <w:suff w:val="nothing"/>
      <w:lvlText w:val="SCHEDULE %1"/>
      <w:lvlJc w:val="left"/>
      <w:pPr>
        <w:ind w:left="0" w:firstLine="0"/>
      </w:pPr>
      <w:rPr>
        <w:rFonts w:hint="default"/>
        <w:b/>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Lvl1"/>
      <w:lvlText w:val="%2"/>
      <w:lvlJc w:val="left"/>
      <w:pPr>
        <w:tabs>
          <w:tab w:val="num" w:pos="706"/>
        </w:tabs>
        <w:ind w:left="706" w:hanging="706"/>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vl2"/>
      <w:lvlText w:val="%2.%3"/>
      <w:lvlJc w:val="left"/>
      <w:pPr>
        <w:tabs>
          <w:tab w:val="num" w:pos="1559"/>
        </w:tabs>
        <w:ind w:left="1559" w:hanging="853"/>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vl3"/>
      <w:lvlText w:val="%2.%3.%4"/>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3"/>
      <w:pStyle w:val="ScheduleLvl4"/>
      <w:lvlText w:val="%2.%3.%4.%5"/>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pStyle w:val="ScheduleLvl5"/>
      <w:lvlText w:val="%2.%3.%4.%5.%6"/>
      <w:lvlJc w:val="left"/>
      <w:pPr>
        <w:tabs>
          <w:tab w:val="num" w:pos="5812"/>
        </w:tabs>
        <w:ind w:left="5812" w:hanging="170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3"/>
      <w:pStyle w:val="ScheduleLvl6"/>
      <w:lvlText w:val="(%7)"/>
      <w:lvlJc w:val="left"/>
      <w:pPr>
        <w:tabs>
          <w:tab w:val="num" w:pos="4111"/>
        </w:tabs>
        <w:ind w:left="4111" w:hanging="1418"/>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Restart w:val="3"/>
      <w:pStyle w:val="ScheduleLvl7"/>
      <w:lvlText w:val="(%8)"/>
      <w:lvlJc w:val="left"/>
      <w:pPr>
        <w:tabs>
          <w:tab w:val="num" w:pos="4111"/>
        </w:tabs>
        <w:ind w:left="4111" w:hanging="1418"/>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3"/>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6F6A127E"/>
    <w:multiLevelType w:val="hybridMultilevel"/>
    <w:tmpl w:val="289A0510"/>
    <w:lvl w:ilvl="0" w:tplc="2BFCE8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B12A6A"/>
    <w:multiLevelType w:val="hybridMultilevel"/>
    <w:tmpl w:val="8A7E9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07115030">
    <w:abstractNumId w:val="8"/>
  </w:num>
  <w:num w:numId="2" w16cid:durableId="1731341763">
    <w:abstractNumId w:val="29"/>
  </w:num>
  <w:num w:numId="3" w16cid:durableId="120736639">
    <w:abstractNumId w:val="14"/>
  </w:num>
  <w:num w:numId="4" w16cid:durableId="565065567">
    <w:abstractNumId w:val="0"/>
  </w:num>
  <w:num w:numId="5" w16cid:durableId="739445160">
    <w:abstractNumId w:val="13"/>
  </w:num>
  <w:num w:numId="6" w16cid:durableId="970480089">
    <w:abstractNumId w:val="27"/>
  </w:num>
  <w:num w:numId="7" w16cid:durableId="1147011956">
    <w:abstractNumId w:val="24"/>
  </w:num>
  <w:num w:numId="8" w16cid:durableId="386993336">
    <w:abstractNumId w:val="19"/>
  </w:num>
  <w:num w:numId="9" w16cid:durableId="464081368">
    <w:abstractNumId w:val="28"/>
  </w:num>
  <w:num w:numId="10" w16cid:durableId="1503280948">
    <w:abstractNumId w:val="4"/>
  </w:num>
  <w:num w:numId="11" w16cid:durableId="917448499">
    <w:abstractNumId w:val="6"/>
  </w:num>
  <w:num w:numId="12" w16cid:durableId="1318538833">
    <w:abstractNumId w:val="9"/>
  </w:num>
  <w:num w:numId="13" w16cid:durableId="2110154192">
    <w:abstractNumId w:val="2"/>
  </w:num>
  <w:num w:numId="14" w16cid:durableId="1285042239">
    <w:abstractNumId w:val="21"/>
  </w:num>
  <w:num w:numId="15" w16cid:durableId="32266223">
    <w:abstractNumId w:val="12"/>
  </w:num>
  <w:num w:numId="16" w16cid:durableId="1761176153">
    <w:abstractNumId w:val="26"/>
  </w:num>
  <w:num w:numId="17" w16cid:durableId="673918070">
    <w:abstractNumId w:val="7"/>
  </w:num>
  <w:num w:numId="18" w16cid:durableId="1747724132">
    <w:abstractNumId w:val="10"/>
  </w:num>
  <w:num w:numId="19" w16cid:durableId="1947688110">
    <w:abstractNumId w:val="16"/>
  </w:num>
  <w:num w:numId="20" w16cid:durableId="639652689">
    <w:abstractNumId w:val="22"/>
  </w:num>
  <w:num w:numId="21" w16cid:durableId="1308164994">
    <w:abstractNumId w:val="5"/>
  </w:num>
  <w:num w:numId="22" w16cid:durableId="226696709">
    <w:abstractNumId w:val="25"/>
  </w:num>
  <w:num w:numId="23" w16cid:durableId="1462916597">
    <w:abstractNumId w:val="3"/>
  </w:num>
  <w:num w:numId="24" w16cid:durableId="1948390420">
    <w:abstractNumId w:val="30"/>
  </w:num>
  <w:num w:numId="25" w16cid:durableId="1350525869">
    <w:abstractNumId w:val="17"/>
  </w:num>
  <w:num w:numId="26" w16cid:durableId="1218081079">
    <w:abstractNumId w:val="15"/>
  </w:num>
  <w:num w:numId="27" w16cid:durableId="165439728">
    <w:abstractNumId w:val="18"/>
  </w:num>
  <w:num w:numId="28" w16cid:durableId="1075666762">
    <w:abstractNumId w:val="20"/>
  </w:num>
  <w:num w:numId="29" w16cid:durableId="1439788275">
    <w:abstractNumId w:val="1"/>
  </w:num>
  <w:num w:numId="30" w16cid:durableId="1099644702">
    <w:abstractNumId w:val="11"/>
  </w:num>
  <w:num w:numId="31" w16cid:durableId="496506297">
    <w:abstractNumId w:val="23"/>
  </w:num>
  <w:num w:numId="32" w16cid:durableId="1839924648">
    <w:abstractNumId w:val="23"/>
    <w:lvlOverride w:ilvl="0">
      <w:startOverride w:val="1"/>
    </w:lvlOverride>
    <w:lvlOverride w:ilvl="1">
      <w:startOverride w:val="11"/>
    </w:lvlOverride>
    <w:lvlOverride w:ilvl="2">
      <w:startOverride w:val="16"/>
    </w:lvlOverride>
  </w:num>
  <w:num w:numId="33" w16cid:durableId="1426925835">
    <w:abstractNumId w:val="23"/>
    <w:lvlOverride w:ilvl="0">
      <w:startOverride w:val="1"/>
    </w:lvlOverride>
    <w:lvlOverride w:ilvl="1">
      <w:startOverride w:val="11"/>
    </w:lvlOverride>
    <w:lvlOverride w:ilvl="2">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11C72"/>
    <w:rsid w:val="00023744"/>
    <w:rsid w:val="00030A3E"/>
    <w:rsid w:val="00030D3C"/>
    <w:rsid w:val="000312D3"/>
    <w:rsid w:val="00045574"/>
    <w:rsid w:val="0005405C"/>
    <w:rsid w:val="000715BD"/>
    <w:rsid w:val="000760E2"/>
    <w:rsid w:val="00081C63"/>
    <w:rsid w:val="00093673"/>
    <w:rsid w:val="00095239"/>
    <w:rsid w:val="00096F71"/>
    <w:rsid w:val="000A1516"/>
    <w:rsid w:val="000A6302"/>
    <w:rsid w:val="000B4E40"/>
    <w:rsid w:val="000D3236"/>
    <w:rsid w:val="000D6244"/>
    <w:rsid w:val="000E21B9"/>
    <w:rsid w:val="000F10B5"/>
    <w:rsid w:val="000F34B7"/>
    <w:rsid w:val="00121C8F"/>
    <w:rsid w:val="00123D6E"/>
    <w:rsid w:val="001241CD"/>
    <w:rsid w:val="00127C90"/>
    <w:rsid w:val="00131ECC"/>
    <w:rsid w:val="00164F4F"/>
    <w:rsid w:val="00176F53"/>
    <w:rsid w:val="00190CEE"/>
    <w:rsid w:val="001958D0"/>
    <w:rsid w:val="001974B7"/>
    <w:rsid w:val="001A11AC"/>
    <w:rsid w:val="001A365E"/>
    <w:rsid w:val="001A6937"/>
    <w:rsid w:val="001C2C12"/>
    <w:rsid w:val="001C3DB8"/>
    <w:rsid w:val="001C6AE2"/>
    <w:rsid w:val="001D78A1"/>
    <w:rsid w:val="001E055A"/>
    <w:rsid w:val="001E53AC"/>
    <w:rsid w:val="001E611F"/>
    <w:rsid w:val="00200CB7"/>
    <w:rsid w:val="0021074A"/>
    <w:rsid w:val="00216018"/>
    <w:rsid w:val="002235FF"/>
    <w:rsid w:val="002435DD"/>
    <w:rsid w:val="002441D1"/>
    <w:rsid w:val="002535D3"/>
    <w:rsid w:val="00255336"/>
    <w:rsid w:val="00263DD4"/>
    <w:rsid w:val="00265931"/>
    <w:rsid w:val="002673DE"/>
    <w:rsid w:val="002703AC"/>
    <w:rsid w:val="00275272"/>
    <w:rsid w:val="00275317"/>
    <w:rsid w:val="0027603E"/>
    <w:rsid w:val="0028011F"/>
    <w:rsid w:val="0028356A"/>
    <w:rsid w:val="00285410"/>
    <w:rsid w:val="00297401"/>
    <w:rsid w:val="002A43A8"/>
    <w:rsid w:val="002B3739"/>
    <w:rsid w:val="002C28FC"/>
    <w:rsid w:val="002D0643"/>
    <w:rsid w:val="002E590A"/>
    <w:rsid w:val="002F0F46"/>
    <w:rsid w:val="002F3345"/>
    <w:rsid w:val="002F4B8E"/>
    <w:rsid w:val="0031706E"/>
    <w:rsid w:val="00335B8E"/>
    <w:rsid w:val="00344BC7"/>
    <w:rsid w:val="00345F8A"/>
    <w:rsid w:val="0035338D"/>
    <w:rsid w:val="00361F80"/>
    <w:rsid w:val="00366035"/>
    <w:rsid w:val="00367EF0"/>
    <w:rsid w:val="00372F51"/>
    <w:rsid w:val="0037682E"/>
    <w:rsid w:val="00386808"/>
    <w:rsid w:val="00387E96"/>
    <w:rsid w:val="00394CA4"/>
    <w:rsid w:val="003C28A5"/>
    <w:rsid w:val="003D005E"/>
    <w:rsid w:val="003D2751"/>
    <w:rsid w:val="003D3818"/>
    <w:rsid w:val="003E0357"/>
    <w:rsid w:val="003E2CA6"/>
    <w:rsid w:val="003E47FA"/>
    <w:rsid w:val="003F0D44"/>
    <w:rsid w:val="003F3062"/>
    <w:rsid w:val="00402AE8"/>
    <w:rsid w:val="004110E2"/>
    <w:rsid w:val="0041296C"/>
    <w:rsid w:val="004138D8"/>
    <w:rsid w:val="0042674A"/>
    <w:rsid w:val="00426B3B"/>
    <w:rsid w:val="00427F02"/>
    <w:rsid w:val="00432BB5"/>
    <w:rsid w:val="0044632C"/>
    <w:rsid w:val="004602DA"/>
    <w:rsid w:val="004612BF"/>
    <w:rsid w:val="004651D1"/>
    <w:rsid w:val="004732CF"/>
    <w:rsid w:val="004735CE"/>
    <w:rsid w:val="004750A2"/>
    <w:rsid w:val="00481D67"/>
    <w:rsid w:val="00483628"/>
    <w:rsid w:val="00487A22"/>
    <w:rsid w:val="004A703C"/>
    <w:rsid w:val="004A7B1B"/>
    <w:rsid w:val="004C02C8"/>
    <w:rsid w:val="004D1F65"/>
    <w:rsid w:val="004F24BC"/>
    <w:rsid w:val="004F4E32"/>
    <w:rsid w:val="004F71D0"/>
    <w:rsid w:val="004F74D7"/>
    <w:rsid w:val="005026A4"/>
    <w:rsid w:val="005119D4"/>
    <w:rsid w:val="005322E6"/>
    <w:rsid w:val="00543EE6"/>
    <w:rsid w:val="005564CB"/>
    <w:rsid w:val="005605C5"/>
    <w:rsid w:val="00562F2F"/>
    <w:rsid w:val="005663B1"/>
    <w:rsid w:val="00570205"/>
    <w:rsid w:val="00590B67"/>
    <w:rsid w:val="005961EB"/>
    <w:rsid w:val="00597100"/>
    <w:rsid w:val="005A1570"/>
    <w:rsid w:val="005A51A0"/>
    <w:rsid w:val="005A5A87"/>
    <w:rsid w:val="005A7C1B"/>
    <w:rsid w:val="005B15C5"/>
    <w:rsid w:val="005C1319"/>
    <w:rsid w:val="005C45AB"/>
    <w:rsid w:val="005D0AB6"/>
    <w:rsid w:val="005D2D71"/>
    <w:rsid w:val="005D36CA"/>
    <w:rsid w:val="005E5D08"/>
    <w:rsid w:val="005E5FC2"/>
    <w:rsid w:val="00604F23"/>
    <w:rsid w:val="006061E1"/>
    <w:rsid w:val="006063FF"/>
    <w:rsid w:val="00611CC3"/>
    <w:rsid w:val="00612DF0"/>
    <w:rsid w:val="006244A9"/>
    <w:rsid w:val="00632A18"/>
    <w:rsid w:val="00635B41"/>
    <w:rsid w:val="006360DD"/>
    <w:rsid w:val="00636A49"/>
    <w:rsid w:val="00651305"/>
    <w:rsid w:val="0065514D"/>
    <w:rsid w:val="00656049"/>
    <w:rsid w:val="0066093B"/>
    <w:rsid w:val="00661BA7"/>
    <w:rsid w:val="0066538A"/>
    <w:rsid w:val="0067233F"/>
    <w:rsid w:val="006732CB"/>
    <w:rsid w:val="0068654C"/>
    <w:rsid w:val="006931E2"/>
    <w:rsid w:val="00696C8A"/>
    <w:rsid w:val="006A06B9"/>
    <w:rsid w:val="006A18B0"/>
    <w:rsid w:val="006A24BC"/>
    <w:rsid w:val="006A3F19"/>
    <w:rsid w:val="006B1153"/>
    <w:rsid w:val="006B2DA6"/>
    <w:rsid w:val="006B5537"/>
    <w:rsid w:val="006C519A"/>
    <w:rsid w:val="006F1199"/>
    <w:rsid w:val="006F1BE1"/>
    <w:rsid w:val="006F37B3"/>
    <w:rsid w:val="00715C62"/>
    <w:rsid w:val="00717E83"/>
    <w:rsid w:val="00731EB3"/>
    <w:rsid w:val="00736D39"/>
    <w:rsid w:val="00736F2C"/>
    <w:rsid w:val="007417F3"/>
    <w:rsid w:val="00747856"/>
    <w:rsid w:val="00747E04"/>
    <w:rsid w:val="00750155"/>
    <w:rsid w:val="00756EA2"/>
    <w:rsid w:val="007674E6"/>
    <w:rsid w:val="00771382"/>
    <w:rsid w:val="00777DDC"/>
    <w:rsid w:val="00781D41"/>
    <w:rsid w:val="007823C5"/>
    <w:rsid w:val="007830CF"/>
    <w:rsid w:val="00784C2B"/>
    <w:rsid w:val="00794B97"/>
    <w:rsid w:val="007A19DA"/>
    <w:rsid w:val="007A1D81"/>
    <w:rsid w:val="007A6089"/>
    <w:rsid w:val="007B4EE0"/>
    <w:rsid w:val="007D28DF"/>
    <w:rsid w:val="007E3366"/>
    <w:rsid w:val="007E5A1D"/>
    <w:rsid w:val="007F7246"/>
    <w:rsid w:val="00802609"/>
    <w:rsid w:val="00811D95"/>
    <w:rsid w:val="00812582"/>
    <w:rsid w:val="00812F00"/>
    <w:rsid w:val="008245E7"/>
    <w:rsid w:val="0083044B"/>
    <w:rsid w:val="008354E6"/>
    <w:rsid w:val="00856B44"/>
    <w:rsid w:val="0086179B"/>
    <w:rsid w:val="00880EEA"/>
    <w:rsid w:val="00883A94"/>
    <w:rsid w:val="00891423"/>
    <w:rsid w:val="0089587E"/>
    <w:rsid w:val="008A7BDD"/>
    <w:rsid w:val="008C1359"/>
    <w:rsid w:val="008C3352"/>
    <w:rsid w:val="008D4084"/>
    <w:rsid w:val="008D71E9"/>
    <w:rsid w:val="008E67CB"/>
    <w:rsid w:val="008F6B86"/>
    <w:rsid w:val="0091041C"/>
    <w:rsid w:val="009109E9"/>
    <w:rsid w:val="0091132C"/>
    <w:rsid w:val="00912F3F"/>
    <w:rsid w:val="00915569"/>
    <w:rsid w:val="009158A6"/>
    <w:rsid w:val="00927BAF"/>
    <w:rsid w:val="00927BDD"/>
    <w:rsid w:val="009327CE"/>
    <w:rsid w:val="00932851"/>
    <w:rsid w:val="009567C5"/>
    <w:rsid w:val="00972DE9"/>
    <w:rsid w:val="00980E77"/>
    <w:rsid w:val="00987AA6"/>
    <w:rsid w:val="0099088D"/>
    <w:rsid w:val="00997C50"/>
    <w:rsid w:val="009A090E"/>
    <w:rsid w:val="009A3A22"/>
    <w:rsid w:val="009A7B22"/>
    <w:rsid w:val="009B08F7"/>
    <w:rsid w:val="009B5159"/>
    <w:rsid w:val="009B7D83"/>
    <w:rsid w:val="009C13D9"/>
    <w:rsid w:val="009D3CD0"/>
    <w:rsid w:val="009E2495"/>
    <w:rsid w:val="009E4BD7"/>
    <w:rsid w:val="009F0D56"/>
    <w:rsid w:val="009F1B6F"/>
    <w:rsid w:val="00A038C9"/>
    <w:rsid w:val="00A05AD3"/>
    <w:rsid w:val="00A1181E"/>
    <w:rsid w:val="00A321DF"/>
    <w:rsid w:val="00A33B35"/>
    <w:rsid w:val="00A41FDA"/>
    <w:rsid w:val="00A42D5B"/>
    <w:rsid w:val="00A442D1"/>
    <w:rsid w:val="00A55A5D"/>
    <w:rsid w:val="00A568E0"/>
    <w:rsid w:val="00A62A72"/>
    <w:rsid w:val="00A73B77"/>
    <w:rsid w:val="00A7441E"/>
    <w:rsid w:val="00A754D9"/>
    <w:rsid w:val="00A76A92"/>
    <w:rsid w:val="00A76CD2"/>
    <w:rsid w:val="00A820C6"/>
    <w:rsid w:val="00A97ADB"/>
    <w:rsid w:val="00AA2B44"/>
    <w:rsid w:val="00AB0D62"/>
    <w:rsid w:val="00AB2BB0"/>
    <w:rsid w:val="00AB3C8E"/>
    <w:rsid w:val="00AC4366"/>
    <w:rsid w:val="00AC6293"/>
    <w:rsid w:val="00AC6671"/>
    <w:rsid w:val="00AD3DB3"/>
    <w:rsid w:val="00AD5635"/>
    <w:rsid w:val="00AE458C"/>
    <w:rsid w:val="00AE6B1A"/>
    <w:rsid w:val="00B02AE5"/>
    <w:rsid w:val="00B1514B"/>
    <w:rsid w:val="00B267A6"/>
    <w:rsid w:val="00B42659"/>
    <w:rsid w:val="00B43C54"/>
    <w:rsid w:val="00B504F7"/>
    <w:rsid w:val="00B56CCE"/>
    <w:rsid w:val="00B57E4C"/>
    <w:rsid w:val="00B65537"/>
    <w:rsid w:val="00B737A9"/>
    <w:rsid w:val="00B74285"/>
    <w:rsid w:val="00B7708B"/>
    <w:rsid w:val="00B77D12"/>
    <w:rsid w:val="00B81B18"/>
    <w:rsid w:val="00B869D7"/>
    <w:rsid w:val="00BA3FD0"/>
    <w:rsid w:val="00BB47F6"/>
    <w:rsid w:val="00BB4A9E"/>
    <w:rsid w:val="00BB6D43"/>
    <w:rsid w:val="00BC35D5"/>
    <w:rsid w:val="00BD3A16"/>
    <w:rsid w:val="00BE30D9"/>
    <w:rsid w:val="00BE6F60"/>
    <w:rsid w:val="00BF3133"/>
    <w:rsid w:val="00BF31B0"/>
    <w:rsid w:val="00BF3422"/>
    <w:rsid w:val="00C015DD"/>
    <w:rsid w:val="00C10884"/>
    <w:rsid w:val="00C13071"/>
    <w:rsid w:val="00C13E48"/>
    <w:rsid w:val="00C14101"/>
    <w:rsid w:val="00C14C39"/>
    <w:rsid w:val="00C21B7F"/>
    <w:rsid w:val="00C233AE"/>
    <w:rsid w:val="00C25583"/>
    <w:rsid w:val="00C55720"/>
    <w:rsid w:val="00C61967"/>
    <w:rsid w:val="00C6216D"/>
    <w:rsid w:val="00C7036C"/>
    <w:rsid w:val="00C71A80"/>
    <w:rsid w:val="00C73384"/>
    <w:rsid w:val="00C75298"/>
    <w:rsid w:val="00C755AF"/>
    <w:rsid w:val="00C75A1C"/>
    <w:rsid w:val="00C766BA"/>
    <w:rsid w:val="00C8114E"/>
    <w:rsid w:val="00C82F44"/>
    <w:rsid w:val="00C948F8"/>
    <w:rsid w:val="00CA3B14"/>
    <w:rsid w:val="00CB5D66"/>
    <w:rsid w:val="00CC0D3E"/>
    <w:rsid w:val="00CD4E4F"/>
    <w:rsid w:val="00CD5BA6"/>
    <w:rsid w:val="00CD7E00"/>
    <w:rsid w:val="00CE0094"/>
    <w:rsid w:val="00CE1FBB"/>
    <w:rsid w:val="00CE3ED8"/>
    <w:rsid w:val="00CE5074"/>
    <w:rsid w:val="00CE5958"/>
    <w:rsid w:val="00CE5959"/>
    <w:rsid w:val="00CE6571"/>
    <w:rsid w:val="00CF4E54"/>
    <w:rsid w:val="00D0268F"/>
    <w:rsid w:val="00D074D7"/>
    <w:rsid w:val="00D25CEB"/>
    <w:rsid w:val="00D3061A"/>
    <w:rsid w:val="00D34244"/>
    <w:rsid w:val="00D3643F"/>
    <w:rsid w:val="00D46F63"/>
    <w:rsid w:val="00D47005"/>
    <w:rsid w:val="00D55197"/>
    <w:rsid w:val="00D61675"/>
    <w:rsid w:val="00D7747E"/>
    <w:rsid w:val="00D94683"/>
    <w:rsid w:val="00DA70E7"/>
    <w:rsid w:val="00DB5080"/>
    <w:rsid w:val="00DB64A1"/>
    <w:rsid w:val="00DC25BE"/>
    <w:rsid w:val="00DC6611"/>
    <w:rsid w:val="00DD2B40"/>
    <w:rsid w:val="00DD2F26"/>
    <w:rsid w:val="00DD5A58"/>
    <w:rsid w:val="00DE4417"/>
    <w:rsid w:val="00DF16DD"/>
    <w:rsid w:val="00DF3697"/>
    <w:rsid w:val="00DF3AD0"/>
    <w:rsid w:val="00DF526C"/>
    <w:rsid w:val="00E01658"/>
    <w:rsid w:val="00E05B7E"/>
    <w:rsid w:val="00E07738"/>
    <w:rsid w:val="00E12A39"/>
    <w:rsid w:val="00E15875"/>
    <w:rsid w:val="00E2036C"/>
    <w:rsid w:val="00E35745"/>
    <w:rsid w:val="00E61377"/>
    <w:rsid w:val="00E72195"/>
    <w:rsid w:val="00E8576F"/>
    <w:rsid w:val="00E87C8C"/>
    <w:rsid w:val="00E9042F"/>
    <w:rsid w:val="00E90E27"/>
    <w:rsid w:val="00EA5EB4"/>
    <w:rsid w:val="00EB74B3"/>
    <w:rsid w:val="00ED5F2B"/>
    <w:rsid w:val="00EE2606"/>
    <w:rsid w:val="00EE3356"/>
    <w:rsid w:val="00EE4DA6"/>
    <w:rsid w:val="00EF325D"/>
    <w:rsid w:val="00EF5358"/>
    <w:rsid w:val="00F02043"/>
    <w:rsid w:val="00F14559"/>
    <w:rsid w:val="00F16BDD"/>
    <w:rsid w:val="00F4548B"/>
    <w:rsid w:val="00F57B11"/>
    <w:rsid w:val="00F61C3D"/>
    <w:rsid w:val="00F744FB"/>
    <w:rsid w:val="00F75732"/>
    <w:rsid w:val="00F772A0"/>
    <w:rsid w:val="00F832D3"/>
    <w:rsid w:val="00F8556E"/>
    <w:rsid w:val="00F932E9"/>
    <w:rsid w:val="00F93706"/>
    <w:rsid w:val="00F96DFE"/>
    <w:rsid w:val="00F97EFD"/>
    <w:rsid w:val="00FA01B1"/>
    <w:rsid w:val="00FA6924"/>
    <w:rsid w:val="00FB2F67"/>
    <w:rsid w:val="00FC6BF4"/>
    <w:rsid w:val="00FD0C4A"/>
    <w:rsid w:val="00FD2A54"/>
    <w:rsid w:val="00FD51F3"/>
    <w:rsid w:val="00FE08DA"/>
    <w:rsid w:val="00FF1AFB"/>
    <w:rsid w:val="00FF2491"/>
    <w:rsid w:val="00FF5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0BE25"/>
  <w15:docId w15:val="{F54BABE3-FEF6-49FB-ACC7-327ECAA3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14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2"/>
      </w:numPr>
      <w:spacing w:before="240" w:after="60"/>
      <w:outlineLvl w:val="4"/>
    </w:pPr>
    <w:rPr>
      <w:b/>
      <w:bCs/>
      <w:i/>
      <w:iCs/>
      <w:sz w:val="26"/>
      <w:szCs w:val="26"/>
    </w:rPr>
  </w:style>
  <w:style w:type="paragraph" w:styleId="Heading6">
    <w:name w:val="heading 6"/>
    <w:basedOn w:val="Normal"/>
    <w:next w:val="Normal"/>
    <w:qFormat/>
    <w:rsid w:val="00B02AE5"/>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A754D9"/>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A754D9"/>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A754D9"/>
    <w:pPr>
      <w:tabs>
        <w:tab w:val="left" w:pos="360"/>
        <w:tab w:val="right" w:leader="dot" w:pos="9180"/>
      </w:tabs>
      <w:spacing w:after="120"/>
      <w:ind w:left="357" w:hanging="357"/>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character" w:styleId="FollowedHyperlink">
    <w:name w:val="FollowedHyperlink"/>
    <w:rsid w:val="006061E1"/>
    <w:rPr>
      <w:color w:val="800080"/>
      <w:u w:val="single"/>
    </w:rPr>
  </w:style>
  <w:style w:type="paragraph" w:customStyle="1" w:styleId="TSNumberedParagraph1">
    <w:name w:val="TS Numbered Paragraph 1"/>
    <w:basedOn w:val="TSNumberedParagraph11"/>
    <w:rsid w:val="00A754D9"/>
    <w:pPr>
      <w:numPr>
        <w:ilvl w:val="0"/>
        <w:numId w:val="0"/>
      </w:numPr>
      <w:tabs>
        <w:tab w:val="num" w:pos="-31680"/>
      </w:tabs>
    </w:pPr>
    <w:rPr>
      <w:caps/>
    </w:rPr>
  </w:style>
  <w:style w:type="paragraph" w:styleId="DocumentMap">
    <w:name w:val="Document Map"/>
    <w:basedOn w:val="Normal"/>
    <w:semiHidden/>
    <w:rsid w:val="006931E2"/>
    <w:pPr>
      <w:shd w:val="clear" w:color="auto" w:fill="000080"/>
    </w:pPr>
    <w:rPr>
      <w:rFonts w:ascii="Tahoma" w:hAnsi="Tahoma" w:cs="Tahoma"/>
      <w:sz w:val="20"/>
      <w:szCs w:val="20"/>
    </w:rPr>
  </w:style>
  <w:style w:type="character" w:customStyle="1" w:styleId="HeaderChar">
    <w:name w:val="Header Char"/>
    <w:link w:val="Header"/>
    <w:semiHidden/>
    <w:locked/>
    <w:rsid w:val="00AE458C"/>
    <w:rPr>
      <w:rFonts w:ascii="Arial" w:hAnsi="Arial"/>
      <w:sz w:val="22"/>
      <w:szCs w:val="24"/>
      <w:lang w:val="en-GB" w:eastAsia="en-US" w:bidi="ar-SA"/>
    </w:rPr>
  </w:style>
  <w:style w:type="paragraph" w:styleId="FootnoteText">
    <w:name w:val="footnote text"/>
    <w:basedOn w:val="Normal"/>
    <w:link w:val="FootnoteTextChar"/>
    <w:rsid w:val="004F4E32"/>
    <w:rPr>
      <w:sz w:val="20"/>
      <w:szCs w:val="20"/>
    </w:rPr>
  </w:style>
  <w:style w:type="character" w:customStyle="1" w:styleId="FootnoteTextChar">
    <w:name w:val="Footnote Text Char"/>
    <w:link w:val="FootnoteText"/>
    <w:rsid w:val="004F4E32"/>
    <w:rPr>
      <w:rFonts w:ascii="Arial" w:hAnsi="Arial"/>
      <w:lang w:eastAsia="en-US"/>
    </w:rPr>
  </w:style>
  <w:style w:type="character" w:styleId="FootnoteReference">
    <w:name w:val="footnote reference"/>
    <w:rsid w:val="004F4E32"/>
    <w:rPr>
      <w:vertAlign w:val="superscript"/>
    </w:rPr>
  </w:style>
  <w:style w:type="paragraph" w:styleId="NormalWeb">
    <w:name w:val="Normal (Web)"/>
    <w:basedOn w:val="Normal"/>
    <w:rsid w:val="007417F3"/>
    <w:rPr>
      <w:rFonts w:ascii="Times New Roman" w:hAnsi="Times New Roman"/>
      <w:sz w:val="24"/>
    </w:rPr>
  </w:style>
  <w:style w:type="paragraph" w:styleId="BalloonText">
    <w:name w:val="Balloon Text"/>
    <w:basedOn w:val="Normal"/>
    <w:link w:val="BalloonTextChar"/>
    <w:rsid w:val="006A18B0"/>
    <w:rPr>
      <w:rFonts w:ascii="Tahoma" w:hAnsi="Tahoma" w:cs="Tahoma"/>
      <w:sz w:val="16"/>
      <w:szCs w:val="16"/>
    </w:rPr>
  </w:style>
  <w:style w:type="character" w:customStyle="1" w:styleId="BalloonTextChar">
    <w:name w:val="Balloon Text Char"/>
    <w:basedOn w:val="DefaultParagraphFont"/>
    <w:link w:val="BalloonText"/>
    <w:rsid w:val="006A18B0"/>
    <w:rPr>
      <w:rFonts w:ascii="Tahoma" w:hAnsi="Tahoma" w:cs="Tahoma"/>
      <w:sz w:val="16"/>
      <w:szCs w:val="16"/>
      <w:lang w:eastAsia="en-US"/>
    </w:rPr>
  </w:style>
  <w:style w:type="paragraph" w:customStyle="1" w:styleId="legrhs1">
    <w:name w:val="legrhs1"/>
    <w:basedOn w:val="Normal"/>
    <w:rsid w:val="00F8556E"/>
    <w:pPr>
      <w:shd w:val="clear" w:color="auto" w:fill="FFFFFF"/>
      <w:spacing w:after="120" w:line="360" w:lineRule="atLeast"/>
      <w:jc w:val="both"/>
    </w:pPr>
    <w:rPr>
      <w:rFonts w:ascii="Times New Roman" w:hAnsi="Times New Roman"/>
      <w:color w:val="000000"/>
      <w:sz w:val="19"/>
      <w:szCs w:val="19"/>
      <w:lang w:eastAsia="en-GB"/>
    </w:rPr>
  </w:style>
  <w:style w:type="paragraph" w:customStyle="1" w:styleId="legclearfix2">
    <w:name w:val="legclearfix2"/>
    <w:basedOn w:val="Normal"/>
    <w:rsid w:val="00F8556E"/>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rsid w:val="00F8556E"/>
    <w:rPr>
      <w:vanish w:val="0"/>
      <w:webHidden w:val="0"/>
      <w:specVanish w:val="0"/>
    </w:rPr>
  </w:style>
  <w:style w:type="character" w:customStyle="1" w:styleId="legchangedelimiter2">
    <w:name w:val="legchangedelimiter2"/>
    <w:rsid w:val="00F8556E"/>
    <w:rPr>
      <w:b/>
      <w:bCs/>
      <w:i w:val="0"/>
      <w:iCs w:val="0"/>
      <w:color w:val="000000"/>
      <w:sz w:val="34"/>
      <w:szCs w:val="34"/>
    </w:rPr>
  </w:style>
  <w:style w:type="character" w:customStyle="1" w:styleId="legaddition5">
    <w:name w:val="legaddition5"/>
    <w:rsid w:val="00F8556E"/>
  </w:style>
  <w:style w:type="paragraph" w:styleId="ListParagraph">
    <w:name w:val="List Paragraph"/>
    <w:basedOn w:val="Normal"/>
    <w:uiPriority w:val="34"/>
    <w:qFormat/>
    <w:rsid w:val="00C766BA"/>
    <w:pPr>
      <w:ind w:left="720"/>
    </w:pPr>
  </w:style>
  <w:style w:type="character" w:styleId="CommentReference">
    <w:name w:val="annotation reference"/>
    <w:basedOn w:val="DefaultParagraphFont"/>
    <w:rsid w:val="00F832D3"/>
    <w:rPr>
      <w:sz w:val="16"/>
      <w:szCs w:val="16"/>
    </w:rPr>
  </w:style>
  <w:style w:type="paragraph" w:styleId="CommentText">
    <w:name w:val="annotation text"/>
    <w:basedOn w:val="Normal"/>
    <w:link w:val="CommentTextChar"/>
    <w:rsid w:val="00F832D3"/>
    <w:rPr>
      <w:sz w:val="20"/>
      <w:szCs w:val="20"/>
    </w:rPr>
  </w:style>
  <w:style w:type="character" w:customStyle="1" w:styleId="CommentTextChar">
    <w:name w:val="Comment Text Char"/>
    <w:basedOn w:val="DefaultParagraphFont"/>
    <w:link w:val="CommentText"/>
    <w:rsid w:val="00F832D3"/>
    <w:rPr>
      <w:rFonts w:ascii="Arial" w:hAnsi="Arial"/>
      <w:lang w:eastAsia="en-US"/>
    </w:rPr>
  </w:style>
  <w:style w:type="paragraph" w:styleId="CommentSubject">
    <w:name w:val="annotation subject"/>
    <w:basedOn w:val="CommentText"/>
    <w:next w:val="CommentText"/>
    <w:link w:val="CommentSubjectChar"/>
    <w:rsid w:val="00F832D3"/>
    <w:rPr>
      <w:b/>
      <w:bCs/>
    </w:rPr>
  </w:style>
  <w:style w:type="character" w:customStyle="1" w:styleId="CommentSubjectChar">
    <w:name w:val="Comment Subject Char"/>
    <w:basedOn w:val="CommentTextChar"/>
    <w:link w:val="CommentSubject"/>
    <w:rsid w:val="00F832D3"/>
    <w:rPr>
      <w:rFonts w:ascii="Arial" w:hAnsi="Arial"/>
      <w:b/>
      <w:bCs/>
      <w:lang w:eastAsia="en-US"/>
    </w:rPr>
  </w:style>
  <w:style w:type="paragraph" w:styleId="ListBullet2">
    <w:name w:val="List Bullet 2"/>
    <w:qFormat/>
    <w:rsid w:val="001C6AE2"/>
    <w:pPr>
      <w:numPr>
        <w:numId w:val="30"/>
      </w:numPr>
      <w:tabs>
        <w:tab w:val="clear" w:pos="1276"/>
        <w:tab w:val="num" w:pos="1152"/>
      </w:tabs>
      <w:spacing w:after="240"/>
      <w:ind w:left="1152" w:hanging="432"/>
      <w:jc w:val="both"/>
    </w:pPr>
    <w:rPr>
      <w:rFonts w:ascii="Arial" w:hAnsi="Arial"/>
      <w:color w:val="000000"/>
      <w:lang w:eastAsia="en-US"/>
    </w:rPr>
  </w:style>
  <w:style w:type="paragraph" w:customStyle="1" w:styleId="ScheduleHeading">
    <w:name w:val="Schedule Heading"/>
    <w:next w:val="BodyText"/>
    <w:qFormat/>
    <w:rsid w:val="001C6AE2"/>
    <w:pPr>
      <w:numPr>
        <w:numId w:val="31"/>
      </w:numPr>
      <w:tabs>
        <w:tab w:val="num" w:pos="-31680"/>
      </w:tabs>
      <w:spacing w:after="240"/>
      <w:ind w:left="720" w:hanging="720"/>
      <w:jc w:val="center"/>
    </w:pPr>
    <w:rPr>
      <w:rFonts w:ascii="Arial" w:hAnsi="Arial"/>
      <w:b/>
      <w:caps/>
      <w:color w:val="000000"/>
      <w:lang w:eastAsia="zh-CN"/>
    </w:rPr>
  </w:style>
  <w:style w:type="paragraph" w:customStyle="1" w:styleId="ScheduleLvl1">
    <w:name w:val="Schedule Lvl 1"/>
    <w:qFormat/>
    <w:rsid w:val="001C6AE2"/>
    <w:pPr>
      <w:numPr>
        <w:ilvl w:val="1"/>
        <w:numId w:val="31"/>
      </w:numPr>
      <w:tabs>
        <w:tab w:val="clear" w:pos="706"/>
        <w:tab w:val="num" w:pos="-31680"/>
      </w:tabs>
      <w:spacing w:after="240"/>
      <w:ind w:left="720" w:hanging="720"/>
      <w:jc w:val="both"/>
    </w:pPr>
    <w:rPr>
      <w:rFonts w:ascii="Arial" w:hAnsi="Arial"/>
      <w:color w:val="000000"/>
      <w:lang w:eastAsia="zh-CN"/>
    </w:rPr>
  </w:style>
  <w:style w:type="paragraph" w:customStyle="1" w:styleId="ScheduleLvl2">
    <w:name w:val="Schedule Lvl 2"/>
    <w:qFormat/>
    <w:rsid w:val="001C6AE2"/>
    <w:pPr>
      <w:numPr>
        <w:ilvl w:val="2"/>
        <w:numId w:val="31"/>
      </w:numPr>
      <w:tabs>
        <w:tab w:val="clear" w:pos="1559"/>
        <w:tab w:val="num" w:pos="-31680"/>
      </w:tabs>
      <w:spacing w:after="240"/>
      <w:ind w:left="720" w:hanging="720"/>
      <w:jc w:val="both"/>
      <w:outlineLvl w:val="2"/>
    </w:pPr>
    <w:rPr>
      <w:rFonts w:ascii="Arial" w:hAnsi="Arial"/>
      <w:color w:val="000000"/>
      <w:lang w:eastAsia="zh-CN"/>
    </w:rPr>
  </w:style>
  <w:style w:type="paragraph" w:customStyle="1" w:styleId="ScheduleLvl3">
    <w:name w:val="Schedule Lvl 3"/>
    <w:qFormat/>
    <w:rsid w:val="001C6AE2"/>
    <w:pPr>
      <w:numPr>
        <w:ilvl w:val="3"/>
        <w:numId w:val="31"/>
      </w:numPr>
      <w:tabs>
        <w:tab w:val="clear" w:pos="2693"/>
        <w:tab w:val="num" w:pos="-31680"/>
      </w:tabs>
      <w:spacing w:after="240"/>
      <w:ind w:left="720" w:hanging="720"/>
      <w:jc w:val="both"/>
      <w:outlineLvl w:val="3"/>
    </w:pPr>
    <w:rPr>
      <w:rFonts w:ascii="Arial" w:hAnsi="Arial"/>
      <w:color w:val="000000"/>
      <w:lang w:eastAsia="zh-CN"/>
    </w:rPr>
  </w:style>
  <w:style w:type="paragraph" w:customStyle="1" w:styleId="ScheduleLvl4">
    <w:name w:val="Schedule Lvl 4"/>
    <w:qFormat/>
    <w:rsid w:val="001C6AE2"/>
    <w:pPr>
      <w:numPr>
        <w:ilvl w:val="4"/>
        <w:numId w:val="31"/>
      </w:numPr>
      <w:tabs>
        <w:tab w:val="clear" w:pos="4111"/>
        <w:tab w:val="num" w:pos="1008"/>
      </w:tabs>
      <w:spacing w:after="240"/>
      <w:ind w:left="1008" w:hanging="1008"/>
      <w:jc w:val="both"/>
      <w:outlineLvl w:val="4"/>
    </w:pPr>
    <w:rPr>
      <w:rFonts w:ascii="Arial" w:hAnsi="Arial"/>
      <w:color w:val="000000"/>
      <w:lang w:eastAsia="zh-CN"/>
    </w:rPr>
  </w:style>
  <w:style w:type="paragraph" w:customStyle="1" w:styleId="ScheduleLvl5">
    <w:name w:val="Schedule Lvl 5"/>
    <w:qFormat/>
    <w:rsid w:val="001C6AE2"/>
    <w:pPr>
      <w:numPr>
        <w:ilvl w:val="5"/>
        <w:numId w:val="31"/>
      </w:numPr>
      <w:tabs>
        <w:tab w:val="clear" w:pos="5812"/>
        <w:tab w:val="num" w:pos="1152"/>
      </w:tabs>
      <w:spacing w:after="240"/>
      <w:ind w:left="1152" w:hanging="1152"/>
      <w:jc w:val="both"/>
    </w:pPr>
    <w:rPr>
      <w:rFonts w:ascii="Arial" w:hAnsi="Arial"/>
      <w:color w:val="000000"/>
      <w:lang w:eastAsia="en-US"/>
    </w:rPr>
  </w:style>
  <w:style w:type="paragraph" w:customStyle="1" w:styleId="ScheduleLvl6">
    <w:name w:val="Schedule Lvl 6"/>
    <w:qFormat/>
    <w:rsid w:val="001C6AE2"/>
    <w:pPr>
      <w:numPr>
        <w:ilvl w:val="6"/>
        <w:numId w:val="31"/>
      </w:numPr>
      <w:tabs>
        <w:tab w:val="clear" w:pos="4111"/>
        <w:tab w:val="num" w:pos="1296"/>
      </w:tabs>
      <w:spacing w:after="240"/>
      <w:ind w:left="1296" w:hanging="1296"/>
      <w:jc w:val="both"/>
      <w:outlineLvl w:val="6"/>
    </w:pPr>
    <w:rPr>
      <w:rFonts w:ascii="Arial" w:hAnsi="Arial"/>
      <w:color w:val="000000"/>
      <w:lang w:eastAsia="zh-CN"/>
    </w:rPr>
  </w:style>
  <w:style w:type="paragraph" w:customStyle="1" w:styleId="ScheduleLvl7">
    <w:name w:val="Schedule Lvl 7"/>
    <w:qFormat/>
    <w:rsid w:val="001C6AE2"/>
    <w:pPr>
      <w:numPr>
        <w:ilvl w:val="7"/>
        <w:numId w:val="31"/>
      </w:numPr>
      <w:tabs>
        <w:tab w:val="clear" w:pos="4111"/>
        <w:tab w:val="num" w:pos="1440"/>
      </w:tabs>
      <w:spacing w:after="240"/>
      <w:ind w:left="1440" w:hanging="1440"/>
      <w:jc w:val="both"/>
      <w:outlineLvl w:val="7"/>
    </w:pPr>
    <w:rPr>
      <w:rFonts w:ascii="Arial" w:hAnsi="Arial"/>
      <w:color w:val="000000"/>
      <w:lang w:eastAsia="zh-CN"/>
    </w:rPr>
  </w:style>
  <w:style w:type="paragraph" w:styleId="BodyText">
    <w:name w:val="Body Text"/>
    <w:basedOn w:val="Normal"/>
    <w:link w:val="BodyTextChar"/>
    <w:unhideWhenUsed/>
    <w:rsid w:val="001C6AE2"/>
    <w:pPr>
      <w:spacing w:after="120"/>
    </w:pPr>
  </w:style>
  <w:style w:type="character" w:customStyle="1" w:styleId="BodyTextChar">
    <w:name w:val="Body Text Char"/>
    <w:basedOn w:val="DefaultParagraphFont"/>
    <w:link w:val="BodyText"/>
    <w:rsid w:val="001C6AE2"/>
    <w:rPr>
      <w:rFonts w:ascii="Arial" w:hAnsi="Arial"/>
      <w:sz w:val="22"/>
      <w:szCs w:val="24"/>
      <w:lang w:eastAsia="en-US"/>
    </w:rPr>
  </w:style>
  <w:style w:type="character" w:styleId="UnresolvedMention">
    <w:name w:val="Unresolved Mention"/>
    <w:basedOn w:val="DefaultParagraphFont"/>
    <w:uiPriority w:val="99"/>
    <w:semiHidden/>
    <w:unhideWhenUsed/>
    <w:rsid w:val="00432BB5"/>
    <w:rPr>
      <w:color w:val="605E5C"/>
      <w:shd w:val="clear" w:color="auto" w:fill="E1DFDD"/>
    </w:rPr>
  </w:style>
  <w:style w:type="paragraph" w:styleId="Revision">
    <w:name w:val="Revision"/>
    <w:hidden/>
    <w:uiPriority w:val="99"/>
    <w:semiHidden/>
    <w:rsid w:val="006B115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9746">
      <w:bodyDiv w:val="1"/>
      <w:marLeft w:val="0"/>
      <w:marRight w:val="0"/>
      <w:marTop w:val="0"/>
      <w:marBottom w:val="0"/>
      <w:divBdr>
        <w:top w:val="none" w:sz="0" w:space="0" w:color="auto"/>
        <w:left w:val="none" w:sz="0" w:space="0" w:color="auto"/>
        <w:bottom w:val="none" w:sz="0" w:space="0" w:color="auto"/>
        <w:right w:val="none" w:sz="0" w:space="0" w:color="auto"/>
      </w:divBdr>
    </w:div>
    <w:div w:id="509376542">
      <w:bodyDiv w:val="1"/>
      <w:marLeft w:val="0"/>
      <w:marRight w:val="0"/>
      <w:marTop w:val="0"/>
      <w:marBottom w:val="0"/>
      <w:divBdr>
        <w:top w:val="none" w:sz="0" w:space="0" w:color="auto"/>
        <w:left w:val="none" w:sz="0" w:space="0" w:color="auto"/>
        <w:bottom w:val="none" w:sz="0" w:space="0" w:color="auto"/>
        <w:right w:val="none" w:sz="0" w:space="0" w:color="auto"/>
      </w:divBdr>
    </w:div>
    <w:div w:id="769862782">
      <w:bodyDiv w:val="1"/>
      <w:marLeft w:val="0"/>
      <w:marRight w:val="0"/>
      <w:marTop w:val="0"/>
      <w:marBottom w:val="0"/>
      <w:divBdr>
        <w:top w:val="none" w:sz="0" w:space="0" w:color="auto"/>
        <w:left w:val="none" w:sz="0" w:space="0" w:color="auto"/>
        <w:bottom w:val="none" w:sz="0" w:space="0" w:color="auto"/>
        <w:right w:val="none" w:sz="0" w:space="0" w:color="auto"/>
      </w:divBdr>
    </w:div>
    <w:div w:id="845746807">
      <w:bodyDiv w:val="1"/>
      <w:marLeft w:val="0"/>
      <w:marRight w:val="0"/>
      <w:marTop w:val="0"/>
      <w:marBottom w:val="0"/>
      <w:divBdr>
        <w:top w:val="none" w:sz="0" w:space="0" w:color="auto"/>
        <w:left w:val="none" w:sz="0" w:space="0" w:color="auto"/>
        <w:bottom w:val="none" w:sz="0" w:space="0" w:color="auto"/>
        <w:right w:val="none" w:sz="0" w:space="0" w:color="auto"/>
      </w:divBdr>
      <w:divsChild>
        <w:div w:id="515654572">
          <w:marLeft w:val="0"/>
          <w:marRight w:val="0"/>
          <w:marTop w:val="0"/>
          <w:marBottom w:val="0"/>
          <w:divBdr>
            <w:top w:val="none" w:sz="0" w:space="0" w:color="auto"/>
            <w:left w:val="none" w:sz="0" w:space="0" w:color="auto"/>
            <w:bottom w:val="none" w:sz="0" w:space="0" w:color="auto"/>
            <w:right w:val="none" w:sz="0" w:space="0" w:color="auto"/>
          </w:divBdr>
          <w:divsChild>
            <w:div w:id="1925726680">
              <w:marLeft w:val="0"/>
              <w:marRight w:val="0"/>
              <w:marTop w:val="0"/>
              <w:marBottom w:val="0"/>
              <w:divBdr>
                <w:top w:val="single" w:sz="2" w:space="0" w:color="FFFFFF"/>
                <w:left w:val="single" w:sz="6" w:space="0" w:color="FFFFFF"/>
                <w:bottom w:val="single" w:sz="6" w:space="0" w:color="FFFFFF"/>
                <w:right w:val="single" w:sz="6" w:space="0" w:color="FFFFFF"/>
              </w:divBdr>
              <w:divsChild>
                <w:div w:id="985934537">
                  <w:marLeft w:val="0"/>
                  <w:marRight w:val="0"/>
                  <w:marTop w:val="0"/>
                  <w:marBottom w:val="0"/>
                  <w:divBdr>
                    <w:top w:val="single" w:sz="6" w:space="1" w:color="D3D3D3"/>
                    <w:left w:val="none" w:sz="0" w:space="0" w:color="auto"/>
                    <w:bottom w:val="none" w:sz="0" w:space="0" w:color="auto"/>
                    <w:right w:val="none" w:sz="0" w:space="0" w:color="auto"/>
                  </w:divBdr>
                  <w:divsChild>
                    <w:div w:id="1915508550">
                      <w:marLeft w:val="0"/>
                      <w:marRight w:val="0"/>
                      <w:marTop w:val="0"/>
                      <w:marBottom w:val="0"/>
                      <w:divBdr>
                        <w:top w:val="none" w:sz="0" w:space="0" w:color="auto"/>
                        <w:left w:val="none" w:sz="0" w:space="0" w:color="auto"/>
                        <w:bottom w:val="none" w:sz="0" w:space="0" w:color="auto"/>
                        <w:right w:val="none" w:sz="0" w:space="0" w:color="auto"/>
                      </w:divBdr>
                      <w:divsChild>
                        <w:div w:id="7966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613708566">
      <w:bodyDiv w:val="1"/>
      <w:marLeft w:val="0"/>
      <w:marRight w:val="0"/>
      <w:marTop w:val="0"/>
      <w:marBottom w:val="0"/>
      <w:divBdr>
        <w:top w:val="none" w:sz="0" w:space="0" w:color="auto"/>
        <w:left w:val="none" w:sz="0" w:space="0" w:color="auto"/>
        <w:bottom w:val="none" w:sz="0" w:space="0" w:color="auto"/>
        <w:right w:val="none" w:sz="0" w:space="0" w:color="auto"/>
      </w:divBdr>
    </w:div>
    <w:div w:id="2029287775">
      <w:bodyDiv w:val="1"/>
      <w:marLeft w:val="0"/>
      <w:marRight w:val="0"/>
      <w:marTop w:val="0"/>
      <w:marBottom w:val="0"/>
      <w:divBdr>
        <w:top w:val="none" w:sz="0" w:space="0" w:color="auto"/>
        <w:left w:val="none" w:sz="0" w:space="0" w:color="auto"/>
        <w:bottom w:val="none" w:sz="0" w:space="0" w:color="auto"/>
        <w:right w:val="none" w:sz="0" w:space="0" w:color="auto"/>
      </w:divBdr>
    </w:div>
    <w:div w:id="21005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gov.uk/ukpga/2010/15/contents" TargetMode="External"/><Relationship Id="rId26" Type="http://schemas.openxmlformats.org/officeDocument/2006/relationships/hyperlink" Target="http://www.bailii.org/ew/cases/EWCA/Crim/2003/3108.html" TargetMode="External"/><Relationship Id="rId3" Type="http://schemas.openxmlformats.org/officeDocument/2006/relationships/numbering" Target="numbering.xml"/><Relationship Id="rId21" Type="http://schemas.openxmlformats.org/officeDocument/2006/relationships/hyperlink" Target="https://www.judiciary.uk/wp-content/uploads/2015/04/oratory_school-170415-final-2.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ps.gov.uk/sites/default/files/documents/legal_guidance/best_evidence_in_criminal_proceedings.pdf" TargetMode="External"/><Relationship Id="rId25" Type="http://schemas.openxmlformats.org/officeDocument/2006/relationships/hyperlink" Target="http://www.bailii.org/ew/cases/EWCA/Crim/2003/1977.html" TargetMode="External"/><Relationship Id="rId33" Type="http://schemas.openxmlformats.org/officeDocument/2006/relationships/hyperlink" Target="mailto:onr.operational.investigation@onr.gov.uk" TargetMode="External"/><Relationship Id="rId2" Type="http://schemas.openxmlformats.org/officeDocument/2006/relationships/customXml" Target="../customXml/item1.xml"/><Relationship Id="rId16" Type="http://schemas.openxmlformats.org/officeDocument/2006/relationships/hyperlink" Target="http://www.onr.org.uk/copyright" TargetMode="External"/><Relationship Id="rId20" Type="http://schemas.openxmlformats.org/officeDocument/2006/relationships/hyperlink" Target="https://www.equalityhumanrights.com/en" TargetMode="External"/><Relationship Id="rId29" Type="http://schemas.openxmlformats.org/officeDocument/2006/relationships/hyperlink" Target="https://www.scotland.police.uk/spa-media/uwwcamlx/crime-investigation-sop.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ov.uk/government/publications/code-of-practice-mental-health-act-1983"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blocked::blocked::BLOCKED::http://www.hse.gov.uk/copyright" TargetMode="External"/><Relationship Id="rId23" Type="http://schemas.openxmlformats.org/officeDocument/2006/relationships/hyperlink" Target="https://www.gov.uk/government/publications/standard-crime-contract-2017" TargetMode="External"/><Relationship Id="rId28" Type="http://schemas.openxmlformats.org/officeDocument/2006/relationships/hyperlink" Target="http://www.bailii.org/uk/cases/UKSC/2010/43.html" TargetMode="External"/><Relationship Id="rId10" Type="http://schemas.openxmlformats.org/officeDocument/2006/relationships/header" Target="header2.xml"/><Relationship Id="rId19" Type="http://schemas.openxmlformats.org/officeDocument/2006/relationships/hyperlink" Target="https://www.legislation.gov.uk/ukpga/1998/42/contents" TargetMode="External"/><Relationship Id="rId31"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ailii.org/ew/cases/EWCA/Crim/1997/118.html" TargetMode="External"/><Relationship Id="rId27" Type="http://schemas.openxmlformats.org/officeDocument/2006/relationships/hyperlink" Target="https://www.legislation.gov.uk/asp/2016/1/contents/enacted" TargetMode="External"/><Relationship Id="rId30" Type="http://schemas.openxmlformats.org/officeDocument/2006/relationships/hyperlink" Target="https://zakon.co.uk/admin/resources/downloads/interpreting-and-translating-services-sop.pdf"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202D-DC12-464F-8BCF-272688AC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9362</Words>
  <Characters>53370</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62607</CharactersWithSpaces>
  <SharedDoc>false</SharedDoc>
  <HLinks>
    <vt:vector size="42" baseType="variant">
      <vt:variant>
        <vt:i4>7536673</vt:i4>
      </vt:variant>
      <vt:variant>
        <vt:i4>36</vt:i4>
      </vt:variant>
      <vt:variant>
        <vt:i4>0</vt:i4>
      </vt:variant>
      <vt:variant>
        <vt:i4>5</vt:i4>
      </vt:variant>
      <vt:variant>
        <vt:lpwstr>http://www.onr.org.uk/copyright</vt:lpwstr>
      </vt:variant>
      <vt:variant>
        <vt:lpwstr/>
      </vt:variant>
      <vt:variant>
        <vt:i4>7143466</vt:i4>
      </vt:variant>
      <vt:variant>
        <vt:i4>33</vt:i4>
      </vt:variant>
      <vt:variant>
        <vt:i4>0</vt:i4>
      </vt:variant>
      <vt:variant>
        <vt:i4>5</vt:i4>
      </vt:variant>
      <vt:variant>
        <vt:lpwstr>blocked::blocked::BLOCKED::http://www.hse.gov.uk/copyright</vt:lpwstr>
      </vt:variant>
      <vt:variant>
        <vt:lpwstr/>
      </vt:variant>
      <vt:variant>
        <vt:i4>1835061</vt:i4>
      </vt:variant>
      <vt:variant>
        <vt:i4>26</vt:i4>
      </vt:variant>
      <vt:variant>
        <vt:i4>0</vt:i4>
      </vt:variant>
      <vt:variant>
        <vt:i4>5</vt:i4>
      </vt:variant>
      <vt:variant>
        <vt:lpwstr/>
      </vt:variant>
      <vt:variant>
        <vt:lpwstr>_Toc384031127</vt:lpwstr>
      </vt:variant>
      <vt:variant>
        <vt:i4>1835061</vt:i4>
      </vt:variant>
      <vt:variant>
        <vt:i4>20</vt:i4>
      </vt:variant>
      <vt:variant>
        <vt:i4>0</vt:i4>
      </vt:variant>
      <vt:variant>
        <vt:i4>5</vt:i4>
      </vt:variant>
      <vt:variant>
        <vt:lpwstr/>
      </vt:variant>
      <vt:variant>
        <vt:lpwstr>_Toc384031126</vt:lpwstr>
      </vt:variant>
      <vt:variant>
        <vt:i4>1835061</vt:i4>
      </vt:variant>
      <vt:variant>
        <vt:i4>14</vt:i4>
      </vt:variant>
      <vt:variant>
        <vt:i4>0</vt:i4>
      </vt:variant>
      <vt:variant>
        <vt:i4>5</vt:i4>
      </vt:variant>
      <vt:variant>
        <vt:lpwstr/>
      </vt:variant>
      <vt:variant>
        <vt:lpwstr>_Toc384031125</vt:lpwstr>
      </vt:variant>
      <vt:variant>
        <vt:i4>1835061</vt:i4>
      </vt:variant>
      <vt:variant>
        <vt:i4>8</vt:i4>
      </vt:variant>
      <vt:variant>
        <vt:i4>0</vt:i4>
      </vt:variant>
      <vt:variant>
        <vt:i4>5</vt:i4>
      </vt:variant>
      <vt:variant>
        <vt:lpwstr/>
      </vt:variant>
      <vt:variant>
        <vt:lpwstr>_Toc384031124</vt:lpwstr>
      </vt:variant>
      <vt:variant>
        <vt:i4>1835061</vt:i4>
      </vt:variant>
      <vt:variant>
        <vt:i4>2</vt:i4>
      </vt:variant>
      <vt:variant>
        <vt:i4>0</vt:i4>
      </vt:variant>
      <vt:variant>
        <vt:i4>5</vt:i4>
      </vt:variant>
      <vt:variant>
        <vt:lpwstr/>
      </vt:variant>
      <vt:variant>
        <vt:lpwstr>_Toc384031123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2014-03-20T10:34:00Z</cp:lastPrinted>
  <dcterms:created xsi:type="dcterms:W3CDTF">2023-03-31T08:51:00Z</dcterms:created>
  <dcterms:modified xsi:type="dcterms:W3CDTF">2023-03-31T08:51:00Z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2023-03-30T06:17:09Z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7d76ae27-af77-40ee-8f57-96c48089049d</vt:lpwstr>
  </property>
  <property fmtid="{D5CDD505-2E9C-101B-9397-08002B2CF9AE}" pid="9" name="MSIP_Label_9e5e003a-90eb-47c9-a506-ad47e7a0b281_ContentBits">
    <vt:lpwstr>0</vt:lpwstr>
  </property>
</Properties>
</file>