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sdt>
            <w:sdtPr>
              <w:rPr>
                <w:sz w:val="72"/>
                <w:szCs w:val="160"/>
              </w:rPr>
              <w:alias w:val="Title"/>
              <w:tag w:val=""/>
              <w:id w:val="-1601947884"/>
              <w:placeholder>
                <w:docPart w:val="1D6DF95B65BE4279823A88D3394C5FE0"/>
              </w:placeholder>
              <w:dataBinding w:prefixMappings="xmlns:ns0='http://purl.org/dc/elements/1.1/' xmlns:ns1='http://schemas.openxmlformats.org/package/2006/metadata/core-properties' " w:xpath="/ns1:coreProperties[1]/ns0:title[1]" w:storeItemID="{6C3C8BC8-F283-45AE-878A-BAB7291924A1}"/>
              <w:text/>
            </w:sdtPr>
            <w:sdtEndPr/>
            <w:sdtContent>
              <w:p w14:paraId="7C4EA414" w14:textId="46946DA1" w:rsidR="00D0226A" w:rsidRPr="001E03E1" w:rsidRDefault="007D4C48" w:rsidP="001E03E1">
                <w:pPr>
                  <w:pStyle w:val="CoverTitle"/>
                  <w:rPr>
                    <w:szCs w:val="90"/>
                  </w:rPr>
                </w:pPr>
                <w:r w:rsidRPr="007D4C48">
                  <w:rPr>
                    <w:sz w:val="72"/>
                    <w:szCs w:val="160"/>
                  </w:rPr>
                  <w:t>Organisational change</w:t>
                </w:r>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37E9C169" w14:textId="732A0431" w:rsidR="007D4C48" w:rsidRPr="00595C8C" w:rsidRDefault="007D4C48" w:rsidP="007D4C48">
      <w:pPr>
        <w:pStyle w:val="InnerCoverTitle"/>
        <w:rPr>
          <w:sz w:val="36"/>
          <w:szCs w:val="36"/>
        </w:rPr>
      </w:pPr>
      <w:r w:rsidRPr="00595C8C">
        <w:rPr>
          <w:sz w:val="36"/>
          <w:szCs w:val="36"/>
        </w:rPr>
        <w:lastRenderedPageBreak/>
        <w:t xml:space="preserve">ONR </w:t>
      </w:r>
      <w:r>
        <w:rPr>
          <w:sz w:val="36"/>
          <w:szCs w:val="36"/>
        </w:rPr>
        <w:t>Technical Assessment Guide (TAG)</w:t>
      </w:r>
    </w:p>
    <w:sdt>
      <w:sdtPr>
        <w:rPr>
          <w:rStyle w:val="Style2"/>
        </w:rPr>
        <w:alias w:val="Title"/>
        <w:tag w:val=""/>
        <w:id w:val="1720474580"/>
        <w:placeholder>
          <w:docPart w:val="9A96653DB13846968FA04472C2BAD54E"/>
        </w:placeholder>
        <w:dataBinding w:prefixMappings="xmlns:ns0='http://purl.org/dc/elements/1.1/' xmlns:ns1='http://schemas.openxmlformats.org/package/2006/metadata/core-properties' " w:xpath="/ns1:coreProperties[1]/ns0:title[1]" w:storeItemID="{6C3C8BC8-F283-45AE-878A-BAB7291924A1}"/>
        <w:text/>
      </w:sdtPr>
      <w:sdtEndPr>
        <w:rPr>
          <w:rStyle w:val="Style2"/>
        </w:rPr>
      </w:sdtEndPr>
      <w:sdtContent>
        <w:p w14:paraId="297D790E" w14:textId="6B12A633" w:rsidR="00004C16" w:rsidRPr="00F63AA5" w:rsidRDefault="007D4C48" w:rsidP="00004C16">
          <w:pPr>
            <w:rPr>
              <w:sz w:val="18"/>
              <w:szCs w:val="16"/>
            </w:rPr>
          </w:pPr>
          <w:r>
            <w:rPr>
              <w:rStyle w:val="Style2"/>
            </w:rPr>
            <w:t>Organisational change</w:t>
          </w:r>
        </w:p>
      </w:sdtContent>
    </w:sdt>
    <w:p w14:paraId="41997BF9" w14:textId="3835E7FC" w:rsidR="00F2428A" w:rsidRPr="007D4C48" w:rsidRDefault="007D4C48" w:rsidP="00004C16">
      <w:pPr>
        <w:rPr>
          <w:sz w:val="28"/>
          <w:szCs w:val="28"/>
        </w:rPr>
      </w:pPr>
      <w:r w:rsidRPr="007D4C48">
        <w:rPr>
          <w:b/>
          <w:bCs/>
          <w:sz w:val="28"/>
          <w:szCs w:val="28"/>
        </w:rPr>
        <w:t>Head of Profession</w:t>
      </w:r>
      <w:r>
        <w:rPr>
          <w:sz w:val="28"/>
          <w:szCs w:val="28"/>
        </w:rPr>
        <w:t xml:space="preserve">: </w:t>
      </w:r>
      <w:r w:rsidRPr="007D4C48">
        <w:rPr>
          <w:sz w:val="28"/>
          <w:szCs w:val="28"/>
        </w:rPr>
        <w:t>Human and Organisational Capability</w:t>
      </w:r>
    </w:p>
    <w:p w14:paraId="2027D429" w14:textId="77777777" w:rsidR="007D4C48" w:rsidRDefault="007D4C48" w:rsidP="00004C16">
      <w:pPr>
        <w:rPr>
          <w:sz w:val="28"/>
          <w:szCs w:val="28"/>
        </w:rPr>
      </w:pPr>
    </w:p>
    <w:p w14:paraId="4C7A948F" w14:textId="0D177FAA" w:rsidR="00245A0D" w:rsidRPr="007D4C48" w:rsidRDefault="00245A0D" w:rsidP="00245A0D">
      <w:pPr>
        <w:rPr>
          <w:szCs w:val="24"/>
        </w:rPr>
      </w:pPr>
      <w:r w:rsidRPr="007D4C48">
        <w:rPr>
          <w:b/>
          <w:bCs/>
          <w:szCs w:val="24"/>
        </w:rPr>
        <w:t>Authored by</w:t>
      </w:r>
      <w:r w:rsidR="00CE1DB2" w:rsidRPr="007D4C48">
        <w:rPr>
          <w:szCs w:val="24"/>
        </w:rPr>
        <w:t>:</w:t>
      </w:r>
      <w:r w:rsidRPr="007D4C48">
        <w:rPr>
          <w:szCs w:val="24"/>
        </w:rPr>
        <w:t xml:space="preserve"> </w:t>
      </w:r>
      <w:r w:rsidR="005E2842" w:rsidRPr="007D4C48">
        <w:rPr>
          <w:szCs w:val="24"/>
        </w:rPr>
        <w:t>Organisational Capability Specialist</w:t>
      </w:r>
    </w:p>
    <w:p w14:paraId="2F39B4D2" w14:textId="6938EEC6" w:rsidR="005E2842" w:rsidRPr="007D4C48" w:rsidRDefault="00245A0D" w:rsidP="007D4C48">
      <w:pPr>
        <w:rPr>
          <w:szCs w:val="24"/>
        </w:rPr>
      </w:pPr>
      <w:r w:rsidRPr="007D4C48">
        <w:rPr>
          <w:b/>
          <w:bCs/>
          <w:szCs w:val="24"/>
        </w:rPr>
        <w:t>Approved by</w:t>
      </w:r>
      <w:r w:rsidR="00CE1DB2" w:rsidRPr="007D4C48">
        <w:rPr>
          <w:szCs w:val="24"/>
        </w:rPr>
        <w:t>:</w:t>
      </w:r>
      <w:r w:rsidRPr="007D4C48">
        <w:rPr>
          <w:szCs w:val="24"/>
        </w:rPr>
        <w:t xml:space="preserve"> </w:t>
      </w:r>
      <w:r w:rsidR="00951F8A" w:rsidRPr="007D4C48">
        <w:rPr>
          <w:szCs w:val="24"/>
        </w:rPr>
        <w:t xml:space="preserve">Head of </w:t>
      </w:r>
      <w:r w:rsidR="007D4C48">
        <w:rPr>
          <w:szCs w:val="24"/>
        </w:rPr>
        <w:t>Profession</w:t>
      </w:r>
    </w:p>
    <w:p w14:paraId="247E3769" w14:textId="2D3D195B" w:rsidR="00004C16" w:rsidRPr="007D4C48" w:rsidRDefault="00004C16" w:rsidP="00004C16">
      <w:pPr>
        <w:rPr>
          <w:szCs w:val="24"/>
        </w:rPr>
      </w:pPr>
      <w:r w:rsidRPr="007D4C48">
        <w:rPr>
          <w:b/>
          <w:bCs/>
          <w:szCs w:val="24"/>
        </w:rPr>
        <w:t>Issue</w:t>
      </w:r>
      <w:r w:rsidRPr="007D4C48">
        <w:rPr>
          <w:szCs w:val="24"/>
        </w:rPr>
        <w:t xml:space="preserve">: </w:t>
      </w:r>
      <w:sdt>
        <w:sdtPr>
          <w:rPr>
            <w:szCs w:val="24"/>
          </w:rPr>
          <w:alias w:val="Status"/>
          <w:tag w:val=""/>
          <w:id w:val="-1049454081"/>
          <w:placeholder>
            <w:docPart w:val="50BFF419036B4197956D1E8E819213B5"/>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4C48">
            <w:rPr>
              <w:szCs w:val="24"/>
            </w:rPr>
            <w:t>7.1</w:t>
          </w:r>
        </w:sdtContent>
      </w:sdt>
    </w:p>
    <w:p w14:paraId="19206F45" w14:textId="14B4D707" w:rsidR="00004C16" w:rsidRPr="007D4C48" w:rsidRDefault="007D4C48" w:rsidP="00004C16">
      <w:pPr>
        <w:rPr>
          <w:szCs w:val="24"/>
        </w:rPr>
      </w:pPr>
      <w:r w:rsidRPr="007D4C48">
        <w:rPr>
          <w:b/>
          <w:bCs/>
          <w:szCs w:val="24"/>
        </w:rPr>
        <w:t>Published</w:t>
      </w:r>
      <w:r w:rsidR="00004C16" w:rsidRPr="007D4C48">
        <w:rPr>
          <w:szCs w:val="24"/>
        </w:rPr>
        <w:t xml:space="preserve">: </w:t>
      </w:r>
      <w:r>
        <w:rPr>
          <w:szCs w:val="24"/>
        </w:rPr>
        <w:t>July 2024</w:t>
      </w:r>
    </w:p>
    <w:p w14:paraId="06A6B3A5" w14:textId="0B758A7B" w:rsidR="00E57DB9" w:rsidRPr="007D4C48" w:rsidRDefault="00E57DB9" w:rsidP="00E57DB9">
      <w:pPr>
        <w:rPr>
          <w:szCs w:val="24"/>
        </w:rPr>
      </w:pPr>
      <w:r w:rsidRPr="007D4C48">
        <w:rPr>
          <w:b/>
          <w:bCs/>
          <w:szCs w:val="24"/>
        </w:rPr>
        <w:t xml:space="preserve">Next </w:t>
      </w:r>
      <w:r w:rsidR="007D4C48" w:rsidRPr="007D4C48">
        <w:rPr>
          <w:b/>
          <w:bCs/>
          <w:szCs w:val="24"/>
        </w:rPr>
        <w:t>scheduled review</w:t>
      </w:r>
      <w:r w:rsidRPr="007D4C48">
        <w:rPr>
          <w:szCs w:val="24"/>
        </w:rPr>
        <w:t>:</w:t>
      </w:r>
      <w:r w:rsidR="00AE4F54" w:rsidRPr="007D4C48">
        <w:rPr>
          <w:szCs w:val="24"/>
        </w:rPr>
        <w:t xml:space="preserve"> </w:t>
      </w:r>
      <w:r w:rsidR="00254F7C" w:rsidRPr="007D4C48">
        <w:rPr>
          <w:szCs w:val="24"/>
        </w:rPr>
        <w:t>Jul</w:t>
      </w:r>
      <w:r w:rsidR="007D4C48">
        <w:rPr>
          <w:szCs w:val="24"/>
        </w:rPr>
        <w:t xml:space="preserve">y </w:t>
      </w:r>
      <w:r w:rsidR="00D73206" w:rsidRPr="007D4C48">
        <w:rPr>
          <w:szCs w:val="24"/>
        </w:rPr>
        <w:t>2029</w:t>
      </w:r>
    </w:p>
    <w:p w14:paraId="6DA341A1" w14:textId="7EEDFB2D" w:rsidR="00347CA8" w:rsidRPr="007D4C48" w:rsidRDefault="00347CA8" w:rsidP="00E57DB9">
      <w:pPr>
        <w:rPr>
          <w:szCs w:val="24"/>
        </w:rPr>
      </w:pPr>
      <w:r w:rsidRPr="007D4C48">
        <w:rPr>
          <w:b/>
          <w:bCs/>
          <w:szCs w:val="24"/>
        </w:rPr>
        <w:t>Doc</w:t>
      </w:r>
      <w:r w:rsidR="007D4C48" w:rsidRPr="007D4C48">
        <w:rPr>
          <w:b/>
          <w:bCs/>
          <w:szCs w:val="24"/>
        </w:rPr>
        <w:t>ument reference</w:t>
      </w:r>
      <w:r w:rsidRPr="007D4C48">
        <w:rPr>
          <w:szCs w:val="24"/>
        </w:rPr>
        <w:t xml:space="preserve">: </w:t>
      </w:r>
      <w:r w:rsidR="00254F7C" w:rsidRPr="007D4C48">
        <w:rPr>
          <w:szCs w:val="24"/>
        </w:rPr>
        <w:t xml:space="preserve">NS-TAST-GD-048 </w:t>
      </w:r>
    </w:p>
    <w:p w14:paraId="55057C62" w14:textId="0A61FB3B" w:rsidR="00004C16" w:rsidRPr="007D4C48" w:rsidRDefault="00004C16" w:rsidP="00004C16">
      <w:pPr>
        <w:rPr>
          <w:szCs w:val="24"/>
        </w:rPr>
      </w:pPr>
      <w:r w:rsidRPr="007D4C48">
        <w:rPr>
          <w:b/>
          <w:bCs/>
          <w:szCs w:val="24"/>
        </w:rPr>
        <w:t xml:space="preserve">Record </w:t>
      </w:r>
      <w:r w:rsidR="007D4C48" w:rsidRPr="007D4C48">
        <w:rPr>
          <w:b/>
          <w:bCs/>
          <w:szCs w:val="24"/>
        </w:rPr>
        <w:t>reference</w:t>
      </w:r>
      <w:r w:rsidRPr="007D4C48">
        <w:rPr>
          <w:szCs w:val="24"/>
        </w:rPr>
        <w:t xml:space="preserve">: </w:t>
      </w:r>
      <w:r w:rsidR="001C4A67" w:rsidRPr="001C4A67">
        <w:rPr>
          <w:szCs w:val="24"/>
        </w:rPr>
        <w:t>2020/265724</w:t>
      </w:r>
    </w:p>
    <w:p w14:paraId="39BC0EA4" w14:textId="77777777" w:rsidR="00420A11" w:rsidRDefault="00420A11" w:rsidP="00323E71"/>
    <w:p w14:paraId="1921DBD9" w14:textId="78A9F23E"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1465"/>
        <w:gridCol w:w="7551"/>
      </w:tblGrid>
      <w:tr w:rsidR="00595C8C" w:rsidRPr="00CE1DB2" w14:paraId="116B87DF" w14:textId="77777777" w:rsidTr="007D4C48">
        <w:trPr>
          <w:cnfStyle w:val="100000000000" w:firstRow="1" w:lastRow="0" w:firstColumn="0" w:lastColumn="0" w:oddVBand="0" w:evenVBand="0" w:oddHBand="0" w:evenHBand="0" w:firstRowFirstColumn="0" w:firstRowLastColumn="0" w:lastRowFirstColumn="0" w:lastRowLastColumn="0"/>
        </w:trPr>
        <w:tc>
          <w:tcPr>
            <w:tcW w:w="1465" w:type="dxa"/>
          </w:tcPr>
          <w:p w14:paraId="72366D01" w14:textId="5C03ED2B" w:rsidR="00595C8C" w:rsidRPr="00CE1DB2" w:rsidRDefault="00595C8C" w:rsidP="00595C8C">
            <w:pPr>
              <w:spacing w:before="60" w:after="60"/>
              <w:rPr>
                <w:b w:val="0"/>
                <w:bCs/>
              </w:rPr>
            </w:pPr>
            <w:r w:rsidRPr="00CE1DB2">
              <w:rPr>
                <w:b w:val="0"/>
                <w:bCs/>
              </w:rPr>
              <w:t>Issue</w:t>
            </w:r>
          </w:p>
        </w:tc>
        <w:tc>
          <w:tcPr>
            <w:tcW w:w="7551" w:type="dxa"/>
          </w:tcPr>
          <w:p w14:paraId="2D00C3FD" w14:textId="47172B9E" w:rsidR="00595C8C" w:rsidRPr="00CE1DB2" w:rsidRDefault="00595C8C" w:rsidP="00595C8C">
            <w:pPr>
              <w:spacing w:before="60" w:after="60"/>
              <w:rPr>
                <w:b w:val="0"/>
                <w:bCs/>
              </w:rPr>
            </w:pPr>
            <w:r w:rsidRPr="00CE1DB2">
              <w:rPr>
                <w:b w:val="0"/>
                <w:bCs/>
              </w:rPr>
              <w:t xml:space="preserve">Description of </w:t>
            </w:r>
            <w:r w:rsidR="007D4C48">
              <w:rPr>
                <w:b w:val="0"/>
                <w:bCs/>
              </w:rPr>
              <w:t>u</w:t>
            </w:r>
            <w:r w:rsidRPr="00CE1DB2">
              <w:rPr>
                <w:b w:val="0"/>
                <w:bCs/>
              </w:rPr>
              <w:t>pdate(s)</w:t>
            </w:r>
          </w:p>
        </w:tc>
      </w:tr>
      <w:tr w:rsidR="00D73206" w:rsidRPr="00656B64" w14:paraId="310B57D9" w14:textId="77777777" w:rsidTr="007D4C48">
        <w:tc>
          <w:tcPr>
            <w:tcW w:w="1465" w:type="dxa"/>
          </w:tcPr>
          <w:p w14:paraId="732338A3" w14:textId="143B8C0D" w:rsidR="00D73206" w:rsidRDefault="007D4C48" w:rsidP="00595C8C">
            <w:pPr>
              <w:spacing w:before="60" w:after="60"/>
            </w:pPr>
            <w:r>
              <w:t>7.1</w:t>
            </w:r>
          </w:p>
        </w:tc>
        <w:tc>
          <w:tcPr>
            <w:tcW w:w="7551" w:type="dxa"/>
          </w:tcPr>
          <w:p w14:paraId="1E882ECA" w14:textId="1ADDC484" w:rsidR="00D73206" w:rsidRDefault="00D73206" w:rsidP="007D4C48">
            <w:pPr>
              <w:spacing w:after="0"/>
            </w:pPr>
            <w:r>
              <w:t>Minor update to</w:t>
            </w:r>
            <w:r w:rsidR="007D4C48">
              <w:t xml:space="preserve"> a</w:t>
            </w:r>
            <w:r w:rsidRPr="00EC0726">
              <w:t>lign key definitions across all organisational capability guidance</w:t>
            </w:r>
            <w:r w:rsidR="007D4C48">
              <w:t xml:space="preserve"> and a</w:t>
            </w:r>
            <w:r w:rsidRPr="00656B64">
              <w:t>mplify guidance on</w:t>
            </w:r>
            <w:r w:rsidR="006562EA" w:rsidRPr="00656B64">
              <w:t xml:space="preserve"> significant large-scale</w:t>
            </w:r>
            <w:r w:rsidR="00AF061F">
              <w:t xml:space="preserve"> and/or</w:t>
            </w:r>
            <w:r w:rsidR="006562EA" w:rsidRPr="00656B64">
              <w:t xml:space="preserve"> complex change</w:t>
            </w:r>
            <w:r w:rsidR="00656B64" w:rsidRPr="00AF061F">
              <w:t xml:space="preserve">, including the </w:t>
            </w:r>
            <w:r w:rsidR="00656B64">
              <w:t>use of:</w:t>
            </w:r>
          </w:p>
          <w:p w14:paraId="2DE4D5C1" w14:textId="4228B72F" w:rsidR="00656B64" w:rsidRDefault="00656B64" w:rsidP="00576102">
            <w:pPr>
              <w:pStyle w:val="ListParagraph"/>
              <w:numPr>
                <w:ilvl w:val="0"/>
                <w:numId w:val="13"/>
              </w:numPr>
              <w:spacing w:after="0"/>
              <w:ind w:left="679"/>
            </w:pPr>
            <w:r>
              <w:t>Strategy Papers</w:t>
            </w:r>
            <w:r w:rsidR="00955354">
              <w:t>.</w:t>
            </w:r>
          </w:p>
          <w:p w14:paraId="57032CD1" w14:textId="174F89F6" w:rsidR="006E667A" w:rsidRDefault="006E667A" w:rsidP="00576102">
            <w:pPr>
              <w:pStyle w:val="ListParagraph"/>
              <w:numPr>
                <w:ilvl w:val="0"/>
                <w:numId w:val="13"/>
              </w:numPr>
              <w:spacing w:after="0"/>
              <w:ind w:left="679"/>
            </w:pPr>
            <w:r>
              <w:t xml:space="preserve">Overarching </w:t>
            </w:r>
            <w:proofErr w:type="spellStart"/>
            <w:r>
              <w:t>MoCs</w:t>
            </w:r>
            <w:proofErr w:type="spellEnd"/>
            <w:r w:rsidR="00955354">
              <w:t>.</w:t>
            </w:r>
          </w:p>
          <w:p w14:paraId="2940ABCB" w14:textId="4F5A648C" w:rsidR="00D73206" w:rsidRPr="00656B64" w:rsidRDefault="00955354" w:rsidP="00576102">
            <w:pPr>
              <w:pStyle w:val="ListParagraph"/>
              <w:numPr>
                <w:ilvl w:val="0"/>
                <w:numId w:val="13"/>
              </w:numPr>
              <w:spacing w:after="0"/>
              <w:ind w:left="679"/>
            </w:pPr>
            <w:r>
              <w:t xml:space="preserve">Implementation </w:t>
            </w:r>
            <w:proofErr w:type="spellStart"/>
            <w:r>
              <w:t>MoCs</w:t>
            </w:r>
            <w:proofErr w:type="spellEnd"/>
            <w:r>
              <w:t>.</w:t>
            </w:r>
          </w:p>
        </w:tc>
      </w:tr>
    </w:tbl>
    <w:p w14:paraId="1FDB4B56" w14:textId="6C10B266" w:rsidR="00595C8C" w:rsidRPr="00656B64" w:rsidRDefault="00595C8C" w:rsidP="00323E71">
      <w:pPr>
        <w:sectPr w:rsidR="00595C8C" w:rsidRPr="00656B64" w:rsidSect="00434818">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1633A9E" w14:textId="73CBE5D6" w:rsidR="00FB6981"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2196364" w:history="1">
        <w:r w:rsidR="00FB6981" w:rsidRPr="001F27CF">
          <w:rPr>
            <w:rStyle w:val="Hyperlink"/>
          </w:rPr>
          <w:t>1.</w:t>
        </w:r>
        <w:r w:rsidR="00FB6981">
          <w:rPr>
            <w:rFonts w:asciiTheme="minorHAnsi" w:eastAsiaTheme="minorEastAsia" w:hAnsiTheme="minorHAnsi" w:cstheme="minorBidi"/>
            <w:kern w:val="2"/>
            <w:sz w:val="22"/>
            <w:lang w:eastAsia="en-GB" w:bidi="ar-SA"/>
            <w14:ligatures w14:val="standardContextual"/>
          </w:rPr>
          <w:tab/>
        </w:r>
        <w:r w:rsidR="00FB6981" w:rsidRPr="001F27CF">
          <w:rPr>
            <w:rStyle w:val="Hyperlink"/>
          </w:rPr>
          <w:t>Introduction</w:t>
        </w:r>
        <w:r w:rsidR="00FB6981">
          <w:rPr>
            <w:webHidden/>
          </w:rPr>
          <w:tab/>
        </w:r>
        <w:r w:rsidR="00FB6981">
          <w:rPr>
            <w:webHidden/>
          </w:rPr>
          <w:fldChar w:fldCharType="begin"/>
        </w:r>
        <w:r w:rsidR="00FB6981">
          <w:rPr>
            <w:webHidden/>
          </w:rPr>
          <w:instrText xml:space="preserve"> PAGEREF _Toc172196364 \h </w:instrText>
        </w:r>
        <w:r w:rsidR="00FB6981">
          <w:rPr>
            <w:webHidden/>
          </w:rPr>
        </w:r>
        <w:r w:rsidR="00FB6981">
          <w:rPr>
            <w:webHidden/>
          </w:rPr>
          <w:fldChar w:fldCharType="separate"/>
        </w:r>
        <w:r w:rsidR="00FB6981">
          <w:rPr>
            <w:webHidden/>
          </w:rPr>
          <w:t>4</w:t>
        </w:r>
        <w:r w:rsidR="00FB6981">
          <w:rPr>
            <w:webHidden/>
          </w:rPr>
          <w:fldChar w:fldCharType="end"/>
        </w:r>
      </w:hyperlink>
    </w:p>
    <w:p w14:paraId="66CCABE4" w14:textId="66AC555C" w:rsidR="00FB6981" w:rsidRDefault="00F2428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196365" w:history="1">
        <w:r w:rsidR="00FB6981" w:rsidRPr="001F27CF">
          <w:rPr>
            <w:rStyle w:val="Hyperlink"/>
          </w:rPr>
          <w:t>2.</w:t>
        </w:r>
        <w:r w:rsidR="00FB6981">
          <w:rPr>
            <w:rFonts w:asciiTheme="minorHAnsi" w:eastAsiaTheme="minorEastAsia" w:hAnsiTheme="minorHAnsi" w:cstheme="minorBidi"/>
            <w:kern w:val="2"/>
            <w:sz w:val="22"/>
            <w:lang w:eastAsia="en-GB" w:bidi="ar-SA"/>
            <w14:ligatures w14:val="standardContextual"/>
          </w:rPr>
          <w:tab/>
        </w:r>
        <w:r w:rsidR="00FB6981" w:rsidRPr="001F27CF">
          <w:rPr>
            <w:rStyle w:val="Hyperlink"/>
          </w:rPr>
          <w:t>Purpose and scope</w:t>
        </w:r>
        <w:r w:rsidR="00FB6981">
          <w:rPr>
            <w:webHidden/>
          </w:rPr>
          <w:tab/>
        </w:r>
        <w:r w:rsidR="00FB6981">
          <w:rPr>
            <w:webHidden/>
          </w:rPr>
          <w:fldChar w:fldCharType="begin"/>
        </w:r>
        <w:r w:rsidR="00FB6981">
          <w:rPr>
            <w:webHidden/>
          </w:rPr>
          <w:instrText xml:space="preserve"> PAGEREF _Toc172196365 \h </w:instrText>
        </w:r>
        <w:r w:rsidR="00FB6981">
          <w:rPr>
            <w:webHidden/>
          </w:rPr>
        </w:r>
        <w:r w:rsidR="00FB6981">
          <w:rPr>
            <w:webHidden/>
          </w:rPr>
          <w:fldChar w:fldCharType="separate"/>
        </w:r>
        <w:r w:rsidR="00FB6981">
          <w:rPr>
            <w:webHidden/>
          </w:rPr>
          <w:t>5</w:t>
        </w:r>
        <w:r w:rsidR="00FB6981">
          <w:rPr>
            <w:webHidden/>
          </w:rPr>
          <w:fldChar w:fldCharType="end"/>
        </w:r>
      </w:hyperlink>
    </w:p>
    <w:p w14:paraId="54EB4AA1" w14:textId="51E549D4" w:rsidR="00FB6981" w:rsidRDefault="00F2428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196366" w:history="1">
        <w:r w:rsidR="00FB6981" w:rsidRPr="001F27CF">
          <w:rPr>
            <w:rStyle w:val="Hyperlink"/>
          </w:rPr>
          <w:t>3.</w:t>
        </w:r>
        <w:r w:rsidR="00FB6981">
          <w:rPr>
            <w:rFonts w:asciiTheme="minorHAnsi" w:eastAsiaTheme="minorEastAsia" w:hAnsiTheme="minorHAnsi" w:cstheme="minorBidi"/>
            <w:kern w:val="2"/>
            <w:sz w:val="22"/>
            <w:lang w:eastAsia="en-GB" w:bidi="ar-SA"/>
            <w14:ligatures w14:val="standardContextual"/>
          </w:rPr>
          <w:tab/>
        </w:r>
        <w:r w:rsidR="00FB6981" w:rsidRPr="001F27CF">
          <w:rPr>
            <w:rStyle w:val="Hyperlink"/>
          </w:rPr>
          <w:t>Relationship to licence and other relevant legislation</w:t>
        </w:r>
        <w:r w:rsidR="00FB6981">
          <w:rPr>
            <w:webHidden/>
          </w:rPr>
          <w:tab/>
        </w:r>
        <w:r w:rsidR="00FB6981">
          <w:rPr>
            <w:webHidden/>
          </w:rPr>
          <w:fldChar w:fldCharType="begin"/>
        </w:r>
        <w:r w:rsidR="00FB6981">
          <w:rPr>
            <w:webHidden/>
          </w:rPr>
          <w:instrText xml:space="preserve"> PAGEREF _Toc172196366 \h </w:instrText>
        </w:r>
        <w:r w:rsidR="00FB6981">
          <w:rPr>
            <w:webHidden/>
          </w:rPr>
        </w:r>
        <w:r w:rsidR="00FB6981">
          <w:rPr>
            <w:webHidden/>
          </w:rPr>
          <w:fldChar w:fldCharType="separate"/>
        </w:r>
        <w:r w:rsidR="00FB6981">
          <w:rPr>
            <w:webHidden/>
          </w:rPr>
          <w:t>9</w:t>
        </w:r>
        <w:r w:rsidR="00FB6981">
          <w:rPr>
            <w:webHidden/>
          </w:rPr>
          <w:fldChar w:fldCharType="end"/>
        </w:r>
      </w:hyperlink>
    </w:p>
    <w:p w14:paraId="619AE58B" w14:textId="19DFA07F" w:rsidR="00FB6981" w:rsidRDefault="00F2428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196367" w:history="1">
        <w:r w:rsidR="00FB6981" w:rsidRPr="001F27CF">
          <w:rPr>
            <w:rStyle w:val="Hyperlink"/>
          </w:rPr>
          <w:t>4.</w:t>
        </w:r>
        <w:r w:rsidR="00FB6981">
          <w:rPr>
            <w:rFonts w:asciiTheme="minorHAnsi" w:eastAsiaTheme="minorEastAsia" w:hAnsiTheme="minorHAnsi" w:cstheme="minorBidi"/>
            <w:kern w:val="2"/>
            <w:sz w:val="22"/>
            <w:lang w:eastAsia="en-GB" w:bidi="ar-SA"/>
            <w14:ligatures w14:val="standardContextual"/>
          </w:rPr>
          <w:tab/>
        </w:r>
        <w:r w:rsidR="00FB6981" w:rsidRPr="001F27CF">
          <w:rPr>
            <w:rStyle w:val="Hyperlink"/>
          </w:rPr>
          <w:t>Relationship to Safety Assessment Principles, WENRA Reference Levels, and IAEA Safety Standards and Guides</w:t>
        </w:r>
        <w:r w:rsidR="00FB6981">
          <w:rPr>
            <w:webHidden/>
          </w:rPr>
          <w:tab/>
        </w:r>
        <w:r w:rsidR="00FB6981">
          <w:rPr>
            <w:webHidden/>
          </w:rPr>
          <w:fldChar w:fldCharType="begin"/>
        </w:r>
        <w:r w:rsidR="00FB6981">
          <w:rPr>
            <w:webHidden/>
          </w:rPr>
          <w:instrText xml:space="preserve"> PAGEREF _Toc172196367 \h </w:instrText>
        </w:r>
        <w:r w:rsidR="00FB6981">
          <w:rPr>
            <w:webHidden/>
          </w:rPr>
        </w:r>
        <w:r w:rsidR="00FB6981">
          <w:rPr>
            <w:webHidden/>
          </w:rPr>
          <w:fldChar w:fldCharType="separate"/>
        </w:r>
        <w:r w:rsidR="00FB6981">
          <w:rPr>
            <w:webHidden/>
          </w:rPr>
          <w:t>11</w:t>
        </w:r>
        <w:r w:rsidR="00FB6981">
          <w:rPr>
            <w:webHidden/>
          </w:rPr>
          <w:fldChar w:fldCharType="end"/>
        </w:r>
      </w:hyperlink>
    </w:p>
    <w:p w14:paraId="0E64E449" w14:textId="6F14C378" w:rsidR="00FB6981" w:rsidRDefault="00F2428A">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196368" w:history="1">
        <w:r w:rsidR="00FB6981" w:rsidRPr="001F27CF">
          <w:rPr>
            <w:rStyle w:val="Hyperlink"/>
          </w:rPr>
          <w:t>5.</w:t>
        </w:r>
        <w:r w:rsidR="00FB6981">
          <w:rPr>
            <w:rFonts w:asciiTheme="minorHAnsi" w:eastAsiaTheme="minorEastAsia" w:hAnsiTheme="minorHAnsi" w:cstheme="minorBidi"/>
            <w:kern w:val="2"/>
            <w:sz w:val="22"/>
            <w:lang w:eastAsia="en-GB" w:bidi="ar-SA"/>
            <w14:ligatures w14:val="standardContextual"/>
          </w:rPr>
          <w:tab/>
        </w:r>
        <w:r w:rsidR="00FB6981" w:rsidRPr="001F27CF">
          <w:rPr>
            <w:rStyle w:val="Hyperlink"/>
          </w:rPr>
          <w:t>Advice to Inspectors</w:t>
        </w:r>
        <w:r w:rsidR="00FB6981">
          <w:rPr>
            <w:webHidden/>
          </w:rPr>
          <w:tab/>
        </w:r>
        <w:r w:rsidR="00FB6981">
          <w:rPr>
            <w:webHidden/>
          </w:rPr>
          <w:fldChar w:fldCharType="begin"/>
        </w:r>
        <w:r w:rsidR="00FB6981">
          <w:rPr>
            <w:webHidden/>
          </w:rPr>
          <w:instrText xml:space="preserve"> PAGEREF _Toc172196368 \h </w:instrText>
        </w:r>
        <w:r w:rsidR="00FB6981">
          <w:rPr>
            <w:webHidden/>
          </w:rPr>
        </w:r>
        <w:r w:rsidR="00FB6981">
          <w:rPr>
            <w:webHidden/>
          </w:rPr>
          <w:fldChar w:fldCharType="separate"/>
        </w:r>
        <w:r w:rsidR="00FB6981">
          <w:rPr>
            <w:webHidden/>
          </w:rPr>
          <w:t>17</w:t>
        </w:r>
        <w:r w:rsidR="00FB6981">
          <w:rPr>
            <w:webHidden/>
          </w:rPr>
          <w:fldChar w:fldCharType="end"/>
        </w:r>
      </w:hyperlink>
    </w:p>
    <w:p w14:paraId="4F966F61" w14:textId="24F31450" w:rsidR="00FB6981" w:rsidRDefault="00F2428A">
      <w:pPr>
        <w:pStyle w:val="TOC1"/>
        <w:rPr>
          <w:rFonts w:asciiTheme="minorHAnsi" w:eastAsiaTheme="minorEastAsia" w:hAnsiTheme="minorHAnsi" w:cstheme="minorBidi"/>
          <w:kern w:val="2"/>
          <w:sz w:val="22"/>
          <w:lang w:eastAsia="en-GB" w:bidi="ar-SA"/>
          <w14:ligatures w14:val="standardContextual"/>
        </w:rPr>
      </w:pPr>
      <w:hyperlink w:anchor="_Toc172196369" w:history="1">
        <w:r w:rsidR="00FB6981" w:rsidRPr="001F27CF">
          <w:rPr>
            <w:rStyle w:val="Hyperlink"/>
            <w:lang w:val="fr-FR"/>
          </w:rPr>
          <w:t>Appendix 1: Licence Condition 36 - Organisational Capability</w:t>
        </w:r>
        <w:r w:rsidR="00FB6981">
          <w:rPr>
            <w:webHidden/>
          </w:rPr>
          <w:tab/>
        </w:r>
        <w:r w:rsidR="00FB6981">
          <w:rPr>
            <w:webHidden/>
          </w:rPr>
          <w:fldChar w:fldCharType="begin"/>
        </w:r>
        <w:r w:rsidR="00FB6981">
          <w:rPr>
            <w:webHidden/>
          </w:rPr>
          <w:instrText xml:space="preserve"> PAGEREF _Toc172196369 \h </w:instrText>
        </w:r>
        <w:r w:rsidR="00FB6981">
          <w:rPr>
            <w:webHidden/>
          </w:rPr>
        </w:r>
        <w:r w:rsidR="00FB6981">
          <w:rPr>
            <w:webHidden/>
          </w:rPr>
          <w:fldChar w:fldCharType="separate"/>
        </w:r>
        <w:r w:rsidR="00FB6981">
          <w:rPr>
            <w:webHidden/>
          </w:rPr>
          <w:t>37</w:t>
        </w:r>
        <w:r w:rsidR="00FB6981">
          <w:rPr>
            <w:webHidden/>
          </w:rPr>
          <w:fldChar w:fldCharType="end"/>
        </w:r>
      </w:hyperlink>
    </w:p>
    <w:p w14:paraId="593BB22E" w14:textId="7F17613A" w:rsidR="00FB6981" w:rsidRDefault="00F2428A">
      <w:pPr>
        <w:pStyle w:val="TOC1"/>
        <w:rPr>
          <w:rFonts w:asciiTheme="minorHAnsi" w:eastAsiaTheme="minorEastAsia" w:hAnsiTheme="minorHAnsi" w:cstheme="minorBidi"/>
          <w:kern w:val="2"/>
          <w:sz w:val="22"/>
          <w:lang w:eastAsia="en-GB" w:bidi="ar-SA"/>
          <w14:ligatures w14:val="standardContextual"/>
        </w:rPr>
      </w:pPr>
      <w:hyperlink w:anchor="_Toc172196370" w:history="1">
        <w:r w:rsidR="00FB6981" w:rsidRPr="001F27CF">
          <w:rPr>
            <w:rStyle w:val="Hyperlink"/>
            <w:lang w:eastAsia="en-GB"/>
          </w:rPr>
          <w:t>Appendix 2: Guidance to inspectors on the approach to be undertaken for assuring compliance with the ‘adequacy of financial resources’ aspect of LC 36(1)</w:t>
        </w:r>
        <w:r w:rsidR="00FB6981">
          <w:rPr>
            <w:webHidden/>
          </w:rPr>
          <w:tab/>
        </w:r>
        <w:r w:rsidR="00FB6981">
          <w:rPr>
            <w:webHidden/>
          </w:rPr>
          <w:fldChar w:fldCharType="begin"/>
        </w:r>
        <w:r w:rsidR="00FB6981">
          <w:rPr>
            <w:webHidden/>
          </w:rPr>
          <w:instrText xml:space="preserve"> PAGEREF _Toc172196370 \h </w:instrText>
        </w:r>
        <w:r w:rsidR="00FB6981">
          <w:rPr>
            <w:webHidden/>
          </w:rPr>
        </w:r>
        <w:r w:rsidR="00FB6981">
          <w:rPr>
            <w:webHidden/>
          </w:rPr>
          <w:fldChar w:fldCharType="separate"/>
        </w:r>
        <w:r w:rsidR="00FB6981">
          <w:rPr>
            <w:webHidden/>
          </w:rPr>
          <w:t>38</w:t>
        </w:r>
        <w:r w:rsidR="00FB6981">
          <w:rPr>
            <w:webHidden/>
          </w:rPr>
          <w:fldChar w:fldCharType="end"/>
        </w:r>
      </w:hyperlink>
    </w:p>
    <w:p w14:paraId="622F75A9" w14:textId="533C7CF4" w:rsidR="00FB6981" w:rsidRDefault="00F2428A">
      <w:pPr>
        <w:pStyle w:val="TOC1"/>
        <w:rPr>
          <w:rFonts w:asciiTheme="minorHAnsi" w:eastAsiaTheme="minorEastAsia" w:hAnsiTheme="minorHAnsi" w:cstheme="minorBidi"/>
          <w:kern w:val="2"/>
          <w:sz w:val="22"/>
          <w:lang w:eastAsia="en-GB" w:bidi="ar-SA"/>
          <w14:ligatures w14:val="standardContextual"/>
        </w:rPr>
      </w:pPr>
      <w:hyperlink w:anchor="_Toc172196371" w:history="1">
        <w:r w:rsidR="00FB6981" w:rsidRPr="001F27CF">
          <w:rPr>
            <w:rStyle w:val="Hyperlink"/>
          </w:rPr>
          <w:t>Appendix 3: Guidance for inspectors on the factors that may be considered when inspecting the licensee’s implementation of its MoC arrangements</w:t>
        </w:r>
        <w:r w:rsidR="00FB6981">
          <w:rPr>
            <w:webHidden/>
          </w:rPr>
          <w:tab/>
        </w:r>
        <w:r w:rsidR="00FB6981">
          <w:rPr>
            <w:webHidden/>
          </w:rPr>
          <w:fldChar w:fldCharType="begin"/>
        </w:r>
        <w:r w:rsidR="00FB6981">
          <w:rPr>
            <w:webHidden/>
          </w:rPr>
          <w:instrText xml:space="preserve"> PAGEREF _Toc172196371 \h </w:instrText>
        </w:r>
        <w:r w:rsidR="00FB6981">
          <w:rPr>
            <w:webHidden/>
          </w:rPr>
        </w:r>
        <w:r w:rsidR="00FB6981">
          <w:rPr>
            <w:webHidden/>
          </w:rPr>
          <w:fldChar w:fldCharType="separate"/>
        </w:r>
        <w:r w:rsidR="00FB6981">
          <w:rPr>
            <w:webHidden/>
          </w:rPr>
          <w:t>40</w:t>
        </w:r>
        <w:r w:rsidR="00FB6981">
          <w:rPr>
            <w:webHidden/>
          </w:rPr>
          <w:fldChar w:fldCharType="end"/>
        </w:r>
      </w:hyperlink>
    </w:p>
    <w:p w14:paraId="51C1C443" w14:textId="460702FC" w:rsidR="00FB6981" w:rsidRDefault="00F2428A">
      <w:pPr>
        <w:pStyle w:val="TOC1"/>
        <w:rPr>
          <w:rFonts w:asciiTheme="minorHAnsi" w:eastAsiaTheme="minorEastAsia" w:hAnsiTheme="minorHAnsi" w:cstheme="minorBidi"/>
          <w:kern w:val="2"/>
          <w:sz w:val="22"/>
          <w:lang w:eastAsia="en-GB" w:bidi="ar-SA"/>
          <w14:ligatures w14:val="standardContextual"/>
        </w:rPr>
      </w:pPr>
      <w:hyperlink w:anchor="_Toc172196372" w:history="1">
        <w:r w:rsidR="00FB6981" w:rsidRPr="001F27CF">
          <w:rPr>
            <w:rStyle w:val="Hyperlink"/>
          </w:rPr>
          <w:t>Appendix 4: Examples of drivers for organisational change</w:t>
        </w:r>
        <w:r w:rsidR="00FB6981">
          <w:rPr>
            <w:webHidden/>
          </w:rPr>
          <w:tab/>
        </w:r>
        <w:r w:rsidR="00FB6981">
          <w:rPr>
            <w:webHidden/>
          </w:rPr>
          <w:fldChar w:fldCharType="begin"/>
        </w:r>
        <w:r w:rsidR="00FB6981">
          <w:rPr>
            <w:webHidden/>
          </w:rPr>
          <w:instrText xml:space="preserve"> PAGEREF _Toc172196372 \h </w:instrText>
        </w:r>
        <w:r w:rsidR="00FB6981">
          <w:rPr>
            <w:webHidden/>
          </w:rPr>
        </w:r>
        <w:r w:rsidR="00FB6981">
          <w:rPr>
            <w:webHidden/>
          </w:rPr>
          <w:fldChar w:fldCharType="separate"/>
        </w:r>
        <w:r w:rsidR="00FB6981">
          <w:rPr>
            <w:webHidden/>
          </w:rPr>
          <w:t>44</w:t>
        </w:r>
        <w:r w:rsidR="00FB6981">
          <w:rPr>
            <w:webHidden/>
          </w:rPr>
          <w:fldChar w:fldCharType="end"/>
        </w:r>
      </w:hyperlink>
    </w:p>
    <w:p w14:paraId="11931F73" w14:textId="77AA7E38" w:rsidR="00FB6981" w:rsidRDefault="00F2428A">
      <w:pPr>
        <w:pStyle w:val="TOC1"/>
        <w:rPr>
          <w:rFonts w:asciiTheme="minorHAnsi" w:eastAsiaTheme="minorEastAsia" w:hAnsiTheme="minorHAnsi" w:cstheme="minorBidi"/>
          <w:kern w:val="2"/>
          <w:sz w:val="22"/>
          <w:lang w:eastAsia="en-GB" w:bidi="ar-SA"/>
          <w14:ligatures w14:val="standardContextual"/>
        </w:rPr>
      </w:pPr>
      <w:hyperlink w:anchor="_Toc172196373" w:history="1">
        <w:r w:rsidR="00FB6981" w:rsidRPr="001F27CF">
          <w:rPr>
            <w:rStyle w:val="Hyperlink"/>
          </w:rPr>
          <w:t>Appendix 5: Guidance on the classification of organisational changes</w:t>
        </w:r>
        <w:r w:rsidR="00FB6981">
          <w:rPr>
            <w:webHidden/>
          </w:rPr>
          <w:tab/>
        </w:r>
        <w:r w:rsidR="00FB6981">
          <w:rPr>
            <w:webHidden/>
          </w:rPr>
          <w:fldChar w:fldCharType="begin"/>
        </w:r>
        <w:r w:rsidR="00FB6981">
          <w:rPr>
            <w:webHidden/>
          </w:rPr>
          <w:instrText xml:space="preserve"> PAGEREF _Toc172196373 \h </w:instrText>
        </w:r>
        <w:r w:rsidR="00FB6981">
          <w:rPr>
            <w:webHidden/>
          </w:rPr>
        </w:r>
        <w:r w:rsidR="00FB6981">
          <w:rPr>
            <w:webHidden/>
          </w:rPr>
          <w:fldChar w:fldCharType="separate"/>
        </w:r>
        <w:r w:rsidR="00FB6981">
          <w:rPr>
            <w:webHidden/>
          </w:rPr>
          <w:t>46</w:t>
        </w:r>
        <w:r w:rsidR="00FB6981">
          <w:rPr>
            <w:webHidden/>
          </w:rPr>
          <w:fldChar w:fldCharType="end"/>
        </w:r>
      </w:hyperlink>
    </w:p>
    <w:p w14:paraId="542A41D6" w14:textId="767CB7A9" w:rsidR="00FB6981" w:rsidRDefault="00F2428A">
      <w:pPr>
        <w:pStyle w:val="TOC1"/>
        <w:rPr>
          <w:rFonts w:asciiTheme="minorHAnsi" w:eastAsiaTheme="minorEastAsia" w:hAnsiTheme="minorHAnsi" w:cstheme="minorBidi"/>
          <w:kern w:val="2"/>
          <w:sz w:val="22"/>
          <w:lang w:eastAsia="en-GB" w:bidi="ar-SA"/>
          <w14:ligatures w14:val="standardContextual"/>
        </w:rPr>
      </w:pPr>
      <w:hyperlink w:anchor="_Toc172196374" w:history="1">
        <w:r w:rsidR="00FB6981" w:rsidRPr="001F27CF">
          <w:rPr>
            <w:rStyle w:val="Hyperlink"/>
          </w:rPr>
          <w:t>References</w:t>
        </w:r>
        <w:r w:rsidR="00FB6981">
          <w:rPr>
            <w:webHidden/>
          </w:rPr>
          <w:tab/>
        </w:r>
        <w:r w:rsidR="00FB6981">
          <w:rPr>
            <w:webHidden/>
          </w:rPr>
          <w:fldChar w:fldCharType="begin"/>
        </w:r>
        <w:r w:rsidR="00FB6981">
          <w:rPr>
            <w:webHidden/>
          </w:rPr>
          <w:instrText xml:space="preserve"> PAGEREF _Toc172196374 \h </w:instrText>
        </w:r>
        <w:r w:rsidR="00FB6981">
          <w:rPr>
            <w:webHidden/>
          </w:rPr>
        </w:r>
        <w:r w:rsidR="00FB6981">
          <w:rPr>
            <w:webHidden/>
          </w:rPr>
          <w:fldChar w:fldCharType="separate"/>
        </w:r>
        <w:r w:rsidR="00FB6981">
          <w:rPr>
            <w:webHidden/>
          </w:rPr>
          <w:t>48</w:t>
        </w:r>
        <w:r w:rsidR="00FB6981">
          <w:rPr>
            <w:webHidden/>
          </w:rPr>
          <w:fldChar w:fldCharType="end"/>
        </w:r>
      </w:hyperlink>
    </w:p>
    <w:p w14:paraId="742C9E62" w14:textId="7ECEF99F" w:rsidR="00FB6981" w:rsidRDefault="00F2428A">
      <w:pPr>
        <w:pStyle w:val="TOC1"/>
        <w:rPr>
          <w:rFonts w:asciiTheme="minorHAnsi" w:eastAsiaTheme="minorEastAsia" w:hAnsiTheme="minorHAnsi" w:cstheme="minorBidi"/>
          <w:kern w:val="2"/>
          <w:sz w:val="22"/>
          <w:lang w:eastAsia="en-GB" w:bidi="ar-SA"/>
          <w14:ligatures w14:val="standardContextual"/>
        </w:rPr>
      </w:pPr>
      <w:hyperlink w:anchor="_Toc172196375" w:history="1">
        <w:r w:rsidR="00FB6981" w:rsidRPr="001F27CF">
          <w:rPr>
            <w:rStyle w:val="Hyperlink"/>
          </w:rPr>
          <w:t>Glossary and Abbreviations</w:t>
        </w:r>
        <w:r w:rsidR="00FB6981">
          <w:rPr>
            <w:webHidden/>
          </w:rPr>
          <w:tab/>
        </w:r>
        <w:r w:rsidR="00FB6981">
          <w:rPr>
            <w:webHidden/>
          </w:rPr>
          <w:fldChar w:fldCharType="begin"/>
        </w:r>
        <w:r w:rsidR="00FB6981">
          <w:rPr>
            <w:webHidden/>
          </w:rPr>
          <w:instrText xml:space="preserve"> PAGEREF _Toc172196375 \h </w:instrText>
        </w:r>
        <w:r w:rsidR="00FB6981">
          <w:rPr>
            <w:webHidden/>
          </w:rPr>
        </w:r>
        <w:r w:rsidR="00FB6981">
          <w:rPr>
            <w:webHidden/>
          </w:rPr>
          <w:fldChar w:fldCharType="separate"/>
        </w:r>
        <w:r w:rsidR="00FB6981">
          <w:rPr>
            <w:webHidden/>
          </w:rPr>
          <w:t>49</w:t>
        </w:r>
        <w:r w:rsidR="00FB6981">
          <w:rPr>
            <w:webHidden/>
          </w:rPr>
          <w:fldChar w:fldCharType="end"/>
        </w:r>
      </w:hyperlink>
    </w:p>
    <w:p w14:paraId="0CC4B54A" w14:textId="6EC5082A"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434818">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Default="008D49A5" w:rsidP="00576102">
      <w:pPr>
        <w:pStyle w:val="Heading1"/>
        <w:numPr>
          <w:ilvl w:val="0"/>
          <w:numId w:val="3"/>
        </w:numPr>
        <w:ind w:left="851" w:hanging="851"/>
      </w:pPr>
      <w:bookmarkStart w:id="1" w:name="_Toc172196364"/>
      <w:bookmarkEnd w:id="0"/>
      <w:r w:rsidRPr="00E90780">
        <w:lastRenderedPageBreak/>
        <w:t>Introduction</w:t>
      </w:r>
      <w:bookmarkEnd w:id="1"/>
    </w:p>
    <w:p w14:paraId="1FFD0483" w14:textId="6866FC05" w:rsidR="00434818" w:rsidRPr="007D4C48" w:rsidRDefault="000950B3" w:rsidP="007D4C48">
      <w:pPr>
        <w:pStyle w:val="F9-Paragraph"/>
        <w:sectPr w:rsidR="00434818" w:rsidRPr="007D4C48" w:rsidSect="00434818">
          <w:headerReference w:type="even" r:id="rId17"/>
          <w:headerReference w:type="default" r:id="rId18"/>
          <w:footerReference w:type="even" r:id="rId19"/>
          <w:pgSz w:w="11906" w:h="16838" w:code="9"/>
          <w:pgMar w:top="1440" w:right="1440" w:bottom="1440" w:left="1440" w:header="397" w:footer="397" w:gutter="0"/>
          <w:cols w:space="312"/>
          <w:docGrid w:linePitch="360"/>
        </w:sectPr>
      </w:pPr>
      <w:bookmarkStart w:id="2" w:name="_Hlk64448648"/>
      <w:r w:rsidRPr="007D4C48">
        <w:rPr>
          <w:rStyle w:val="Style3Char"/>
        </w:rPr>
        <w:t xml:space="preserve">ONR has established its Safety Assessment Principles (SAPs) </w:t>
      </w:r>
      <w:r w:rsidR="007D4C48">
        <w:rPr>
          <w:rStyle w:val="Style3Char"/>
        </w:rPr>
        <w:t>(ref.</w:t>
      </w:r>
      <w:r w:rsidR="00F56152" w:rsidRPr="007D4C48">
        <w:rPr>
          <w:rStyle w:val="Style3Char"/>
        </w:rPr>
        <w:t xml:space="preserve"> </w:t>
      </w:r>
      <w:sdt>
        <w:sdtPr>
          <w:rPr>
            <w:rStyle w:val="Style3Char"/>
          </w:rPr>
          <w:id w:val="-1891410551"/>
          <w:citation/>
        </w:sdtPr>
        <w:sdtEndPr>
          <w:rPr>
            <w:rStyle w:val="Style3Char"/>
          </w:rPr>
        </w:sdtEndPr>
        <w:sdtContent>
          <w:r w:rsidRPr="007D4C48">
            <w:rPr>
              <w:rStyle w:val="Style3Char"/>
            </w:rPr>
            <w:fldChar w:fldCharType="begin"/>
          </w:r>
          <w:r w:rsidRPr="007D4C48">
            <w:rPr>
              <w:rStyle w:val="Style3Char"/>
            </w:rPr>
            <w:instrText xml:space="preserve"> CITATION ONR2013 \l 2057 </w:instrText>
          </w:r>
          <w:r w:rsidRPr="007D4C48">
            <w:rPr>
              <w:rStyle w:val="Style3Char"/>
            </w:rPr>
            <w:fldChar w:fldCharType="separate"/>
          </w:r>
          <w:r w:rsidR="00166CB3">
            <w:rPr>
              <w:noProof/>
            </w:rPr>
            <w:t>[1]</w:t>
          </w:r>
          <w:r w:rsidRPr="007D4C48">
            <w:rPr>
              <w:rStyle w:val="Style3Char"/>
            </w:rPr>
            <w:fldChar w:fldCharType="end"/>
          </w:r>
        </w:sdtContent>
      </w:sdt>
      <w:r w:rsidRPr="007D4C48">
        <w:rPr>
          <w:rStyle w:val="Style3Char"/>
        </w:rPr>
        <w:t>) which apply to the assessment by ONR inspectors of safety cases for nuclear facilities that may be operated by potential licensees, existing licensees, or other duty-holders. The principles presented in the SAPs are supported by a suite of guides to further assist ONR’s inspectors in their technical assessment work in support of making regulatory judgements and decisions</w:t>
      </w:r>
      <w:r w:rsidR="00F03BF9" w:rsidRPr="007D4C48">
        <w:rPr>
          <w:rStyle w:val="Style3Char"/>
        </w:rPr>
        <w:t>; t</w:t>
      </w:r>
      <w:r w:rsidRPr="007D4C48">
        <w:rPr>
          <w:rStyle w:val="Style3Char"/>
        </w:rPr>
        <w:t>his technical assessment guide (TAG) is one of these guides</w:t>
      </w:r>
      <w:r w:rsidRPr="007D4C48">
        <w:t>.</w:t>
      </w:r>
      <w:bookmarkEnd w:id="2"/>
    </w:p>
    <w:p w14:paraId="05AAE39A" w14:textId="19E6F215" w:rsidR="008D49A5" w:rsidRDefault="000950B3" w:rsidP="00E90780">
      <w:pPr>
        <w:pStyle w:val="Heading1"/>
      </w:pPr>
      <w:bookmarkStart w:id="3" w:name="_Toc172196365"/>
      <w:r>
        <w:lastRenderedPageBreak/>
        <w:t xml:space="preserve">Purpose and </w:t>
      </w:r>
      <w:r w:rsidR="005F01F0">
        <w:t>s</w:t>
      </w:r>
      <w:r>
        <w:t>cope</w:t>
      </w:r>
      <w:bookmarkEnd w:id="3"/>
    </w:p>
    <w:p w14:paraId="6F046C5D" w14:textId="36C38DFA" w:rsidR="00A46727" w:rsidRDefault="00A46727" w:rsidP="007D4C48">
      <w:pPr>
        <w:pStyle w:val="F9-Paragraph"/>
      </w:pPr>
      <w:r>
        <w:t xml:space="preserve">The purpose of this TAG </w:t>
      </w:r>
      <w:r w:rsidRPr="00883E19">
        <w:t xml:space="preserve">is </w:t>
      </w:r>
      <w:r>
        <w:t>to assist</w:t>
      </w:r>
      <w:r w:rsidR="00F03BF9">
        <w:t xml:space="preserve"> inspectors</w:t>
      </w:r>
      <w:r>
        <w:t xml:space="preserve"> in making informed judgements and decisions on the adequacy of </w:t>
      </w:r>
      <w:r w:rsidR="00A437D2">
        <w:t xml:space="preserve">existing or prospective </w:t>
      </w:r>
      <w:r>
        <w:t>licensee’s</w:t>
      </w:r>
      <w:r w:rsidR="00CA4F26">
        <w:t xml:space="preserve"> </w:t>
      </w:r>
      <w:r>
        <w:t xml:space="preserve">arrangements and their implementation, to ensure that changes to organisational structure or resources which may affect safety are adequately controlled in accordance with the requirement of nuclear site licence condition (LC) 36 ‘Organisational Capability’ as set </w:t>
      </w:r>
      <w:r w:rsidRPr="00F03E70">
        <w:t xml:space="preserve">out in </w:t>
      </w:r>
      <w:hyperlink w:anchor="_Appendix_1:_Licence" w:history="1">
        <w:r w:rsidRPr="005F01F0">
          <w:rPr>
            <w:rStyle w:val="Hyperlink"/>
          </w:rPr>
          <w:t xml:space="preserve">Appendix </w:t>
        </w:r>
        <w:r w:rsidR="00F03E70" w:rsidRPr="005F01F0">
          <w:rPr>
            <w:rStyle w:val="Hyperlink"/>
          </w:rPr>
          <w:t>1</w:t>
        </w:r>
      </w:hyperlink>
      <w:r w:rsidR="00F03E70" w:rsidRPr="00F03E70">
        <w:t>.</w:t>
      </w:r>
      <w:r w:rsidR="00434818">
        <w:t xml:space="preserve"> </w:t>
      </w:r>
      <w:hyperlink w:anchor="_Appendix_2:_Guidance" w:history="1">
        <w:r w:rsidRPr="005F01F0">
          <w:rPr>
            <w:rStyle w:val="Hyperlink"/>
          </w:rPr>
          <w:t>Appendix</w:t>
        </w:r>
        <w:r w:rsidR="005F01F0" w:rsidRPr="005F01F0">
          <w:rPr>
            <w:rStyle w:val="Hyperlink"/>
          </w:rPr>
          <w:t xml:space="preserve"> 2</w:t>
        </w:r>
      </w:hyperlink>
      <w:r>
        <w:t xml:space="preserve"> of this TAG also provides guidance on how Inspectors should approach the require</w:t>
      </w:r>
      <w:r w:rsidR="00F03BF9">
        <w:t>ment for</w:t>
      </w:r>
      <w:r>
        <w:t xml:space="preserve"> licensees to provide and maintain adequate financial and human resources to fulfil their obligations in respect of nuclear safety.</w:t>
      </w:r>
      <w:r w:rsidR="00317A5F">
        <w:t xml:space="preserve"> </w:t>
      </w:r>
    </w:p>
    <w:p w14:paraId="17BE21E0" w14:textId="5479DA1B" w:rsidR="00A46727" w:rsidRPr="00F75C4C" w:rsidRDefault="004B3D9F" w:rsidP="007D4C48">
      <w:pPr>
        <w:pStyle w:val="F9-Paragraph"/>
      </w:pPr>
      <w:r>
        <w:t>This TAG</w:t>
      </w:r>
      <w:r w:rsidRPr="00F75C4C">
        <w:t xml:space="preserve"> </w:t>
      </w:r>
      <w:r w:rsidR="00A46727" w:rsidRPr="00F75C4C">
        <w:t>incorporates guidance for inspectors in judging the adequacy with which licensees’ arrangements have been implemented</w:t>
      </w:r>
      <w:r w:rsidR="00F03BF9" w:rsidRPr="00F75C4C">
        <w:t xml:space="preserve"> and should be read in conjunction with</w:t>
      </w:r>
      <w:r w:rsidR="007D4726">
        <w:t xml:space="preserve"> </w:t>
      </w:r>
      <w:r w:rsidR="005F01F0">
        <w:t>r</w:t>
      </w:r>
      <w:r w:rsidR="00A70D1E" w:rsidRPr="00F75C4C">
        <w:t xml:space="preserve">ef. </w:t>
      </w:r>
      <w:sdt>
        <w:sdtPr>
          <w:id w:val="292954603"/>
          <w:citation/>
        </w:sdtPr>
        <w:sdtEndPr/>
        <w:sdtContent>
          <w:r w:rsidR="00A70D1E" w:rsidRPr="00F75C4C">
            <w:fldChar w:fldCharType="begin"/>
          </w:r>
          <w:r w:rsidR="00A70D1E" w:rsidRPr="00F75C4C">
            <w:instrText xml:space="preserve"> CITATION ONR205 \l 2057 </w:instrText>
          </w:r>
          <w:r w:rsidR="00A70D1E" w:rsidRPr="00F75C4C">
            <w:fldChar w:fldCharType="separate"/>
          </w:r>
          <w:r w:rsidR="00166CB3">
            <w:rPr>
              <w:noProof/>
            </w:rPr>
            <w:t>[2]</w:t>
          </w:r>
          <w:r w:rsidR="00A70D1E" w:rsidRPr="00F75C4C">
            <w:fldChar w:fldCharType="end"/>
          </w:r>
        </w:sdtContent>
      </w:sdt>
      <w:r w:rsidR="00A46727" w:rsidRPr="00F75C4C">
        <w:t>.</w:t>
      </w:r>
      <w:r w:rsidR="00317A5F" w:rsidRPr="00F75C4C">
        <w:t xml:space="preserve"> </w:t>
      </w:r>
      <w:r w:rsidR="00A46727" w:rsidRPr="00F75C4C">
        <w:t xml:space="preserve">Factors that the inspector may wish to consider concerning the way in which a licensee’s arrangements are implemented are set out in </w:t>
      </w:r>
      <w:hyperlink w:anchor="_Appendix_3:_Guidance" w:history="1">
        <w:r w:rsidR="005F01F0" w:rsidRPr="004A0CD7">
          <w:rPr>
            <w:rStyle w:val="Hyperlink"/>
          </w:rPr>
          <w:t>Appendix 3</w:t>
        </w:r>
      </w:hyperlink>
      <w:r w:rsidR="00A46727" w:rsidRPr="00F75C4C">
        <w:t>.</w:t>
      </w:r>
      <w:r w:rsidR="00317A5F" w:rsidRPr="00F75C4C">
        <w:t xml:space="preserve"> </w:t>
      </w:r>
    </w:p>
    <w:p w14:paraId="1CFC5FFF" w14:textId="1A8C1AE2" w:rsidR="00F03BF9" w:rsidRDefault="00A46727" w:rsidP="007D4C48">
      <w:pPr>
        <w:pStyle w:val="F9-Paragraph"/>
      </w:pPr>
      <w:r>
        <w:t xml:space="preserve">ONR guidance on assessing arrangements to provide and maintain adequate human resources is presented in </w:t>
      </w:r>
      <w:r w:rsidR="005F01F0">
        <w:t>r</w:t>
      </w:r>
      <w:r w:rsidR="00A71E27">
        <w:t xml:space="preserve">ef. </w:t>
      </w:r>
      <w:sdt>
        <w:sdtPr>
          <w:id w:val="260415148"/>
          <w:citation/>
        </w:sdtPr>
        <w:sdtEndPr/>
        <w:sdtContent>
          <w:r w:rsidR="00A71E27">
            <w:fldChar w:fldCharType="begin"/>
          </w:r>
          <w:r w:rsidR="00A71E27">
            <w:instrText xml:space="preserve"> CITATION ONR74 \l 2057 </w:instrText>
          </w:r>
          <w:r w:rsidR="00A71E27">
            <w:fldChar w:fldCharType="separate"/>
          </w:r>
          <w:r w:rsidR="00166CB3">
            <w:rPr>
              <w:noProof/>
            </w:rPr>
            <w:t>[3]</w:t>
          </w:r>
          <w:r w:rsidR="00A71E27">
            <w:fldChar w:fldCharType="end"/>
          </w:r>
        </w:sdtContent>
      </w:sdt>
      <w:r>
        <w:t>. Together, these guides provide comprehensive advice to inspectors on the requirements of LC</w:t>
      </w:r>
      <w:r w:rsidR="00A71E27">
        <w:t xml:space="preserve"> </w:t>
      </w:r>
      <w:r>
        <w:t>36, as such they should be considered in combination when judging the adequacy of a licensee’s arrangements for LC</w:t>
      </w:r>
      <w:r w:rsidR="00A71E27">
        <w:t xml:space="preserve"> </w:t>
      </w:r>
      <w:r>
        <w:t>36.</w:t>
      </w:r>
      <w:r w:rsidR="00317A5F">
        <w:t xml:space="preserve"> </w:t>
      </w:r>
    </w:p>
    <w:p w14:paraId="63D6AD44" w14:textId="77CE5F35" w:rsidR="00F03BF9" w:rsidRDefault="00A46727" w:rsidP="007D4C48">
      <w:pPr>
        <w:pStyle w:val="F9-Paragraph"/>
      </w:pPr>
      <w:r>
        <w:t xml:space="preserve">The nuclear industry </w:t>
      </w:r>
      <w:hyperlink r:id="rId20" w:history="1">
        <w:r w:rsidRPr="00434818">
          <w:rPr>
            <w:rStyle w:val="Hyperlink"/>
          </w:rPr>
          <w:t>Safety Directors’ Forum</w:t>
        </w:r>
      </w:hyperlink>
      <w:r w:rsidR="00434818">
        <w:t xml:space="preserve"> </w:t>
      </w:r>
      <w:r w:rsidR="005F01F0">
        <w:t xml:space="preserve">(SDF) </w:t>
      </w:r>
      <w:r>
        <w:t xml:space="preserve">has also published </w:t>
      </w:r>
      <w:r w:rsidR="00F03BF9">
        <w:t>three guides relevant to organisational capability</w:t>
      </w:r>
      <w:r w:rsidR="002909D4">
        <w:t xml:space="preserve"> </w:t>
      </w:r>
      <w:r w:rsidR="0019150C">
        <w:t>(</w:t>
      </w:r>
      <w:r w:rsidR="005F01F0">
        <w:t>r</w:t>
      </w:r>
      <w:r w:rsidR="0019150C">
        <w:t>ef</w:t>
      </w:r>
      <w:r w:rsidR="00F03BF9">
        <w:t>s</w:t>
      </w:r>
      <w:r w:rsidR="0019150C">
        <w:t xml:space="preserve">. </w:t>
      </w:r>
      <w:sdt>
        <w:sdtPr>
          <w:id w:val="2041627028"/>
          <w:citation/>
        </w:sdtPr>
        <w:sdtEndPr/>
        <w:sdtContent>
          <w:r w:rsidR="0019150C">
            <w:fldChar w:fldCharType="begin"/>
          </w:r>
          <w:r w:rsidR="0019150C">
            <w:instrText xml:space="preserve"> CITATION SDF17 \l 2057 </w:instrText>
          </w:r>
          <w:r w:rsidR="0019150C">
            <w:fldChar w:fldCharType="separate"/>
          </w:r>
          <w:r w:rsidR="00166CB3">
            <w:rPr>
              <w:noProof/>
            </w:rPr>
            <w:t>[4]</w:t>
          </w:r>
          <w:r w:rsidR="0019150C">
            <w:fldChar w:fldCharType="end"/>
          </w:r>
        </w:sdtContent>
      </w:sdt>
      <w:r w:rsidR="003A1139">
        <w:t>,</w:t>
      </w:r>
      <w:r w:rsidR="00F03BF9">
        <w:t xml:space="preserve"> </w:t>
      </w:r>
      <w:sdt>
        <w:sdtPr>
          <w:id w:val="145952771"/>
          <w:citation/>
        </w:sdtPr>
        <w:sdtEndPr/>
        <w:sdtContent>
          <w:r w:rsidR="00FE1DB4">
            <w:fldChar w:fldCharType="begin"/>
          </w:r>
          <w:r w:rsidR="00FE1DB4">
            <w:instrText xml:space="preserve"> CITATION SDF18 \l 2057 </w:instrText>
          </w:r>
          <w:r w:rsidR="00FE1DB4">
            <w:fldChar w:fldCharType="separate"/>
          </w:r>
          <w:r w:rsidR="00166CB3">
            <w:rPr>
              <w:noProof/>
            </w:rPr>
            <w:t>[5]</w:t>
          </w:r>
          <w:r w:rsidR="00FE1DB4">
            <w:fldChar w:fldCharType="end"/>
          </w:r>
        </w:sdtContent>
      </w:sdt>
      <w:r w:rsidR="00F03BF9">
        <w:t xml:space="preserve"> and</w:t>
      </w:r>
      <w:r w:rsidR="00A5503C">
        <w:t xml:space="preserve"> </w:t>
      </w:r>
      <w:sdt>
        <w:sdtPr>
          <w:id w:val="351470512"/>
          <w:citation/>
        </w:sdtPr>
        <w:sdtEndPr/>
        <w:sdtContent>
          <w:r w:rsidR="00A5503C">
            <w:fldChar w:fldCharType="begin"/>
          </w:r>
          <w:r w:rsidR="00A5503C">
            <w:instrText xml:space="preserve"> CITATION SDF20 \l 2057 </w:instrText>
          </w:r>
          <w:r w:rsidR="00A5503C">
            <w:fldChar w:fldCharType="separate"/>
          </w:r>
          <w:r w:rsidR="00166CB3">
            <w:rPr>
              <w:noProof/>
            </w:rPr>
            <w:t>[6]</w:t>
          </w:r>
          <w:r w:rsidR="00A5503C">
            <w:fldChar w:fldCharType="end"/>
          </w:r>
        </w:sdtContent>
      </w:sdt>
      <w:r w:rsidR="00A5503C">
        <w:t>)</w:t>
      </w:r>
      <w:r>
        <w:t>.</w:t>
      </w:r>
      <w:r w:rsidR="00317A5F">
        <w:t xml:space="preserve"> </w:t>
      </w:r>
      <w:r w:rsidR="005F01F0">
        <w:br/>
      </w:r>
      <w:r w:rsidR="00C05772">
        <w:t>ONR considers the SDF guides to be consistent with th</w:t>
      </w:r>
      <w:r w:rsidR="0015457A">
        <w:t>e</w:t>
      </w:r>
      <w:r w:rsidR="00C05772">
        <w:t xml:space="preserve"> guidance</w:t>
      </w:r>
      <w:r w:rsidR="0015457A">
        <w:t xml:space="preserve"> in this TAG.</w:t>
      </w:r>
    </w:p>
    <w:p w14:paraId="35AF93E1" w14:textId="77777777" w:rsidR="00F03BF9" w:rsidRPr="004F4435" w:rsidRDefault="00F03BF9" w:rsidP="007D4C48">
      <w:pPr>
        <w:pStyle w:val="F9-Paragraph"/>
        <w:rPr>
          <w:lang w:val="en"/>
        </w:rPr>
      </w:pPr>
      <w:r w:rsidRPr="004F4435">
        <w:rPr>
          <w:lang w:val="en"/>
        </w:rPr>
        <w:t>The following definitions are applicable to this assessment guide:</w:t>
      </w:r>
    </w:p>
    <w:p w14:paraId="2BC90192" w14:textId="1773408D" w:rsidR="00F03BF9" w:rsidRPr="002E66C4" w:rsidRDefault="00F03BF9" w:rsidP="00F03BF9">
      <w:pPr>
        <w:pStyle w:val="TableFigureCaptions"/>
      </w:pPr>
      <w:r w:rsidRPr="002E66C4">
        <w:t xml:space="preserve">Table </w:t>
      </w:r>
      <w:r w:rsidR="00F2428A">
        <w:fldChar w:fldCharType="begin"/>
      </w:r>
      <w:r w:rsidR="00F2428A">
        <w:instrText xml:space="preserve"> SEQ Table \* ARABIC </w:instrText>
      </w:r>
      <w:r w:rsidR="00F2428A">
        <w:fldChar w:fldCharType="separate"/>
      </w:r>
      <w:r>
        <w:rPr>
          <w:noProof/>
        </w:rPr>
        <w:t>1</w:t>
      </w:r>
      <w:r w:rsidR="00F2428A">
        <w:rPr>
          <w:noProof/>
        </w:rPr>
        <w:fldChar w:fldCharType="end"/>
      </w:r>
      <w:r>
        <w:rPr>
          <w:noProof/>
        </w:rPr>
        <w:t xml:space="preserve"> -</w:t>
      </w:r>
      <w:r w:rsidRPr="002E66C4">
        <w:t xml:space="preserve"> Table of </w:t>
      </w:r>
      <w:r w:rsidR="005F01F0">
        <w:t>d</w:t>
      </w:r>
      <w:r w:rsidRPr="002E66C4">
        <w:t>efinitions</w:t>
      </w:r>
    </w:p>
    <w:tbl>
      <w:tblPr>
        <w:tblStyle w:val="ONRTable1"/>
        <w:tblW w:w="5000" w:type="pct"/>
        <w:tblInd w:w="5" w:type="dxa"/>
        <w:tblLook w:val="04A0" w:firstRow="1" w:lastRow="0" w:firstColumn="1" w:lastColumn="0" w:noHBand="0" w:noVBand="1"/>
      </w:tblPr>
      <w:tblGrid>
        <w:gridCol w:w="2819"/>
        <w:gridCol w:w="6207"/>
      </w:tblGrid>
      <w:tr w:rsidR="00434818" w:rsidRPr="005F01F0" w14:paraId="110F4ED3" w14:textId="77777777" w:rsidTr="00434818">
        <w:trPr>
          <w:cnfStyle w:val="100000000000" w:firstRow="1" w:lastRow="0" w:firstColumn="0" w:lastColumn="0" w:oddVBand="0" w:evenVBand="0" w:oddHBand="0" w:evenHBand="0" w:firstRowFirstColumn="0" w:firstRowLastColumn="0" w:lastRowFirstColumn="0" w:lastRowLastColumn="0"/>
          <w:cantSplit/>
          <w:tblHeader/>
        </w:trPr>
        <w:tc>
          <w:tcPr>
            <w:tcW w:w="1132" w:type="pct"/>
          </w:tcPr>
          <w:p w14:paraId="594E07EB" w14:textId="4F8A7645" w:rsidR="00F03BF9" w:rsidRPr="005F01F0" w:rsidRDefault="00F03BF9" w:rsidP="0067694F">
            <w:pPr>
              <w:spacing w:before="60" w:after="60" w:line="240" w:lineRule="auto"/>
              <w:rPr>
                <w:b w:val="0"/>
                <w:szCs w:val="24"/>
              </w:rPr>
            </w:pPr>
            <w:r w:rsidRPr="005F01F0">
              <w:rPr>
                <w:b w:val="0"/>
                <w:szCs w:val="24"/>
              </w:rPr>
              <w:t>Term/</w:t>
            </w:r>
            <w:r w:rsidR="005F01F0" w:rsidRPr="005F01F0">
              <w:rPr>
                <w:b w:val="0"/>
                <w:szCs w:val="24"/>
              </w:rPr>
              <w:t>a</w:t>
            </w:r>
            <w:r w:rsidRPr="005F01F0">
              <w:rPr>
                <w:b w:val="0"/>
                <w:szCs w:val="24"/>
              </w:rPr>
              <w:t>cronym</w:t>
            </w:r>
          </w:p>
        </w:tc>
        <w:tc>
          <w:tcPr>
            <w:tcW w:w="3868" w:type="pct"/>
          </w:tcPr>
          <w:p w14:paraId="21929FF5" w14:textId="77777777" w:rsidR="00F03BF9" w:rsidRPr="005F01F0" w:rsidRDefault="00F03BF9" w:rsidP="0067694F">
            <w:pPr>
              <w:spacing w:before="60" w:after="60" w:line="240" w:lineRule="auto"/>
              <w:rPr>
                <w:b w:val="0"/>
                <w:szCs w:val="24"/>
              </w:rPr>
            </w:pPr>
            <w:r w:rsidRPr="005F01F0">
              <w:rPr>
                <w:b w:val="0"/>
                <w:szCs w:val="24"/>
              </w:rPr>
              <w:t>Description</w:t>
            </w:r>
          </w:p>
        </w:tc>
      </w:tr>
      <w:tr w:rsidR="00F03BF9" w:rsidRPr="008654D4" w14:paraId="60B63CC6" w14:textId="77777777" w:rsidTr="00434818">
        <w:trPr>
          <w:cantSplit/>
        </w:trPr>
        <w:tc>
          <w:tcPr>
            <w:tcW w:w="1132" w:type="pct"/>
          </w:tcPr>
          <w:p w14:paraId="237B4C65" w14:textId="77777777" w:rsidR="00F03BF9" w:rsidRPr="004F4435" w:rsidRDefault="00F03BF9" w:rsidP="004F4435">
            <w:pPr>
              <w:pStyle w:val="Bullet"/>
              <w:numPr>
                <w:ilvl w:val="0"/>
                <w:numId w:val="0"/>
              </w:numPr>
              <w:contextualSpacing/>
              <w:rPr>
                <w:color w:val="000000" w:themeColor="text1"/>
                <w:sz w:val="22"/>
              </w:rPr>
            </w:pPr>
            <w:r w:rsidRPr="004F4435">
              <w:rPr>
                <w:color w:val="000000" w:themeColor="text1"/>
                <w:sz w:val="22"/>
                <w:szCs w:val="22"/>
              </w:rPr>
              <w:t>Contractor</w:t>
            </w:r>
          </w:p>
        </w:tc>
        <w:tc>
          <w:tcPr>
            <w:tcW w:w="3868" w:type="pct"/>
          </w:tcPr>
          <w:p w14:paraId="3181EEE3" w14:textId="6559C9EE" w:rsidR="00F03BF9" w:rsidRPr="004F4435" w:rsidRDefault="00D73206" w:rsidP="004F4435">
            <w:pPr>
              <w:pStyle w:val="Bullet"/>
              <w:numPr>
                <w:ilvl w:val="0"/>
                <w:numId w:val="0"/>
              </w:numPr>
              <w:rPr>
                <w:color w:val="000000" w:themeColor="text1"/>
                <w:sz w:val="22"/>
              </w:rPr>
            </w:pPr>
            <w:r>
              <w:rPr>
                <w:sz w:val="22"/>
                <w:szCs w:val="22"/>
              </w:rPr>
              <w:t>A</w:t>
            </w:r>
            <w:r w:rsidRPr="00DC060C">
              <w:rPr>
                <w:sz w:val="22"/>
                <w:szCs w:val="22"/>
              </w:rPr>
              <w:t xml:space="preserve">ny organisation or individual person that provides a product or service for a licensee under a commercial contract that is: not in the licensee’s direct employment or formally seconded to the licensee from the licensee’s parent company, are subject to licensee's </w:t>
            </w:r>
            <w:r w:rsidR="005F01F0" w:rsidRPr="00F27195">
              <w:rPr>
                <w:rFonts w:eastAsiaTheme="minorHAnsi" w:cstheme="minorBidi"/>
                <w:bCs/>
                <w:sz w:val="22"/>
              </w:rPr>
              <w:t xml:space="preserve">Intelligent Customer </w:t>
            </w:r>
            <w:r w:rsidRPr="00DC060C">
              <w:rPr>
                <w:sz w:val="22"/>
                <w:szCs w:val="22"/>
              </w:rPr>
              <w:t>oversight and are employed by companies external to the licensee/licensee's parent company</w:t>
            </w:r>
            <w:r>
              <w:rPr>
                <w:sz w:val="22"/>
                <w:szCs w:val="22"/>
              </w:rPr>
              <w:t xml:space="preserve">. </w:t>
            </w:r>
          </w:p>
        </w:tc>
      </w:tr>
      <w:tr w:rsidR="00F03BF9" w:rsidRPr="008654D4" w14:paraId="44497174" w14:textId="77777777" w:rsidTr="00434818">
        <w:trPr>
          <w:cantSplit/>
        </w:trPr>
        <w:tc>
          <w:tcPr>
            <w:tcW w:w="1132" w:type="pct"/>
          </w:tcPr>
          <w:p w14:paraId="4A466E9E" w14:textId="779E45D7" w:rsidR="00F03BF9" w:rsidRPr="004F4435" w:rsidRDefault="00F03BF9" w:rsidP="004F4435">
            <w:pPr>
              <w:pStyle w:val="Bullet"/>
              <w:numPr>
                <w:ilvl w:val="0"/>
                <w:numId w:val="0"/>
              </w:numPr>
              <w:contextualSpacing/>
              <w:rPr>
                <w:color w:val="000000" w:themeColor="text1"/>
                <w:sz w:val="22"/>
              </w:rPr>
            </w:pPr>
            <w:r w:rsidRPr="004F4435">
              <w:rPr>
                <w:color w:val="000000" w:themeColor="text1"/>
                <w:sz w:val="22"/>
                <w:szCs w:val="22"/>
              </w:rPr>
              <w:lastRenderedPageBreak/>
              <w:t xml:space="preserve">Core </w:t>
            </w:r>
            <w:r w:rsidR="005F01F0">
              <w:rPr>
                <w:color w:val="000000" w:themeColor="text1"/>
                <w:sz w:val="22"/>
                <w:szCs w:val="22"/>
              </w:rPr>
              <w:t>s</w:t>
            </w:r>
            <w:r w:rsidRPr="004F4435">
              <w:rPr>
                <w:color w:val="000000" w:themeColor="text1"/>
                <w:sz w:val="22"/>
                <w:szCs w:val="22"/>
              </w:rPr>
              <w:t xml:space="preserve">afety </w:t>
            </w:r>
            <w:r w:rsidR="005F01F0">
              <w:rPr>
                <w:color w:val="000000" w:themeColor="text1"/>
                <w:sz w:val="22"/>
                <w:szCs w:val="22"/>
              </w:rPr>
              <w:t>c</w:t>
            </w:r>
            <w:r w:rsidRPr="004F4435">
              <w:rPr>
                <w:color w:val="000000" w:themeColor="text1"/>
                <w:sz w:val="22"/>
                <w:szCs w:val="22"/>
              </w:rPr>
              <w:t>apability</w:t>
            </w:r>
          </w:p>
        </w:tc>
        <w:tc>
          <w:tcPr>
            <w:tcW w:w="3868" w:type="pct"/>
          </w:tcPr>
          <w:p w14:paraId="4E9E59DE" w14:textId="4C094AE9" w:rsidR="00D73206" w:rsidRPr="00F27195" w:rsidRDefault="00D73206" w:rsidP="00D73206">
            <w:pPr>
              <w:spacing w:before="60" w:after="60" w:line="240" w:lineRule="auto"/>
              <w:rPr>
                <w:bCs/>
                <w:sz w:val="22"/>
              </w:rPr>
            </w:pPr>
            <w:r w:rsidRPr="00F27195">
              <w:rPr>
                <w:bCs/>
                <w:sz w:val="22"/>
              </w:rPr>
              <w:t xml:space="preserve">This capability is a subset of the Nuclear Baseline </w:t>
            </w:r>
            <w:r w:rsidR="005F01F0">
              <w:rPr>
                <w:bCs/>
                <w:sz w:val="22"/>
              </w:rPr>
              <w:t xml:space="preserve">(NB) </w:t>
            </w:r>
            <w:r w:rsidRPr="00F27195">
              <w:rPr>
                <w:bCs/>
                <w:sz w:val="22"/>
              </w:rPr>
              <w:t xml:space="preserve">and should reside within the licensee organisation, but does not necessarily require direct employment by the licensee organisation </w:t>
            </w:r>
            <w:r w:rsidR="005F01F0">
              <w:rPr>
                <w:bCs/>
                <w:sz w:val="22"/>
              </w:rPr>
              <w:t>(for example,</w:t>
            </w:r>
            <w:r w:rsidRPr="00F27195">
              <w:rPr>
                <w:bCs/>
                <w:sz w:val="22"/>
              </w:rPr>
              <w:t xml:space="preserve"> embedded contractors</w:t>
            </w:r>
            <w:r w:rsidR="005F01F0">
              <w:rPr>
                <w:bCs/>
                <w:sz w:val="22"/>
              </w:rPr>
              <w:t>)</w:t>
            </w:r>
            <w:r w:rsidRPr="00F27195">
              <w:rPr>
                <w:bCs/>
                <w:sz w:val="22"/>
              </w:rPr>
              <w:t>.</w:t>
            </w:r>
          </w:p>
          <w:p w14:paraId="2BEA7344" w14:textId="080ABFCC" w:rsidR="00D73206" w:rsidRPr="00F27195" w:rsidRDefault="00D73206" w:rsidP="00D73206">
            <w:pPr>
              <w:spacing w:before="60" w:after="60" w:line="240" w:lineRule="auto"/>
              <w:rPr>
                <w:bCs/>
                <w:sz w:val="22"/>
              </w:rPr>
            </w:pPr>
            <w:r w:rsidRPr="00F27195">
              <w:rPr>
                <w:bCs/>
                <w:sz w:val="22"/>
              </w:rPr>
              <w:t xml:space="preserve">Core </w:t>
            </w:r>
            <w:r w:rsidR="005F01F0">
              <w:rPr>
                <w:bCs/>
                <w:sz w:val="22"/>
              </w:rPr>
              <w:t>s</w:t>
            </w:r>
            <w:r w:rsidRPr="00F27195">
              <w:rPr>
                <w:bCs/>
                <w:sz w:val="22"/>
              </w:rPr>
              <w:t xml:space="preserve">afety </w:t>
            </w:r>
            <w:r w:rsidR="005F01F0">
              <w:rPr>
                <w:bCs/>
                <w:sz w:val="22"/>
              </w:rPr>
              <w:t>c</w:t>
            </w:r>
            <w:r w:rsidRPr="00F27195">
              <w:rPr>
                <w:bCs/>
                <w:sz w:val="22"/>
              </w:rPr>
              <w:t xml:space="preserve">apability is the knowledge, experience and resources that the licensee should maintain within its own organisation in order to be able to ensure enduring control and oversight </w:t>
            </w:r>
            <w:r w:rsidR="0015457A">
              <w:rPr>
                <w:bCs/>
                <w:sz w:val="22"/>
              </w:rPr>
              <w:t xml:space="preserve">of nuclear </w:t>
            </w:r>
            <w:r w:rsidRPr="00F27195">
              <w:rPr>
                <w:bCs/>
                <w:sz w:val="22"/>
              </w:rPr>
              <w:t>safety at all times.</w:t>
            </w:r>
          </w:p>
          <w:p w14:paraId="0B0E7274" w14:textId="54943D93" w:rsidR="00F03BF9" w:rsidRPr="004F4435" w:rsidDel="004D7DEF" w:rsidRDefault="00D73206" w:rsidP="00D73206">
            <w:pPr>
              <w:pStyle w:val="Bullet"/>
              <w:numPr>
                <w:ilvl w:val="0"/>
                <w:numId w:val="0"/>
              </w:numPr>
              <w:rPr>
                <w:bCs/>
                <w:color w:val="000000" w:themeColor="text1"/>
                <w:sz w:val="22"/>
              </w:rPr>
            </w:pPr>
            <w:r w:rsidRPr="00F27195">
              <w:rPr>
                <w:rFonts w:eastAsiaTheme="minorHAnsi" w:cstheme="minorBidi"/>
                <w:bCs/>
                <w:sz w:val="22"/>
              </w:rPr>
              <w:t xml:space="preserve">The licensee’s ‘Intelligent Customer’ </w:t>
            </w:r>
            <w:r w:rsidR="005F01F0">
              <w:rPr>
                <w:rFonts w:eastAsiaTheme="minorHAnsi" w:cstheme="minorBidi"/>
                <w:bCs/>
                <w:sz w:val="22"/>
              </w:rPr>
              <w:t xml:space="preserve">(IC) </w:t>
            </w:r>
            <w:r w:rsidRPr="00F27195">
              <w:rPr>
                <w:rFonts w:eastAsiaTheme="minorHAnsi" w:cstheme="minorBidi"/>
                <w:bCs/>
                <w:sz w:val="22"/>
              </w:rPr>
              <w:t>and ‘Design Authority’ (DA) functions should form part of the core safety capability.</w:t>
            </w:r>
          </w:p>
        </w:tc>
      </w:tr>
      <w:tr w:rsidR="00A676FC" w:rsidRPr="00A676FC" w14:paraId="1B637960" w14:textId="77777777" w:rsidTr="00434818">
        <w:trPr>
          <w:cantSplit/>
        </w:trPr>
        <w:tc>
          <w:tcPr>
            <w:tcW w:w="1132" w:type="pct"/>
          </w:tcPr>
          <w:p w14:paraId="7093D62F" w14:textId="3CDAB7EF" w:rsidR="00624429" w:rsidRPr="00A676FC" w:rsidRDefault="00624429" w:rsidP="004F4435">
            <w:pPr>
              <w:pStyle w:val="Bullet"/>
              <w:numPr>
                <w:ilvl w:val="0"/>
                <w:numId w:val="0"/>
              </w:numPr>
              <w:contextualSpacing/>
              <w:rPr>
                <w:sz w:val="22"/>
                <w:szCs w:val="22"/>
              </w:rPr>
            </w:pPr>
            <w:r w:rsidRPr="00A676FC">
              <w:rPr>
                <w:sz w:val="22"/>
                <w:szCs w:val="22"/>
              </w:rPr>
              <w:t>Implementation</w:t>
            </w:r>
            <w:r w:rsidR="005609E9">
              <w:rPr>
                <w:sz w:val="22"/>
                <w:szCs w:val="22"/>
              </w:rPr>
              <w:t>/</w:t>
            </w:r>
            <w:r w:rsidR="005F01F0">
              <w:rPr>
                <w:sz w:val="22"/>
                <w:szCs w:val="22"/>
              </w:rPr>
              <w:t>e</w:t>
            </w:r>
            <w:r w:rsidRPr="00A676FC">
              <w:rPr>
                <w:sz w:val="22"/>
                <w:szCs w:val="22"/>
              </w:rPr>
              <w:t>nact</w:t>
            </w:r>
            <w:r w:rsidR="001B7697" w:rsidRPr="00A676FC">
              <w:rPr>
                <w:sz w:val="22"/>
                <w:szCs w:val="22"/>
              </w:rPr>
              <w:t xml:space="preserve">ment </w:t>
            </w:r>
            <w:r w:rsidR="005F01F0">
              <w:rPr>
                <w:sz w:val="22"/>
                <w:szCs w:val="22"/>
              </w:rPr>
              <w:t xml:space="preserve">a </w:t>
            </w:r>
            <w:r w:rsidR="005609E9">
              <w:rPr>
                <w:sz w:val="22"/>
                <w:szCs w:val="22"/>
              </w:rPr>
              <w:t xml:space="preserve">management of change </w:t>
            </w:r>
            <w:r w:rsidR="001B7697" w:rsidRPr="00A676FC">
              <w:rPr>
                <w:sz w:val="22"/>
                <w:szCs w:val="22"/>
              </w:rPr>
              <w:t xml:space="preserve">(MoC) </w:t>
            </w:r>
            <w:r w:rsidR="005F01F0">
              <w:rPr>
                <w:sz w:val="22"/>
                <w:szCs w:val="22"/>
              </w:rPr>
              <w:t>p</w:t>
            </w:r>
            <w:r w:rsidR="001B7697" w:rsidRPr="00A676FC">
              <w:rPr>
                <w:sz w:val="22"/>
                <w:szCs w:val="22"/>
              </w:rPr>
              <w:t>roposal</w:t>
            </w:r>
          </w:p>
        </w:tc>
        <w:tc>
          <w:tcPr>
            <w:tcW w:w="3868" w:type="pct"/>
          </w:tcPr>
          <w:p w14:paraId="78F8736F" w14:textId="77777777" w:rsidR="00A92899" w:rsidRPr="00A676FC" w:rsidRDefault="00A92899" w:rsidP="00A92899">
            <w:pPr>
              <w:pStyle w:val="Bullet"/>
              <w:numPr>
                <w:ilvl w:val="0"/>
                <w:numId w:val="0"/>
              </w:numPr>
              <w:rPr>
                <w:rFonts w:asciiTheme="minorHAnsi" w:hAnsiTheme="minorHAnsi" w:cstheme="minorHAnsi"/>
                <w:sz w:val="22"/>
                <w:szCs w:val="22"/>
              </w:rPr>
            </w:pPr>
            <w:r w:rsidRPr="00A676FC">
              <w:rPr>
                <w:rFonts w:asciiTheme="minorHAnsi" w:hAnsiTheme="minorHAnsi" w:cstheme="minorHAnsi"/>
                <w:sz w:val="22"/>
                <w:szCs w:val="22"/>
              </w:rPr>
              <w:t>Generally referred to as an MoC, an implementation (or enactment) MoC proposal provides the:</w:t>
            </w:r>
          </w:p>
          <w:p w14:paraId="6E716208" w14:textId="77777777" w:rsidR="00A92899" w:rsidRPr="00A676FC" w:rsidRDefault="00A92899" w:rsidP="00576102">
            <w:pPr>
              <w:pStyle w:val="Bullet"/>
              <w:numPr>
                <w:ilvl w:val="0"/>
                <w:numId w:val="11"/>
              </w:numPr>
              <w:ind w:left="714" w:hanging="357"/>
              <w:contextualSpacing/>
              <w:rPr>
                <w:rFonts w:asciiTheme="minorHAnsi" w:hAnsiTheme="minorHAnsi" w:cstheme="minorHAnsi"/>
                <w:sz w:val="22"/>
                <w:szCs w:val="22"/>
              </w:rPr>
            </w:pPr>
            <w:r w:rsidRPr="00A676FC">
              <w:rPr>
                <w:rFonts w:asciiTheme="minorHAnsi" w:hAnsiTheme="minorHAnsi" w:cstheme="minorHAnsi"/>
                <w:sz w:val="22"/>
                <w:szCs w:val="22"/>
              </w:rPr>
              <w:t>Detailed description of the change, associated risks and categorisation;</w:t>
            </w:r>
          </w:p>
          <w:p w14:paraId="0F7F5DF6" w14:textId="54FA4779" w:rsidR="00A92899" w:rsidRPr="00A676FC" w:rsidRDefault="00A92899" w:rsidP="00576102">
            <w:pPr>
              <w:pStyle w:val="Bullet"/>
              <w:numPr>
                <w:ilvl w:val="0"/>
                <w:numId w:val="11"/>
              </w:numPr>
              <w:ind w:left="714" w:hanging="357"/>
              <w:contextualSpacing/>
              <w:rPr>
                <w:rFonts w:asciiTheme="minorHAnsi" w:hAnsiTheme="minorHAnsi" w:cstheme="minorHAnsi"/>
                <w:sz w:val="22"/>
                <w:szCs w:val="22"/>
              </w:rPr>
            </w:pPr>
            <w:r w:rsidRPr="00A676FC">
              <w:rPr>
                <w:rFonts w:asciiTheme="minorHAnsi" w:hAnsiTheme="minorHAnsi" w:cstheme="minorHAnsi"/>
                <w:sz w:val="22"/>
                <w:szCs w:val="22"/>
              </w:rPr>
              <w:t>Implementation plan and control measures to enact change safely</w:t>
            </w:r>
            <w:r w:rsidR="00206B43">
              <w:rPr>
                <w:rFonts w:asciiTheme="minorHAnsi" w:hAnsiTheme="minorHAnsi" w:cstheme="minorHAnsi"/>
                <w:sz w:val="22"/>
                <w:szCs w:val="22"/>
              </w:rPr>
              <w:t xml:space="preserve"> and effectively</w:t>
            </w:r>
            <w:r w:rsidRPr="00A676FC">
              <w:rPr>
                <w:rFonts w:asciiTheme="minorHAnsi" w:hAnsiTheme="minorHAnsi" w:cstheme="minorHAnsi"/>
                <w:sz w:val="22"/>
                <w:szCs w:val="22"/>
              </w:rPr>
              <w:t>;</w:t>
            </w:r>
          </w:p>
          <w:p w14:paraId="728CB75E" w14:textId="7462DB2E" w:rsidR="00624429" w:rsidRPr="00A676FC" w:rsidRDefault="00A92899" w:rsidP="00576102">
            <w:pPr>
              <w:pStyle w:val="Bullet"/>
              <w:numPr>
                <w:ilvl w:val="0"/>
                <w:numId w:val="11"/>
              </w:numPr>
              <w:ind w:left="714" w:hanging="357"/>
              <w:contextualSpacing/>
              <w:rPr>
                <w:rFonts w:asciiTheme="minorBidi" w:hAnsiTheme="minorBidi" w:cstheme="minorBidi"/>
                <w:sz w:val="20"/>
                <w:szCs w:val="20"/>
              </w:rPr>
            </w:pPr>
            <w:r w:rsidRPr="00A676FC">
              <w:rPr>
                <w:rFonts w:asciiTheme="minorHAnsi" w:hAnsiTheme="minorHAnsi" w:cstheme="minorHAnsi"/>
                <w:sz w:val="22"/>
                <w:szCs w:val="22"/>
              </w:rPr>
              <w:t>Approach to post implementation evaluation</w:t>
            </w:r>
          </w:p>
        </w:tc>
      </w:tr>
      <w:tr w:rsidR="00F03BF9" w:rsidRPr="008654D4" w14:paraId="7E8724DE" w14:textId="77777777" w:rsidTr="00434818">
        <w:trPr>
          <w:cantSplit/>
        </w:trPr>
        <w:tc>
          <w:tcPr>
            <w:tcW w:w="1132" w:type="pct"/>
          </w:tcPr>
          <w:p w14:paraId="6749AF00" w14:textId="5DBC9EDD" w:rsidR="00F03BF9" w:rsidRPr="004F4435" w:rsidRDefault="00F03BF9" w:rsidP="004F4435">
            <w:pPr>
              <w:pStyle w:val="Bullet"/>
              <w:numPr>
                <w:ilvl w:val="0"/>
                <w:numId w:val="0"/>
              </w:numPr>
              <w:contextualSpacing/>
              <w:rPr>
                <w:color w:val="000000" w:themeColor="text1"/>
                <w:sz w:val="22"/>
              </w:rPr>
            </w:pPr>
            <w:r w:rsidRPr="004F4435">
              <w:rPr>
                <w:color w:val="000000" w:themeColor="text1"/>
                <w:sz w:val="22"/>
                <w:szCs w:val="22"/>
              </w:rPr>
              <w:t>Intelligent Customer</w:t>
            </w:r>
            <w:r w:rsidR="005F01F0">
              <w:rPr>
                <w:color w:val="000000" w:themeColor="text1"/>
                <w:sz w:val="22"/>
                <w:szCs w:val="22"/>
              </w:rPr>
              <w:t xml:space="preserve"> (IC)</w:t>
            </w:r>
          </w:p>
        </w:tc>
        <w:tc>
          <w:tcPr>
            <w:tcW w:w="3868" w:type="pct"/>
          </w:tcPr>
          <w:p w14:paraId="54374ACC" w14:textId="77777777" w:rsidR="00100CF8" w:rsidRPr="00100CF8" w:rsidRDefault="00100CF8" w:rsidP="00E54479">
            <w:pPr>
              <w:pStyle w:val="Bullet"/>
              <w:numPr>
                <w:ilvl w:val="0"/>
                <w:numId w:val="0"/>
              </w:numPr>
              <w:rPr>
                <w:color w:val="000000" w:themeColor="text1"/>
                <w:sz w:val="22"/>
                <w:szCs w:val="22"/>
              </w:rPr>
            </w:pPr>
            <w:r w:rsidRPr="00100CF8">
              <w:rPr>
                <w:color w:val="000000" w:themeColor="text1"/>
                <w:sz w:val="22"/>
                <w:szCs w:val="22"/>
              </w:rPr>
              <w:t xml:space="preserve">IC enables the organisation to maintain a clear line of sight to the safety case and underpinning justification for products or services bought on its behalf. </w:t>
            </w:r>
          </w:p>
          <w:p w14:paraId="5AE0D639" w14:textId="24ACF909" w:rsidR="00F03BF9" w:rsidRPr="004F4435" w:rsidRDefault="00100CF8" w:rsidP="00E54479">
            <w:pPr>
              <w:pStyle w:val="Bullet"/>
              <w:numPr>
                <w:ilvl w:val="0"/>
                <w:numId w:val="0"/>
              </w:numPr>
              <w:rPr>
                <w:color w:val="000000" w:themeColor="text1"/>
                <w:sz w:val="22"/>
              </w:rPr>
            </w:pPr>
            <w:r w:rsidRPr="00100CF8">
              <w:rPr>
                <w:color w:val="000000" w:themeColor="text1"/>
                <w:sz w:val="22"/>
                <w:szCs w:val="22"/>
              </w:rPr>
              <w:t xml:space="preserve">IC is the capability of an organisation to understand where and when work is needed; specify what needs to be done; understand and set suitable standards; supervise and control the work; and review, evaluate and accept the work carried out on its behalf; and own the outputs. </w:t>
            </w:r>
          </w:p>
        </w:tc>
      </w:tr>
      <w:tr w:rsidR="00F03BF9" w:rsidRPr="008654D4" w14:paraId="3ECE5553" w14:textId="77777777" w:rsidTr="00434818">
        <w:trPr>
          <w:cantSplit/>
        </w:trPr>
        <w:tc>
          <w:tcPr>
            <w:tcW w:w="1132" w:type="pct"/>
          </w:tcPr>
          <w:p w14:paraId="219E4286" w14:textId="2B83386F" w:rsidR="00F03BF9" w:rsidRPr="004F4435" w:rsidRDefault="00F03BF9" w:rsidP="004F4435">
            <w:pPr>
              <w:pStyle w:val="Bullet"/>
              <w:numPr>
                <w:ilvl w:val="0"/>
                <w:numId w:val="0"/>
              </w:numPr>
              <w:contextualSpacing/>
              <w:rPr>
                <w:color w:val="000000" w:themeColor="text1"/>
                <w:sz w:val="22"/>
              </w:rPr>
            </w:pPr>
            <w:r w:rsidRPr="004F4435">
              <w:rPr>
                <w:color w:val="000000" w:themeColor="text1"/>
                <w:sz w:val="22"/>
                <w:szCs w:val="22"/>
              </w:rPr>
              <w:t>Nuclear Baseline</w:t>
            </w:r>
            <w:r w:rsidR="005F01F0">
              <w:rPr>
                <w:color w:val="000000" w:themeColor="text1"/>
                <w:sz w:val="22"/>
                <w:szCs w:val="22"/>
              </w:rPr>
              <w:t xml:space="preserve"> (NB)</w:t>
            </w:r>
          </w:p>
        </w:tc>
        <w:tc>
          <w:tcPr>
            <w:tcW w:w="3868" w:type="pct"/>
          </w:tcPr>
          <w:p w14:paraId="5172DE7D" w14:textId="7C413AD1" w:rsidR="00F03BF9" w:rsidRPr="004F4435" w:rsidRDefault="00256B5B" w:rsidP="00120147">
            <w:pPr>
              <w:pStyle w:val="Bullet"/>
              <w:numPr>
                <w:ilvl w:val="0"/>
                <w:numId w:val="0"/>
              </w:numPr>
              <w:tabs>
                <w:tab w:val="left" w:pos="3442"/>
              </w:tabs>
              <w:rPr>
                <w:color w:val="000000" w:themeColor="text1"/>
                <w:sz w:val="22"/>
              </w:rPr>
            </w:pPr>
            <w:r w:rsidRPr="00256B5B">
              <w:rPr>
                <w:color w:val="000000" w:themeColor="text1"/>
                <w:sz w:val="22"/>
                <w:szCs w:val="22"/>
              </w:rPr>
              <w:t>The Nuclear Baseline (NB) is the means by which the licensee demonstrates that its organisational structure, staffing and their competencies are, and remain, suitable and sufficient to manage nuclear safety throughout the full range of the licensee’s business.</w:t>
            </w:r>
            <w:r w:rsidR="005F01F0">
              <w:rPr>
                <w:color w:val="000000" w:themeColor="text1"/>
                <w:sz w:val="22"/>
                <w:szCs w:val="22"/>
              </w:rPr>
              <w:t xml:space="preserve"> </w:t>
            </w:r>
            <w:r w:rsidR="005F01F0">
              <w:rPr>
                <w:color w:val="000000" w:themeColor="text1"/>
                <w:sz w:val="22"/>
                <w:szCs w:val="22"/>
              </w:rPr>
              <w:br/>
            </w:r>
            <w:r w:rsidRPr="00256B5B">
              <w:rPr>
                <w:color w:val="000000" w:themeColor="text1"/>
                <w:sz w:val="22"/>
                <w:szCs w:val="22"/>
              </w:rPr>
              <w:t xml:space="preserve">It also provides the foundation from which organisational changes can be assessed in accordance with the licensee’s arrangements made under </w:t>
            </w:r>
            <w:r w:rsidR="005F01F0">
              <w:rPr>
                <w:color w:val="000000" w:themeColor="text1"/>
                <w:sz w:val="22"/>
                <w:szCs w:val="22"/>
              </w:rPr>
              <w:t>LC</w:t>
            </w:r>
            <w:r w:rsidRPr="00256B5B">
              <w:rPr>
                <w:color w:val="000000" w:themeColor="text1"/>
                <w:sz w:val="22"/>
                <w:szCs w:val="22"/>
              </w:rPr>
              <w:t xml:space="preserve"> 36. The nuclear baseline should contain all posts</w:t>
            </w:r>
            <w:r w:rsidR="005609E9">
              <w:rPr>
                <w:color w:val="000000" w:themeColor="text1"/>
                <w:sz w:val="22"/>
                <w:szCs w:val="22"/>
              </w:rPr>
              <w:t>/</w:t>
            </w:r>
            <w:r w:rsidRPr="00256B5B">
              <w:rPr>
                <w:color w:val="000000" w:themeColor="text1"/>
                <w:sz w:val="22"/>
                <w:szCs w:val="22"/>
              </w:rPr>
              <w:t>roles that could have a direct or indirect impact on nuclear safety, both immediate and latent</w:t>
            </w:r>
            <w:r w:rsidR="00120147">
              <w:rPr>
                <w:color w:val="000000" w:themeColor="text1"/>
                <w:sz w:val="22"/>
                <w:szCs w:val="22"/>
              </w:rPr>
              <w:t>.</w:t>
            </w:r>
          </w:p>
        </w:tc>
      </w:tr>
      <w:tr w:rsidR="00120147" w:rsidRPr="008654D4" w14:paraId="3C6C6A88" w14:textId="77777777" w:rsidTr="00434818">
        <w:trPr>
          <w:cantSplit/>
        </w:trPr>
        <w:tc>
          <w:tcPr>
            <w:tcW w:w="1132" w:type="pct"/>
          </w:tcPr>
          <w:p w14:paraId="693C8EFA" w14:textId="278A6131" w:rsidR="00120147" w:rsidRPr="004F4435" w:rsidRDefault="00120147" w:rsidP="004F4435">
            <w:pPr>
              <w:pStyle w:val="Bullet"/>
              <w:numPr>
                <w:ilvl w:val="0"/>
                <w:numId w:val="0"/>
              </w:numPr>
              <w:contextualSpacing/>
              <w:rPr>
                <w:color w:val="000000" w:themeColor="text1"/>
                <w:sz w:val="22"/>
                <w:szCs w:val="22"/>
              </w:rPr>
            </w:pPr>
            <w:r>
              <w:rPr>
                <w:color w:val="000000" w:themeColor="text1"/>
                <w:sz w:val="22"/>
                <w:szCs w:val="22"/>
              </w:rPr>
              <w:t xml:space="preserve">Nuclear </w:t>
            </w:r>
            <w:r w:rsidR="005F01F0">
              <w:rPr>
                <w:color w:val="000000" w:themeColor="text1"/>
                <w:sz w:val="22"/>
                <w:szCs w:val="22"/>
              </w:rPr>
              <w:t>s</w:t>
            </w:r>
            <w:r>
              <w:rPr>
                <w:color w:val="000000" w:themeColor="text1"/>
                <w:sz w:val="22"/>
                <w:szCs w:val="22"/>
              </w:rPr>
              <w:t>afety</w:t>
            </w:r>
          </w:p>
        </w:tc>
        <w:tc>
          <w:tcPr>
            <w:tcW w:w="3868" w:type="pct"/>
          </w:tcPr>
          <w:p w14:paraId="5345EB9B" w14:textId="24EDF5D0" w:rsidR="00120147" w:rsidRPr="00256B5B" w:rsidRDefault="00E15DB8" w:rsidP="00E15DB8">
            <w:pPr>
              <w:pStyle w:val="Bullet"/>
              <w:numPr>
                <w:ilvl w:val="0"/>
                <w:numId w:val="0"/>
              </w:numPr>
              <w:tabs>
                <w:tab w:val="left" w:pos="3442"/>
              </w:tabs>
              <w:ind w:left="-34"/>
              <w:rPr>
                <w:color w:val="000000" w:themeColor="text1"/>
                <w:sz w:val="22"/>
                <w:szCs w:val="22"/>
              </w:rPr>
            </w:pPr>
            <w:r w:rsidRPr="00E15DB8">
              <w:rPr>
                <w:color w:val="000000" w:themeColor="text1"/>
                <w:sz w:val="22"/>
                <w:szCs w:val="22"/>
              </w:rPr>
              <w:t>The achievement of proper operating conditions, prevention of accidents and mitigation of accident consequences, resulting in protection of workers, the public and the environment from undue radiation risks.</w:t>
            </w:r>
          </w:p>
        </w:tc>
      </w:tr>
      <w:tr w:rsidR="00F03BF9" w:rsidRPr="008654D4" w14:paraId="7692E730" w14:textId="77777777" w:rsidTr="00434818">
        <w:trPr>
          <w:cantSplit/>
        </w:trPr>
        <w:tc>
          <w:tcPr>
            <w:tcW w:w="1132" w:type="pct"/>
          </w:tcPr>
          <w:p w14:paraId="6B2E325B" w14:textId="59E48FEC" w:rsidR="00F03BF9" w:rsidRPr="004F4435" w:rsidRDefault="00F03BF9" w:rsidP="004F4435">
            <w:pPr>
              <w:pStyle w:val="Bullet"/>
              <w:numPr>
                <w:ilvl w:val="0"/>
                <w:numId w:val="0"/>
              </w:numPr>
              <w:contextualSpacing/>
              <w:rPr>
                <w:color w:val="000000" w:themeColor="text1"/>
                <w:sz w:val="22"/>
              </w:rPr>
            </w:pPr>
            <w:r w:rsidRPr="004F4435">
              <w:rPr>
                <w:color w:val="000000" w:themeColor="text1"/>
                <w:sz w:val="22"/>
                <w:szCs w:val="22"/>
              </w:rPr>
              <w:lastRenderedPageBreak/>
              <w:t xml:space="preserve">Organisational </w:t>
            </w:r>
            <w:r w:rsidR="005F01F0">
              <w:rPr>
                <w:color w:val="000000" w:themeColor="text1"/>
                <w:sz w:val="22"/>
                <w:szCs w:val="22"/>
              </w:rPr>
              <w:t>c</w:t>
            </w:r>
            <w:r w:rsidRPr="004F4435">
              <w:rPr>
                <w:color w:val="000000" w:themeColor="text1"/>
                <w:sz w:val="22"/>
                <w:szCs w:val="22"/>
              </w:rPr>
              <w:t>apability</w:t>
            </w:r>
          </w:p>
        </w:tc>
        <w:tc>
          <w:tcPr>
            <w:tcW w:w="3868" w:type="pct"/>
          </w:tcPr>
          <w:p w14:paraId="664EC2C5" w14:textId="77777777" w:rsidR="00F03BF9" w:rsidRPr="004F4435" w:rsidRDefault="00F03BF9" w:rsidP="004F4435">
            <w:pPr>
              <w:pStyle w:val="Bullet"/>
              <w:numPr>
                <w:ilvl w:val="0"/>
                <w:numId w:val="0"/>
              </w:numPr>
              <w:rPr>
                <w:color w:val="000000" w:themeColor="text1"/>
                <w:sz w:val="22"/>
              </w:rPr>
            </w:pPr>
            <w:r w:rsidRPr="004F4435">
              <w:rPr>
                <w:color w:val="000000" w:themeColor="text1"/>
                <w:sz w:val="22"/>
                <w:szCs w:val="22"/>
              </w:rPr>
              <w:t>The concept of organisational capability relates to the combination of organisational structures (shape and size), functional specialisms, competence (both individual and collective) and resource capacity to conduct defined activities. Organisational capability is defined in the context of multiple factors including the operating lifecycle stage of the facility.</w:t>
            </w:r>
          </w:p>
        </w:tc>
      </w:tr>
      <w:tr w:rsidR="006E755D" w:rsidRPr="005F01F0" w14:paraId="5FC4AA33" w14:textId="77777777" w:rsidTr="00434818">
        <w:trPr>
          <w:cantSplit/>
        </w:trPr>
        <w:tc>
          <w:tcPr>
            <w:tcW w:w="1132" w:type="pct"/>
          </w:tcPr>
          <w:p w14:paraId="0A0F9ED3" w14:textId="6531B7B2" w:rsidR="00026423" w:rsidRPr="005F01F0" w:rsidRDefault="00777747" w:rsidP="004F4435">
            <w:pPr>
              <w:pStyle w:val="Bullet"/>
              <w:numPr>
                <w:ilvl w:val="0"/>
                <w:numId w:val="0"/>
              </w:numPr>
              <w:contextualSpacing/>
              <w:rPr>
                <w:rFonts w:asciiTheme="minorHAnsi" w:hAnsiTheme="minorHAnsi" w:cstheme="minorHAnsi"/>
                <w:sz w:val="22"/>
                <w:szCs w:val="22"/>
              </w:rPr>
            </w:pPr>
            <w:r w:rsidRPr="005F01F0">
              <w:rPr>
                <w:rFonts w:asciiTheme="minorHAnsi" w:hAnsiTheme="minorHAnsi" w:cstheme="minorHAnsi"/>
                <w:sz w:val="22"/>
                <w:szCs w:val="22"/>
              </w:rPr>
              <w:t xml:space="preserve">Overarching </w:t>
            </w:r>
            <w:r w:rsidR="005609E9">
              <w:rPr>
                <w:sz w:val="22"/>
                <w:szCs w:val="22"/>
              </w:rPr>
              <w:t xml:space="preserve">management of change </w:t>
            </w:r>
            <w:r w:rsidR="005F01F0">
              <w:rPr>
                <w:sz w:val="22"/>
                <w:szCs w:val="22"/>
              </w:rPr>
              <w:t xml:space="preserve">(MoC) </w:t>
            </w:r>
            <w:r w:rsidR="005F01F0" w:rsidRPr="005F01F0">
              <w:rPr>
                <w:rFonts w:asciiTheme="minorHAnsi" w:hAnsiTheme="minorHAnsi" w:cstheme="minorHAnsi"/>
                <w:sz w:val="22"/>
                <w:szCs w:val="22"/>
              </w:rPr>
              <w:t>p</w:t>
            </w:r>
            <w:r w:rsidRPr="005F01F0">
              <w:rPr>
                <w:rFonts w:asciiTheme="minorHAnsi" w:hAnsiTheme="minorHAnsi" w:cstheme="minorHAnsi"/>
                <w:sz w:val="22"/>
                <w:szCs w:val="22"/>
              </w:rPr>
              <w:t>roposal</w:t>
            </w:r>
          </w:p>
        </w:tc>
        <w:tc>
          <w:tcPr>
            <w:tcW w:w="3868" w:type="pct"/>
          </w:tcPr>
          <w:p w14:paraId="4C2844A3" w14:textId="0CB6286C" w:rsidR="007A35A1" w:rsidRPr="005F01F0" w:rsidRDefault="00C33114" w:rsidP="00F1238E">
            <w:pPr>
              <w:pStyle w:val="Bullet"/>
              <w:numPr>
                <w:ilvl w:val="0"/>
                <w:numId w:val="0"/>
              </w:numPr>
              <w:rPr>
                <w:color w:val="000000" w:themeColor="text1"/>
                <w:sz w:val="22"/>
                <w:szCs w:val="22"/>
              </w:rPr>
            </w:pPr>
            <w:r w:rsidRPr="005F01F0">
              <w:rPr>
                <w:color w:val="000000" w:themeColor="text1"/>
                <w:sz w:val="22"/>
                <w:szCs w:val="22"/>
              </w:rPr>
              <w:t xml:space="preserve">An organisation-level framework to enable the standard, consistent and reliable production of multiple implementation </w:t>
            </w:r>
            <w:proofErr w:type="spellStart"/>
            <w:r w:rsidRPr="005F01F0">
              <w:rPr>
                <w:color w:val="000000" w:themeColor="text1"/>
                <w:sz w:val="22"/>
                <w:szCs w:val="22"/>
              </w:rPr>
              <w:t>MoCs</w:t>
            </w:r>
            <w:proofErr w:type="spellEnd"/>
            <w:r w:rsidRPr="005F01F0">
              <w:rPr>
                <w:color w:val="000000" w:themeColor="text1"/>
                <w:sz w:val="22"/>
                <w:szCs w:val="22"/>
              </w:rPr>
              <w:t xml:space="preserve"> associated with</w:t>
            </w:r>
            <w:r w:rsidR="00AF061F" w:rsidRPr="005F01F0">
              <w:rPr>
                <w:color w:val="000000" w:themeColor="text1"/>
                <w:sz w:val="22"/>
                <w:szCs w:val="22"/>
              </w:rPr>
              <w:t xml:space="preserve"> significant</w:t>
            </w:r>
            <w:r w:rsidRPr="005F01F0">
              <w:rPr>
                <w:color w:val="000000" w:themeColor="text1"/>
                <w:sz w:val="22"/>
                <w:szCs w:val="22"/>
              </w:rPr>
              <w:t xml:space="preserve"> large-scale</w:t>
            </w:r>
            <w:r w:rsidR="005D59C8" w:rsidRPr="005F01F0">
              <w:rPr>
                <w:color w:val="000000" w:themeColor="text1"/>
                <w:sz w:val="22"/>
                <w:szCs w:val="22"/>
              </w:rPr>
              <w:t xml:space="preserve"> and</w:t>
            </w:r>
            <w:r w:rsidR="005609E9">
              <w:rPr>
                <w:color w:val="000000" w:themeColor="text1"/>
                <w:sz w:val="22"/>
                <w:szCs w:val="22"/>
              </w:rPr>
              <w:t>/</w:t>
            </w:r>
            <w:r w:rsidR="005D59C8" w:rsidRPr="005F01F0">
              <w:rPr>
                <w:color w:val="000000" w:themeColor="text1"/>
                <w:sz w:val="22"/>
                <w:szCs w:val="22"/>
              </w:rPr>
              <w:t>or</w:t>
            </w:r>
            <w:r w:rsidRPr="005F01F0">
              <w:rPr>
                <w:color w:val="000000" w:themeColor="text1"/>
                <w:sz w:val="22"/>
                <w:szCs w:val="22"/>
              </w:rPr>
              <w:t xml:space="preserve"> complex change. </w:t>
            </w:r>
          </w:p>
          <w:p w14:paraId="19221191" w14:textId="1D5B21B1" w:rsidR="00C33114" w:rsidRPr="005F01F0" w:rsidRDefault="00C33114" w:rsidP="00F1238E">
            <w:pPr>
              <w:pStyle w:val="Bullet"/>
              <w:numPr>
                <w:ilvl w:val="0"/>
                <w:numId w:val="0"/>
              </w:numPr>
              <w:rPr>
                <w:sz w:val="22"/>
                <w:szCs w:val="22"/>
              </w:rPr>
            </w:pPr>
            <w:r w:rsidRPr="005F01F0">
              <w:rPr>
                <w:color w:val="000000" w:themeColor="text1"/>
                <w:sz w:val="22"/>
                <w:szCs w:val="22"/>
              </w:rPr>
              <w:t>The overarching MoC does not, of itself, implement change but describes</w:t>
            </w:r>
            <w:r w:rsidRPr="005F01F0">
              <w:rPr>
                <w:sz w:val="22"/>
                <w:szCs w:val="22"/>
              </w:rPr>
              <w:t xml:space="preserve"> at the organisational-level the:</w:t>
            </w:r>
          </w:p>
          <w:p w14:paraId="43AB0B56" w14:textId="54FE2BF9" w:rsidR="009652DE" w:rsidRPr="005F01F0" w:rsidRDefault="00C33114" w:rsidP="005F01F0">
            <w:pPr>
              <w:pStyle w:val="Bullet"/>
              <w:numPr>
                <w:ilvl w:val="0"/>
                <w:numId w:val="12"/>
              </w:numPr>
              <w:tabs>
                <w:tab w:val="clear" w:pos="720"/>
              </w:tabs>
              <w:ind w:left="674" w:hanging="425"/>
              <w:rPr>
                <w:color w:val="000000" w:themeColor="text1"/>
                <w:sz w:val="22"/>
                <w:szCs w:val="22"/>
              </w:rPr>
            </w:pPr>
            <w:r w:rsidRPr="005F01F0">
              <w:rPr>
                <w:color w:val="000000" w:themeColor="text1"/>
                <w:sz w:val="22"/>
                <w:szCs w:val="22"/>
              </w:rPr>
              <w:t>Change</w:t>
            </w:r>
            <w:r w:rsidR="005353EF" w:rsidRPr="005F01F0">
              <w:rPr>
                <w:color w:val="000000" w:themeColor="text1"/>
                <w:sz w:val="22"/>
                <w:szCs w:val="22"/>
              </w:rPr>
              <w:t>.</w:t>
            </w:r>
          </w:p>
          <w:p w14:paraId="4B089FA6" w14:textId="03AAAA13" w:rsidR="00C33114" w:rsidRPr="005F01F0" w:rsidRDefault="00920CA1" w:rsidP="005F01F0">
            <w:pPr>
              <w:pStyle w:val="Bullet"/>
              <w:numPr>
                <w:ilvl w:val="0"/>
                <w:numId w:val="12"/>
              </w:numPr>
              <w:tabs>
                <w:tab w:val="clear" w:pos="720"/>
              </w:tabs>
              <w:ind w:left="674" w:hanging="425"/>
              <w:rPr>
                <w:color w:val="000000" w:themeColor="text1"/>
                <w:sz w:val="22"/>
                <w:szCs w:val="22"/>
              </w:rPr>
            </w:pPr>
            <w:r w:rsidRPr="005F01F0">
              <w:rPr>
                <w:color w:val="000000" w:themeColor="text1"/>
                <w:sz w:val="22"/>
                <w:szCs w:val="22"/>
              </w:rPr>
              <w:t>A</w:t>
            </w:r>
            <w:r w:rsidR="00240D85" w:rsidRPr="005F01F0">
              <w:rPr>
                <w:color w:val="000000" w:themeColor="text1"/>
                <w:sz w:val="22"/>
                <w:szCs w:val="22"/>
              </w:rPr>
              <w:t>ggregated and interface risk a</w:t>
            </w:r>
            <w:r w:rsidR="00E10635" w:rsidRPr="005F01F0">
              <w:rPr>
                <w:color w:val="000000" w:themeColor="text1"/>
                <w:sz w:val="22"/>
                <w:szCs w:val="22"/>
              </w:rPr>
              <w:t>ssessment</w:t>
            </w:r>
            <w:r w:rsidR="00C8342A" w:rsidRPr="005F01F0">
              <w:rPr>
                <w:color w:val="000000" w:themeColor="text1"/>
                <w:sz w:val="22"/>
                <w:szCs w:val="22"/>
              </w:rPr>
              <w:t>, with associated categorisation</w:t>
            </w:r>
            <w:r w:rsidR="00C33114" w:rsidRPr="005F01F0">
              <w:rPr>
                <w:color w:val="000000" w:themeColor="text1"/>
                <w:sz w:val="22"/>
                <w:szCs w:val="22"/>
              </w:rPr>
              <w:t>.</w:t>
            </w:r>
          </w:p>
          <w:p w14:paraId="24E17115" w14:textId="6225DA81" w:rsidR="00C33114" w:rsidRPr="005F01F0" w:rsidRDefault="00C33114" w:rsidP="005F01F0">
            <w:pPr>
              <w:pStyle w:val="Bullet"/>
              <w:numPr>
                <w:ilvl w:val="0"/>
                <w:numId w:val="12"/>
              </w:numPr>
              <w:tabs>
                <w:tab w:val="clear" w:pos="720"/>
              </w:tabs>
              <w:ind w:left="674" w:hanging="425"/>
              <w:rPr>
                <w:color w:val="000000" w:themeColor="text1"/>
                <w:sz w:val="22"/>
                <w:szCs w:val="22"/>
              </w:rPr>
            </w:pPr>
            <w:r w:rsidRPr="005F01F0">
              <w:rPr>
                <w:color w:val="000000" w:themeColor="text1"/>
                <w:sz w:val="22"/>
                <w:szCs w:val="22"/>
              </w:rPr>
              <w:t>Change strategy</w:t>
            </w:r>
            <w:r w:rsidR="00651E64" w:rsidRPr="005F01F0">
              <w:rPr>
                <w:color w:val="000000" w:themeColor="text1"/>
                <w:sz w:val="22"/>
                <w:szCs w:val="22"/>
              </w:rPr>
              <w:t>.</w:t>
            </w:r>
            <w:r w:rsidRPr="005F01F0">
              <w:rPr>
                <w:color w:val="000000" w:themeColor="text1"/>
                <w:sz w:val="22"/>
                <w:szCs w:val="22"/>
              </w:rPr>
              <w:t xml:space="preserve"> </w:t>
            </w:r>
          </w:p>
          <w:p w14:paraId="77BBFAEE" w14:textId="665933E9" w:rsidR="00C33114" w:rsidRPr="005F01F0" w:rsidRDefault="00651E64" w:rsidP="005F01F0">
            <w:pPr>
              <w:pStyle w:val="Bullet"/>
              <w:numPr>
                <w:ilvl w:val="0"/>
                <w:numId w:val="12"/>
              </w:numPr>
              <w:tabs>
                <w:tab w:val="clear" w:pos="720"/>
              </w:tabs>
              <w:ind w:left="674" w:hanging="425"/>
              <w:rPr>
                <w:color w:val="000000" w:themeColor="text1"/>
                <w:sz w:val="22"/>
                <w:szCs w:val="22"/>
              </w:rPr>
            </w:pPr>
            <w:r w:rsidRPr="005F01F0">
              <w:rPr>
                <w:color w:val="000000" w:themeColor="text1"/>
                <w:sz w:val="22"/>
                <w:szCs w:val="22"/>
              </w:rPr>
              <w:t>G</w:t>
            </w:r>
            <w:r w:rsidR="00C33114" w:rsidRPr="005F01F0">
              <w:rPr>
                <w:color w:val="000000" w:themeColor="text1"/>
                <w:sz w:val="22"/>
                <w:szCs w:val="22"/>
              </w:rPr>
              <w:t>overnance arrangements.</w:t>
            </w:r>
          </w:p>
          <w:p w14:paraId="01968788" w14:textId="1FB19169" w:rsidR="00C33114" w:rsidRPr="005F01F0" w:rsidRDefault="00C33114" w:rsidP="005F01F0">
            <w:pPr>
              <w:pStyle w:val="Bullet"/>
              <w:numPr>
                <w:ilvl w:val="0"/>
                <w:numId w:val="12"/>
              </w:numPr>
              <w:tabs>
                <w:tab w:val="clear" w:pos="720"/>
              </w:tabs>
              <w:ind w:left="674" w:hanging="425"/>
              <w:rPr>
                <w:color w:val="000000" w:themeColor="text1"/>
                <w:sz w:val="22"/>
                <w:szCs w:val="22"/>
              </w:rPr>
            </w:pPr>
            <w:r w:rsidRPr="005F01F0">
              <w:rPr>
                <w:color w:val="000000" w:themeColor="text1"/>
                <w:sz w:val="22"/>
                <w:szCs w:val="22"/>
              </w:rPr>
              <w:t>Assumptions and enabling activities</w:t>
            </w:r>
            <w:r w:rsidR="00F4444F" w:rsidRPr="005F01F0">
              <w:rPr>
                <w:color w:val="000000" w:themeColor="text1"/>
                <w:sz w:val="22"/>
                <w:szCs w:val="22"/>
              </w:rPr>
              <w:t>.</w:t>
            </w:r>
            <w:r w:rsidRPr="005F01F0">
              <w:rPr>
                <w:color w:val="000000" w:themeColor="text1"/>
                <w:sz w:val="22"/>
                <w:szCs w:val="22"/>
              </w:rPr>
              <w:t xml:space="preserve"> </w:t>
            </w:r>
          </w:p>
          <w:p w14:paraId="144CC23F" w14:textId="16D097D3" w:rsidR="00026423" w:rsidRPr="005F01F0" w:rsidRDefault="001E5F94" w:rsidP="005F01F0">
            <w:pPr>
              <w:pStyle w:val="Bullet"/>
              <w:numPr>
                <w:ilvl w:val="0"/>
                <w:numId w:val="12"/>
              </w:numPr>
              <w:tabs>
                <w:tab w:val="clear" w:pos="720"/>
              </w:tabs>
              <w:ind w:left="674" w:hanging="425"/>
              <w:rPr>
                <w:rFonts w:asciiTheme="minorHAnsi" w:hAnsiTheme="minorHAnsi" w:cstheme="minorHAnsi"/>
                <w:sz w:val="22"/>
                <w:szCs w:val="22"/>
              </w:rPr>
            </w:pPr>
            <w:r w:rsidRPr="005F01F0">
              <w:rPr>
                <w:color w:val="000000" w:themeColor="text1"/>
                <w:sz w:val="22"/>
                <w:szCs w:val="22"/>
              </w:rPr>
              <w:t>P</w:t>
            </w:r>
            <w:r w:rsidR="00C33114" w:rsidRPr="005F01F0">
              <w:rPr>
                <w:color w:val="000000" w:themeColor="text1"/>
                <w:sz w:val="22"/>
                <w:szCs w:val="22"/>
              </w:rPr>
              <w:t xml:space="preserve">rogramme of underpinning implementation </w:t>
            </w:r>
            <w:proofErr w:type="spellStart"/>
            <w:r w:rsidR="00C33114" w:rsidRPr="005F01F0">
              <w:rPr>
                <w:color w:val="000000" w:themeColor="text1"/>
                <w:sz w:val="22"/>
                <w:szCs w:val="22"/>
              </w:rPr>
              <w:t>MoCs</w:t>
            </w:r>
            <w:proofErr w:type="spellEnd"/>
            <w:r w:rsidR="00C33114" w:rsidRPr="005F01F0">
              <w:rPr>
                <w:color w:val="000000" w:themeColor="text1"/>
                <w:sz w:val="22"/>
                <w:szCs w:val="22"/>
              </w:rPr>
              <w:t>.</w:t>
            </w:r>
          </w:p>
        </w:tc>
      </w:tr>
      <w:tr w:rsidR="00F03BF9" w:rsidRPr="008654D4" w14:paraId="1831B8B7" w14:textId="77777777" w:rsidTr="00434818">
        <w:trPr>
          <w:cantSplit/>
        </w:trPr>
        <w:tc>
          <w:tcPr>
            <w:tcW w:w="1132" w:type="pct"/>
          </w:tcPr>
          <w:p w14:paraId="29922DCE" w14:textId="77777777" w:rsidR="00F03BF9" w:rsidRPr="004F4435" w:rsidRDefault="00F03BF9" w:rsidP="004F4435">
            <w:pPr>
              <w:pStyle w:val="Bullet"/>
              <w:numPr>
                <w:ilvl w:val="0"/>
                <w:numId w:val="0"/>
              </w:numPr>
              <w:contextualSpacing/>
              <w:rPr>
                <w:color w:val="000000" w:themeColor="text1"/>
                <w:sz w:val="22"/>
              </w:rPr>
            </w:pPr>
            <w:r w:rsidRPr="004F4435">
              <w:rPr>
                <w:color w:val="000000" w:themeColor="text1"/>
                <w:sz w:val="22"/>
                <w:szCs w:val="22"/>
              </w:rPr>
              <w:t>Post (Job)</w:t>
            </w:r>
          </w:p>
        </w:tc>
        <w:tc>
          <w:tcPr>
            <w:tcW w:w="3868" w:type="pct"/>
          </w:tcPr>
          <w:p w14:paraId="67F40A08" w14:textId="77777777" w:rsidR="00F03BF9" w:rsidRPr="004F4435" w:rsidRDefault="00F03BF9" w:rsidP="004F4435">
            <w:pPr>
              <w:pStyle w:val="Bullet"/>
              <w:numPr>
                <w:ilvl w:val="0"/>
                <w:numId w:val="0"/>
              </w:numPr>
              <w:rPr>
                <w:color w:val="000000" w:themeColor="text1"/>
                <w:sz w:val="22"/>
              </w:rPr>
            </w:pPr>
            <w:r w:rsidRPr="004F4435">
              <w:rPr>
                <w:color w:val="000000" w:themeColor="text1"/>
                <w:sz w:val="22"/>
                <w:szCs w:val="22"/>
              </w:rPr>
              <w:t>A position identified on an organisational structure</w:t>
            </w:r>
          </w:p>
        </w:tc>
      </w:tr>
      <w:tr w:rsidR="00F03BF9" w:rsidRPr="008654D4" w14:paraId="20982AB8" w14:textId="77777777" w:rsidTr="00434818">
        <w:trPr>
          <w:cantSplit/>
        </w:trPr>
        <w:tc>
          <w:tcPr>
            <w:tcW w:w="1132" w:type="pct"/>
          </w:tcPr>
          <w:p w14:paraId="4687F5DC" w14:textId="77777777" w:rsidR="00F03BF9" w:rsidRPr="004F4435" w:rsidRDefault="00F03BF9" w:rsidP="004F4435">
            <w:pPr>
              <w:pStyle w:val="Bullet"/>
              <w:numPr>
                <w:ilvl w:val="0"/>
                <w:numId w:val="0"/>
              </w:numPr>
              <w:contextualSpacing/>
              <w:rPr>
                <w:color w:val="000000" w:themeColor="text1"/>
                <w:sz w:val="22"/>
              </w:rPr>
            </w:pPr>
            <w:r w:rsidRPr="004F4435">
              <w:rPr>
                <w:color w:val="000000" w:themeColor="text1"/>
                <w:sz w:val="22"/>
                <w:szCs w:val="22"/>
              </w:rPr>
              <w:t>Role</w:t>
            </w:r>
          </w:p>
        </w:tc>
        <w:tc>
          <w:tcPr>
            <w:tcW w:w="3868" w:type="pct"/>
          </w:tcPr>
          <w:p w14:paraId="68EFC74B" w14:textId="2E22E21F" w:rsidR="00F03BF9" w:rsidRPr="004F4435" w:rsidRDefault="00F03BF9" w:rsidP="004F4435">
            <w:pPr>
              <w:pStyle w:val="Bullet"/>
              <w:numPr>
                <w:ilvl w:val="0"/>
                <w:numId w:val="0"/>
              </w:numPr>
              <w:rPr>
                <w:color w:val="000000" w:themeColor="text1"/>
                <w:sz w:val="22"/>
              </w:rPr>
            </w:pPr>
            <w:r w:rsidRPr="004F4435">
              <w:rPr>
                <w:color w:val="000000" w:themeColor="text1"/>
                <w:sz w:val="22"/>
                <w:szCs w:val="22"/>
              </w:rPr>
              <w:t xml:space="preserve">A specific work activity/responsibility </w:t>
            </w:r>
          </w:p>
          <w:p w14:paraId="51BD884C" w14:textId="7F51E693" w:rsidR="00F03BF9" w:rsidRPr="004F4435" w:rsidRDefault="00F03BF9" w:rsidP="004F4435">
            <w:pPr>
              <w:pStyle w:val="Bullet"/>
              <w:numPr>
                <w:ilvl w:val="0"/>
                <w:numId w:val="0"/>
              </w:numPr>
              <w:contextualSpacing/>
              <w:rPr>
                <w:color w:val="000000" w:themeColor="text1"/>
                <w:sz w:val="22"/>
              </w:rPr>
            </w:pPr>
            <w:r w:rsidRPr="004F4435">
              <w:rPr>
                <w:color w:val="000000" w:themeColor="text1"/>
                <w:sz w:val="22"/>
                <w:szCs w:val="22"/>
              </w:rPr>
              <w:t>Note:</w:t>
            </w:r>
            <w:r w:rsidR="00434818">
              <w:rPr>
                <w:color w:val="000000" w:themeColor="text1"/>
                <w:sz w:val="22"/>
                <w:szCs w:val="22"/>
              </w:rPr>
              <w:t xml:space="preserve"> </w:t>
            </w:r>
          </w:p>
          <w:p w14:paraId="6F22B5B5" w14:textId="1EFF6917" w:rsidR="00F03BF9" w:rsidRPr="004F4435" w:rsidRDefault="00F03BF9" w:rsidP="00576102">
            <w:pPr>
              <w:pStyle w:val="Bullet"/>
              <w:numPr>
                <w:ilvl w:val="0"/>
                <w:numId w:val="10"/>
              </w:numPr>
              <w:contextualSpacing/>
              <w:rPr>
                <w:color w:val="000000" w:themeColor="text1"/>
                <w:sz w:val="22"/>
              </w:rPr>
            </w:pPr>
            <w:r w:rsidRPr="004F4435">
              <w:rPr>
                <w:color w:val="000000" w:themeColor="text1"/>
                <w:sz w:val="22"/>
                <w:szCs w:val="22"/>
              </w:rPr>
              <w:t>Licensees may choose to break down a post into constituent roles which are assigned to that post profile/job description</w:t>
            </w:r>
            <w:r w:rsidR="005F01F0">
              <w:rPr>
                <w:color w:val="000000" w:themeColor="text1"/>
                <w:sz w:val="22"/>
                <w:szCs w:val="22"/>
              </w:rPr>
              <w:t>;</w:t>
            </w:r>
          </w:p>
          <w:p w14:paraId="21A1C263" w14:textId="476F4CC7" w:rsidR="00F03BF9" w:rsidRPr="004F4435" w:rsidRDefault="00F03BF9" w:rsidP="004F4435">
            <w:pPr>
              <w:pStyle w:val="Bullet"/>
              <w:numPr>
                <w:ilvl w:val="0"/>
                <w:numId w:val="0"/>
              </w:numPr>
              <w:ind w:left="720"/>
              <w:contextualSpacing/>
              <w:rPr>
                <w:color w:val="000000" w:themeColor="text1"/>
                <w:sz w:val="22"/>
              </w:rPr>
            </w:pPr>
            <w:r w:rsidRPr="004F4435">
              <w:rPr>
                <w:color w:val="000000" w:themeColor="text1"/>
                <w:sz w:val="22"/>
                <w:szCs w:val="22"/>
              </w:rPr>
              <w:t>Or</w:t>
            </w:r>
            <w:r w:rsidR="005F01F0">
              <w:rPr>
                <w:color w:val="000000" w:themeColor="text1"/>
                <w:sz w:val="22"/>
                <w:szCs w:val="22"/>
              </w:rPr>
              <w:t>,</w:t>
            </w:r>
          </w:p>
          <w:p w14:paraId="55AB1D84" w14:textId="13E15BB1" w:rsidR="00F03BF9" w:rsidRPr="004F4435" w:rsidRDefault="00F03BF9" w:rsidP="00576102">
            <w:pPr>
              <w:pStyle w:val="Bullet"/>
              <w:numPr>
                <w:ilvl w:val="0"/>
                <w:numId w:val="10"/>
              </w:numPr>
              <w:contextualSpacing/>
              <w:rPr>
                <w:color w:val="000000" w:themeColor="text1"/>
                <w:sz w:val="22"/>
              </w:rPr>
            </w:pPr>
            <w:r w:rsidRPr="004F4435">
              <w:rPr>
                <w:color w:val="000000" w:themeColor="text1"/>
                <w:sz w:val="22"/>
                <w:szCs w:val="22"/>
              </w:rPr>
              <w:t xml:space="preserve">Limit roles to additional activities/responsibilities assigned to an individual </w:t>
            </w:r>
          </w:p>
        </w:tc>
      </w:tr>
      <w:tr w:rsidR="0058301B" w:rsidRPr="008654D4" w14:paraId="3BB26BD2" w14:textId="77777777" w:rsidTr="00434818">
        <w:trPr>
          <w:cantSplit/>
        </w:trPr>
        <w:tc>
          <w:tcPr>
            <w:tcW w:w="1132" w:type="pct"/>
          </w:tcPr>
          <w:p w14:paraId="405D57F7" w14:textId="16D330A9" w:rsidR="0058301B" w:rsidRPr="004F4435" w:rsidRDefault="00C05FB7" w:rsidP="004F4435">
            <w:pPr>
              <w:pStyle w:val="Bullet"/>
              <w:numPr>
                <w:ilvl w:val="0"/>
                <w:numId w:val="0"/>
              </w:numPr>
              <w:contextualSpacing/>
              <w:rPr>
                <w:color w:val="000000" w:themeColor="text1"/>
                <w:sz w:val="22"/>
                <w:szCs w:val="22"/>
              </w:rPr>
            </w:pPr>
            <w:r>
              <w:rPr>
                <w:color w:val="000000" w:themeColor="text1"/>
                <w:sz w:val="22"/>
                <w:szCs w:val="22"/>
              </w:rPr>
              <w:lastRenderedPageBreak/>
              <w:t xml:space="preserve">Strategy </w:t>
            </w:r>
            <w:r w:rsidR="005F01F0">
              <w:rPr>
                <w:color w:val="000000" w:themeColor="text1"/>
                <w:sz w:val="22"/>
                <w:szCs w:val="22"/>
              </w:rPr>
              <w:t>p</w:t>
            </w:r>
            <w:r>
              <w:rPr>
                <w:color w:val="000000" w:themeColor="text1"/>
                <w:sz w:val="22"/>
                <w:szCs w:val="22"/>
              </w:rPr>
              <w:t>apers</w:t>
            </w:r>
          </w:p>
        </w:tc>
        <w:tc>
          <w:tcPr>
            <w:tcW w:w="3868" w:type="pct"/>
          </w:tcPr>
          <w:p w14:paraId="3406CCE8" w14:textId="4CAB696B" w:rsidR="00C05FB7" w:rsidRPr="00C05FB7" w:rsidRDefault="00C05FB7" w:rsidP="000474D0">
            <w:pPr>
              <w:pStyle w:val="Bullet"/>
              <w:numPr>
                <w:ilvl w:val="0"/>
                <w:numId w:val="0"/>
              </w:numPr>
              <w:rPr>
                <w:color w:val="000000" w:themeColor="text1"/>
                <w:sz w:val="22"/>
                <w:szCs w:val="22"/>
              </w:rPr>
            </w:pPr>
            <w:r w:rsidRPr="00C05FB7">
              <w:rPr>
                <w:color w:val="000000" w:themeColor="text1"/>
                <w:sz w:val="22"/>
                <w:szCs w:val="22"/>
              </w:rPr>
              <w:t xml:space="preserve">Each licensee will have its own defined approach to producing a business strategy. In general, however, it should provide an overview of </w:t>
            </w:r>
            <w:r w:rsidR="002F6A8D">
              <w:rPr>
                <w:color w:val="000000" w:themeColor="text1"/>
                <w:sz w:val="22"/>
                <w:szCs w:val="22"/>
              </w:rPr>
              <w:t xml:space="preserve">the vision, </w:t>
            </w:r>
            <w:r w:rsidRPr="00C05FB7">
              <w:rPr>
                <w:color w:val="000000" w:themeColor="text1"/>
                <w:sz w:val="22"/>
                <w:szCs w:val="22"/>
              </w:rPr>
              <w:t>major actions</w:t>
            </w:r>
            <w:r w:rsidR="002F6A8D">
              <w:rPr>
                <w:color w:val="000000" w:themeColor="text1"/>
                <w:sz w:val="22"/>
                <w:szCs w:val="22"/>
              </w:rPr>
              <w:t xml:space="preserve"> and associated success criteria</w:t>
            </w:r>
            <w:r w:rsidRPr="00C05FB7">
              <w:rPr>
                <w:color w:val="000000" w:themeColor="text1"/>
                <w:sz w:val="22"/>
                <w:szCs w:val="22"/>
              </w:rPr>
              <w:t>, investments, programmes of change and their alignment and a framework and guidance to enable more detailed interpretation of the strategy</w:t>
            </w:r>
            <w:r w:rsidR="00DF19E0">
              <w:rPr>
                <w:color w:val="000000" w:themeColor="text1"/>
                <w:sz w:val="22"/>
                <w:szCs w:val="22"/>
              </w:rPr>
              <w:t>.</w:t>
            </w:r>
          </w:p>
          <w:p w14:paraId="03EFB541" w14:textId="73985A3B" w:rsidR="00C05FB7" w:rsidRPr="00C05FB7" w:rsidRDefault="00C05FB7" w:rsidP="000474D0">
            <w:pPr>
              <w:pStyle w:val="Bullet"/>
              <w:numPr>
                <w:ilvl w:val="0"/>
                <w:numId w:val="0"/>
              </w:numPr>
              <w:rPr>
                <w:color w:val="000000" w:themeColor="text1"/>
                <w:sz w:val="22"/>
                <w:szCs w:val="22"/>
              </w:rPr>
            </w:pPr>
            <w:r w:rsidRPr="00C05FB7">
              <w:rPr>
                <w:color w:val="000000" w:themeColor="text1"/>
                <w:sz w:val="22"/>
                <w:szCs w:val="22"/>
              </w:rPr>
              <w:t>The business strategy may be defined through a single paper or through a series of documents that, from an organisational capability perspective, provide the frame and guide for strategic organisational planning.</w:t>
            </w:r>
            <w:r w:rsidR="005F01F0">
              <w:rPr>
                <w:color w:val="000000" w:themeColor="text1"/>
                <w:sz w:val="22"/>
                <w:szCs w:val="22"/>
              </w:rPr>
              <w:t xml:space="preserve"> </w:t>
            </w:r>
            <w:r w:rsidRPr="00C05FB7">
              <w:rPr>
                <w:color w:val="000000" w:themeColor="text1"/>
                <w:sz w:val="22"/>
                <w:szCs w:val="22"/>
              </w:rPr>
              <w:t>These may include a:</w:t>
            </w:r>
          </w:p>
          <w:p w14:paraId="1E093158" w14:textId="1312E09D" w:rsidR="00C05FB7" w:rsidRPr="000B5C7A" w:rsidRDefault="00C05FB7" w:rsidP="00576102">
            <w:pPr>
              <w:pStyle w:val="Bullet"/>
              <w:numPr>
                <w:ilvl w:val="0"/>
                <w:numId w:val="9"/>
              </w:numPr>
              <w:contextualSpacing/>
              <w:rPr>
                <w:rFonts w:asciiTheme="minorHAnsi" w:hAnsiTheme="minorHAnsi" w:cstheme="minorHAnsi"/>
                <w:sz w:val="22"/>
                <w:szCs w:val="22"/>
              </w:rPr>
            </w:pPr>
            <w:r w:rsidRPr="005F01F0">
              <w:rPr>
                <w:rFonts w:asciiTheme="minorHAnsi" w:hAnsiTheme="minorHAnsi" w:cstheme="minorHAnsi"/>
                <w:b/>
                <w:bCs/>
                <w:sz w:val="22"/>
                <w:szCs w:val="22"/>
              </w:rPr>
              <w:t>People (or Organisational Capability) Strategy</w:t>
            </w:r>
            <w:r w:rsidRPr="000B5C7A">
              <w:rPr>
                <w:rFonts w:asciiTheme="minorHAnsi" w:hAnsiTheme="minorHAnsi" w:cstheme="minorHAnsi"/>
                <w:sz w:val="22"/>
                <w:szCs w:val="22"/>
              </w:rPr>
              <w:t xml:space="preserve"> – Explanation of the strategy and the rationale for it</w:t>
            </w:r>
          </w:p>
          <w:p w14:paraId="61B6AF52" w14:textId="563FB1D0" w:rsidR="00C05FB7" w:rsidRPr="000B5C7A" w:rsidRDefault="00C05FB7" w:rsidP="00576102">
            <w:pPr>
              <w:pStyle w:val="Bullet"/>
              <w:numPr>
                <w:ilvl w:val="0"/>
                <w:numId w:val="9"/>
              </w:numPr>
              <w:contextualSpacing/>
              <w:rPr>
                <w:rFonts w:asciiTheme="minorHAnsi" w:hAnsiTheme="minorHAnsi" w:cstheme="minorHAnsi"/>
                <w:sz w:val="22"/>
                <w:szCs w:val="22"/>
              </w:rPr>
            </w:pPr>
            <w:r w:rsidRPr="005F01F0">
              <w:rPr>
                <w:rFonts w:asciiTheme="minorHAnsi" w:hAnsiTheme="minorHAnsi" w:cstheme="minorHAnsi"/>
                <w:b/>
                <w:bCs/>
                <w:sz w:val="22"/>
                <w:szCs w:val="22"/>
              </w:rPr>
              <w:t>Paper of Principles</w:t>
            </w:r>
            <w:r w:rsidRPr="000B5C7A">
              <w:rPr>
                <w:rFonts w:asciiTheme="minorHAnsi" w:hAnsiTheme="minorHAnsi" w:cstheme="minorHAnsi"/>
                <w:sz w:val="22"/>
                <w:szCs w:val="22"/>
              </w:rPr>
              <w:t xml:space="preserve"> – Strategic-level principles that provide persistent direction and guide strategic planning</w:t>
            </w:r>
          </w:p>
          <w:p w14:paraId="3870B907" w14:textId="64955D0A" w:rsidR="00C05FB7" w:rsidRPr="000B5C7A" w:rsidRDefault="00C05FB7" w:rsidP="00576102">
            <w:pPr>
              <w:pStyle w:val="Bullet"/>
              <w:numPr>
                <w:ilvl w:val="0"/>
                <w:numId w:val="9"/>
              </w:numPr>
              <w:contextualSpacing/>
              <w:rPr>
                <w:rFonts w:asciiTheme="minorHAnsi" w:hAnsiTheme="minorHAnsi" w:cstheme="minorHAnsi"/>
                <w:sz w:val="22"/>
                <w:szCs w:val="22"/>
              </w:rPr>
            </w:pPr>
            <w:r w:rsidRPr="005F01F0">
              <w:rPr>
                <w:rFonts w:asciiTheme="minorHAnsi" w:hAnsiTheme="minorHAnsi" w:cstheme="minorHAnsi"/>
                <w:b/>
                <w:bCs/>
                <w:sz w:val="22"/>
                <w:szCs w:val="22"/>
              </w:rPr>
              <w:t>Concept of Operations</w:t>
            </w:r>
            <w:r w:rsidRPr="000B5C7A">
              <w:rPr>
                <w:rFonts w:asciiTheme="minorHAnsi" w:hAnsiTheme="minorHAnsi" w:cstheme="minorHAnsi"/>
                <w:sz w:val="22"/>
                <w:szCs w:val="22"/>
              </w:rPr>
              <w:t xml:space="preserve"> – The framework and guidance on how the defined organisation is intended to work so that others can interpret the strategy and apply it to the production of more detailed plans and programmes of change. </w:t>
            </w:r>
          </w:p>
          <w:p w14:paraId="58046563" w14:textId="0E8C4FD6" w:rsidR="0058301B" w:rsidRPr="004F4435" w:rsidRDefault="00C05FB7" w:rsidP="00576102">
            <w:pPr>
              <w:pStyle w:val="Bullet"/>
              <w:numPr>
                <w:ilvl w:val="0"/>
                <w:numId w:val="9"/>
              </w:numPr>
              <w:contextualSpacing/>
              <w:rPr>
                <w:color w:val="000000" w:themeColor="text1"/>
                <w:sz w:val="22"/>
                <w:szCs w:val="22"/>
              </w:rPr>
            </w:pPr>
            <w:r w:rsidRPr="005F01F0">
              <w:rPr>
                <w:rFonts w:asciiTheme="minorHAnsi" w:hAnsiTheme="minorHAnsi" w:cstheme="minorHAnsi"/>
                <w:b/>
                <w:bCs/>
                <w:sz w:val="22"/>
                <w:szCs w:val="22"/>
              </w:rPr>
              <w:t>Strategic Plans</w:t>
            </w:r>
            <w:r w:rsidR="005F01F0">
              <w:rPr>
                <w:rFonts w:asciiTheme="minorHAnsi" w:hAnsiTheme="minorHAnsi" w:cstheme="minorHAnsi"/>
                <w:b/>
                <w:bCs/>
                <w:sz w:val="22"/>
                <w:szCs w:val="22"/>
              </w:rPr>
              <w:t xml:space="preserve"> </w:t>
            </w:r>
            <w:r w:rsidR="005F01F0">
              <w:rPr>
                <w:rFonts w:asciiTheme="minorHAnsi" w:hAnsiTheme="minorHAnsi" w:cstheme="minorHAnsi"/>
                <w:sz w:val="22"/>
                <w:szCs w:val="22"/>
              </w:rPr>
              <w:t xml:space="preserve">– </w:t>
            </w:r>
            <w:r w:rsidRPr="000B5C7A">
              <w:rPr>
                <w:rFonts w:asciiTheme="minorHAnsi" w:hAnsiTheme="minorHAnsi" w:cstheme="minorHAnsi"/>
                <w:sz w:val="22"/>
                <w:szCs w:val="22"/>
              </w:rPr>
              <w:t>High</w:t>
            </w:r>
            <w:r w:rsidR="005F01F0">
              <w:rPr>
                <w:rFonts w:asciiTheme="minorHAnsi" w:hAnsiTheme="minorHAnsi" w:cstheme="minorHAnsi"/>
                <w:sz w:val="22"/>
                <w:szCs w:val="22"/>
              </w:rPr>
              <w:t>-</w:t>
            </w:r>
            <w:r w:rsidRPr="000B5C7A">
              <w:rPr>
                <w:rFonts w:asciiTheme="minorHAnsi" w:hAnsiTheme="minorHAnsi" w:cstheme="minorHAnsi"/>
                <w:sz w:val="22"/>
                <w:szCs w:val="22"/>
              </w:rPr>
              <w:t>level direction of the means of implementing the strategy</w:t>
            </w:r>
          </w:p>
        </w:tc>
      </w:tr>
    </w:tbl>
    <w:p w14:paraId="3A0A8599" w14:textId="7CEB2BA2" w:rsidR="00F03BF9" w:rsidRDefault="00F03BF9" w:rsidP="007D4C48">
      <w:pPr>
        <w:pStyle w:val="F9-Paragraph"/>
        <w:sectPr w:rsidR="00F03BF9" w:rsidSect="00434818">
          <w:pgSz w:w="11906" w:h="16838" w:code="9"/>
          <w:pgMar w:top="1440" w:right="1440" w:bottom="1440" w:left="1440" w:header="397" w:footer="397" w:gutter="0"/>
          <w:cols w:space="312"/>
          <w:docGrid w:linePitch="360"/>
        </w:sectPr>
      </w:pPr>
    </w:p>
    <w:p w14:paraId="5073AB36" w14:textId="4144870A" w:rsidR="00D97590" w:rsidRDefault="000950B3" w:rsidP="00D97590">
      <w:pPr>
        <w:pStyle w:val="Heading1"/>
      </w:pPr>
      <w:bookmarkStart w:id="4" w:name="_Toc172196366"/>
      <w:r>
        <w:lastRenderedPageBreak/>
        <w:t xml:space="preserve">Relationship to </w:t>
      </w:r>
      <w:r w:rsidR="005F01F0">
        <w:t>l</w:t>
      </w:r>
      <w:r w:rsidR="00D97590">
        <w:t xml:space="preserve">icence and other </w:t>
      </w:r>
      <w:r w:rsidR="005F01F0">
        <w:t>r</w:t>
      </w:r>
      <w:r w:rsidR="00D97590">
        <w:t xml:space="preserve">elevant </w:t>
      </w:r>
      <w:r w:rsidR="005F01F0">
        <w:t>l</w:t>
      </w:r>
      <w:r w:rsidR="00D97590">
        <w:t>egislation</w:t>
      </w:r>
      <w:bookmarkEnd w:id="4"/>
      <w:r w:rsidR="00D97590">
        <w:t xml:space="preserve"> </w:t>
      </w:r>
    </w:p>
    <w:p w14:paraId="589B7304" w14:textId="0E63CB60" w:rsidR="00EC2CEE" w:rsidRPr="00434818" w:rsidRDefault="00EC2CEE" w:rsidP="00434818">
      <w:pPr>
        <w:pStyle w:val="Heading2"/>
      </w:pPr>
      <w:r w:rsidRPr="00434818">
        <w:t>The Management of Health and Safety at Work Regulations</w:t>
      </w:r>
    </w:p>
    <w:p w14:paraId="4644ECE0" w14:textId="77777777" w:rsidR="00F03BF9" w:rsidRPr="005F01F0" w:rsidRDefault="00F03BF9" w:rsidP="005F01F0">
      <w:pPr>
        <w:pStyle w:val="Bulletlist1"/>
      </w:pPr>
      <w:r w:rsidRPr="005F01F0">
        <w:t xml:space="preserve">Health and Safety Arrangements - Regulation 5 requires employers to have arrangements as appropriate, having regard to the nature of activities and the size of the undertaking, for the effective planning, organisation, control, monitoring and review of the preventive and protective measures; </w:t>
      </w:r>
    </w:p>
    <w:p w14:paraId="5D403214" w14:textId="4E10DE55" w:rsidR="00F03BF9" w:rsidRPr="005F01F0" w:rsidRDefault="00F03BF9" w:rsidP="005F01F0">
      <w:pPr>
        <w:pStyle w:val="Bulletlist1"/>
      </w:pPr>
      <w:r w:rsidRPr="005F01F0">
        <w:t xml:space="preserve">Health and Safety Assistance - Regulation 7 requires an employer to appoint </w:t>
      </w:r>
      <w:r w:rsidR="005176CC" w:rsidRPr="005F01F0">
        <w:t xml:space="preserve">one or more </w:t>
      </w:r>
      <w:r w:rsidRPr="005F01F0">
        <w:t>competent persons to assist him in undertaking the measures he needs to comply with the requirements and prohibitions imposed on him</w:t>
      </w:r>
      <w:r w:rsidR="005176CC" w:rsidRPr="005F01F0">
        <w:t>, e</w:t>
      </w:r>
      <w:r w:rsidRPr="005F01F0">
        <w:t>nsuring that the number of persons, the time available to them and the means at their disposal are adequate for the size of the task and associated risk</w:t>
      </w:r>
      <w:r w:rsidR="009F5204" w:rsidRPr="005F01F0">
        <w:t>; and</w:t>
      </w:r>
    </w:p>
    <w:p w14:paraId="02CE07E7" w14:textId="782E3EAA" w:rsidR="00F03BF9" w:rsidRPr="005F01F0" w:rsidRDefault="00F03BF9" w:rsidP="005F01F0">
      <w:pPr>
        <w:pStyle w:val="Bulletlist1"/>
      </w:pPr>
      <w:r w:rsidRPr="005F01F0">
        <w:t xml:space="preserve">Capabilities and Training - Regulation 13 requires </w:t>
      </w:r>
      <w:r w:rsidR="00A82E36" w:rsidRPr="005F01F0">
        <w:t xml:space="preserve">an </w:t>
      </w:r>
      <w:r w:rsidRPr="005F01F0">
        <w:t>employer to ensure his employees are provided with adequate health and safety training.</w:t>
      </w:r>
    </w:p>
    <w:p w14:paraId="102C6A7E" w14:textId="77777777" w:rsidR="00EC2CEE" w:rsidRDefault="00EC2CEE" w:rsidP="00434818">
      <w:pPr>
        <w:pStyle w:val="Heading2"/>
      </w:pPr>
      <w:r>
        <w:t xml:space="preserve">Nuclear Site Licence Conditions </w:t>
      </w:r>
    </w:p>
    <w:p w14:paraId="12FE14DB" w14:textId="2126ED28" w:rsidR="00EC2CEE" w:rsidRDefault="00EC2CEE" w:rsidP="007D4C48">
      <w:pPr>
        <w:pStyle w:val="F9-Paragraph"/>
      </w:pPr>
      <w:r>
        <w:t xml:space="preserve">The following site licence conditions </w:t>
      </w:r>
      <w:r w:rsidR="00412261">
        <w:t xml:space="preserve">(LCs) </w:t>
      </w:r>
      <w:r>
        <w:t xml:space="preserve">are </w:t>
      </w:r>
      <w:r w:rsidR="009D6BF3">
        <w:t>relevant</w:t>
      </w:r>
      <w:r>
        <w:t xml:space="preserve"> to this TAG:</w:t>
      </w:r>
    </w:p>
    <w:p w14:paraId="3872C810" w14:textId="0C54AC0F" w:rsidR="00EC2CEE" w:rsidRDefault="00EC2CEE" w:rsidP="005F01F0">
      <w:pPr>
        <w:pStyle w:val="Bulletlist1"/>
      </w:pPr>
      <w:r>
        <w:rPr>
          <w:b/>
        </w:rPr>
        <w:t>LC 6 – Documents, Records, Authorities and Certificates</w:t>
      </w:r>
      <w:r>
        <w:t xml:space="preserve">. </w:t>
      </w:r>
      <w:r w:rsidR="00434818">
        <w:br/>
      </w:r>
      <w:r>
        <w:t>The licensee shall make adequate records to demonstrate compliance with any of the conditions attached to the nuclear site licence.</w:t>
      </w:r>
      <w:r w:rsidR="00317A5F">
        <w:t xml:space="preserve"> </w:t>
      </w:r>
      <w:r w:rsidR="00B560A1">
        <w:br/>
      </w:r>
      <w:r>
        <w:t>The licensee’s</w:t>
      </w:r>
      <w:r w:rsidR="005609E9">
        <w:t xml:space="preserve"> MoC </w:t>
      </w:r>
      <w:r>
        <w:t>arrangements should include provision for the identification and management of records arising from implementation of the arrangements.</w:t>
      </w:r>
    </w:p>
    <w:p w14:paraId="67F1A81D" w14:textId="6D64D27F" w:rsidR="008C34AB" w:rsidRDefault="008C34AB" w:rsidP="005F01F0">
      <w:pPr>
        <w:pStyle w:val="Bulletlist1"/>
      </w:pPr>
      <w:r w:rsidRPr="00544C16">
        <w:rPr>
          <w:b/>
        </w:rPr>
        <w:t>LC 10 – Training</w:t>
      </w:r>
      <w:r w:rsidRPr="006A56B8">
        <w:t>.</w:t>
      </w:r>
      <w:r>
        <w:t xml:space="preserve"> </w:t>
      </w:r>
      <w:r w:rsidRPr="006A56B8">
        <w:t>The licensee shall make and implement adequate arrangements for suitable training of all those on site who have responsibility for any operations which may affect safety.</w:t>
      </w:r>
      <w:r>
        <w:t xml:space="preserve"> Staff fulfilling NB roles,</w:t>
      </w:r>
      <w:r w:rsidRPr="006A56B8">
        <w:t xml:space="preserve"> as roles which may affect safety, </w:t>
      </w:r>
      <w:r w:rsidR="00E27BE6">
        <w:t>shall</w:t>
      </w:r>
      <w:r w:rsidRPr="006A56B8">
        <w:t xml:space="preserve"> be suitably trained to fulfil those roles.</w:t>
      </w:r>
    </w:p>
    <w:p w14:paraId="2671D1A0" w14:textId="4FEC5077" w:rsidR="00EC2CEE" w:rsidRDefault="00EC2CEE" w:rsidP="005F01F0">
      <w:pPr>
        <w:pStyle w:val="Bulletlist1"/>
      </w:pPr>
      <w:r>
        <w:rPr>
          <w:b/>
        </w:rPr>
        <w:t>LC12 – Duly Authorised and Other Suitably Qualified and Experienced Persons</w:t>
      </w:r>
      <w:r>
        <w:t>. The licensee shall make and implement adequate arrangements to ensure that only suitably qualified and experienced persons perform any duties which may affect the safety of operations on the site.</w:t>
      </w:r>
      <w:r w:rsidR="00317A5F">
        <w:t xml:space="preserve"> </w:t>
      </w:r>
      <w:r>
        <w:t xml:space="preserve">Persons fulfilling management of organisational change roles, as roles which may affect the safety of operations, </w:t>
      </w:r>
      <w:r w:rsidR="00B146DE">
        <w:t>shall</w:t>
      </w:r>
      <w:r>
        <w:t xml:space="preserve"> be suitably qualified and experienced to fulfil those roles.</w:t>
      </w:r>
    </w:p>
    <w:p w14:paraId="7783A95C" w14:textId="2C74721C" w:rsidR="00EC2CEE" w:rsidRDefault="00EC2CEE" w:rsidP="005F01F0">
      <w:pPr>
        <w:pStyle w:val="Bulletlist1"/>
        <w:rPr>
          <w:rFonts w:cs="Times New Roman"/>
        </w:rPr>
      </w:pPr>
      <w:r>
        <w:rPr>
          <w:rFonts w:cs="Times New Roman"/>
          <w:b/>
        </w:rPr>
        <w:lastRenderedPageBreak/>
        <w:t>LC 17 – Management Systems</w:t>
      </w:r>
      <w:r>
        <w:t>. The licensee shall establish and implement adequate quality management arrangements in respect of all matters which may affect safety.</w:t>
      </w:r>
      <w:r w:rsidR="005609E9">
        <w:t xml:space="preserve"> MoC </w:t>
      </w:r>
      <w:r>
        <w:t>arrangements should be an integral part of the licensee’s management system.</w:t>
      </w:r>
    </w:p>
    <w:p w14:paraId="11051E25" w14:textId="6151344B" w:rsidR="00EC2CEE" w:rsidRPr="00AA03E7" w:rsidRDefault="00EC2CEE" w:rsidP="005F01F0">
      <w:pPr>
        <w:pStyle w:val="Bulletlist1"/>
        <w:rPr>
          <w:rFonts w:cs="Times New Roman"/>
          <w:szCs w:val="24"/>
        </w:rPr>
      </w:pPr>
      <w:r>
        <w:rPr>
          <w:b/>
        </w:rPr>
        <w:t>LC 26 – Control and Supervision of Operations</w:t>
      </w:r>
      <w:r>
        <w:t>. The licensee shall ensure that no operations are carried out which may affect safety except under the control and supervision of suitably qualified and experienced persons appointed for that purpose by the licensee.</w:t>
      </w:r>
      <w:r w:rsidR="00317A5F">
        <w:t xml:space="preserve"> </w:t>
      </w:r>
      <w:r>
        <w:t>Persons fulfilling</w:t>
      </w:r>
      <w:r w:rsidR="005609E9">
        <w:t xml:space="preserve"> MoC </w:t>
      </w:r>
      <w:r>
        <w:t>roles, as roles which may affect the safety of operations, should be SQEP.</w:t>
      </w:r>
    </w:p>
    <w:p w14:paraId="0C621E54" w14:textId="3745BA9D" w:rsidR="00EC2CEE" w:rsidRPr="00EB0776" w:rsidRDefault="00EC2CEE" w:rsidP="005F01F0">
      <w:pPr>
        <w:pStyle w:val="Bulletlist1"/>
      </w:pPr>
      <w:r w:rsidRPr="00E74333">
        <w:rPr>
          <w:b/>
        </w:rPr>
        <w:t xml:space="preserve">LC 36 </w:t>
      </w:r>
      <w:r w:rsidRPr="00EB0776">
        <w:rPr>
          <w:b/>
        </w:rPr>
        <w:t>– Organisational Capability.</w:t>
      </w:r>
      <w:r w:rsidR="00317A5F">
        <w:rPr>
          <w:b/>
        </w:rPr>
        <w:t xml:space="preserve"> </w:t>
      </w:r>
      <w:r w:rsidRPr="00EB0776">
        <w:t xml:space="preserve">The licensee shall provide and maintain adequate financial and human resources to ensure the safe operation of the licensed site, and make and implement arrangements to control any change to </w:t>
      </w:r>
      <w:r>
        <w:t>its</w:t>
      </w:r>
      <w:r w:rsidRPr="00EB0776">
        <w:t xml:space="preserve"> organisation</w:t>
      </w:r>
      <w:r>
        <w:t>al</w:t>
      </w:r>
      <w:r w:rsidRPr="00EB0776">
        <w:t xml:space="preserve"> structure or resources which may affect safety.</w:t>
      </w:r>
    </w:p>
    <w:p w14:paraId="61743AA0" w14:textId="12A42CB4" w:rsidR="00EC2CEE" w:rsidRPr="00EC2CEE" w:rsidRDefault="00EC2CEE" w:rsidP="00EC2CEE">
      <w:pPr>
        <w:sectPr w:rsidR="00EC2CEE" w:rsidRPr="00EC2CEE" w:rsidSect="00434818">
          <w:pgSz w:w="11906" w:h="16838" w:code="9"/>
          <w:pgMar w:top="1440" w:right="1440" w:bottom="1440" w:left="1440" w:header="397" w:footer="397" w:gutter="0"/>
          <w:cols w:space="312"/>
          <w:docGrid w:linePitch="360"/>
        </w:sectPr>
      </w:pPr>
    </w:p>
    <w:p w14:paraId="219A98D5" w14:textId="2B54B0D3" w:rsidR="00140E1C" w:rsidRDefault="000950B3" w:rsidP="00E90780">
      <w:pPr>
        <w:pStyle w:val="Heading1"/>
      </w:pPr>
      <w:bookmarkStart w:id="5" w:name="_Toc172196367"/>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5"/>
    </w:p>
    <w:p w14:paraId="185CC1FA" w14:textId="77777777" w:rsidR="007B576F" w:rsidRDefault="007B576F" w:rsidP="00434818">
      <w:pPr>
        <w:pStyle w:val="Heading2"/>
        <w:rPr>
          <w:lang w:val="en"/>
        </w:rPr>
      </w:pPr>
      <w:r>
        <w:rPr>
          <w:lang w:val="en"/>
        </w:rPr>
        <w:t>Safety Assessment Principles</w:t>
      </w:r>
    </w:p>
    <w:p w14:paraId="398A517D" w14:textId="4C237DEC" w:rsidR="007B576F" w:rsidRDefault="007B576F" w:rsidP="007D4C48">
      <w:pPr>
        <w:pStyle w:val="F9-Paragraph"/>
      </w:pPr>
      <w:r>
        <w:t xml:space="preserve">The </w:t>
      </w:r>
      <w:r w:rsidRPr="007F5965">
        <w:rPr>
          <w:bCs/>
        </w:rPr>
        <w:t xml:space="preserve">Safety Assessment Principles </w:t>
      </w:r>
      <w:r w:rsidR="005F01F0">
        <w:rPr>
          <w:bCs/>
        </w:rPr>
        <w:t xml:space="preserve">(SAPs) </w:t>
      </w:r>
      <w:r w:rsidRPr="007F5965">
        <w:rPr>
          <w:bCs/>
        </w:rPr>
        <w:t>for Nuclear Facilities</w:t>
      </w:r>
      <w:r w:rsidR="005262BF">
        <w:rPr>
          <w:bCs/>
        </w:rPr>
        <w:t xml:space="preserve"> </w:t>
      </w:r>
      <w:r w:rsidR="007D4C48">
        <w:rPr>
          <w:bCs/>
        </w:rPr>
        <w:t>(ref.</w:t>
      </w:r>
      <w:r w:rsidR="005262BF">
        <w:rPr>
          <w:bCs/>
        </w:rPr>
        <w:t xml:space="preserve"> </w:t>
      </w:r>
      <w:sdt>
        <w:sdtPr>
          <w:rPr>
            <w:bCs/>
          </w:rPr>
          <w:id w:val="-93021837"/>
          <w:citation/>
        </w:sdtPr>
        <w:sdtEndPr/>
        <w:sdtContent>
          <w:r w:rsidR="005262BF">
            <w:rPr>
              <w:bCs/>
            </w:rPr>
            <w:fldChar w:fldCharType="begin"/>
          </w:r>
          <w:r w:rsidR="005262BF">
            <w:rPr>
              <w:bCs/>
            </w:rPr>
            <w:instrText xml:space="preserve"> CITATION ONR2013 \l 2057 </w:instrText>
          </w:r>
          <w:r w:rsidR="005262BF">
            <w:rPr>
              <w:bCs/>
            </w:rPr>
            <w:fldChar w:fldCharType="separate"/>
          </w:r>
          <w:r w:rsidR="00166CB3">
            <w:rPr>
              <w:noProof/>
            </w:rPr>
            <w:t>[1]</w:t>
          </w:r>
          <w:r w:rsidR="005262BF">
            <w:rPr>
              <w:bCs/>
            </w:rPr>
            <w:fldChar w:fldCharType="end"/>
          </w:r>
        </w:sdtContent>
      </w:sdt>
      <w:r w:rsidRPr="007F5965">
        <w:rPr>
          <w:bCs/>
        </w:rPr>
        <w:t>)</w:t>
      </w:r>
      <w:r>
        <w:rPr>
          <w:b/>
          <w:bCs/>
        </w:rPr>
        <w:t xml:space="preserve"> </w:t>
      </w:r>
      <w:r>
        <w:t>provide a framework to guide regulatory decision making in the nuclear permissioning process.</w:t>
      </w:r>
      <w:r w:rsidR="00317A5F">
        <w:t xml:space="preserve"> </w:t>
      </w:r>
      <w:r>
        <w:t>They are supported by TAGs which further aid the decision-making process.</w:t>
      </w:r>
      <w:r w:rsidR="00317A5F">
        <w:t xml:space="preserve"> </w:t>
      </w:r>
      <w:r>
        <w:t>The following principles are relevan</w:t>
      </w:r>
      <w:r w:rsidR="0025228D">
        <w:t>t</w:t>
      </w:r>
      <w:r>
        <w:t xml:space="preserve"> to this TAG:</w:t>
      </w:r>
    </w:p>
    <w:p w14:paraId="0A64EEB2" w14:textId="77777777" w:rsidR="007B576F" w:rsidRPr="007F5965" w:rsidRDefault="007B576F" w:rsidP="005F01F0">
      <w:pPr>
        <w:pStyle w:val="Bulletlist1"/>
      </w:pPr>
      <w:r w:rsidRPr="005F01F0">
        <w:rPr>
          <w:b/>
          <w:bCs w:val="0"/>
        </w:rPr>
        <w:t>MS.1 – Leadership</w:t>
      </w:r>
      <w:r>
        <w:t>. Identifies the need for oversight of nuclear safety performance and a Management System.</w:t>
      </w:r>
    </w:p>
    <w:p w14:paraId="5D25E4AD" w14:textId="77777777" w:rsidR="007B576F" w:rsidRPr="007F5965" w:rsidRDefault="007B576F" w:rsidP="005F01F0">
      <w:pPr>
        <w:pStyle w:val="Bulletlist1"/>
      </w:pPr>
      <w:r w:rsidRPr="005F01F0">
        <w:rPr>
          <w:b/>
          <w:bCs w:val="0"/>
        </w:rPr>
        <w:t>MS.2 – Capable Organisation</w:t>
      </w:r>
      <w:r>
        <w:t>. Identifies the need for changes to the organisation to be systematically evaluated to ensure that they do not adversely affect nuclear safety management capabilities.</w:t>
      </w:r>
    </w:p>
    <w:p w14:paraId="11C29BAA" w14:textId="77777777" w:rsidR="007B576F" w:rsidRDefault="007B576F" w:rsidP="005F01F0">
      <w:pPr>
        <w:pStyle w:val="Bulletlist1"/>
      </w:pPr>
      <w:r w:rsidRPr="005F01F0">
        <w:rPr>
          <w:b/>
          <w:bCs w:val="0"/>
        </w:rPr>
        <w:t>MS.3 – Decision Making</w:t>
      </w:r>
      <w:r>
        <w:t>. Identifies the need for decision making to be based on processes that ensure the conflict between nuclear safety and other business goals, including commercial and schedule pressures and external influences, are recognised and resolved.</w:t>
      </w:r>
    </w:p>
    <w:p w14:paraId="71DA81ED" w14:textId="0E23301F" w:rsidR="007B576F" w:rsidRDefault="007B576F" w:rsidP="005F01F0">
      <w:pPr>
        <w:pStyle w:val="Bulletlist1"/>
      </w:pPr>
      <w:r w:rsidRPr="005F01F0">
        <w:rPr>
          <w:b/>
          <w:bCs w:val="0"/>
        </w:rPr>
        <w:t>MS.4 – Learning</w:t>
      </w:r>
      <w:r>
        <w:t>.</w:t>
      </w:r>
      <w:r w:rsidR="00317A5F">
        <w:t xml:space="preserve"> </w:t>
      </w:r>
      <w:r>
        <w:t>Identifies the need for lessons to be learned from internal and external sources to continually improve leadership, organisational capability, safety decision making and safety performance</w:t>
      </w:r>
    </w:p>
    <w:p w14:paraId="2AAA7B58" w14:textId="67C577DC" w:rsidR="00F03BF9" w:rsidRPr="006B2D17" w:rsidRDefault="00F03BF9" w:rsidP="005F01F0">
      <w:pPr>
        <w:pStyle w:val="Bulletlist1"/>
      </w:pPr>
      <w:r w:rsidRPr="005F01F0">
        <w:rPr>
          <w:b/>
          <w:bCs w:val="0"/>
        </w:rPr>
        <w:t>EHF.5. – Task Analysis</w:t>
      </w:r>
      <w:r>
        <w:t>.</w:t>
      </w:r>
      <w:r w:rsidR="00434818">
        <w:t xml:space="preserve"> </w:t>
      </w:r>
      <w:r>
        <w:t>Identifies the need to conduct p</w:t>
      </w:r>
      <w:r w:rsidRPr="006B2D17">
        <w:t>roportionate analysis of all tasks important to safety to justify the effective delivery of the safety functions to which they contribute.</w:t>
      </w:r>
      <w:r w:rsidR="00434818">
        <w:t xml:space="preserve"> </w:t>
      </w:r>
      <w:r>
        <w:t xml:space="preserve">The analysis </w:t>
      </w:r>
      <w:r w:rsidRPr="006B2D17">
        <w:t>should be applied to all actions</w:t>
      </w:r>
      <w:r>
        <w:t xml:space="preserve"> identified as impacting safety</w:t>
      </w:r>
      <w:r w:rsidRPr="006B2D17">
        <w:t xml:space="preserve"> and </w:t>
      </w:r>
      <w:r>
        <w:t xml:space="preserve">the administrative </w:t>
      </w:r>
      <w:r w:rsidRPr="006B2D17">
        <w:t>controls</w:t>
      </w:r>
      <w:r>
        <w:t xml:space="preserve"> needed to remain within operating rules for normal operation or return back to normal operations.</w:t>
      </w:r>
      <w:r w:rsidR="00434818">
        <w:t xml:space="preserve"> </w:t>
      </w:r>
      <w:r w:rsidRPr="006B2D17">
        <w:t>The workload of personnel required to undertake these actions and controls should be analysed and demonstrated to be reasonably achievable.</w:t>
      </w:r>
      <w:r w:rsidR="00434818">
        <w:t xml:space="preserve"> </w:t>
      </w:r>
      <w:r>
        <w:t xml:space="preserve">The analysis should help </w:t>
      </w:r>
      <w:r w:rsidRPr="006B2D17">
        <w:t>define operator roles and responsibilities, staffing levels, personnel competence and training needs</w:t>
      </w:r>
      <w:r>
        <w:t xml:space="preserve"> and</w:t>
      </w:r>
      <w:r w:rsidRPr="006B2D17">
        <w:t xml:space="preserve"> communication networks</w:t>
      </w:r>
      <w:r>
        <w:t>.</w:t>
      </w:r>
      <w:r w:rsidR="00434818">
        <w:t xml:space="preserve"> </w:t>
      </w:r>
      <w:r w:rsidR="005F01F0">
        <w:br/>
      </w:r>
      <w:r>
        <w:t>The workload of personnel and its impact on the effective completion of tasks important to safety should be reviewed in periodic safety reviews and as part of emergency demonstration exercises.</w:t>
      </w:r>
    </w:p>
    <w:p w14:paraId="694AA819" w14:textId="3163F0DB" w:rsidR="00F03BF9" w:rsidRPr="006B2D17" w:rsidRDefault="00F03BF9" w:rsidP="005F01F0">
      <w:pPr>
        <w:pStyle w:val="Bulletlist1"/>
      </w:pPr>
      <w:r w:rsidRPr="005F01F0">
        <w:rPr>
          <w:b/>
          <w:bCs w:val="0"/>
        </w:rPr>
        <w:t>EHF.11. – Staffing Levels</w:t>
      </w:r>
      <w:r w:rsidRPr="00F912F7">
        <w:t>.</w:t>
      </w:r>
      <w:r w:rsidR="00434818">
        <w:t xml:space="preserve"> </w:t>
      </w:r>
      <w:r w:rsidRPr="0067694F">
        <w:t>Specifies that t</w:t>
      </w:r>
      <w:r w:rsidRPr="00F912F7">
        <w:t>here</w:t>
      </w:r>
      <w:r w:rsidRPr="006B2D17">
        <w:t xml:space="preserve"> should be sufficient competent personnel available to operate the facility in all operational states.</w:t>
      </w:r>
      <w:r>
        <w:t xml:space="preserve"> </w:t>
      </w:r>
    </w:p>
    <w:p w14:paraId="701FABB5" w14:textId="61F62723" w:rsidR="00F03BF9" w:rsidRPr="006B2D17" w:rsidRDefault="00F03BF9" w:rsidP="005F01F0">
      <w:pPr>
        <w:pStyle w:val="Bulletlist1"/>
      </w:pPr>
      <w:r w:rsidRPr="00166CB3">
        <w:rPr>
          <w:b/>
          <w:bCs w:val="0"/>
        </w:rPr>
        <w:lastRenderedPageBreak/>
        <w:t>DC.7. – Decommissioning Organisation</w:t>
      </w:r>
      <w:r w:rsidRPr="004F4435">
        <w:t>.</w:t>
      </w:r>
      <w:r w:rsidR="00434818">
        <w:t xml:space="preserve"> </w:t>
      </w:r>
      <w:r>
        <w:t xml:space="preserve">Identifies that the </w:t>
      </w:r>
      <w:r w:rsidRPr="006B2D17">
        <w:t>safety case should demonstrate an appropriate management organisation, and adequate personnel resources, to ensure that decommissioning can be completed safely. The continued suitability of these should be demonstrated through an organisation and staffing baseline. The design of the organisational structure will depend upon the activities to be carried out and will need to be determined on a case-by-case basis</w:t>
      </w:r>
      <w:r>
        <w:t>.</w:t>
      </w:r>
      <w:r w:rsidRPr="006B2D17">
        <w:t xml:space="preserve"> </w:t>
      </w:r>
    </w:p>
    <w:p w14:paraId="0A0B3CC9" w14:textId="632878A5" w:rsidR="00F03BF9" w:rsidRPr="0067694F" w:rsidRDefault="00F03BF9" w:rsidP="005F01F0">
      <w:pPr>
        <w:pStyle w:val="Bulletlist1"/>
      </w:pPr>
      <w:r w:rsidRPr="00166CB3">
        <w:rPr>
          <w:b/>
          <w:bCs w:val="0"/>
        </w:rPr>
        <w:t>AM.1. Planning and Preparedness</w:t>
      </w:r>
      <w:r>
        <w:t>.</w:t>
      </w:r>
      <w:r w:rsidR="00434818">
        <w:t xml:space="preserve"> </w:t>
      </w:r>
      <w:r>
        <w:t xml:space="preserve">Specifies that </w:t>
      </w:r>
      <w:bookmarkStart w:id="6" w:name="_WENRA_Safety_Reference"/>
      <w:bookmarkEnd w:id="6"/>
      <w:r>
        <w:t>the accident management strategy should identify the number of operators and other site staff needed to address different types of accidents and the skills that they need.</w:t>
      </w:r>
    </w:p>
    <w:p w14:paraId="66B751A3" w14:textId="258CE6FC" w:rsidR="007B576F" w:rsidRDefault="007B576F" w:rsidP="00434818">
      <w:pPr>
        <w:pStyle w:val="Heading2"/>
      </w:pPr>
      <w:r>
        <w:t>Technical Assessment Guides</w:t>
      </w:r>
    </w:p>
    <w:p w14:paraId="21C3D3D3" w14:textId="58CBF495" w:rsidR="007B576F" w:rsidRDefault="007B576F" w:rsidP="007D4C48">
      <w:pPr>
        <w:pStyle w:val="F9-Paragraph"/>
      </w:pPr>
      <w:r>
        <w:t xml:space="preserve">The following </w:t>
      </w:r>
      <w:r w:rsidR="005262BF">
        <w:t>TAGs</w:t>
      </w:r>
      <w:r>
        <w:t xml:space="preserve"> are applicable to this TAG:</w:t>
      </w:r>
    </w:p>
    <w:p w14:paraId="157CA383" w14:textId="00DB65D2" w:rsidR="007B576F" w:rsidRPr="001422D4" w:rsidRDefault="007B576F" w:rsidP="005F01F0">
      <w:pPr>
        <w:pStyle w:val="Bulletlist1"/>
      </w:pPr>
      <w:r w:rsidRPr="00166CB3">
        <w:rPr>
          <w:b/>
          <w:bCs w:val="0"/>
        </w:rPr>
        <w:t>NS-TAST-GD-027 – Training and Assuring Personnel Competence</w:t>
      </w:r>
      <w:r w:rsidRPr="001422D4">
        <w:t xml:space="preserve"> </w:t>
      </w:r>
      <w:r w:rsidR="00434818" w:rsidRPr="001422D4">
        <w:br/>
      </w:r>
      <w:r w:rsidR="007D4C48">
        <w:t>(ref.</w:t>
      </w:r>
      <w:r w:rsidR="00560BC6" w:rsidRPr="001422D4">
        <w:t xml:space="preserve"> </w:t>
      </w:r>
      <w:sdt>
        <w:sdtPr>
          <w:id w:val="1633670809"/>
          <w:citation/>
        </w:sdtPr>
        <w:sdtEndPr/>
        <w:sdtContent>
          <w:r w:rsidR="00560BC6" w:rsidRPr="001422D4">
            <w:fldChar w:fldCharType="begin"/>
          </w:r>
          <w:r w:rsidR="00560BC6" w:rsidRPr="001422D4">
            <w:instrText xml:space="preserve"> CITATION ONR51 \l 2057 </w:instrText>
          </w:r>
          <w:r w:rsidR="00560BC6" w:rsidRPr="001422D4">
            <w:fldChar w:fldCharType="separate"/>
          </w:r>
          <w:r w:rsidR="00166CB3" w:rsidRPr="00166CB3">
            <w:rPr>
              <w:noProof/>
            </w:rPr>
            <w:t>[7]</w:t>
          </w:r>
          <w:r w:rsidR="00560BC6" w:rsidRPr="001422D4">
            <w:fldChar w:fldCharType="end"/>
          </w:r>
        </w:sdtContent>
      </w:sdt>
      <w:r w:rsidR="00560BC6" w:rsidRPr="001422D4">
        <w:t xml:space="preserve">) </w:t>
      </w:r>
      <w:r w:rsidRPr="001422D4">
        <w:t>- This TAG addresses the means by which the licensee demonstrates that it has a systematic approach to identification and delivery of personnel competence and its training processes and arrangements for assuring personnel competence.</w:t>
      </w:r>
    </w:p>
    <w:p w14:paraId="41B38474" w14:textId="18CECBA9" w:rsidR="007B576F" w:rsidRPr="001422D4" w:rsidRDefault="007B576F" w:rsidP="005F01F0">
      <w:pPr>
        <w:pStyle w:val="Bulletlist1"/>
      </w:pPr>
      <w:r w:rsidRPr="00166CB3">
        <w:rPr>
          <w:b/>
          <w:bCs w:val="0"/>
        </w:rPr>
        <w:t>NS-TAST-GD-049 – Licensee Core and Intelligent Customer Capabilities</w:t>
      </w:r>
      <w:r w:rsidRPr="001422D4">
        <w:t xml:space="preserve"> </w:t>
      </w:r>
      <w:r w:rsidR="007D4C48">
        <w:t>(ref.</w:t>
      </w:r>
      <w:r w:rsidR="00560BC6" w:rsidRPr="001422D4">
        <w:t xml:space="preserve"> </w:t>
      </w:r>
      <w:sdt>
        <w:sdtPr>
          <w:id w:val="1190952849"/>
          <w:citation/>
        </w:sdtPr>
        <w:sdtEndPr/>
        <w:sdtContent>
          <w:r w:rsidR="00560BC6" w:rsidRPr="001422D4">
            <w:fldChar w:fldCharType="begin"/>
          </w:r>
          <w:r w:rsidR="00560BC6" w:rsidRPr="001422D4">
            <w:instrText xml:space="preserve"> CITATION ONR77 \l 2057 </w:instrText>
          </w:r>
          <w:r w:rsidR="00560BC6" w:rsidRPr="001422D4">
            <w:fldChar w:fldCharType="separate"/>
          </w:r>
          <w:r w:rsidR="00166CB3" w:rsidRPr="00166CB3">
            <w:rPr>
              <w:noProof/>
            </w:rPr>
            <w:t>[8]</w:t>
          </w:r>
          <w:r w:rsidR="00560BC6" w:rsidRPr="001422D4">
            <w:fldChar w:fldCharType="end"/>
          </w:r>
        </w:sdtContent>
      </w:sdt>
      <w:r w:rsidR="00560BC6" w:rsidRPr="001422D4">
        <w:t xml:space="preserve">) </w:t>
      </w:r>
      <w:r w:rsidRPr="001422D4">
        <w:t>- This TAG addresses the means by which the licensee demonstrates that it has sufficient in-house expertise to maintain control and oversight of nuclear safety at all times, and the use and oversight of contractors whose work has the potential to impact on nuclear safety</w:t>
      </w:r>
    </w:p>
    <w:p w14:paraId="0B2B8F4F" w14:textId="7454E1FC" w:rsidR="007B576F" w:rsidRPr="001422D4" w:rsidRDefault="007B576F" w:rsidP="005F01F0">
      <w:pPr>
        <w:pStyle w:val="Bulletlist1"/>
      </w:pPr>
      <w:r w:rsidRPr="00166CB3">
        <w:rPr>
          <w:b/>
          <w:bCs w:val="0"/>
        </w:rPr>
        <w:t>NS-TAST-GD-050 – Periodic Safety Reviews</w:t>
      </w:r>
      <w:r w:rsidR="003B606F" w:rsidRPr="001422D4">
        <w:t xml:space="preserve"> </w:t>
      </w:r>
      <w:r w:rsidR="007D4C48">
        <w:t>(ref.</w:t>
      </w:r>
      <w:r w:rsidR="003B606F" w:rsidRPr="001422D4">
        <w:t xml:space="preserve"> </w:t>
      </w:r>
      <w:sdt>
        <w:sdtPr>
          <w:id w:val="1555120475"/>
          <w:citation/>
        </w:sdtPr>
        <w:sdtEndPr/>
        <w:sdtContent>
          <w:r w:rsidR="003B606F" w:rsidRPr="001422D4">
            <w:fldChar w:fldCharType="begin"/>
          </w:r>
          <w:r w:rsidR="003B606F" w:rsidRPr="001422D4">
            <w:instrText xml:space="preserve"> CITATION ONR050 \l 2057 </w:instrText>
          </w:r>
          <w:r w:rsidR="003B606F" w:rsidRPr="001422D4">
            <w:fldChar w:fldCharType="separate"/>
          </w:r>
          <w:r w:rsidR="00166CB3" w:rsidRPr="00166CB3">
            <w:rPr>
              <w:noProof/>
            </w:rPr>
            <w:t>[9]</w:t>
          </w:r>
          <w:r w:rsidR="003B606F" w:rsidRPr="001422D4">
            <w:fldChar w:fldCharType="end"/>
          </w:r>
        </w:sdtContent>
      </w:sdt>
      <w:r w:rsidR="00162183" w:rsidRPr="001422D4">
        <w:t>)</w:t>
      </w:r>
      <w:r w:rsidRPr="001422D4">
        <w:t xml:space="preserve"> - This TAG expects a Periodic Safety Review (PSR) to review changes to the licensee’s organisational structure and resources to consider their cumulative impact and to determine if the current position is adequate for continued safe operation of the plant or site</w:t>
      </w:r>
    </w:p>
    <w:p w14:paraId="3ADE54A9" w14:textId="094835FD" w:rsidR="00F03BF9" w:rsidRPr="001422D4" w:rsidRDefault="00F03BF9" w:rsidP="005F01F0">
      <w:pPr>
        <w:pStyle w:val="Bulletlist1"/>
      </w:pPr>
      <w:r w:rsidRPr="00166CB3">
        <w:rPr>
          <w:b/>
          <w:bCs w:val="0"/>
        </w:rPr>
        <w:t>NS-TAST-GD-061 – Staffing Levels and Task Organisation</w:t>
      </w:r>
      <w:r w:rsidR="00162183" w:rsidRPr="001422D4">
        <w:t xml:space="preserve"> </w:t>
      </w:r>
      <w:r w:rsidR="007D4C48">
        <w:t>(ref.</w:t>
      </w:r>
      <w:r w:rsidR="00162183" w:rsidRPr="001422D4">
        <w:t xml:space="preserve"> </w:t>
      </w:r>
      <w:sdt>
        <w:sdtPr>
          <w:id w:val="1776594489"/>
          <w:citation/>
        </w:sdtPr>
        <w:sdtEndPr/>
        <w:sdtContent>
          <w:r w:rsidR="00162183" w:rsidRPr="001422D4">
            <w:fldChar w:fldCharType="begin"/>
          </w:r>
          <w:r w:rsidR="00162183" w:rsidRPr="001422D4">
            <w:instrText xml:space="preserve"> CITATION ONR061 \l 2057 </w:instrText>
          </w:r>
          <w:r w:rsidR="00162183" w:rsidRPr="001422D4">
            <w:fldChar w:fldCharType="separate"/>
          </w:r>
          <w:r w:rsidR="00166CB3" w:rsidRPr="00166CB3">
            <w:rPr>
              <w:noProof/>
            </w:rPr>
            <w:t>[10]</w:t>
          </w:r>
          <w:r w:rsidR="00162183" w:rsidRPr="001422D4">
            <w:fldChar w:fldCharType="end"/>
          </w:r>
        </w:sdtContent>
      </w:sdt>
      <w:r w:rsidR="00162183" w:rsidRPr="001422D4">
        <w:t>)</w:t>
      </w:r>
      <w:r w:rsidRPr="001422D4">
        <w:t xml:space="preserve"> - This TAG provides detailed guidance to support the assessment of the approaches and methods used by applicants and licensees to derive, validate and monitor staffing arrangements; and to specify task organisation, in particular, the design of shift work systems and team design. </w:t>
      </w:r>
    </w:p>
    <w:p w14:paraId="372BAE6A" w14:textId="1D6B0829" w:rsidR="007B576F" w:rsidRDefault="007B576F" w:rsidP="005F01F0">
      <w:pPr>
        <w:pStyle w:val="Bulletlist1"/>
      </w:pPr>
      <w:r w:rsidRPr="00166CB3">
        <w:rPr>
          <w:b/>
          <w:bCs w:val="0"/>
        </w:rPr>
        <w:t>NS-TAST-GD-065 – Function and Content of the Nuclear Baseline</w:t>
      </w:r>
      <w:r w:rsidRPr="004F4435">
        <w:t xml:space="preserve"> </w:t>
      </w:r>
      <w:r w:rsidR="00434818">
        <w:br/>
      </w:r>
      <w:r w:rsidR="007D4C48">
        <w:t>(ref.</w:t>
      </w:r>
      <w:r w:rsidR="00162183">
        <w:t xml:space="preserve"> </w:t>
      </w:r>
      <w:sdt>
        <w:sdtPr>
          <w:id w:val="-476370050"/>
          <w:citation/>
        </w:sdtPr>
        <w:sdtEndPr/>
        <w:sdtContent>
          <w:r w:rsidR="00DC0F8E">
            <w:fldChar w:fldCharType="begin"/>
          </w:r>
          <w:r w:rsidR="00DC0F8E">
            <w:instrText xml:space="preserve"> CITATION ONR74 \l 2057 </w:instrText>
          </w:r>
          <w:r w:rsidR="00DC0F8E">
            <w:fldChar w:fldCharType="separate"/>
          </w:r>
          <w:r w:rsidR="00166CB3" w:rsidRPr="00166CB3">
            <w:rPr>
              <w:noProof/>
            </w:rPr>
            <w:t>[3]</w:t>
          </w:r>
          <w:r w:rsidR="00DC0F8E">
            <w:fldChar w:fldCharType="end"/>
          </w:r>
        </w:sdtContent>
      </w:sdt>
      <w:r w:rsidR="0025228D">
        <w:t xml:space="preserve">) </w:t>
      </w:r>
      <w:r w:rsidRPr="004F4435">
        <w:t xml:space="preserve">- </w:t>
      </w:r>
      <w:r>
        <w:t>This TAG addresses the means by which the licensee demonstrates that its organisational structure, staffing and competencies are, and remain, suitable and sufficient to manage nuclear safety throughout the full range of the Licensee’s business.</w:t>
      </w:r>
      <w:r w:rsidR="00317A5F">
        <w:t xml:space="preserve"> </w:t>
      </w:r>
      <w:r>
        <w:t>It provides the foundation from which organisational changes can be assessed.</w:t>
      </w:r>
    </w:p>
    <w:p w14:paraId="58F197B1" w14:textId="370CB5C5" w:rsidR="007B576F" w:rsidRDefault="007B576F" w:rsidP="005F01F0">
      <w:pPr>
        <w:pStyle w:val="Bulletlist1"/>
      </w:pPr>
      <w:r w:rsidRPr="00166CB3">
        <w:rPr>
          <w:b/>
          <w:bCs w:val="0"/>
        </w:rPr>
        <w:lastRenderedPageBreak/>
        <w:t>NS-TAST-GD-072 – Function and Content of a Safety Management Prospectus</w:t>
      </w:r>
      <w:r w:rsidRPr="004F4435">
        <w:t xml:space="preserve"> </w:t>
      </w:r>
      <w:r w:rsidR="007D4C48">
        <w:t>(ref.</w:t>
      </w:r>
      <w:r w:rsidR="00FE02BC">
        <w:t xml:space="preserve"> </w:t>
      </w:r>
      <w:sdt>
        <w:sdtPr>
          <w:id w:val="-473522451"/>
          <w:citation/>
        </w:sdtPr>
        <w:sdtEndPr/>
        <w:sdtContent>
          <w:r w:rsidR="00FE02BC">
            <w:fldChar w:fldCharType="begin"/>
          </w:r>
          <w:r w:rsidR="00FE02BC">
            <w:instrText xml:space="preserve"> CITATION ONR072 \l 2057 </w:instrText>
          </w:r>
          <w:r w:rsidR="00FE02BC">
            <w:fldChar w:fldCharType="separate"/>
          </w:r>
          <w:r w:rsidR="00166CB3" w:rsidRPr="00166CB3">
            <w:rPr>
              <w:noProof/>
            </w:rPr>
            <w:t>[11]</w:t>
          </w:r>
          <w:r w:rsidR="00FE02BC">
            <w:fldChar w:fldCharType="end"/>
          </w:r>
        </w:sdtContent>
      </w:sdt>
      <w:r w:rsidR="00FE02BC">
        <w:t xml:space="preserve">) </w:t>
      </w:r>
      <w:r w:rsidRPr="004F4435">
        <w:t>-</w:t>
      </w:r>
      <w:r>
        <w:rPr>
          <w:b/>
        </w:rPr>
        <w:t xml:space="preserve"> </w:t>
      </w:r>
      <w:r>
        <w:t>Element 4 of this TAG requires a licensee to have adequate structures and resources to meet the nuclear safety needs of the business.</w:t>
      </w:r>
    </w:p>
    <w:p w14:paraId="2FD80F1D" w14:textId="699CB024" w:rsidR="00F03BF9" w:rsidRPr="0067694F" w:rsidRDefault="00F03BF9" w:rsidP="005F01F0">
      <w:pPr>
        <w:pStyle w:val="Bulletlist1"/>
      </w:pPr>
      <w:r w:rsidRPr="00166CB3">
        <w:rPr>
          <w:b/>
          <w:bCs w:val="0"/>
        </w:rPr>
        <w:t xml:space="preserve">NS-TAST-GD-077 – Supply Chain Management Arrangements for the Procurement of </w:t>
      </w:r>
      <w:r w:rsidR="00166CB3" w:rsidRPr="00166CB3">
        <w:rPr>
          <w:b/>
          <w:bCs w:val="0"/>
        </w:rPr>
        <w:t>Nuclear</w:t>
      </w:r>
      <w:r w:rsidRPr="00166CB3">
        <w:rPr>
          <w:b/>
          <w:bCs w:val="0"/>
        </w:rPr>
        <w:t xml:space="preserve"> Safety Related Items or Services</w:t>
      </w:r>
      <w:r>
        <w:t xml:space="preserve"> </w:t>
      </w:r>
      <w:r w:rsidR="00166CB3">
        <w:br/>
      </w:r>
      <w:r w:rsidR="007D4C48">
        <w:t>(ref.</w:t>
      </w:r>
      <w:r w:rsidRPr="004F4435">
        <w:t xml:space="preserve"> </w:t>
      </w:r>
      <w:sdt>
        <w:sdtPr>
          <w:id w:val="-2041426889"/>
          <w:citation/>
        </w:sdtPr>
        <w:sdtEndPr/>
        <w:sdtContent>
          <w:r w:rsidR="00FE02BC" w:rsidRPr="004F4435">
            <w:fldChar w:fldCharType="begin"/>
          </w:r>
          <w:r w:rsidR="00FE02BC" w:rsidRPr="004F4435">
            <w:instrText xml:space="preserve"> CITATION ONR077 \l 2057 </w:instrText>
          </w:r>
          <w:r w:rsidR="00FE02BC" w:rsidRPr="004F4435">
            <w:fldChar w:fldCharType="separate"/>
          </w:r>
          <w:r w:rsidR="00166CB3" w:rsidRPr="00166CB3">
            <w:rPr>
              <w:noProof/>
            </w:rPr>
            <w:t>[12]</w:t>
          </w:r>
          <w:r w:rsidR="00FE02BC" w:rsidRPr="004F4435">
            <w:fldChar w:fldCharType="end"/>
          </w:r>
        </w:sdtContent>
      </w:sdt>
      <w:r w:rsidRPr="004F4435">
        <w:t>)</w:t>
      </w:r>
      <w:r>
        <w:t xml:space="preserve"> – specifies that the </w:t>
      </w:r>
      <w:r w:rsidRPr="00F409F6">
        <w:t>Licensee should maintain an ‘Intelligent Customer’ capability for all work carried out on its behalf by suppliers that may impact upon nuclear safety</w:t>
      </w:r>
    </w:p>
    <w:p w14:paraId="0EC88C20" w14:textId="636ED23A" w:rsidR="00F03BF9" w:rsidRPr="00F409F6" w:rsidRDefault="00F03BF9" w:rsidP="005F01F0">
      <w:pPr>
        <w:pStyle w:val="Bulletlist1"/>
      </w:pPr>
      <w:r w:rsidRPr="00166CB3">
        <w:rPr>
          <w:b/>
          <w:bCs w:val="0"/>
        </w:rPr>
        <w:t>NS-TAST-GD-079 – Licensee Design Authority Capability</w:t>
      </w:r>
      <w:r w:rsidRPr="00F409F6">
        <w:t xml:space="preserve"> </w:t>
      </w:r>
      <w:r w:rsidR="007D4C48">
        <w:t>(ref.</w:t>
      </w:r>
      <w:r w:rsidRPr="00F409F6">
        <w:t xml:space="preserve"> </w:t>
      </w:r>
      <w:sdt>
        <w:sdtPr>
          <w:id w:val="-1083213986"/>
          <w:citation/>
        </w:sdtPr>
        <w:sdtEndPr/>
        <w:sdtContent>
          <w:r w:rsidRPr="00F409F6">
            <w:fldChar w:fldCharType="begin"/>
          </w:r>
          <w:r w:rsidRPr="00F409F6">
            <w:instrText xml:space="preserve"> CITATION ONR102 \l 2057 </w:instrText>
          </w:r>
          <w:r w:rsidRPr="00F409F6">
            <w:fldChar w:fldCharType="separate"/>
          </w:r>
          <w:r w:rsidR="00166CB3" w:rsidRPr="00166CB3">
            <w:rPr>
              <w:noProof/>
            </w:rPr>
            <w:t>[13]</w:t>
          </w:r>
          <w:r w:rsidRPr="00F409F6">
            <w:fldChar w:fldCharType="end"/>
          </w:r>
        </w:sdtContent>
      </w:sdt>
      <w:r w:rsidRPr="00F409F6">
        <w:t>) - sets out the broad principles which underpin ONR’s expectations of a licensee’s arrangements to provide and maintain an adequate Design Authority (DA) capability.</w:t>
      </w:r>
    </w:p>
    <w:p w14:paraId="0E5BDD3D" w14:textId="3764173F" w:rsidR="00F03BF9" w:rsidRDefault="00F03BF9" w:rsidP="005F01F0">
      <w:pPr>
        <w:pStyle w:val="Bulletlist1"/>
      </w:pPr>
      <w:r w:rsidRPr="00166CB3">
        <w:rPr>
          <w:b/>
          <w:bCs w:val="0"/>
        </w:rPr>
        <w:t>NS-TAST-GD-080 – Nuclear Safety Advice and Independent Challenge</w:t>
      </w:r>
      <w:r w:rsidRPr="004F4435">
        <w:t xml:space="preserve"> </w:t>
      </w:r>
      <w:r w:rsidR="007D4C48">
        <w:t>(ref.</w:t>
      </w:r>
      <w:r w:rsidRPr="004F4435">
        <w:t xml:space="preserve"> </w:t>
      </w:r>
      <w:sdt>
        <w:sdtPr>
          <w:id w:val="-482927287"/>
          <w:citation/>
        </w:sdtPr>
        <w:sdtEndPr/>
        <w:sdtContent>
          <w:r w:rsidR="00D82373" w:rsidRPr="004F4435">
            <w:fldChar w:fldCharType="begin"/>
          </w:r>
          <w:r w:rsidR="00D82373" w:rsidRPr="004F4435">
            <w:instrText xml:space="preserve"> CITATION ONR080 \l 2057 </w:instrText>
          </w:r>
          <w:r w:rsidR="00D82373" w:rsidRPr="004F4435">
            <w:fldChar w:fldCharType="separate"/>
          </w:r>
          <w:r w:rsidR="00166CB3" w:rsidRPr="00166CB3">
            <w:rPr>
              <w:noProof/>
            </w:rPr>
            <w:t>[14]</w:t>
          </w:r>
          <w:r w:rsidR="00D82373" w:rsidRPr="004F4435">
            <w:fldChar w:fldCharType="end"/>
          </w:r>
        </w:sdtContent>
      </w:sdt>
      <w:r w:rsidRPr="004F4435">
        <w:t>)</w:t>
      </w:r>
      <w:r>
        <w:t xml:space="preserve"> – provides guidance to support the assessment of the adequacy of organisational capability for nuclear safety advice and independent challenge.</w:t>
      </w:r>
    </w:p>
    <w:p w14:paraId="3F9E010E" w14:textId="77777777" w:rsidR="00F03BF9" w:rsidRPr="000C7D11" w:rsidRDefault="00F03BF9" w:rsidP="00434818">
      <w:pPr>
        <w:pStyle w:val="Heading2"/>
      </w:pPr>
      <w:bookmarkStart w:id="7" w:name="_Toc123912514"/>
      <w:r w:rsidRPr="000C7D11">
        <w:t>Licensing of Nuclear Installations</w:t>
      </w:r>
      <w:bookmarkEnd w:id="7"/>
      <w:r w:rsidRPr="000C7D11">
        <w:t xml:space="preserve"> </w:t>
      </w:r>
    </w:p>
    <w:p w14:paraId="2B9B442A" w14:textId="144E4B75" w:rsidR="00F03BF9" w:rsidRPr="004F4435" w:rsidRDefault="00F03BF9" w:rsidP="007D4C48">
      <w:pPr>
        <w:pStyle w:val="F9-Paragraph"/>
      </w:pPr>
      <w:r w:rsidRPr="004F4435">
        <w:t xml:space="preserve">ONRs ‘Licensing Nuclear Installations’ </w:t>
      </w:r>
      <w:r w:rsidR="007D4C48">
        <w:t>(ref.</w:t>
      </w:r>
      <w:r w:rsidRPr="004F4435">
        <w:t xml:space="preserve"> </w:t>
      </w:r>
      <w:sdt>
        <w:sdtPr>
          <w:id w:val="409670587"/>
          <w:citation/>
        </w:sdtPr>
        <w:sdtEndPr/>
        <w:sdtContent>
          <w:r w:rsidRPr="004F4435">
            <w:fldChar w:fldCharType="begin"/>
          </w:r>
          <w:r w:rsidRPr="004F4435">
            <w:instrText xml:space="preserve"> CITATION ONR92 \l 2057 </w:instrText>
          </w:r>
          <w:r w:rsidRPr="004F4435">
            <w:fldChar w:fldCharType="separate"/>
          </w:r>
          <w:r w:rsidR="00166CB3">
            <w:rPr>
              <w:noProof/>
            </w:rPr>
            <w:t>[15]</w:t>
          </w:r>
          <w:r w:rsidRPr="004F4435">
            <w:fldChar w:fldCharType="end"/>
          </w:r>
        </w:sdtContent>
      </w:sdt>
      <w:r w:rsidRPr="004F4435">
        <w:t xml:space="preserve">) sets out ONRs expectations of a licensee’s </w:t>
      </w:r>
      <w:r w:rsidR="00A01412">
        <w:t>Nuclear Baseline (NB)</w:t>
      </w:r>
      <w:r w:rsidRPr="004F4435">
        <w:t xml:space="preserve"> as a demonstration that the licensee has suitable and sufficient organisation</w:t>
      </w:r>
      <w:r w:rsidR="0040215E">
        <w:t>al</w:t>
      </w:r>
      <w:r w:rsidRPr="004F4435">
        <w:t xml:space="preserve"> structures, staffing and competences in place to effectively and reliably carry out those activities which could impact on nuclear safety.</w:t>
      </w:r>
    </w:p>
    <w:p w14:paraId="2A463913" w14:textId="5AAEB300" w:rsidR="00F03BF9" w:rsidRPr="00F03BF9" w:rsidRDefault="00F03BF9" w:rsidP="007D4C48">
      <w:pPr>
        <w:pStyle w:val="F9-Paragraph"/>
      </w:pPr>
      <w:r w:rsidRPr="004F4435">
        <w:t>It also sets out ONR’s expectation that the organisation</w:t>
      </w:r>
      <w:r w:rsidR="0040215E">
        <w:t>al</w:t>
      </w:r>
      <w:r w:rsidRPr="004F4435">
        <w:t xml:space="preserve"> and management structure</w:t>
      </w:r>
      <w:r w:rsidR="0040215E">
        <w:t>s</w:t>
      </w:r>
      <w:r w:rsidRPr="004F4435">
        <w:t xml:space="preserve"> set out in the </w:t>
      </w:r>
      <w:r w:rsidR="0040215E">
        <w:t>NB</w:t>
      </w:r>
      <w:r w:rsidRPr="004F4435">
        <w:t xml:space="preserve"> will not be static and that </w:t>
      </w:r>
      <w:r w:rsidR="00761372">
        <w:t>they</w:t>
      </w:r>
      <w:r w:rsidRPr="004F4435">
        <w:t xml:space="preserve"> should evolve as the licensee’s organisation develops.</w:t>
      </w:r>
    </w:p>
    <w:p w14:paraId="475551FE" w14:textId="77777777" w:rsidR="007B576F" w:rsidRDefault="007B576F" w:rsidP="00434818">
      <w:pPr>
        <w:pStyle w:val="Heading2"/>
      </w:pPr>
      <w:r>
        <w:t xml:space="preserve"> WENRA Reactor Safety Reference Levels </w:t>
      </w:r>
    </w:p>
    <w:p w14:paraId="2F375E4F" w14:textId="18B30EED" w:rsidR="007B576F" w:rsidRDefault="007B576F" w:rsidP="007D4C48">
      <w:pPr>
        <w:pStyle w:val="F9-Paragraph"/>
      </w:pPr>
      <w:r>
        <w:t>The objective of The Western European Nuclear Regulators Association (WENRA) is to develop a common approach to nuclear safety in Europe by comparing national approaches to the application of International Atomic Energy Authority (IAEA) safety standards.</w:t>
      </w:r>
      <w:r w:rsidR="00317A5F">
        <w:t xml:space="preserve"> </w:t>
      </w:r>
      <w:r w:rsidR="007D326F" w:rsidRPr="00D824F9">
        <w:rPr>
          <w:lang w:val="en"/>
        </w:rPr>
        <w:t>The Reactor Harmonisation Working Group Report –</w:t>
      </w:r>
      <w:r w:rsidR="007D326F">
        <w:rPr>
          <w:lang w:val="en"/>
        </w:rPr>
        <w:t xml:space="preserve"> </w:t>
      </w:r>
      <w:r w:rsidR="007D326F" w:rsidRPr="00D824F9">
        <w:rPr>
          <w:lang w:val="en"/>
        </w:rPr>
        <w:t>WENRA Safety Reference Levels for Existing Reactors 2020</w:t>
      </w:r>
      <w:r w:rsidR="00041A51">
        <w:rPr>
          <w:lang w:val="en"/>
        </w:rPr>
        <w:t xml:space="preserve"> </w:t>
      </w:r>
      <w:r w:rsidR="007D4C48">
        <w:rPr>
          <w:lang w:val="en"/>
        </w:rPr>
        <w:t>(ref.</w:t>
      </w:r>
      <w:r w:rsidR="00041A51">
        <w:rPr>
          <w:lang w:val="en"/>
        </w:rPr>
        <w:t xml:space="preserve"> </w:t>
      </w:r>
      <w:sdt>
        <w:sdtPr>
          <w:rPr>
            <w:lang w:val="en"/>
          </w:rPr>
          <w:id w:val="2075233614"/>
          <w:citation/>
        </w:sdtPr>
        <w:sdtEndPr/>
        <w:sdtContent>
          <w:r w:rsidR="00041A51">
            <w:rPr>
              <w:lang w:val="en"/>
            </w:rPr>
            <w:fldChar w:fldCharType="begin"/>
          </w:r>
          <w:r w:rsidR="00041A51">
            <w:instrText xml:space="preserve"> CITATION WEN \l 2057 </w:instrText>
          </w:r>
          <w:r w:rsidR="00041A51">
            <w:rPr>
              <w:lang w:val="en"/>
            </w:rPr>
            <w:fldChar w:fldCharType="separate"/>
          </w:r>
          <w:r w:rsidR="00166CB3">
            <w:rPr>
              <w:noProof/>
            </w:rPr>
            <w:t>[16]</w:t>
          </w:r>
          <w:r w:rsidR="00041A51">
            <w:rPr>
              <w:lang w:val="en"/>
            </w:rPr>
            <w:fldChar w:fldCharType="end"/>
          </w:r>
        </w:sdtContent>
      </w:sdt>
      <w:r w:rsidR="00041A51">
        <w:rPr>
          <w:lang w:val="en"/>
        </w:rPr>
        <w:t>)</w:t>
      </w:r>
      <w:r w:rsidR="007D326F" w:rsidRPr="00D824F9">
        <w:rPr>
          <w:lang w:val="en"/>
        </w:rPr>
        <w:t>, represents good practices in the WENRA member states.</w:t>
      </w:r>
    </w:p>
    <w:p w14:paraId="06D993EA" w14:textId="77777777" w:rsidR="00166CB3" w:rsidRDefault="00166CB3" w:rsidP="007D4C48">
      <w:pPr>
        <w:pStyle w:val="F9-Paragraph"/>
        <w:sectPr w:rsidR="00166CB3" w:rsidSect="00434818">
          <w:pgSz w:w="11906" w:h="16838" w:code="9"/>
          <w:pgMar w:top="1440" w:right="1440" w:bottom="1440" w:left="1440" w:header="397" w:footer="397" w:gutter="0"/>
          <w:cols w:space="312"/>
          <w:docGrid w:linePitch="360"/>
        </w:sectPr>
      </w:pPr>
    </w:p>
    <w:p w14:paraId="6C713837" w14:textId="07139376" w:rsidR="00E816F3" w:rsidRDefault="00A31DA7" w:rsidP="007D4C48">
      <w:pPr>
        <w:pStyle w:val="F9-Paragraph"/>
      </w:pPr>
      <w:r w:rsidRPr="000C7D11">
        <w:lastRenderedPageBreak/>
        <w:t xml:space="preserve">This TAG is consistent with the WENRA Safety Reference Levels for Existing Reactors </w:t>
      </w:r>
      <w:r w:rsidR="007D4C48">
        <w:t>(ref.</w:t>
      </w:r>
      <w:r w:rsidRPr="000334FD">
        <w:t xml:space="preserve"> </w:t>
      </w:r>
      <w:sdt>
        <w:sdtPr>
          <w:id w:val="416375304"/>
          <w:citation/>
        </w:sdtPr>
        <w:sdtEndPr/>
        <w:sdtContent>
          <w:r w:rsidRPr="000334FD">
            <w:fldChar w:fldCharType="begin"/>
          </w:r>
          <w:r w:rsidRPr="000334FD">
            <w:instrText xml:space="preserve"> CITATION WEN \l 2057 </w:instrText>
          </w:r>
          <w:r w:rsidRPr="000334FD">
            <w:fldChar w:fldCharType="separate"/>
          </w:r>
          <w:r w:rsidR="00166CB3">
            <w:rPr>
              <w:noProof/>
            </w:rPr>
            <w:t>[16]</w:t>
          </w:r>
          <w:r w:rsidRPr="000334FD">
            <w:fldChar w:fldCharType="end"/>
          </w:r>
        </w:sdtContent>
      </w:sdt>
      <w:r w:rsidRPr="000334FD">
        <w:t>).</w:t>
      </w:r>
      <w:r>
        <w:t xml:space="preserve"> The Issues of relevance to this TAG are:</w:t>
      </w:r>
    </w:p>
    <w:p w14:paraId="5A3E2C6B" w14:textId="77777777" w:rsidR="00F03BF9" w:rsidRPr="00F409F6" w:rsidRDefault="00F03BF9" w:rsidP="005F01F0">
      <w:pPr>
        <w:pStyle w:val="Bulletlist1"/>
      </w:pPr>
      <w:r w:rsidRPr="00F409F6">
        <w:t>Para B1.1 addresses a justified organisation:</w:t>
      </w:r>
    </w:p>
    <w:p w14:paraId="1E3AFC3C" w14:textId="77777777" w:rsidR="00F03BF9" w:rsidRPr="00434818" w:rsidRDefault="00F03BF9" w:rsidP="00434818">
      <w:pPr>
        <w:pStyle w:val="QuoteText"/>
      </w:pPr>
      <w:r w:rsidRPr="00434818">
        <w:t>“The organisational structure for safe and reliable operation of the plant, and for ensuring an appropriate response in emergencies, shall be justified and documented.”</w:t>
      </w:r>
    </w:p>
    <w:p w14:paraId="57EB4AD5" w14:textId="77777777" w:rsidR="00F03BF9" w:rsidRPr="00F409F6" w:rsidRDefault="00F03BF9" w:rsidP="005F01F0">
      <w:pPr>
        <w:pStyle w:val="Bulletlist1"/>
      </w:pPr>
      <w:r w:rsidRPr="00F409F6">
        <w:t xml:space="preserve">Para B1.2 requires management of change: </w:t>
      </w:r>
    </w:p>
    <w:p w14:paraId="78A2C0B1" w14:textId="77777777" w:rsidR="00F03BF9" w:rsidRPr="004F4435" w:rsidRDefault="00F03BF9" w:rsidP="00434818">
      <w:pPr>
        <w:pStyle w:val="QuoteText"/>
      </w:pPr>
      <w:r w:rsidRPr="004F4435">
        <w:t>“The adequacy of the organisational structure, for its purposes according to B1.1, shall be assessed when organisational changes are made which might be significant for safety.”</w:t>
      </w:r>
    </w:p>
    <w:p w14:paraId="16C7350C" w14:textId="77777777" w:rsidR="00F03BF9" w:rsidRPr="00F409F6" w:rsidRDefault="00F03BF9" w:rsidP="005F01F0">
      <w:pPr>
        <w:pStyle w:val="Bulletlist1"/>
      </w:pPr>
      <w:r w:rsidRPr="00F409F6">
        <w:t>Para B3.1 states that a resource assessment for the organisational structure is needed:</w:t>
      </w:r>
    </w:p>
    <w:p w14:paraId="734AD2D1" w14:textId="77777777" w:rsidR="00F03BF9" w:rsidRPr="004F4435" w:rsidRDefault="00F03BF9" w:rsidP="00434818">
      <w:pPr>
        <w:pStyle w:val="QuoteText"/>
      </w:pPr>
      <w:r w:rsidRPr="004F4435">
        <w:t>“The required number of staff for safe operation, and their competence, shall be analysed in a systematic and documented way.”</w:t>
      </w:r>
    </w:p>
    <w:p w14:paraId="18868461" w14:textId="77777777" w:rsidR="00F03BF9" w:rsidRPr="00F409F6" w:rsidRDefault="00F03BF9" w:rsidP="005F01F0">
      <w:pPr>
        <w:pStyle w:val="Bulletlist1"/>
      </w:pPr>
      <w:r w:rsidRPr="00F409F6">
        <w:t>Para B3.5 addresses</w:t>
      </w:r>
      <w:r>
        <w:t xml:space="preserve"> core safety capability and </w:t>
      </w:r>
      <w:r w:rsidRPr="00F409F6">
        <w:t>employee/contractor resource balance:</w:t>
      </w:r>
    </w:p>
    <w:p w14:paraId="7B9138CE" w14:textId="4F6A1F92" w:rsidR="00F03BF9" w:rsidRPr="004F4435" w:rsidRDefault="00F03BF9" w:rsidP="00434818">
      <w:pPr>
        <w:pStyle w:val="QuoteText"/>
      </w:pPr>
      <w:r w:rsidRPr="004F4435">
        <w:t>“The licensee shall always have in house, sufficient competent staff to understand the licensing basis of the plant (</w:t>
      </w:r>
      <w:r w:rsidR="00434818" w:rsidRPr="004F4435">
        <w:t>e.g.,</w:t>
      </w:r>
      <w:r w:rsidRPr="004F4435">
        <w:t xml:space="preserve"> Safety Analysis Report or Safety Case and other documents based thereon), as well as to understand the actual design and operation of the plant in all plant states.”</w:t>
      </w:r>
    </w:p>
    <w:p w14:paraId="0D3D2030" w14:textId="77777777" w:rsidR="00F03BF9" w:rsidRPr="00F409F6" w:rsidRDefault="00F03BF9" w:rsidP="005F01F0">
      <w:pPr>
        <w:pStyle w:val="Bulletlist1"/>
      </w:pPr>
      <w:r w:rsidRPr="00F409F6">
        <w:t xml:space="preserve">Para B3.6 addresses the intelligent customer role: </w:t>
      </w:r>
    </w:p>
    <w:p w14:paraId="7D0893E5" w14:textId="77777777" w:rsidR="00F03BF9" w:rsidRPr="004F4435" w:rsidRDefault="00F03BF9" w:rsidP="00434818">
      <w:pPr>
        <w:pStyle w:val="QuoteText"/>
      </w:pPr>
      <w:r w:rsidRPr="004F4435">
        <w:t xml:space="preserve">“The licensee shall maintain, in house, sufficient and competent staff and resources to specify, set standards, manage and evaluate safety work carried out by contractors.” </w:t>
      </w:r>
    </w:p>
    <w:p w14:paraId="4D1EBCD0" w14:textId="77777777" w:rsidR="00F03BF9" w:rsidRPr="00F409F6" w:rsidRDefault="00F03BF9" w:rsidP="005F01F0">
      <w:pPr>
        <w:pStyle w:val="Bulletlist1"/>
      </w:pPr>
      <w:r w:rsidRPr="00F409F6">
        <w:t>Para C3.1 requires an integrated management system:</w:t>
      </w:r>
    </w:p>
    <w:p w14:paraId="2F3E64E2" w14:textId="3B91EFCE" w:rsidR="00F03BF9" w:rsidRPr="004F4435" w:rsidRDefault="00F03BF9" w:rsidP="00434818">
      <w:pPr>
        <w:pStyle w:val="QuoteText"/>
      </w:pPr>
      <w:r w:rsidRPr="004F4435">
        <w:t>“The main aim of the integrated management system shall be to achieve and enhance nuclear safety.</w:t>
      </w:r>
      <w:r w:rsidR="00434818">
        <w:t xml:space="preserve"> </w:t>
      </w:r>
      <w:r w:rsidRPr="004F4435">
        <w:t>Other demands on the licensee and the licensee’s management system shall be considered in unison with nuclear safety, in order to help preclude their possible negative impact on nuclear safety.”</w:t>
      </w:r>
    </w:p>
    <w:p w14:paraId="63D5AAB5" w14:textId="77777777" w:rsidR="007B576F" w:rsidRPr="007B285C" w:rsidRDefault="007B576F" w:rsidP="00434818">
      <w:pPr>
        <w:pStyle w:val="Heading2"/>
      </w:pPr>
      <w:r w:rsidRPr="007B285C">
        <w:lastRenderedPageBreak/>
        <w:t>IAEA Safety Standards</w:t>
      </w:r>
    </w:p>
    <w:p w14:paraId="0B36198E" w14:textId="01D10D66" w:rsidR="00F03BF9" w:rsidRDefault="007B576F" w:rsidP="007D4C48">
      <w:pPr>
        <w:pStyle w:val="F9-Paragraph"/>
      </w:pPr>
      <w:r w:rsidRPr="007B285C">
        <w:t xml:space="preserve">The IAEA Safety Standards (Requirements and Guides) </w:t>
      </w:r>
      <w:r w:rsidR="00F03BF9">
        <w:t>a</w:t>
      </w:r>
      <w:r w:rsidR="00F03BF9" w:rsidRPr="007B285C">
        <w:t xml:space="preserve">re </w:t>
      </w:r>
      <w:r w:rsidRPr="007B285C">
        <w:t xml:space="preserve">the benchmark for </w:t>
      </w:r>
      <w:r w:rsidRPr="00730166">
        <w:t>the SAPs in 2014</w:t>
      </w:r>
      <w:r w:rsidRPr="007B285C">
        <w:t xml:space="preserve"> and are recognised by ONR as relevant good practice.</w:t>
      </w:r>
      <w:r w:rsidR="00317A5F">
        <w:t xml:space="preserve"> </w:t>
      </w:r>
      <w:r w:rsidRPr="007B285C">
        <w:t>They should</w:t>
      </w:r>
      <w:r w:rsidR="00F03BF9">
        <w:t>,</w:t>
      </w:r>
      <w:r w:rsidRPr="007B285C">
        <w:t xml:space="preserve"> therefore</w:t>
      </w:r>
      <w:r w:rsidR="00F03BF9">
        <w:t>,</w:t>
      </w:r>
      <w:r w:rsidRPr="007B285C">
        <w:t xml:space="preserve"> be con</w:t>
      </w:r>
      <w:r>
        <w:t>sulted, where relevant, by the i</w:t>
      </w:r>
      <w:r w:rsidRPr="007B285C">
        <w:t>nspector, although it should be appreciated that they are design standards rather than regulatory standards</w:t>
      </w:r>
      <w:r w:rsidR="00F03BF9">
        <w:t>.</w:t>
      </w:r>
    </w:p>
    <w:p w14:paraId="62192DAD" w14:textId="77777777" w:rsidR="00F03BF9" w:rsidRPr="004F4435" w:rsidRDefault="00F03BF9" w:rsidP="005F01F0">
      <w:pPr>
        <w:pStyle w:val="Bulletlist1"/>
      </w:pPr>
      <w:r w:rsidRPr="004F4435">
        <w:t>Fundamental Safety Principle Number 1 states:</w:t>
      </w:r>
    </w:p>
    <w:p w14:paraId="7AFA2A8C" w14:textId="77777777" w:rsidR="00F03BF9" w:rsidRPr="004F4435" w:rsidRDefault="00F03BF9" w:rsidP="00434818">
      <w:pPr>
        <w:pStyle w:val="QuoteText"/>
      </w:pPr>
      <w:r w:rsidRPr="004F4435">
        <w:t>“The prime responsibility for safety must rest with the person or organization responsible for facilities and activities that give rise to radiation risks.”</w:t>
      </w:r>
    </w:p>
    <w:p w14:paraId="6A3F41DB" w14:textId="49580BEE" w:rsidR="00F03BF9" w:rsidRDefault="00F03BF9" w:rsidP="007D4C48">
      <w:pPr>
        <w:pStyle w:val="F9-Paragraph"/>
      </w:pPr>
      <w:r w:rsidRPr="0067694F">
        <w:t>This principle cites the responsibility of the licensee for safety throughout the lifecycle of a facility or activity.</w:t>
      </w:r>
      <w:r w:rsidR="00434818">
        <w:t xml:space="preserve"> </w:t>
      </w:r>
      <w:r w:rsidRPr="0067694F">
        <w:t>It affirms the licensee’s responsibility for establishing and maintaining the right skills and competences.</w:t>
      </w:r>
    </w:p>
    <w:p w14:paraId="287F003E" w14:textId="77777777" w:rsidR="00F03BF9" w:rsidRPr="004F4435" w:rsidRDefault="00F03BF9" w:rsidP="007D4C48">
      <w:pPr>
        <w:pStyle w:val="F9-Paragraph"/>
      </w:pPr>
      <w:r w:rsidRPr="004F4435">
        <w:t>IAEA documents of relevance include:</w:t>
      </w:r>
    </w:p>
    <w:p w14:paraId="2B392078" w14:textId="0EB48211" w:rsidR="00F03BF9" w:rsidRPr="00006C62" w:rsidRDefault="00F03BF9" w:rsidP="005F01F0">
      <w:pPr>
        <w:pStyle w:val="Bulletlist1"/>
      </w:pPr>
      <w:r w:rsidRPr="00850B03">
        <w:t xml:space="preserve">Specific Safety Guide SSG-72 – The Operating Organisation for Nuclear Power Plants </w:t>
      </w:r>
      <w:r w:rsidR="007D4C48">
        <w:t>(ref.</w:t>
      </w:r>
      <w:r w:rsidRPr="004F4435">
        <w:t xml:space="preserve"> </w:t>
      </w:r>
      <w:sdt>
        <w:sdtPr>
          <w:id w:val="198361621"/>
          <w:citation/>
        </w:sdtPr>
        <w:sdtEndPr/>
        <w:sdtContent>
          <w:r w:rsidR="00006C62" w:rsidRPr="004F4435">
            <w:fldChar w:fldCharType="begin"/>
          </w:r>
          <w:r w:rsidR="00006C62" w:rsidRPr="004F4435">
            <w:instrText xml:space="preserve"> CITATION IAESSG72 \l 2057 </w:instrText>
          </w:r>
          <w:r w:rsidR="00006C62" w:rsidRPr="004F4435">
            <w:fldChar w:fldCharType="separate"/>
          </w:r>
          <w:r w:rsidR="00166CB3" w:rsidRPr="00166CB3">
            <w:rPr>
              <w:noProof/>
            </w:rPr>
            <w:t>[17]</w:t>
          </w:r>
          <w:r w:rsidR="00006C62" w:rsidRPr="004F4435">
            <w:fldChar w:fldCharType="end"/>
          </w:r>
        </w:sdtContent>
      </w:sdt>
      <w:r w:rsidRPr="004F4435">
        <w:t>)</w:t>
      </w:r>
    </w:p>
    <w:p w14:paraId="499F5C2F" w14:textId="61F762A1" w:rsidR="00F03BF9" w:rsidRPr="00850B03" w:rsidRDefault="00F03BF9" w:rsidP="005F01F0">
      <w:pPr>
        <w:pStyle w:val="Bulletlist1"/>
      </w:pPr>
      <w:r w:rsidRPr="00850B03">
        <w:t>Specific Safety Requirements SSR-2/2 – Safety of Nuclear Power Plants: Commissioning and Operation</w:t>
      </w:r>
      <w:r w:rsidRPr="00F409F6">
        <w:t xml:space="preserve"> </w:t>
      </w:r>
      <w:r w:rsidR="007D4C48">
        <w:t>(ref.</w:t>
      </w:r>
      <w:r w:rsidRPr="004F4435">
        <w:t xml:space="preserve"> </w:t>
      </w:r>
      <w:sdt>
        <w:sdtPr>
          <w:id w:val="1488123913"/>
          <w:citation/>
        </w:sdtPr>
        <w:sdtEndPr/>
        <w:sdtContent>
          <w:r w:rsidRPr="004F4435">
            <w:fldChar w:fldCharType="begin"/>
          </w:r>
          <w:r w:rsidR="00051F15" w:rsidRPr="004F4435">
            <w:instrText xml:space="preserve">CITATION IAESSR22 \l 2057 </w:instrText>
          </w:r>
          <w:r w:rsidRPr="004F4435">
            <w:fldChar w:fldCharType="separate"/>
          </w:r>
          <w:r w:rsidR="00166CB3" w:rsidRPr="00166CB3">
            <w:rPr>
              <w:noProof/>
            </w:rPr>
            <w:t>[18]</w:t>
          </w:r>
          <w:r w:rsidRPr="004F4435">
            <w:fldChar w:fldCharType="end"/>
          </w:r>
        </w:sdtContent>
      </w:sdt>
      <w:r w:rsidRPr="004F4435">
        <w:t>)</w:t>
      </w:r>
    </w:p>
    <w:p w14:paraId="77675F94" w14:textId="15B6A147" w:rsidR="00F03BF9" w:rsidRPr="0006605C" w:rsidRDefault="00F03BF9" w:rsidP="005F01F0">
      <w:pPr>
        <w:pStyle w:val="Bulletlist1"/>
      </w:pPr>
      <w:r w:rsidRPr="0006605C">
        <w:t xml:space="preserve">General Safety Requirements GSR Part 2 - Leadership and Management for Safety </w:t>
      </w:r>
      <w:r w:rsidR="007D4C48">
        <w:t>(ref.</w:t>
      </w:r>
      <w:r w:rsidR="00B560A1">
        <w:t xml:space="preserve"> </w:t>
      </w:r>
      <w:sdt>
        <w:sdtPr>
          <w:id w:val="-206264873"/>
          <w:citation/>
        </w:sdtPr>
        <w:sdtEndPr/>
        <w:sdtContent>
          <w:r w:rsidR="00B560A1">
            <w:fldChar w:fldCharType="begin"/>
          </w:r>
          <w:r w:rsidR="00B560A1">
            <w:instrText xml:space="preserve"> CITATION IAE16 \l 2057 </w:instrText>
          </w:r>
          <w:r w:rsidR="00B560A1">
            <w:fldChar w:fldCharType="separate"/>
          </w:r>
          <w:r w:rsidR="00166CB3" w:rsidRPr="00166CB3">
            <w:rPr>
              <w:noProof/>
            </w:rPr>
            <w:t>[19]</w:t>
          </w:r>
          <w:r w:rsidR="00B560A1">
            <w:fldChar w:fldCharType="end"/>
          </w:r>
        </w:sdtContent>
      </w:sdt>
      <w:r w:rsidRPr="004F4435">
        <w:t>)</w:t>
      </w:r>
    </w:p>
    <w:p w14:paraId="53CAA940" w14:textId="1C700638" w:rsidR="00F03BF9" w:rsidRPr="004F4435" w:rsidRDefault="00F03BF9" w:rsidP="007D4C48">
      <w:pPr>
        <w:pStyle w:val="F9-Paragraph"/>
      </w:pPr>
      <w:r w:rsidRPr="004F4435">
        <w:t xml:space="preserve">SSG-72 </w:t>
      </w:r>
      <w:r w:rsidR="007D4C48">
        <w:t>(ref.</w:t>
      </w:r>
      <w:r w:rsidRPr="004F4435">
        <w:t xml:space="preserve"> </w:t>
      </w:r>
      <w:sdt>
        <w:sdtPr>
          <w:id w:val="-2085280250"/>
          <w:citation/>
        </w:sdtPr>
        <w:sdtEndPr/>
        <w:sdtContent>
          <w:r w:rsidRPr="004F4435">
            <w:fldChar w:fldCharType="begin"/>
          </w:r>
          <w:r w:rsidR="0006605C" w:rsidRPr="004F4435">
            <w:instrText xml:space="preserve">CITATION IAESSG72 \l 2057 </w:instrText>
          </w:r>
          <w:r w:rsidRPr="004F4435">
            <w:fldChar w:fldCharType="separate"/>
          </w:r>
          <w:r w:rsidR="00166CB3">
            <w:rPr>
              <w:noProof/>
            </w:rPr>
            <w:t>[17]</w:t>
          </w:r>
          <w:r w:rsidRPr="004F4435">
            <w:fldChar w:fldCharType="end"/>
          </w:r>
        </w:sdtContent>
      </w:sdt>
      <w:r w:rsidRPr="004F4435">
        <w:t>) and SSR-2/2</w:t>
      </w:r>
      <w:r w:rsidR="00051F15" w:rsidRPr="004F4435">
        <w:t xml:space="preserve"> </w:t>
      </w:r>
      <w:r w:rsidR="007D4C48">
        <w:t>(ref.</w:t>
      </w:r>
      <w:r w:rsidR="00051F15" w:rsidRPr="004F4435">
        <w:t xml:space="preserve"> </w:t>
      </w:r>
      <w:sdt>
        <w:sdtPr>
          <w:id w:val="350537859"/>
          <w:citation/>
        </w:sdtPr>
        <w:sdtEndPr/>
        <w:sdtContent>
          <w:r w:rsidR="000B3686" w:rsidRPr="004F4435">
            <w:fldChar w:fldCharType="begin"/>
          </w:r>
          <w:r w:rsidR="000B3686" w:rsidRPr="004F4435">
            <w:instrText xml:space="preserve"> CITATION IAESSR22 \l 2057 </w:instrText>
          </w:r>
          <w:r w:rsidR="000B3686" w:rsidRPr="004F4435">
            <w:fldChar w:fldCharType="separate"/>
          </w:r>
          <w:r w:rsidR="00166CB3">
            <w:rPr>
              <w:noProof/>
            </w:rPr>
            <w:t>[18]</w:t>
          </w:r>
          <w:r w:rsidR="000B3686" w:rsidRPr="004F4435">
            <w:fldChar w:fldCharType="end"/>
          </w:r>
        </w:sdtContent>
      </w:sdt>
      <w:r w:rsidR="000B3686" w:rsidRPr="004F4435">
        <w:t>)</w:t>
      </w:r>
      <w:r w:rsidRPr="004F4435">
        <w:t xml:space="preserve"> include key elements of the management system and the structure of the operating organisation that are embodied in the </w:t>
      </w:r>
      <w:r w:rsidR="008C2B73">
        <w:t>NB</w:t>
      </w:r>
      <w:r w:rsidRPr="004F4435">
        <w:t xml:space="preserve"> or Safety Management Prospectus (SMP):</w:t>
      </w:r>
    </w:p>
    <w:p w14:paraId="20CBE4A1" w14:textId="77777777" w:rsidR="00F03BF9" w:rsidRPr="00850B03" w:rsidRDefault="00F03BF9" w:rsidP="005F01F0">
      <w:pPr>
        <w:pStyle w:val="Bulletlist1"/>
      </w:pPr>
      <w:r w:rsidRPr="00850B03">
        <w:t xml:space="preserve">Requirement 3 of the SSR 2/2 – Structure and functions of the operating organization states: </w:t>
      </w:r>
    </w:p>
    <w:p w14:paraId="490EA8F0" w14:textId="77777777" w:rsidR="00F03BF9" w:rsidRPr="004F4435" w:rsidRDefault="00F03BF9" w:rsidP="00434818">
      <w:pPr>
        <w:pStyle w:val="QuoteText"/>
      </w:pPr>
      <w:r w:rsidRPr="004F4435">
        <w:t xml:space="preserve">“The structure of the operating organization and the functions, roles and responsibilities of its personnel shall be established and documented.” </w:t>
      </w:r>
    </w:p>
    <w:p w14:paraId="5273DEB8" w14:textId="77777777" w:rsidR="00F03BF9" w:rsidRPr="001749A7" w:rsidRDefault="00F03BF9" w:rsidP="005F01F0">
      <w:pPr>
        <w:pStyle w:val="Bulletlist1"/>
      </w:pPr>
      <w:r w:rsidRPr="001749A7">
        <w:t>SSR 2/2, Para 3.8 considers responsibilities, authority and lines of communication for the safe operation of the plant:</w:t>
      </w:r>
    </w:p>
    <w:p w14:paraId="42342963" w14:textId="77777777" w:rsidR="00F03BF9" w:rsidRPr="004F4435" w:rsidRDefault="00F03BF9" w:rsidP="00434818">
      <w:pPr>
        <w:pStyle w:val="QuoteText"/>
      </w:pPr>
      <w:r w:rsidRPr="004F4435">
        <w:t>“Functional responsibilities, lines of authority, and lines of internal and external communication for the safe operation of a plant in all operational states and in accident conditions shall be clearly specified in writing.”</w:t>
      </w:r>
    </w:p>
    <w:p w14:paraId="66248E0F" w14:textId="77777777" w:rsidR="00F03BF9" w:rsidRPr="001749A7" w:rsidRDefault="00F03BF9" w:rsidP="005F01F0">
      <w:pPr>
        <w:pStyle w:val="Bulletlist1"/>
      </w:pPr>
      <w:r w:rsidRPr="001749A7">
        <w:lastRenderedPageBreak/>
        <w:t>SSR 2/2, Para 3.9 considers the organisational structure and organisational change:</w:t>
      </w:r>
    </w:p>
    <w:p w14:paraId="236AC026" w14:textId="77777777" w:rsidR="00F03BF9" w:rsidRPr="004F4435" w:rsidRDefault="00F03BF9" w:rsidP="00434818">
      <w:pPr>
        <w:pStyle w:val="QuoteText"/>
      </w:pPr>
      <w:r w:rsidRPr="004F4435">
        <w:t xml:space="preserve">“The structure of the operating organization shall be specified so that all roles that are critical for safe operation are specified and described. Proposed organizational changes to the structure and associated arrangements, which might be of importance to safety, shall be analysed in advance by the operating organization.” </w:t>
      </w:r>
    </w:p>
    <w:p w14:paraId="515A3E75" w14:textId="74249885" w:rsidR="00F03BF9" w:rsidRPr="004F4435" w:rsidRDefault="00F03BF9" w:rsidP="007D4C48">
      <w:pPr>
        <w:pStyle w:val="F9-Paragraph"/>
      </w:pPr>
      <w:r w:rsidRPr="004F4435">
        <w:t>GSR Part 2 defines the requirements for establishing, assessing, sustaining and continuously improving leadership and management for safety in organisations.</w:t>
      </w:r>
      <w:r w:rsidR="00434818">
        <w:t xml:space="preserve"> </w:t>
      </w:r>
      <w:r w:rsidRPr="004F4435">
        <w:t>Requirement 9 focuses on provision of resources and requirement 12 focuses on fostering a culture for safety.</w:t>
      </w:r>
      <w:r w:rsidR="00434818">
        <w:t xml:space="preserve"> </w:t>
      </w:r>
    </w:p>
    <w:p w14:paraId="5EE667C2" w14:textId="77777777" w:rsidR="007B576F" w:rsidRPr="00D9577E" w:rsidRDefault="007B576F" w:rsidP="00166CB3">
      <w:pPr>
        <w:pStyle w:val="F9-Paragraph"/>
      </w:pPr>
      <w:r w:rsidRPr="00D9577E">
        <w:t>GSR Part 2 requires that:</w:t>
      </w:r>
    </w:p>
    <w:p w14:paraId="204FA59F" w14:textId="77777777" w:rsidR="00F03BF9" w:rsidRPr="004F4435" w:rsidRDefault="00F03BF9" w:rsidP="00434818">
      <w:pPr>
        <w:pStyle w:val="QuoteText"/>
      </w:pPr>
      <w:r w:rsidRPr="004F4435">
        <w:t>“Provision is made in the management system to identify any changes (including organisational changes) that could have significant implications for safety and to ensure that they are appropriately analysed.”</w:t>
      </w:r>
    </w:p>
    <w:p w14:paraId="2A919B4E" w14:textId="77777777" w:rsidR="00F03BF9" w:rsidRPr="004F4435" w:rsidRDefault="00F03BF9" w:rsidP="00434818">
      <w:pPr>
        <w:pStyle w:val="QuoteText"/>
      </w:pPr>
      <w:r w:rsidRPr="004F4435">
        <w:t>“Planned reviews of the management system take account of changes in the organisation.”</w:t>
      </w:r>
    </w:p>
    <w:p w14:paraId="08AA752A" w14:textId="10F41CB6" w:rsidR="007B576F" w:rsidRDefault="007B576F" w:rsidP="007D4C48">
      <w:pPr>
        <w:pStyle w:val="F9-Paragraph"/>
      </w:pPr>
      <w:r w:rsidRPr="007B285C">
        <w:t>The following reports produced by IAEA are also directly relevant:</w:t>
      </w:r>
    </w:p>
    <w:p w14:paraId="52CE5514" w14:textId="7B00CDCB" w:rsidR="00F03BF9" w:rsidRPr="00230CC1" w:rsidRDefault="00F03BF9" w:rsidP="005F01F0">
      <w:pPr>
        <w:pStyle w:val="Bulletlist1"/>
      </w:pPr>
      <w:r w:rsidRPr="0067694F">
        <w:t>International Nuclear Safety Advisory Group INSAG 18 – Managing Change in the Nuclear Industry: The Effects on Safety</w:t>
      </w:r>
      <w:r w:rsidRPr="00F409F6">
        <w:t xml:space="preserve"> </w:t>
      </w:r>
      <w:r w:rsidR="007D4C48">
        <w:t>(ref.</w:t>
      </w:r>
      <w:r w:rsidRPr="004F4435">
        <w:t xml:space="preserve"> </w:t>
      </w:r>
      <w:sdt>
        <w:sdtPr>
          <w:id w:val="-1576655191"/>
          <w:citation/>
        </w:sdtPr>
        <w:sdtEndPr/>
        <w:sdtContent>
          <w:r w:rsidRPr="004F4435">
            <w:fldChar w:fldCharType="begin"/>
          </w:r>
          <w:r w:rsidR="00F44C90" w:rsidRPr="004F4435">
            <w:instrText xml:space="preserve">CITATION IAEINSAG18 \l 2057 </w:instrText>
          </w:r>
          <w:r w:rsidRPr="004F4435">
            <w:fldChar w:fldCharType="separate"/>
          </w:r>
          <w:r w:rsidR="00166CB3" w:rsidRPr="00166CB3">
            <w:rPr>
              <w:noProof/>
            </w:rPr>
            <w:t>[20]</w:t>
          </w:r>
          <w:r w:rsidRPr="004F4435">
            <w:fldChar w:fldCharType="end"/>
          </w:r>
        </w:sdtContent>
      </w:sdt>
      <w:r w:rsidRPr="004F4435">
        <w:t>)</w:t>
      </w:r>
    </w:p>
    <w:p w14:paraId="50A2CBA3" w14:textId="3089702E" w:rsidR="00F03BF9" w:rsidRPr="00230CC1" w:rsidRDefault="00F03BF9" w:rsidP="005F01F0">
      <w:pPr>
        <w:pStyle w:val="Bulletlist1"/>
      </w:pPr>
      <w:r w:rsidRPr="00230CC1">
        <w:t xml:space="preserve">General Safety Guide GS-G-3.1 – Application of the Management System for Facilities and Activities </w:t>
      </w:r>
      <w:r w:rsidR="007D4C48">
        <w:t>(ref.</w:t>
      </w:r>
      <w:r w:rsidRPr="004F4435">
        <w:t xml:space="preserve"> </w:t>
      </w:r>
      <w:sdt>
        <w:sdtPr>
          <w:id w:val="204912875"/>
          <w:citation/>
        </w:sdtPr>
        <w:sdtEndPr/>
        <w:sdtContent>
          <w:r w:rsidRPr="004F4435">
            <w:fldChar w:fldCharType="begin"/>
          </w:r>
          <w:r w:rsidR="00230CC1" w:rsidRPr="004F4435">
            <w:instrText xml:space="preserve">CITATION IAEAGSG31 \l 2057 </w:instrText>
          </w:r>
          <w:r w:rsidRPr="004F4435">
            <w:fldChar w:fldCharType="separate"/>
          </w:r>
          <w:r w:rsidR="00166CB3" w:rsidRPr="00166CB3">
            <w:rPr>
              <w:noProof/>
            </w:rPr>
            <w:t>[21]</w:t>
          </w:r>
          <w:r w:rsidRPr="004F4435">
            <w:fldChar w:fldCharType="end"/>
          </w:r>
        </w:sdtContent>
      </w:sdt>
      <w:r w:rsidRPr="004F4435">
        <w:t>)</w:t>
      </w:r>
    </w:p>
    <w:p w14:paraId="7FFE1C86" w14:textId="37A8EFBD" w:rsidR="00F03BF9" w:rsidRPr="007B285C" w:rsidRDefault="00F03BF9" w:rsidP="005F01F0">
      <w:pPr>
        <w:pStyle w:val="Bulletlist1"/>
      </w:pPr>
      <w:r w:rsidRPr="00850B03">
        <w:t xml:space="preserve">General Safety Guide </w:t>
      </w:r>
      <w:r w:rsidRPr="00F409F6">
        <w:t>GS-G-3.5 - The Management System for Nuclear Installations</w:t>
      </w:r>
      <w:r w:rsidR="00230CC1">
        <w:t xml:space="preserve"> </w:t>
      </w:r>
      <w:r w:rsidR="007D4C48">
        <w:t>(ref.</w:t>
      </w:r>
      <w:r w:rsidR="00230CC1">
        <w:t xml:space="preserve"> </w:t>
      </w:r>
      <w:sdt>
        <w:sdtPr>
          <w:id w:val="1415745359"/>
          <w:citation/>
        </w:sdtPr>
        <w:sdtEndPr/>
        <w:sdtContent>
          <w:r w:rsidR="000E5CD0">
            <w:fldChar w:fldCharType="begin"/>
          </w:r>
          <w:r w:rsidR="000E5CD0">
            <w:instrText xml:space="preserve"> CITATION IAE091 \l 2057 </w:instrText>
          </w:r>
          <w:r w:rsidR="000E5CD0">
            <w:fldChar w:fldCharType="separate"/>
          </w:r>
          <w:r w:rsidR="00166CB3" w:rsidRPr="00166CB3">
            <w:rPr>
              <w:noProof/>
            </w:rPr>
            <w:t>[22]</w:t>
          </w:r>
          <w:r w:rsidR="000E5CD0">
            <w:fldChar w:fldCharType="end"/>
          </w:r>
        </w:sdtContent>
      </w:sdt>
      <w:r w:rsidR="000E5CD0">
        <w:t>)</w:t>
      </w:r>
    </w:p>
    <w:p w14:paraId="1AB6112F" w14:textId="05A2AEEB" w:rsidR="00F03BF9" w:rsidRPr="004F4435" w:rsidRDefault="00ED6056" w:rsidP="007D4C48">
      <w:pPr>
        <w:pStyle w:val="F9-Paragraph"/>
      </w:pPr>
      <w:r w:rsidRPr="004F4435">
        <w:rPr>
          <w:b/>
        </w:rPr>
        <w:t>IAEA Safety Report INSAG</w:t>
      </w:r>
      <w:r w:rsidR="007B576F" w:rsidRPr="004F4435">
        <w:rPr>
          <w:b/>
        </w:rPr>
        <w:t xml:space="preserve"> 18 </w:t>
      </w:r>
      <w:r w:rsidR="007D4C48">
        <w:t>(ref.</w:t>
      </w:r>
      <w:r w:rsidRPr="004F4435">
        <w:t xml:space="preserve"> </w:t>
      </w:r>
      <w:sdt>
        <w:sdtPr>
          <w:rPr>
            <w:bCs/>
          </w:rPr>
          <w:id w:val="-842311067"/>
          <w:citation/>
        </w:sdtPr>
        <w:sdtEndPr/>
        <w:sdtContent>
          <w:r w:rsidRPr="004F4435">
            <w:rPr>
              <w:bCs/>
            </w:rPr>
            <w:fldChar w:fldCharType="begin"/>
          </w:r>
          <w:r w:rsidRPr="004F4435">
            <w:instrText xml:space="preserve"> CITATION IAE03 \l 2057 </w:instrText>
          </w:r>
          <w:r w:rsidRPr="004F4435">
            <w:rPr>
              <w:bCs/>
            </w:rPr>
            <w:fldChar w:fldCharType="separate"/>
          </w:r>
          <w:r w:rsidR="00166CB3">
            <w:rPr>
              <w:noProof/>
            </w:rPr>
            <w:t>[23]</w:t>
          </w:r>
          <w:r w:rsidRPr="004F4435">
            <w:rPr>
              <w:bCs/>
            </w:rPr>
            <w:fldChar w:fldCharType="end"/>
          </w:r>
        </w:sdtContent>
      </w:sdt>
      <w:r w:rsidRPr="004F4435">
        <w:t>) -</w:t>
      </w:r>
      <w:r w:rsidR="007B576F" w:rsidRPr="004F4435">
        <w:rPr>
          <w:b/>
        </w:rPr>
        <w:t xml:space="preserve"> </w:t>
      </w:r>
      <w:r w:rsidR="00F03BF9" w:rsidRPr="004F4435">
        <w:t>Through consideration of both organisational safety and effects on the individual, the report discusses how and why change can challenge the maintenance of high levels of safety and what can be done to control that challenge and reap all the benefits of change.</w:t>
      </w:r>
    </w:p>
    <w:p w14:paraId="041D25CD" w14:textId="129C0116" w:rsidR="007B576F" w:rsidRPr="004F4435" w:rsidRDefault="007B576F" w:rsidP="007D4C48">
      <w:pPr>
        <w:pStyle w:val="F9-Paragraph"/>
      </w:pPr>
      <w:r w:rsidRPr="004F4435">
        <w:rPr>
          <w:b/>
        </w:rPr>
        <w:t>IAEA Safety Guide</w:t>
      </w:r>
      <w:r w:rsidR="00ED6056" w:rsidRPr="004F4435">
        <w:rPr>
          <w:b/>
        </w:rPr>
        <w:t>s</w:t>
      </w:r>
      <w:r w:rsidRPr="004F4435">
        <w:rPr>
          <w:b/>
        </w:rPr>
        <w:t xml:space="preserve"> GS-G-3.1</w:t>
      </w:r>
      <w:r w:rsidR="00ED6056" w:rsidRPr="004F4435">
        <w:rPr>
          <w:b/>
        </w:rPr>
        <w:t xml:space="preserve"> </w:t>
      </w:r>
      <w:r w:rsidRPr="004F4435">
        <w:rPr>
          <w:b/>
        </w:rPr>
        <w:t xml:space="preserve">and GS-G-3.5 </w:t>
      </w:r>
      <w:r w:rsidR="00ED6056" w:rsidRPr="00434818">
        <w:rPr>
          <w:bCs/>
        </w:rPr>
        <w:t>(</w:t>
      </w:r>
      <w:r w:rsidR="00166CB3">
        <w:rPr>
          <w:bCs/>
        </w:rPr>
        <w:t>r</w:t>
      </w:r>
      <w:r w:rsidR="00ED6056" w:rsidRPr="00434818">
        <w:rPr>
          <w:bCs/>
        </w:rPr>
        <w:t>efs.</w:t>
      </w:r>
      <w:r w:rsidR="00ED6056" w:rsidRPr="004F4435">
        <w:rPr>
          <w:b/>
        </w:rPr>
        <w:t xml:space="preserve"> </w:t>
      </w:r>
      <w:sdt>
        <w:sdtPr>
          <w:rPr>
            <w:b/>
          </w:rPr>
          <w:id w:val="-91475113"/>
          <w:citation/>
        </w:sdtPr>
        <w:sdtEndPr/>
        <w:sdtContent>
          <w:r w:rsidR="00ED6056" w:rsidRPr="004F4435">
            <w:rPr>
              <w:b/>
            </w:rPr>
            <w:fldChar w:fldCharType="begin"/>
          </w:r>
          <w:r w:rsidR="00ED6056" w:rsidRPr="004F4435">
            <w:rPr>
              <w:b/>
            </w:rPr>
            <w:instrText xml:space="preserve"> CITATION IAE062 \l 2057 </w:instrText>
          </w:r>
          <w:r w:rsidR="00ED6056" w:rsidRPr="004F4435">
            <w:rPr>
              <w:b/>
            </w:rPr>
            <w:fldChar w:fldCharType="separate"/>
          </w:r>
          <w:r w:rsidR="00166CB3">
            <w:rPr>
              <w:noProof/>
            </w:rPr>
            <w:t>[24]</w:t>
          </w:r>
          <w:r w:rsidR="00ED6056" w:rsidRPr="004F4435">
            <w:rPr>
              <w:b/>
            </w:rPr>
            <w:fldChar w:fldCharType="end"/>
          </w:r>
        </w:sdtContent>
      </w:sdt>
      <w:r w:rsidR="00ED6056" w:rsidRPr="004F4435">
        <w:rPr>
          <w:b/>
        </w:rPr>
        <w:t xml:space="preserve"> </w:t>
      </w:r>
      <w:r w:rsidR="00ED6056" w:rsidRPr="00434818">
        <w:rPr>
          <w:bCs/>
        </w:rPr>
        <w:t>and</w:t>
      </w:r>
      <w:r w:rsidR="00ED6056" w:rsidRPr="004F4435">
        <w:rPr>
          <w:b/>
        </w:rPr>
        <w:t xml:space="preserve"> </w:t>
      </w:r>
      <w:sdt>
        <w:sdtPr>
          <w:rPr>
            <w:b/>
          </w:rPr>
          <w:id w:val="-2123676695"/>
          <w:citation/>
        </w:sdtPr>
        <w:sdtEndPr/>
        <w:sdtContent>
          <w:r w:rsidR="00ED6056" w:rsidRPr="004F4435">
            <w:rPr>
              <w:b/>
            </w:rPr>
            <w:fldChar w:fldCharType="begin"/>
          </w:r>
          <w:r w:rsidR="00ED6056" w:rsidRPr="004F4435">
            <w:rPr>
              <w:b/>
            </w:rPr>
            <w:instrText xml:space="preserve"> CITATION IAE091 \l 2057 </w:instrText>
          </w:r>
          <w:r w:rsidR="00ED6056" w:rsidRPr="004F4435">
            <w:rPr>
              <w:b/>
            </w:rPr>
            <w:fldChar w:fldCharType="separate"/>
          </w:r>
          <w:r w:rsidR="00166CB3">
            <w:rPr>
              <w:noProof/>
            </w:rPr>
            <w:t>[22]</w:t>
          </w:r>
          <w:r w:rsidR="00ED6056" w:rsidRPr="004F4435">
            <w:rPr>
              <w:b/>
            </w:rPr>
            <w:fldChar w:fldCharType="end"/>
          </w:r>
        </w:sdtContent>
      </w:sdt>
      <w:r w:rsidR="00ED6056" w:rsidRPr="00434818">
        <w:rPr>
          <w:bCs/>
        </w:rPr>
        <w:t>)</w:t>
      </w:r>
      <w:r w:rsidRPr="00434818">
        <w:rPr>
          <w:bCs/>
        </w:rPr>
        <w:t xml:space="preserve"> - </w:t>
      </w:r>
      <w:r w:rsidR="00ED6056" w:rsidRPr="004F4435">
        <w:br/>
      </w:r>
      <w:r w:rsidRPr="004F4435">
        <w:t>These documents provide generic guidance to aid in establishing, implementing, assessing and continually improving a management system.</w:t>
      </w:r>
    </w:p>
    <w:p w14:paraId="5C9FA9A4" w14:textId="77A464C1" w:rsidR="007B576F" w:rsidRDefault="007B576F" w:rsidP="007D4C48">
      <w:pPr>
        <w:pStyle w:val="F9-Paragraph"/>
        <w:sectPr w:rsidR="007B576F" w:rsidSect="00434818">
          <w:pgSz w:w="11906" w:h="16838" w:code="9"/>
          <w:pgMar w:top="1440" w:right="1440" w:bottom="1440" w:left="1440" w:header="397" w:footer="397" w:gutter="0"/>
          <w:cols w:space="312"/>
          <w:docGrid w:linePitch="360"/>
        </w:sectPr>
      </w:pPr>
    </w:p>
    <w:p w14:paraId="5255232C" w14:textId="0B114371" w:rsidR="00F7687C" w:rsidRDefault="00F7687C" w:rsidP="00E90780">
      <w:pPr>
        <w:pStyle w:val="Heading1"/>
      </w:pPr>
      <w:bookmarkStart w:id="8" w:name="_Toc172196368"/>
      <w:r>
        <w:lastRenderedPageBreak/>
        <w:t>Advice to Inspectors</w:t>
      </w:r>
      <w:bookmarkEnd w:id="8"/>
    </w:p>
    <w:p w14:paraId="462C4D87" w14:textId="7C996A92" w:rsidR="0071010C" w:rsidRDefault="00F521E6" w:rsidP="00434818">
      <w:pPr>
        <w:pStyle w:val="Heading2"/>
      </w:pPr>
      <w:r>
        <w:t xml:space="preserve">Purpose and </w:t>
      </w:r>
      <w:r w:rsidR="00166CB3">
        <w:t>s</w:t>
      </w:r>
      <w:r>
        <w:t xml:space="preserve">cope of </w:t>
      </w:r>
      <w:r w:rsidR="00166CB3">
        <w:t>o</w:t>
      </w:r>
      <w:r>
        <w:t xml:space="preserve">rganisational </w:t>
      </w:r>
      <w:r w:rsidR="00166CB3">
        <w:t>c</w:t>
      </w:r>
      <w:r>
        <w:t>hange</w:t>
      </w:r>
      <w:r w:rsidR="00434818">
        <w:t xml:space="preserve"> </w:t>
      </w:r>
    </w:p>
    <w:p w14:paraId="2CA6FCA6" w14:textId="1E077818" w:rsidR="0071010C" w:rsidRPr="00EF2F59" w:rsidRDefault="00CD4BEB" w:rsidP="007D4C48">
      <w:pPr>
        <w:pStyle w:val="F9-Paragraph"/>
        <w:rPr>
          <w:rFonts w:eastAsia="Calibri"/>
          <w:noProof/>
        </w:rPr>
      </w:pPr>
      <w:r w:rsidRPr="000F583E">
        <w:t>A licensee’s organisational capability is fundamental to its ability to maintain nuclear safety.</w:t>
      </w:r>
      <w:r w:rsidR="00434818">
        <w:t xml:space="preserve"> </w:t>
      </w:r>
      <w:r w:rsidR="00166CB3">
        <w:t>LC</w:t>
      </w:r>
      <w:r w:rsidRPr="000F583E">
        <w:t xml:space="preserve"> 36 is stated in full at </w:t>
      </w:r>
      <w:hyperlink w:anchor="_Appendix_1:_Licence" w:history="1">
        <w:r w:rsidRPr="00166CB3">
          <w:rPr>
            <w:rStyle w:val="Hyperlink"/>
          </w:rPr>
          <w:t>Appendix 1</w:t>
        </w:r>
      </w:hyperlink>
      <w:r w:rsidR="00F639AA">
        <w:t>.</w:t>
      </w:r>
    </w:p>
    <w:p w14:paraId="60523344" w14:textId="1F9702C4" w:rsidR="00B03B75" w:rsidRPr="00EF2F59" w:rsidRDefault="00B03B75" w:rsidP="007D4C48">
      <w:pPr>
        <w:pStyle w:val="F9-Paragraph"/>
      </w:pPr>
      <w:r w:rsidRPr="00EF2F59">
        <w:t>ONR interprets this condition to relate specifically to nuclear safety although licensees may wish to apply similar arrangements to manage changes affecting industrial safety, security, environmental matters or other parts of their business.</w:t>
      </w:r>
      <w:r w:rsidR="005F01F0">
        <w:t xml:space="preserve"> </w:t>
      </w:r>
      <w:r w:rsidR="00C86691">
        <w:t xml:space="preserve">Of note, some of the principles </w:t>
      </w:r>
      <w:r w:rsidR="00663932">
        <w:t>may also be considered good practice for the control of changes to the management system arrangements made under LC</w:t>
      </w:r>
      <w:r w:rsidR="00166CB3">
        <w:t xml:space="preserve"> </w:t>
      </w:r>
      <w:r w:rsidR="00663932">
        <w:t>17.</w:t>
      </w:r>
    </w:p>
    <w:p w14:paraId="1D374685" w14:textId="5435C735" w:rsidR="0071010C" w:rsidRPr="001A327D" w:rsidRDefault="00F2428A" w:rsidP="007D4C48">
      <w:pPr>
        <w:pStyle w:val="F9-Paragraph"/>
        <w:rPr>
          <w:sz w:val="23"/>
          <w:szCs w:val="23"/>
        </w:rPr>
      </w:pPr>
      <w:hyperlink w:anchor="_Appendix_2:_Guidance" w:history="1">
        <w:r w:rsidR="0071010C" w:rsidRPr="00166CB3">
          <w:rPr>
            <w:rStyle w:val="Hyperlink"/>
            <w:bCs/>
          </w:rPr>
          <w:t xml:space="preserve">Appendix </w:t>
        </w:r>
        <w:r w:rsidR="00166CB3" w:rsidRPr="00166CB3">
          <w:rPr>
            <w:rStyle w:val="Hyperlink"/>
            <w:bCs/>
          </w:rPr>
          <w:t>2</w:t>
        </w:r>
      </w:hyperlink>
      <w:r w:rsidR="0071010C">
        <w:rPr>
          <w:b/>
          <w:bCs/>
        </w:rPr>
        <w:t xml:space="preserve"> </w:t>
      </w:r>
      <w:r w:rsidR="0071010C">
        <w:t>provides guidance to inspectors on the approach that should be taken to assessing the financial resources aspects of this requirement.</w:t>
      </w:r>
      <w:r w:rsidR="00317A5F">
        <w:t xml:space="preserve"> </w:t>
      </w:r>
    </w:p>
    <w:p w14:paraId="6C992A77" w14:textId="541A69C8" w:rsidR="0071010C" w:rsidRDefault="001C0D41" w:rsidP="007D4C48">
      <w:pPr>
        <w:pStyle w:val="F9-Paragraph"/>
        <w:rPr>
          <w:sz w:val="23"/>
          <w:szCs w:val="23"/>
        </w:rPr>
      </w:pPr>
      <w:r>
        <w:rPr>
          <w:bCs/>
        </w:rPr>
        <w:t xml:space="preserve">Ref. </w:t>
      </w:r>
      <w:sdt>
        <w:sdtPr>
          <w:rPr>
            <w:bCs/>
          </w:rPr>
          <w:id w:val="203146066"/>
          <w:citation/>
        </w:sdtPr>
        <w:sdtEndPr/>
        <w:sdtContent>
          <w:r>
            <w:rPr>
              <w:bCs/>
            </w:rPr>
            <w:fldChar w:fldCharType="begin"/>
          </w:r>
          <w:r>
            <w:rPr>
              <w:bCs/>
            </w:rPr>
            <w:instrText xml:space="preserve"> CITATION ONR74 \l 2057 </w:instrText>
          </w:r>
          <w:r>
            <w:rPr>
              <w:bCs/>
            </w:rPr>
            <w:fldChar w:fldCharType="separate"/>
          </w:r>
          <w:r w:rsidR="00166CB3">
            <w:rPr>
              <w:noProof/>
            </w:rPr>
            <w:t>[3]</w:t>
          </w:r>
          <w:r>
            <w:rPr>
              <w:bCs/>
            </w:rPr>
            <w:fldChar w:fldCharType="end"/>
          </w:r>
        </w:sdtContent>
      </w:sdt>
      <w:r w:rsidR="0071010C">
        <w:rPr>
          <w:b/>
          <w:bCs/>
        </w:rPr>
        <w:t xml:space="preserve"> </w:t>
      </w:r>
      <w:r w:rsidR="0071010C">
        <w:t xml:space="preserve">sets out ONR’s expectations that a licensee should have a </w:t>
      </w:r>
      <w:r w:rsidR="00EE0FCE">
        <w:t>NB</w:t>
      </w:r>
      <w:r w:rsidR="0071010C">
        <w:t xml:space="preserve"> to provide a demonstration that it has suitable and sufficient organisational structures, </w:t>
      </w:r>
      <w:r w:rsidR="0071010C">
        <w:rPr>
          <w:sz w:val="23"/>
          <w:szCs w:val="23"/>
        </w:rPr>
        <w:t>staffing and competences in place to effectively and reliably carry out those activities which could impact on nuclear safety.</w:t>
      </w:r>
    </w:p>
    <w:p w14:paraId="4AFF0261" w14:textId="48C0B6AF" w:rsidR="0071010C" w:rsidRDefault="00605BD2" w:rsidP="007D4C48">
      <w:pPr>
        <w:pStyle w:val="F9-Paragraph"/>
      </w:pPr>
      <w:r>
        <w:t xml:space="preserve">Ref. </w:t>
      </w:r>
      <w:sdt>
        <w:sdtPr>
          <w:id w:val="131146612"/>
          <w:citation/>
        </w:sdtPr>
        <w:sdtEndPr/>
        <w:sdtContent>
          <w:r>
            <w:fldChar w:fldCharType="begin"/>
          </w:r>
          <w:r>
            <w:instrText xml:space="preserve"> CITATION ONR74 \l 2057 </w:instrText>
          </w:r>
          <w:r>
            <w:fldChar w:fldCharType="separate"/>
          </w:r>
          <w:r w:rsidR="00166CB3">
            <w:rPr>
              <w:noProof/>
            </w:rPr>
            <w:t>[3]</w:t>
          </w:r>
          <w:r>
            <w:fldChar w:fldCharType="end"/>
          </w:r>
        </w:sdtContent>
      </w:sdt>
      <w:r w:rsidR="0071010C">
        <w:t xml:space="preserve">, supplemented by other guidance such as </w:t>
      </w:r>
      <w:r w:rsidR="00166CB3">
        <w:t>r</w:t>
      </w:r>
      <w:r>
        <w:t xml:space="preserve">ef. </w:t>
      </w:r>
      <w:sdt>
        <w:sdtPr>
          <w:id w:val="-1827040297"/>
          <w:citation/>
        </w:sdtPr>
        <w:sdtEndPr/>
        <w:sdtContent>
          <w:r>
            <w:fldChar w:fldCharType="begin"/>
          </w:r>
          <w:r>
            <w:instrText xml:space="preserve"> CITATION ONR51 \l 2057 </w:instrText>
          </w:r>
          <w:r>
            <w:fldChar w:fldCharType="separate"/>
          </w:r>
          <w:r w:rsidR="00166CB3">
            <w:rPr>
              <w:noProof/>
            </w:rPr>
            <w:t>[7]</w:t>
          </w:r>
          <w:r>
            <w:fldChar w:fldCharType="end"/>
          </w:r>
        </w:sdtContent>
      </w:sdt>
      <w:r w:rsidR="0071010C">
        <w:t>, is</w:t>
      </w:r>
      <w:r w:rsidR="00262B64">
        <w:t>,</w:t>
      </w:r>
      <w:r w:rsidR="0071010C">
        <w:t xml:space="preserve"> therefore</w:t>
      </w:r>
      <w:r w:rsidR="00262B64">
        <w:t xml:space="preserve">, </w:t>
      </w:r>
      <w:r w:rsidR="0071010C">
        <w:t>instrumental in setting out ONR’s expectations of the way in which a licensee shows that it has, and maintains, adequate human resources.</w:t>
      </w:r>
      <w:r w:rsidR="00317A5F">
        <w:t xml:space="preserve"> </w:t>
      </w:r>
      <w:r w:rsidR="0071010C">
        <w:t xml:space="preserve">The </w:t>
      </w:r>
      <w:r w:rsidR="00EE0FCE">
        <w:t>NB</w:t>
      </w:r>
      <w:r w:rsidR="0071010C">
        <w:t xml:space="preserve"> also provides a clear description of the currently intended staffing levels as a reference point or ‘baseline’ against which the licensee can assess the potential impact on nuclear safety of proposed organisational changes, noting that it will also be affected by changes in business objectives such as lifetime extensions.</w:t>
      </w:r>
    </w:p>
    <w:p w14:paraId="3C9D151E" w14:textId="14F3D488" w:rsidR="004E282E" w:rsidRDefault="004E282E" w:rsidP="007D4C48">
      <w:pPr>
        <w:pStyle w:val="F9-Paragraph"/>
      </w:pPr>
      <w:r>
        <w:t>The purpose of</w:t>
      </w:r>
      <w:r w:rsidR="005609E9">
        <w:t xml:space="preserve"> management of change </w:t>
      </w:r>
      <w:r w:rsidR="00166CB3">
        <w:t xml:space="preserve">(MoC) </w:t>
      </w:r>
      <w:r>
        <w:t>is</w:t>
      </w:r>
      <w:r w:rsidR="00DE11B6">
        <w:t xml:space="preserve"> to provide a </w:t>
      </w:r>
      <w:r>
        <w:t>structured</w:t>
      </w:r>
      <w:r w:rsidR="005A1B7D">
        <w:t>, coherent and comprehensive</w:t>
      </w:r>
      <w:r>
        <w:t xml:space="preserve"> approach</w:t>
      </w:r>
      <w:r w:rsidR="003B1E56">
        <w:t xml:space="preserve"> to</w:t>
      </w:r>
      <w:r w:rsidR="004415AB">
        <w:t xml:space="preserve"> maintaining nuclear safety throughout </w:t>
      </w:r>
      <w:r w:rsidR="00F66D50">
        <w:t xml:space="preserve">changes to </w:t>
      </w:r>
      <w:r w:rsidR="00E3215F">
        <w:t>the nuclear safety organisation</w:t>
      </w:r>
      <w:r w:rsidR="006A534F">
        <w:t>.</w:t>
      </w:r>
    </w:p>
    <w:p w14:paraId="4595C319" w14:textId="74FDC5D5" w:rsidR="00AF6EE4" w:rsidRDefault="00AF6EE4" w:rsidP="007D4C48">
      <w:pPr>
        <w:pStyle w:val="F9-Paragraph"/>
      </w:pPr>
      <w:r>
        <w:t xml:space="preserve">The licensee’s </w:t>
      </w:r>
      <w:r w:rsidR="00166CB3">
        <w:t>MoC</w:t>
      </w:r>
      <w:r>
        <w:t xml:space="preserve"> arrangements should ensure that the nuclear safety implications of a proposed change are fully considered and that risks arising from inadequate assessment and implementation of the change are recognised and suitably controlled. These arrangements should be part of a licensee’s management system.</w:t>
      </w:r>
    </w:p>
    <w:p w14:paraId="1D6A6116" w14:textId="31F4F966" w:rsidR="00AF6EE4" w:rsidRDefault="00AF6EE4" w:rsidP="007D4C48">
      <w:pPr>
        <w:pStyle w:val="F9-Paragraph"/>
      </w:pPr>
      <w:r>
        <w:t xml:space="preserve">There are many drivers for organisational change, and, without formal change management, a licensee may not immediately recognise the implications of a proposed course of action. Examples of drivers for organisational change and their potential implications are given in </w:t>
      </w:r>
      <w:r w:rsidR="005609E9">
        <w:br/>
      </w:r>
      <w:hyperlink w:anchor="_Appendix_4:_Examples" w:history="1">
        <w:r w:rsidRPr="004A0CD7">
          <w:rPr>
            <w:rStyle w:val="Hyperlink"/>
            <w:bCs/>
          </w:rPr>
          <w:t xml:space="preserve">Appendix </w:t>
        </w:r>
        <w:r w:rsidR="004A0CD7" w:rsidRPr="004A0CD7">
          <w:rPr>
            <w:rStyle w:val="Hyperlink"/>
            <w:bCs/>
          </w:rPr>
          <w:t>4</w:t>
        </w:r>
      </w:hyperlink>
      <w:r>
        <w:t>.</w:t>
      </w:r>
    </w:p>
    <w:p w14:paraId="7F02CE7C" w14:textId="77777777" w:rsidR="00166CB3" w:rsidRDefault="00166CB3" w:rsidP="007D4C48">
      <w:pPr>
        <w:pStyle w:val="F9-Paragraph"/>
        <w:sectPr w:rsidR="00166CB3" w:rsidSect="00434818">
          <w:pgSz w:w="11906" w:h="16838" w:code="9"/>
          <w:pgMar w:top="1440" w:right="1440" w:bottom="1440" w:left="1440" w:header="397" w:footer="397" w:gutter="0"/>
          <w:cols w:space="312"/>
          <w:docGrid w:linePitch="360"/>
        </w:sectPr>
      </w:pPr>
    </w:p>
    <w:p w14:paraId="151B5C04" w14:textId="17D7DBF8" w:rsidR="00AF6EE4" w:rsidRPr="007B285C" w:rsidRDefault="00AF6EE4" w:rsidP="007D4C48">
      <w:pPr>
        <w:pStyle w:val="F9-Paragraph"/>
      </w:pPr>
      <w:r>
        <w:lastRenderedPageBreak/>
        <w:t xml:space="preserve">It is important that the full implications of a proposed change or a series of changes are assessed prior to implementation of the change(s). This is to guard against a failure to consider all relevant factors and potential dependencies between related changes, and the potential for </w:t>
      </w:r>
      <w:r w:rsidRPr="006E07BC">
        <w:rPr>
          <w:bCs/>
        </w:rPr>
        <w:t>'salami slicing'</w:t>
      </w:r>
      <w:r>
        <w:rPr>
          <w:b/>
          <w:bCs/>
        </w:rPr>
        <w:t xml:space="preserve"> </w:t>
      </w:r>
      <w:r>
        <w:t xml:space="preserve">in which a major </w:t>
      </w:r>
      <w:r w:rsidRPr="007B285C">
        <w:t>change is decomposed into a series of lesser changes which are treated independently.</w:t>
      </w:r>
      <w:r>
        <w:t xml:space="preserve"> </w:t>
      </w:r>
      <w:r w:rsidRPr="00D9577E">
        <w:t xml:space="preserve">This applies to changes at all levels in the organisation including the very top of the organisation </w:t>
      </w:r>
      <w:r w:rsidR="005609E9">
        <w:t>(</w:t>
      </w:r>
      <w:r w:rsidRPr="00D9577E">
        <w:t>i.e., the Board or Executive team</w:t>
      </w:r>
      <w:r w:rsidR="005609E9">
        <w:t>)</w:t>
      </w:r>
      <w:r w:rsidRPr="00D9577E">
        <w:t>, where changes in the composition and knowledge of either of these teams can have a potentially significant influence over nuclear safety</w:t>
      </w:r>
      <w:r w:rsidRPr="007B285C">
        <w:t>.</w:t>
      </w:r>
    </w:p>
    <w:p w14:paraId="55A5C2D2" w14:textId="778B614D" w:rsidR="00AF6EE4" w:rsidRDefault="00AF6EE4" w:rsidP="007D4C48">
      <w:pPr>
        <w:pStyle w:val="F9-Paragraph"/>
      </w:pPr>
      <w:r>
        <w:t xml:space="preserve">Changes should be classified according to nuclear safety significance. </w:t>
      </w:r>
      <w:r>
        <w:br/>
        <w:t xml:space="preserve">Broad guidance for inspectors on the classification of organisational changes is given in </w:t>
      </w:r>
      <w:hyperlink w:anchor="_Appendix_5:_Guidance" w:history="1">
        <w:r w:rsidRPr="004A0CD7">
          <w:rPr>
            <w:rStyle w:val="Hyperlink"/>
            <w:bCs/>
          </w:rPr>
          <w:t xml:space="preserve">Appendix </w:t>
        </w:r>
        <w:r w:rsidR="004A0CD7" w:rsidRPr="004A0CD7">
          <w:rPr>
            <w:rStyle w:val="Hyperlink"/>
            <w:bCs/>
          </w:rPr>
          <w:t>5</w:t>
        </w:r>
      </w:hyperlink>
      <w:r>
        <w:t>. The level of assessment required should be proportionate to the potential nuclear safety significance of the change.</w:t>
      </w:r>
    </w:p>
    <w:p w14:paraId="532FC310" w14:textId="48600C96" w:rsidR="00AF6EE4" w:rsidRPr="001A327D" w:rsidRDefault="00AF6EE4" w:rsidP="007D4C48">
      <w:pPr>
        <w:pStyle w:val="F9-Paragraph"/>
      </w:pPr>
      <w:r>
        <w:t xml:space="preserve">It should be noted that replacing one post holder with another post holder on a like-for-like basis need not constitute a trigger for the application of </w:t>
      </w:r>
      <w:r w:rsidR="00166CB3">
        <w:t xml:space="preserve">MoC </w:t>
      </w:r>
      <w:r>
        <w:t xml:space="preserve">arrangements as this should ordinarily be addressed through the licensee’s arrangements made under </w:t>
      </w:r>
      <w:r w:rsidRPr="001A327D">
        <w:rPr>
          <w:bCs/>
        </w:rPr>
        <w:t>LC</w:t>
      </w:r>
      <w:r>
        <w:rPr>
          <w:bCs/>
        </w:rPr>
        <w:t xml:space="preserve"> </w:t>
      </w:r>
      <w:r w:rsidRPr="001A327D">
        <w:rPr>
          <w:bCs/>
        </w:rPr>
        <w:t>12</w:t>
      </w:r>
      <w:r>
        <w:t xml:space="preserve">. However, where </w:t>
      </w:r>
      <w:r w:rsidR="00A95123">
        <w:t>several</w:t>
      </w:r>
      <w:r>
        <w:t xml:space="preserve"> changes are to be undertaken in the same area or there is a consequential effect on roles and responsibilities, the arrangements should be applied. </w:t>
      </w:r>
    </w:p>
    <w:p w14:paraId="6A5B0F4E" w14:textId="23A80022" w:rsidR="00AF6EE4" w:rsidRPr="007B285C" w:rsidRDefault="00AF6EE4" w:rsidP="007D4C48">
      <w:pPr>
        <w:pStyle w:val="F9-Paragraph"/>
      </w:pPr>
      <w:r>
        <w:t xml:space="preserve">In addition to </w:t>
      </w:r>
      <w:r w:rsidRPr="007B285C">
        <w:t xml:space="preserve">this TAG and </w:t>
      </w:r>
      <w:r w:rsidR="00166CB3">
        <w:t>r</w:t>
      </w:r>
      <w:r>
        <w:t xml:space="preserve">ef. </w:t>
      </w:r>
      <w:sdt>
        <w:sdtPr>
          <w:id w:val="501935502"/>
          <w:citation/>
        </w:sdtPr>
        <w:sdtEndPr/>
        <w:sdtContent>
          <w:r>
            <w:fldChar w:fldCharType="begin"/>
          </w:r>
          <w:r>
            <w:instrText xml:space="preserve"> CITATION ONR74 \l 2057 </w:instrText>
          </w:r>
          <w:r>
            <w:fldChar w:fldCharType="separate"/>
          </w:r>
          <w:r w:rsidR="00166CB3">
            <w:rPr>
              <w:noProof/>
            </w:rPr>
            <w:t>[3]</w:t>
          </w:r>
          <w:r>
            <w:fldChar w:fldCharType="end"/>
          </w:r>
        </w:sdtContent>
      </w:sdt>
      <w:r w:rsidRPr="008E42B1">
        <w:t xml:space="preserve">, </w:t>
      </w:r>
      <w:r>
        <w:t>inspector</w:t>
      </w:r>
      <w:r w:rsidRPr="008E42B1">
        <w:t>s should be f</w:t>
      </w:r>
      <w:r w:rsidRPr="007B285C">
        <w:t xml:space="preserve">amiliar with the nuclear industry </w:t>
      </w:r>
      <w:r w:rsidRPr="00D9577E">
        <w:t>GPG</w:t>
      </w:r>
      <w:r w:rsidRPr="007B285C">
        <w:t xml:space="preserve"> </w:t>
      </w:r>
      <w:r>
        <w:t>(</w:t>
      </w:r>
      <w:r w:rsidR="00166CB3">
        <w:t>r</w:t>
      </w:r>
      <w:r>
        <w:t>ef</w:t>
      </w:r>
      <w:r w:rsidR="00A95123">
        <w:t>s</w:t>
      </w:r>
      <w:r>
        <w:t xml:space="preserve">. </w:t>
      </w:r>
      <w:sdt>
        <w:sdtPr>
          <w:id w:val="243311299"/>
          <w:citation/>
        </w:sdtPr>
        <w:sdtEndPr/>
        <w:sdtContent>
          <w:r w:rsidR="00F20CB8">
            <w:fldChar w:fldCharType="begin"/>
          </w:r>
          <w:r w:rsidR="00F20CB8">
            <w:instrText xml:space="preserve"> CITATION SDF17 \l 2057 </w:instrText>
          </w:r>
          <w:r w:rsidR="00F20CB8">
            <w:fldChar w:fldCharType="separate"/>
          </w:r>
          <w:r w:rsidR="00166CB3">
            <w:rPr>
              <w:noProof/>
            </w:rPr>
            <w:t>[4]</w:t>
          </w:r>
          <w:r w:rsidR="00F20CB8">
            <w:fldChar w:fldCharType="end"/>
          </w:r>
        </w:sdtContent>
      </w:sdt>
      <w:r w:rsidR="00434818">
        <w:t>,</w:t>
      </w:r>
      <w:sdt>
        <w:sdtPr>
          <w:id w:val="475258531"/>
          <w:citation/>
        </w:sdtPr>
        <w:sdtEndPr/>
        <w:sdtContent>
          <w:r w:rsidR="00F20CB8">
            <w:fldChar w:fldCharType="begin"/>
          </w:r>
          <w:r w:rsidR="00F20CB8">
            <w:instrText xml:space="preserve"> CITATION SDF18 \l 2057 </w:instrText>
          </w:r>
          <w:r w:rsidR="00F20CB8">
            <w:fldChar w:fldCharType="separate"/>
          </w:r>
          <w:r w:rsidR="00166CB3">
            <w:rPr>
              <w:noProof/>
            </w:rPr>
            <w:t xml:space="preserve"> [5]</w:t>
          </w:r>
          <w:r w:rsidR="00F20CB8">
            <w:fldChar w:fldCharType="end"/>
          </w:r>
        </w:sdtContent>
      </w:sdt>
      <w:r w:rsidR="00434818">
        <w:t xml:space="preserve"> and</w:t>
      </w:r>
      <w:sdt>
        <w:sdtPr>
          <w:id w:val="-1898585175"/>
          <w:citation/>
        </w:sdtPr>
        <w:sdtEndPr/>
        <w:sdtContent>
          <w:r w:rsidR="00F20CB8">
            <w:fldChar w:fldCharType="begin"/>
          </w:r>
          <w:r w:rsidR="00F20CB8">
            <w:instrText xml:space="preserve"> CITATION SDF20 \l 2057 </w:instrText>
          </w:r>
          <w:r w:rsidR="00F20CB8">
            <w:fldChar w:fldCharType="separate"/>
          </w:r>
          <w:r w:rsidR="00166CB3">
            <w:rPr>
              <w:noProof/>
            </w:rPr>
            <w:t xml:space="preserve"> [6]</w:t>
          </w:r>
          <w:r w:rsidR="00F20CB8">
            <w:fldChar w:fldCharType="end"/>
          </w:r>
        </w:sdtContent>
      </w:sdt>
      <w:r>
        <w:t>)</w:t>
      </w:r>
      <w:r w:rsidRPr="007B285C">
        <w:t>.</w:t>
      </w:r>
      <w:r>
        <w:t xml:space="preserve"> </w:t>
      </w:r>
      <w:r w:rsidRPr="007B285C">
        <w:t>This guidance was produced, and is maintained, by an industry working group that includes ONR.</w:t>
      </w:r>
      <w:r>
        <w:t xml:space="preserve"> </w:t>
      </w:r>
      <w:r w:rsidR="00B560A1">
        <w:br/>
      </w:r>
      <w:r w:rsidRPr="007B285C">
        <w:t xml:space="preserve">Where licensees </w:t>
      </w:r>
      <w:r w:rsidR="005053D0" w:rsidRPr="007B285C">
        <w:t>can</w:t>
      </w:r>
      <w:r w:rsidRPr="007B285C">
        <w:t xml:space="preserve"> demonstrate that their arrangements are consistent with the guidance in the </w:t>
      </w:r>
      <w:r w:rsidRPr="00D9577E">
        <w:t>GPG</w:t>
      </w:r>
      <w:r w:rsidRPr="007B285C">
        <w:t xml:space="preserve">, inspectors should regard this as meeting the expectations of this TAG and sufficient for compliance with the </w:t>
      </w:r>
      <w:r w:rsidR="00166CB3">
        <w:t>LC</w:t>
      </w:r>
      <w:r w:rsidRPr="007B285C">
        <w:t>.</w:t>
      </w:r>
    </w:p>
    <w:p w14:paraId="42672304" w14:textId="648A2B9C" w:rsidR="00AF6EE4" w:rsidRPr="007764D4" w:rsidRDefault="00AF6EE4" w:rsidP="007D4C48">
      <w:pPr>
        <w:pStyle w:val="F9-Paragraph"/>
      </w:pPr>
      <w:r w:rsidRPr="007764D4">
        <w:t xml:space="preserve">For new build organisations, it is important that </w:t>
      </w:r>
      <w:r w:rsidR="00166CB3">
        <w:t xml:space="preserve">MoC </w:t>
      </w:r>
      <w:r w:rsidRPr="007764D4">
        <w:t>arrangements are fully developed and implemented in sufficient time to allow an adequate period of demonstrated working, usually in the region of 12 months prior to the Nuclear Site Licensing (NSL) decision. It is recognised that new build organisations develop rapidly during the pre-application and early NSL assessment phase of the project. However, implementation of these arrangements should enable an organisation to establish and demonstrate the appropriate level of control, while supporting the development of the company’s resourcing strategy. This should enable ONR to gain confidence in the company’s approach to building a nuclear competent organisation.</w:t>
      </w:r>
      <w:r>
        <w:t xml:space="preserve"> </w:t>
      </w:r>
    </w:p>
    <w:p w14:paraId="09B717B7" w14:textId="053FF998" w:rsidR="00AF6EE4" w:rsidRPr="00D9577E" w:rsidRDefault="00AF6EE4" w:rsidP="007D4C48">
      <w:pPr>
        <w:pStyle w:val="F9-Paragraph"/>
      </w:pPr>
      <w:r w:rsidRPr="00D9577E">
        <w:t xml:space="preserve">ONR recognises that, unlike mature licensee organisations, a new build organisation may not be ‘right first time’ and will continue to evolve, particularly during the early stages of </w:t>
      </w:r>
      <w:r>
        <w:t>a</w:t>
      </w:r>
      <w:r w:rsidRPr="00D9577E">
        <w:t xml:space="preserve"> new build project.</w:t>
      </w:r>
      <w:r>
        <w:t xml:space="preserve"> </w:t>
      </w:r>
      <w:r w:rsidRPr="00D9577E">
        <w:t xml:space="preserve">The organisation should ensure that its </w:t>
      </w:r>
      <w:r w:rsidR="005609E9">
        <w:t xml:space="preserve">MoC </w:t>
      </w:r>
      <w:r w:rsidRPr="00D9577E">
        <w:t>arrangements are proportionate to the phase of the project and sufficiently flexible to enable rather than constrain organisational development.</w:t>
      </w:r>
    </w:p>
    <w:p w14:paraId="6BA0E174" w14:textId="77777777" w:rsidR="005609E9" w:rsidRDefault="005609E9" w:rsidP="007D4C48">
      <w:pPr>
        <w:pStyle w:val="F9-Paragraph"/>
        <w:sectPr w:rsidR="005609E9" w:rsidSect="00434818">
          <w:pgSz w:w="11906" w:h="16838" w:code="9"/>
          <w:pgMar w:top="1440" w:right="1440" w:bottom="1440" w:left="1440" w:header="397" w:footer="397" w:gutter="0"/>
          <w:cols w:space="312"/>
          <w:docGrid w:linePitch="360"/>
        </w:sectPr>
      </w:pPr>
    </w:p>
    <w:p w14:paraId="19BC1680" w14:textId="5EFC5164" w:rsidR="00AF6EE4" w:rsidRDefault="00AF6EE4" w:rsidP="007D4C48">
      <w:pPr>
        <w:pStyle w:val="F9-Paragraph"/>
      </w:pPr>
      <w:r w:rsidRPr="00D9577E">
        <w:lastRenderedPageBreak/>
        <w:t xml:space="preserve">ONR acknowledges that for low hazard sites, typically those below the REPPIR threshold, it may be proportionate for a simplified </w:t>
      </w:r>
      <w:r w:rsidR="005609E9">
        <w:t>MoC</w:t>
      </w:r>
      <w:r w:rsidRPr="00D9577E">
        <w:t xml:space="preserve"> process to be applied.</w:t>
      </w:r>
      <w:r>
        <w:t xml:space="preserve"> </w:t>
      </w:r>
      <w:r w:rsidRPr="00D9577E">
        <w:t>It is however still important that an adequate risk assessment is undertaken for organisational changes on these lower hazard sites to ensure the organisational capability is suitable to manage nuclear safety.</w:t>
      </w:r>
      <w:r>
        <w:t xml:space="preserve"> </w:t>
      </w:r>
      <w:r w:rsidRPr="00D9577E">
        <w:t xml:space="preserve">It is particularly important that a proportionate process allowing flexibility is developed to manage staff reduction prior to entry </w:t>
      </w:r>
      <w:r>
        <w:t xml:space="preserve">of a site </w:t>
      </w:r>
      <w:r w:rsidRPr="00D9577E">
        <w:t xml:space="preserve">into </w:t>
      </w:r>
      <w:r>
        <w:t>c</w:t>
      </w:r>
      <w:r w:rsidRPr="00D9577E">
        <w:t xml:space="preserve">are and </w:t>
      </w:r>
      <w:r>
        <w:t>m</w:t>
      </w:r>
      <w:r w:rsidRPr="00D9577E">
        <w:t xml:space="preserve">aintenance. </w:t>
      </w:r>
    </w:p>
    <w:p w14:paraId="6A4506A2" w14:textId="4784C328" w:rsidR="00616D21" w:rsidRPr="00E57CA1" w:rsidRDefault="00616D21" w:rsidP="007D4C48">
      <w:pPr>
        <w:pStyle w:val="F9-Paragraph"/>
      </w:pPr>
      <w:r w:rsidRPr="00E57CA1">
        <w:t xml:space="preserve">Significant, large-scale and complex change in licensee organisations </w:t>
      </w:r>
      <w:r w:rsidR="00E57CA1">
        <w:t>may</w:t>
      </w:r>
      <w:r w:rsidRPr="00E57CA1">
        <w:t xml:space="preserve"> arise from changes to business strategy in response to either external or internal factors.</w:t>
      </w:r>
      <w:r w:rsidR="005F01F0">
        <w:t xml:space="preserve"> </w:t>
      </w:r>
      <w:r w:rsidRPr="00E57CA1">
        <w:t xml:space="preserve">Such changes </w:t>
      </w:r>
      <w:r w:rsidR="00246E16" w:rsidRPr="00E57CA1">
        <w:t xml:space="preserve">generally originate from </w:t>
      </w:r>
      <w:r w:rsidR="00241594" w:rsidRPr="00E57CA1">
        <w:t>Board or Executive level direction</w:t>
      </w:r>
      <w:r w:rsidR="006F589F" w:rsidRPr="00E57CA1">
        <w:t xml:space="preserve"> articulated through strategy papers that</w:t>
      </w:r>
      <w:r w:rsidR="00837AFE" w:rsidRPr="00E57CA1">
        <w:t xml:space="preserve"> provide the</w:t>
      </w:r>
      <w:r w:rsidR="00241594" w:rsidRPr="00E57CA1">
        <w:t xml:space="preserve"> </w:t>
      </w:r>
      <w:r w:rsidR="006F589F" w:rsidRPr="00E57CA1">
        <w:t xml:space="preserve">framework and direction for </w:t>
      </w:r>
      <w:r w:rsidRPr="00E57CA1">
        <w:t>m</w:t>
      </w:r>
      <w:r w:rsidR="00837AFE" w:rsidRPr="00E57CA1">
        <w:t xml:space="preserve">ore detailed </w:t>
      </w:r>
      <w:r w:rsidR="000F52A7" w:rsidRPr="00E57CA1">
        <w:t xml:space="preserve">design and </w:t>
      </w:r>
      <w:r w:rsidR="00837AFE" w:rsidRPr="00E57CA1">
        <w:t>planning</w:t>
      </w:r>
      <w:r w:rsidR="000F52A7" w:rsidRPr="00E57CA1">
        <w:t>.</w:t>
      </w:r>
    </w:p>
    <w:p w14:paraId="37FFB341" w14:textId="5A9DFE7C" w:rsidR="0071010C" w:rsidRPr="00D9577E" w:rsidRDefault="0071010C" w:rsidP="00434818">
      <w:pPr>
        <w:pStyle w:val="Heading2"/>
      </w:pPr>
      <w:r w:rsidRPr="00D9577E">
        <w:t xml:space="preserve">ONR </w:t>
      </w:r>
      <w:r w:rsidR="00166CB3">
        <w:t>p</w:t>
      </w:r>
      <w:r w:rsidRPr="00D9577E">
        <w:t xml:space="preserve">ermissioning of </w:t>
      </w:r>
      <w:r w:rsidR="00166CB3">
        <w:t>o</w:t>
      </w:r>
      <w:r w:rsidRPr="00D9577E">
        <w:t xml:space="preserve">rganisational </w:t>
      </w:r>
      <w:r w:rsidR="00166CB3">
        <w:t>c</w:t>
      </w:r>
      <w:r w:rsidRPr="00D9577E">
        <w:t xml:space="preserve">hange </w:t>
      </w:r>
    </w:p>
    <w:p w14:paraId="678C9AA1" w14:textId="29BC26EF" w:rsidR="0071010C" w:rsidRPr="00D9577E" w:rsidRDefault="0071010C" w:rsidP="007D4C48">
      <w:pPr>
        <w:pStyle w:val="F9-Paragraph"/>
      </w:pPr>
      <w:r w:rsidRPr="00D9577E">
        <w:t>To introduce flexibility into the permissioning process, licensees may prescribe, with ONR agreement</w:t>
      </w:r>
      <w:r w:rsidR="00465005">
        <w:t>,</w:t>
      </w:r>
      <w:r w:rsidRPr="00D9577E">
        <w:t xml:space="preserve"> ‘derived’ powers for use by ONR usually but not exclusively when permissioning the highest category of change proposal. The ‘derived’ powers defined in a licensee’s LC 36 arrangements may include agreement, notification, acknowledgement and specification but not approval, consent or direction. However, derived powers have no formal legal basis and constitute administrative arrangements agreed between ONR and the licensee. Inspectors should note that inclusion of derived powers are not a prerequisite for the licensee’s LC 36 arrangements to be considered as adequate, nor does their use preclude the use of primary powers to exercise regulatory control over modifications. This guidance provides advice to inspectors on ONR’s expectations for adequate licensee arrangements required under LC</w:t>
      </w:r>
      <w:r w:rsidR="002E221F">
        <w:t xml:space="preserve"> </w:t>
      </w:r>
      <w:r w:rsidRPr="00D9577E">
        <w:t xml:space="preserve">36 (2). </w:t>
      </w:r>
    </w:p>
    <w:p w14:paraId="18150069" w14:textId="78A878B9" w:rsidR="0071010C" w:rsidRPr="00D9577E" w:rsidRDefault="0071010C" w:rsidP="007D4C48">
      <w:pPr>
        <w:pStyle w:val="F9-Paragraph"/>
      </w:pPr>
      <w:r w:rsidRPr="00D9577E">
        <w:t xml:space="preserve">The licensee’s arrangements may also include provision for enhanced implementation monitoring and control of a proposed organisational change by ONR, where ONR considers that the use of primary or derived power Licence Instruments may not be appropriate or proportionate to exercise regulatory control and oversight of a licensee’s modification proposal. Where this is the case, the inspector should check that such arrangements are consistent with the expectations set out in </w:t>
      </w:r>
      <w:r w:rsidR="00166CB3">
        <w:t>r</w:t>
      </w:r>
      <w:r w:rsidR="002E221F" w:rsidRPr="0078741E">
        <w:t>ef</w:t>
      </w:r>
      <w:r w:rsidR="002E221F" w:rsidRPr="000E0135">
        <w:t xml:space="preserve">. </w:t>
      </w:r>
      <w:sdt>
        <w:sdtPr>
          <w:id w:val="-73971868"/>
          <w:citation/>
        </w:sdtPr>
        <w:sdtEndPr/>
        <w:sdtContent>
          <w:r w:rsidR="002E221F" w:rsidRPr="000E0135">
            <w:fldChar w:fldCharType="begin"/>
          </w:r>
          <w:r w:rsidR="002E221F" w:rsidRPr="000E0135">
            <w:instrText xml:space="preserve"> CITATION ONR112 \l 2057 </w:instrText>
          </w:r>
          <w:r w:rsidR="002E221F" w:rsidRPr="000E0135">
            <w:fldChar w:fldCharType="separate"/>
          </w:r>
          <w:r w:rsidR="00166CB3">
            <w:rPr>
              <w:noProof/>
            </w:rPr>
            <w:t>[25]</w:t>
          </w:r>
          <w:r w:rsidR="002E221F" w:rsidRPr="000E0135">
            <w:fldChar w:fldCharType="end"/>
          </w:r>
        </w:sdtContent>
      </w:sdt>
      <w:r w:rsidRPr="00D9577E">
        <w:t>.</w:t>
      </w:r>
    </w:p>
    <w:p w14:paraId="78BD8186" w14:textId="2BCFB443" w:rsidR="0071010C" w:rsidRPr="00D9577E" w:rsidRDefault="0071010C" w:rsidP="007D4C48">
      <w:pPr>
        <w:pStyle w:val="F9-Paragraph"/>
      </w:pPr>
      <w:r w:rsidRPr="00D9577E">
        <w:t>This guidance provides advice to inspectors on ONR’s expectations for adequate licensee arrangements required under LC</w:t>
      </w:r>
      <w:r w:rsidR="002E221F">
        <w:t xml:space="preserve"> </w:t>
      </w:r>
      <w:r w:rsidRPr="00D9577E">
        <w:t>36 (2).</w:t>
      </w:r>
    </w:p>
    <w:p w14:paraId="28908679" w14:textId="77777777" w:rsidR="00166CB3" w:rsidRDefault="00166CB3" w:rsidP="00434818">
      <w:pPr>
        <w:pStyle w:val="Heading2"/>
        <w:sectPr w:rsidR="00166CB3" w:rsidSect="00434818">
          <w:pgSz w:w="11906" w:h="16838" w:code="9"/>
          <w:pgMar w:top="1440" w:right="1440" w:bottom="1440" w:left="1440" w:header="397" w:footer="397" w:gutter="0"/>
          <w:cols w:space="312"/>
          <w:docGrid w:linePitch="360"/>
        </w:sectPr>
      </w:pPr>
    </w:p>
    <w:p w14:paraId="191EF987" w14:textId="7DA95707" w:rsidR="0071010C" w:rsidRPr="007B285C" w:rsidRDefault="005609E9" w:rsidP="00434818">
      <w:pPr>
        <w:pStyle w:val="Heading2"/>
      </w:pPr>
      <w:r>
        <w:lastRenderedPageBreak/>
        <w:t>P</w:t>
      </w:r>
      <w:r w:rsidR="0071010C" w:rsidRPr="007B285C">
        <w:t>rinciples</w:t>
      </w:r>
      <w:r>
        <w:t xml:space="preserve"> of organisational change</w:t>
      </w:r>
    </w:p>
    <w:p w14:paraId="54576FA8" w14:textId="04C8EC79" w:rsidR="0071010C" w:rsidRPr="007B285C" w:rsidRDefault="0071010C" w:rsidP="007D4C48">
      <w:pPr>
        <w:pStyle w:val="F9-Paragraph"/>
      </w:pPr>
      <w:r w:rsidRPr="00730166">
        <w:t xml:space="preserve">There are some broad principles which </w:t>
      </w:r>
      <w:r w:rsidRPr="008E42B1">
        <w:t>underpin ONR’s expectations of a licensee’s</w:t>
      </w:r>
      <w:r w:rsidR="005609E9">
        <w:t xml:space="preserve"> Mo</w:t>
      </w:r>
      <w:r w:rsidR="00166CB3">
        <w:t>C</w:t>
      </w:r>
      <w:r w:rsidRPr="008E42B1">
        <w:t xml:space="preserve"> arrangements.</w:t>
      </w:r>
      <w:r w:rsidR="00317A5F">
        <w:t xml:space="preserve"> </w:t>
      </w:r>
      <w:r w:rsidRPr="007B285C">
        <w:t xml:space="preserve">These are set out below and then each principle is discussed in more detail in the following sections. </w:t>
      </w:r>
    </w:p>
    <w:p w14:paraId="3963620A" w14:textId="6DC43D27" w:rsidR="0071010C" w:rsidRPr="00244066" w:rsidRDefault="0071010C" w:rsidP="00166CB3">
      <w:pPr>
        <w:pStyle w:val="NumList1"/>
        <w:ind w:left="1276"/>
      </w:pPr>
      <w:r w:rsidRPr="00244066">
        <w:t>The arrangements should be robust, incorporated as part of the licensee’s management system and applied to all activities that have the potential to impact on nuclear safety;</w:t>
      </w:r>
    </w:p>
    <w:p w14:paraId="34B4E397" w14:textId="2904F003" w:rsidR="0071010C" w:rsidRPr="00CC7749" w:rsidRDefault="0071010C" w:rsidP="00166CB3">
      <w:pPr>
        <w:pStyle w:val="NumList1"/>
        <w:ind w:left="1276"/>
      </w:pPr>
      <w:r w:rsidRPr="007B285C">
        <w:t xml:space="preserve">The Board of the </w:t>
      </w:r>
      <w:r w:rsidRPr="009B7E97">
        <w:t>licensee/</w:t>
      </w:r>
      <w:r w:rsidR="00166CB3">
        <w:t>E</w:t>
      </w:r>
      <w:r w:rsidRPr="009B7E97">
        <w:t>xecutive should own</w:t>
      </w:r>
      <w:r w:rsidRPr="007B285C">
        <w:t xml:space="preserve"> and support the </w:t>
      </w:r>
      <w:r w:rsidR="005609E9">
        <w:t xml:space="preserve">MoC </w:t>
      </w:r>
      <w:r w:rsidRPr="007B285C">
        <w:t>arrangements and ensure that</w:t>
      </w:r>
      <w:r w:rsidRPr="00CC7749">
        <w:t xml:space="preserve"> they are embedded throughout the organisation;</w:t>
      </w:r>
    </w:p>
    <w:p w14:paraId="1A8BD60C" w14:textId="790A61FF" w:rsidR="0071010C" w:rsidRPr="00CC7749" w:rsidRDefault="0071010C" w:rsidP="00166CB3">
      <w:pPr>
        <w:pStyle w:val="NumList1"/>
        <w:ind w:left="1276"/>
      </w:pPr>
      <w:r w:rsidRPr="00CC7749">
        <w:t>The arrangements should reference the nuclear baseline and include a process for updating it on a regular basis;</w:t>
      </w:r>
    </w:p>
    <w:p w14:paraId="019F5B10" w14:textId="1010416F" w:rsidR="0071010C" w:rsidRPr="00CC7749" w:rsidRDefault="0071010C" w:rsidP="00166CB3">
      <w:pPr>
        <w:pStyle w:val="NumList1"/>
        <w:ind w:left="1276"/>
      </w:pPr>
      <w:r w:rsidRPr="00CC7749">
        <w:t>The arrangements should include an initial screening assessment to identify the potential safety significance of a change proposal and establish a suitable categorisation for determining the level of analysis</w:t>
      </w:r>
      <w:r>
        <w:t>,</w:t>
      </w:r>
      <w:r w:rsidRPr="00CC7749">
        <w:t xml:space="preserve"> justification</w:t>
      </w:r>
      <w:r>
        <w:t xml:space="preserve"> and challenge</w:t>
      </w:r>
      <w:r w:rsidRPr="00CC7749">
        <w:t>;</w:t>
      </w:r>
    </w:p>
    <w:p w14:paraId="597519FA" w14:textId="1AB2868C" w:rsidR="0071010C" w:rsidRPr="00414C39" w:rsidRDefault="0071010C" w:rsidP="00166CB3">
      <w:pPr>
        <w:pStyle w:val="NumList1"/>
        <w:ind w:left="1276"/>
        <w:rPr>
          <w:sz w:val="23"/>
          <w:szCs w:val="23"/>
        </w:rPr>
      </w:pPr>
      <w:r>
        <w:t>The licensee should assess and justify the safety of a proposed change, commensurate with its unmitigated potential impact on safety should the change be inadequately conceived or executed, identify and implement suitable controls to ensure nuclear safety is not adversely affected and monitor the implementation of the change.</w:t>
      </w:r>
      <w:r>
        <w:rPr>
          <w:b/>
          <w:sz w:val="23"/>
          <w:szCs w:val="23"/>
        </w:rPr>
        <w:t xml:space="preserve"> </w:t>
      </w:r>
    </w:p>
    <w:p w14:paraId="7C726941" w14:textId="1B8CF1F3" w:rsidR="0071010C" w:rsidRPr="00414C39" w:rsidRDefault="0071010C" w:rsidP="00166CB3">
      <w:pPr>
        <w:pStyle w:val="NumList1"/>
        <w:ind w:left="1276"/>
      </w:pPr>
      <w:r w:rsidRPr="00414C39">
        <w:t>The licensee should periodically review the effectiveness of the overall arrangements and the changes that have been implemented.</w:t>
      </w:r>
    </w:p>
    <w:p w14:paraId="4C3CDB53" w14:textId="396B7E6D" w:rsidR="0071010C" w:rsidRPr="00C3008D" w:rsidRDefault="0071010C" w:rsidP="007648C9">
      <w:pPr>
        <w:pStyle w:val="Heading3"/>
      </w:pPr>
      <w:r w:rsidRPr="00C3008D">
        <w:t xml:space="preserve">Principle </w:t>
      </w:r>
      <w:r w:rsidR="00166CB3">
        <w:t>one</w:t>
      </w:r>
      <w:r w:rsidR="00551468">
        <w:t xml:space="preserve"> </w:t>
      </w:r>
    </w:p>
    <w:p w14:paraId="55B6CA9B" w14:textId="2BB42AA3" w:rsidR="0071010C" w:rsidRPr="00317A5F" w:rsidRDefault="0071010C" w:rsidP="007D4C48">
      <w:pPr>
        <w:pStyle w:val="F9-Paragraph"/>
      </w:pPr>
      <w:r w:rsidRPr="00317A5F">
        <w:t xml:space="preserve">A licensee’s </w:t>
      </w:r>
      <w:r w:rsidR="005609E9">
        <w:t xml:space="preserve">MoC </w:t>
      </w:r>
      <w:r w:rsidRPr="00317A5F">
        <w:t>arrangements should be robust, incorporated as part of the management system and applied to all activities that have the potential to impact on nuclear safety.</w:t>
      </w:r>
    </w:p>
    <w:p w14:paraId="273DE530" w14:textId="27F422C5" w:rsidR="00334124" w:rsidRDefault="00334124" w:rsidP="007D4C48">
      <w:pPr>
        <w:pStyle w:val="F9-Paragraph"/>
      </w:pPr>
      <w:r>
        <w:t>ONR considers organisational capability to be a function of the people in the context of the processes and tools used.</w:t>
      </w:r>
      <w:r w:rsidR="005F01F0">
        <w:t xml:space="preserve"> </w:t>
      </w:r>
      <w:r>
        <w:t>It is expected, therefore, that licensees will take an holistic view across these three areas.</w:t>
      </w:r>
      <w:r w:rsidR="005F01F0">
        <w:t xml:space="preserve"> </w:t>
      </w:r>
      <w:r>
        <w:t xml:space="preserve">It is good </w:t>
      </w:r>
      <w:r w:rsidR="00353D36">
        <w:t xml:space="preserve">practice </w:t>
      </w:r>
      <w:r>
        <w:t xml:space="preserve">for </w:t>
      </w:r>
      <w:r w:rsidR="005609E9">
        <w:t xml:space="preserve">MoC </w:t>
      </w:r>
      <w:r>
        <w:t>processes to be aligned with other company change processes such as those for engineering change established under LC</w:t>
      </w:r>
      <w:r w:rsidR="00166CB3">
        <w:t xml:space="preserve"> </w:t>
      </w:r>
      <w:r>
        <w:t>22.</w:t>
      </w:r>
    </w:p>
    <w:p w14:paraId="3B64C4C7" w14:textId="1006F407" w:rsidR="00F300E2" w:rsidRDefault="0071010C" w:rsidP="007D4C48">
      <w:pPr>
        <w:pStyle w:val="F9-Paragraph"/>
      </w:pPr>
      <w:r>
        <w:t>The licensee should have formal, systematic arrangements in place to assess, monitor and review organisational changes to ensure that they are managed in a co-ordinated, consistent and effective manner.</w:t>
      </w:r>
      <w:r w:rsidR="00317A5F">
        <w:t xml:space="preserve"> </w:t>
      </w:r>
      <w:r w:rsidR="005609E9">
        <w:br/>
      </w:r>
      <w:r>
        <w:t>These arrangements should be owned and supported by the licensee Board</w:t>
      </w:r>
      <w:r w:rsidR="005609E9">
        <w:t>/</w:t>
      </w:r>
      <w:r>
        <w:t>Executive.</w:t>
      </w:r>
      <w:r w:rsidR="00E152EC">
        <w:t xml:space="preserve"> </w:t>
      </w:r>
    </w:p>
    <w:p w14:paraId="400F4AC4" w14:textId="77777777" w:rsidR="005609E9" w:rsidRDefault="005609E9" w:rsidP="007D4C48">
      <w:pPr>
        <w:pStyle w:val="F9-Paragraph"/>
        <w:sectPr w:rsidR="005609E9" w:rsidSect="00434818">
          <w:pgSz w:w="11906" w:h="16838" w:code="9"/>
          <w:pgMar w:top="1440" w:right="1440" w:bottom="1440" w:left="1440" w:header="397" w:footer="397" w:gutter="0"/>
          <w:cols w:space="312"/>
          <w:docGrid w:linePitch="360"/>
        </w:sectPr>
      </w:pPr>
    </w:p>
    <w:p w14:paraId="474B074C" w14:textId="684FFE0A" w:rsidR="0071010C" w:rsidRPr="00C026F0" w:rsidRDefault="0071010C" w:rsidP="007D4C48">
      <w:pPr>
        <w:pStyle w:val="F9-Paragraph"/>
        <w:rPr>
          <w:bCs/>
        </w:rPr>
      </w:pPr>
      <w:r>
        <w:lastRenderedPageBreak/>
        <w:t xml:space="preserve">These </w:t>
      </w:r>
      <w:r w:rsidRPr="007B285C">
        <w:t xml:space="preserve">arrangements, </w:t>
      </w:r>
      <w:r w:rsidRPr="00D9577E">
        <w:t xml:space="preserve">which may </w:t>
      </w:r>
      <w:r w:rsidR="00880506" w:rsidRPr="00D9577E">
        <w:t xml:space="preserve">be </w:t>
      </w:r>
      <w:r w:rsidR="00880506">
        <w:t>a</w:t>
      </w:r>
      <w:r w:rsidR="00880506" w:rsidRPr="00D9577E">
        <w:t>pproved</w:t>
      </w:r>
      <w:r w:rsidR="00880506" w:rsidRPr="007B285C">
        <w:t xml:space="preserve"> by ONR</w:t>
      </w:r>
      <w:r w:rsidR="00880506" w:rsidRPr="00D9577E">
        <w:t xml:space="preserve"> </w:t>
      </w:r>
      <w:r w:rsidRPr="00D9577E">
        <w:t xml:space="preserve">under </w:t>
      </w:r>
      <w:r>
        <w:t>primary</w:t>
      </w:r>
      <w:r w:rsidRPr="00D9577E">
        <w:t xml:space="preserve"> powers</w:t>
      </w:r>
      <w:r w:rsidRPr="007B285C">
        <w:t>, sh</w:t>
      </w:r>
      <w:r w:rsidRPr="00730166">
        <w:t>ould be part of the licensee’s management s</w:t>
      </w:r>
      <w:r w:rsidRPr="008E42B1">
        <w:t>ystem, and ideally be integrated</w:t>
      </w:r>
      <w:r w:rsidRPr="001E72B4">
        <w:t xml:space="preserve"> with the organisation’s HR processes rather than being separate and additional.</w:t>
      </w:r>
      <w:r w:rsidR="00317A5F">
        <w:t xml:space="preserve"> </w:t>
      </w:r>
      <w:r w:rsidRPr="009B7E97">
        <w:t xml:space="preserve">This also means that the resource implications of change can be considered as part of the overall management of the organisation and its capabilities. </w:t>
      </w:r>
      <w:r w:rsidRPr="001E72B4">
        <w:t>They should set out the roles and responsibilities for managing changes with clearly assigned responsibilities for originating, peer review, approval, monitoring</w:t>
      </w:r>
      <w:r>
        <w:t>,</w:t>
      </w:r>
      <w:r w:rsidRPr="001E72B4">
        <w:t xml:space="preserve"> c</w:t>
      </w:r>
      <w:r>
        <w:t xml:space="preserve">lose-out of individual changes and post change reviews. </w:t>
      </w:r>
    </w:p>
    <w:p w14:paraId="2463C1A2" w14:textId="70F0627C" w:rsidR="0071010C" w:rsidRDefault="0071010C" w:rsidP="007D4C48">
      <w:pPr>
        <w:pStyle w:val="F9-Paragraph"/>
      </w:pPr>
      <w:r>
        <w:t xml:space="preserve">The scope of the licensee’s arrangements should include all organisational changes that could potentially affect nuclear safety, not just roles and posts included in the </w:t>
      </w:r>
      <w:r w:rsidR="00536B38">
        <w:t>NB</w:t>
      </w:r>
      <w:r>
        <w:t>.</w:t>
      </w:r>
      <w:r w:rsidR="00317A5F">
        <w:t xml:space="preserve"> </w:t>
      </w:r>
      <w:r>
        <w:t>The licensee needs to be able to demonstrate through a proportionate application of its arrangements that it can influence or mitigate the impact of such changes so that nuclear safety is not compromised.</w:t>
      </w:r>
      <w:r w:rsidR="00434818">
        <w:rPr>
          <w:rStyle w:val="CommentReference"/>
        </w:rPr>
        <w:t xml:space="preserve"> </w:t>
      </w:r>
      <w:r w:rsidR="00166CB3">
        <w:rPr>
          <w:rStyle w:val="CommentReference"/>
        </w:rPr>
        <w:br/>
      </w:r>
      <w:r>
        <w:t xml:space="preserve">This may, for example, include the impact on the licensee of proposed actions or decisions made by parent companies or </w:t>
      </w:r>
      <w:r w:rsidR="00166CB3">
        <w:t>p</w:t>
      </w:r>
      <w:r>
        <w:t xml:space="preserve">arent </w:t>
      </w:r>
      <w:r w:rsidR="00166CB3">
        <w:t>b</w:t>
      </w:r>
      <w:r>
        <w:t xml:space="preserve">ody </w:t>
      </w:r>
      <w:r w:rsidR="00166CB3">
        <w:t>o</w:t>
      </w:r>
      <w:r>
        <w:t>rganisations where these could impact on the licensee’s capability or its management of nuclear safety.</w:t>
      </w:r>
      <w:r w:rsidR="00317A5F">
        <w:t xml:space="preserve"> </w:t>
      </w:r>
      <w:r>
        <w:t>The licensee should also consider the potential effects on culture and morale arising from the change.</w:t>
      </w:r>
    </w:p>
    <w:p w14:paraId="22082138" w14:textId="77777777" w:rsidR="0071010C" w:rsidRDefault="0071010C" w:rsidP="007D4C48">
      <w:pPr>
        <w:pStyle w:val="F9-Paragraph"/>
      </w:pPr>
      <w:r>
        <w:t>The scope of the arrangements should also include important enabling and support functions such as human resources, finance and procurement where these have the potential either directly, or through consequential change, to impact on the licensee’s management of nuclear safety.</w:t>
      </w:r>
    </w:p>
    <w:p w14:paraId="20639A76" w14:textId="2B246433" w:rsidR="00E60408" w:rsidRDefault="0071010C" w:rsidP="007D4C48">
      <w:pPr>
        <w:pStyle w:val="F9-Paragraph"/>
      </w:pPr>
      <w:r>
        <w:t xml:space="preserve">The arrangements should allow for </w:t>
      </w:r>
      <w:r w:rsidR="00EE2CB1">
        <w:t>the</w:t>
      </w:r>
      <w:r w:rsidR="00E60408">
        <w:t>:</w:t>
      </w:r>
    </w:p>
    <w:p w14:paraId="2CEF321E" w14:textId="25B40FA8" w:rsidR="0071010C" w:rsidRDefault="00EE2CB1" w:rsidP="00166CB3">
      <w:pPr>
        <w:pStyle w:val="Bulletlist1"/>
      </w:pPr>
      <w:r>
        <w:t>U</w:t>
      </w:r>
      <w:r w:rsidR="0071010C">
        <w:t xml:space="preserve">se of the </w:t>
      </w:r>
      <w:r w:rsidR="005609E9">
        <w:t xml:space="preserve">MoC </w:t>
      </w:r>
      <w:r w:rsidR="0071010C">
        <w:t xml:space="preserve">process </w:t>
      </w:r>
      <w:r w:rsidR="00097D62">
        <w:t>as</w:t>
      </w:r>
      <w:r w:rsidR="0071010C">
        <w:t xml:space="preserve"> a flexible risk assessment tool where appropriate</w:t>
      </w:r>
      <w:r w:rsidR="00097D62">
        <w:t>.</w:t>
      </w:r>
      <w:r w:rsidR="0095485E">
        <w:t xml:space="preserve"> </w:t>
      </w:r>
      <w:r w:rsidR="0071010C">
        <w:t xml:space="preserve">Examples of when this might be necessary include </w:t>
      </w:r>
      <w:r w:rsidR="00DE1D9F">
        <w:t xml:space="preserve">when assumptions used in defining </w:t>
      </w:r>
      <w:r w:rsidR="000E7D07">
        <w:t xml:space="preserve">the NB are challenged (such as </w:t>
      </w:r>
      <w:r w:rsidR="00FE0C0F">
        <w:t>l</w:t>
      </w:r>
      <w:r w:rsidR="0071010C">
        <w:t>ong-term absences and long-standing vacancies</w:t>
      </w:r>
      <w:r w:rsidR="00F17D52">
        <w:t xml:space="preserve">, which </w:t>
      </w:r>
      <w:r w:rsidR="00895FF9">
        <w:t>are outside the definition of the utilisation factor</w:t>
      </w:r>
      <w:r w:rsidR="00913D7A">
        <w:t xml:space="preserve"> (</w:t>
      </w:r>
      <w:r w:rsidR="007D4C48">
        <w:t>ref.</w:t>
      </w:r>
      <w:sdt>
        <w:sdtPr>
          <w:id w:val="-910999873"/>
          <w:citation/>
        </w:sdtPr>
        <w:sdtEndPr/>
        <w:sdtContent>
          <w:r w:rsidR="00B37201">
            <w:fldChar w:fldCharType="begin"/>
          </w:r>
          <w:r w:rsidR="00B37201">
            <w:instrText xml:space="preserve"> CITATION ONR74 \l 2057 </w:instrText>
          </w:r>
          <w:r w:rsidR="00B37201">
            <w:fldChar w:fldCharType="separate"/>
          </w:r>
          <w:r w:rsidR="00166CB3">
            <w:rPr>
              <w:noProof/>
            </w:rPr>
            <w:t xml:space="preserve"> </w:t>
          </w:r>
          <w:r w:rsidR="00166CB3">
            <w:rPr>
              <w:rFonts w:eastAsia="Times New Roman"/>
              <w:noProof/>
            </w:rPr>
            <w:t>[3]</w:t>
          </w:r>
          <w:r w:rsidR="00B37201">
            <w:fldChar w:fldCharType="end"/>
          </w:r>
        </w:sdtContent>
      </w:sdt>
      <w:r w:rsidR="007121D2">
        <w:t>)</w:t>
      </w:r>
      <w:r w:rsidR="00166CB3">
        <w:t>)</w:t>
      </w:r>
      <w:r w:rsidR="0071010C">
        <w:t>.</w:t>
      </w:r>
      <w:r w:rsidR="00317A5F">
        <w:t xml:space="preserve"> </w:t>
      </w:r>
      <w:r w:rsidR="0071010C" w:rsidDel="005B30D8">
        <w:t xml:space="preserve">The default assumption should be that all posts and changes have the potential to affect safety management unless it can be demonstrated otherwise. </w:t>
      </w:r>
    </w:p>
    <w:p w14:paraId="25139162" w14:textId="4A9F6562" w:rsidR="00E60408" w:rsidRDefault="00CC6F54" w:rsidP="00166CB3">
      <w:pPr>
        <w:pStyle w:val="Bulletlist1"/>
      </w:pPr>
      <w:r>
        <w:t>Development of temporary changes</w:t>
      </w:r>
      <w:r w:rsidR="000B6F80">
        <w:t xml:space="preserve"> with clearly defined duration</w:t>
      </w:r>
      <w:r w:rsidR="00163C81">
        <w:t>, review period(s) if appropriate,</w:t>
      </w:r>
      <w:r w:rsidR="000B6F80">
        <w:t xml:space="preserve"> and exit strategy</w:t>
      </w:r>
      <w:r w:rsidR="00197CF3">
        <w:t>.</w:t>
      </w:r>
      <w:r w:rsidR="005F01F0">
        <w:t xml:space="preserve"> </w:t>
      </w:r>
      <w:r w:rsidR="009757F1">
        <w:t xml:space="preserve">The exit strategy may include options to revert to the original organisation or </w:t>
      </w:r>
      <w:r w:rsidR="007D23BB">
        <w:t>formalising the change.</w:t>
      </w:r>
      <w:r w:rsidR="005F01F0">
        <w:t xml:space="preserve"> </w:t>
      </w:r>
      <w:r w:rsidR="00197CF3">
        <w:t xml:space="preserve">Examples of when this might be necessary </w:t>
      </w:r>
      <w:r w:rsidR="007D23BB">
        <w:t xml:space="preserve">include </w:t>
      </w:r>
      <w:r w:rsidR="00070655">
        <w:t>long-term absences or post vacancies</w:t>
      </w:r>
      <w:r w:rsidR="00C330DD">
        <w:t xml:space="preserve"> and</w:t>
      </w:r>
      <w:r w:rsidR="00070655">
        <w:t xml:space="preserve"> </w:t>
      </w:r>
      <w:r w:rsidR="00584459">
        <w:t>backfilling for short-duration secondments</w:t>
      </w:r>
      <w:r w:rsidR="00C330DD">
        <w:t>.</w:t>
      </w:r>
    </w:p>
    <w:p w14:paraId="6F627B64" w14:textId="1E90B3B9" w:rsidR="0071010C" w:rsidRDefault="0071010C" w:rsidP="007D4C48">
      <w:pPr>
        <w:pStyle w:val="F9-Paragraph"/>
      </w:pPr>
      <w:r>
        <w:t xml:space="preserve">Proposed changes should be assessed using a consistent methodology. </w:t>
      </w:r>
      <w:r w:rsidR="00166CB3">
        <w:br/>
      </w:r>
      <w:r>
        <w:t xml:space="preserve">The methodology should be applied to all proposed changes </w:t>
      </w:r>
      <w:r w:rsidR="00A748E5">
        <w:t>to</w:t>
      </w:r>
      <w:r>
        <w:t xml:space="preserve"> make and record an early judgement of the potential impact on nuclear safety.</w:t>
      </w:r>
      <w:r w:rsidR="00317A5F">
        <w:t xml:space="preserve"> </w:t>
      </w:r>
      <w:r w:rsidR="005609E9">
        <w:br/>
      </w:r>
      <w:r>
        <w:t xml:space="preserve">ONR’s expectations of a methodology are set out in </w:t>
      </w:r>
      <w:r w:rsidRPr="00C3008D">
        <w:rPr>
          <w:bCs/>
        </w:rPr>
        <w:t xml:space="preserve">Principles </w:t>
      </w:r>
      <w:r w:rsidR="00166CB3">
        <w:rPr>
          <w:bCs/>
        </w:rPr>
        <w:t>four and five</w:t>
      </w:r>
      <w:r w:rsidRPr="00C3008D">
        <w:t>.</w:t>
      </w:r>
    </w:p>
    <w:p w14:paraId="19BDC9AA" w14:textId="77777777" w:rsidR="00166CB3" w:rsidRDefault="00166CB3" w:rsidP="007D4C48">
      <w:pPr>
        <w:pStyle w:val="F9-Paragraph"/>
        <w:sectPr w:rsidR="00166CB3" w:rsidSect="00434818">
          <w:pgSz w:w="11906" w:h="16838" w:code="9"/>
          <w:pgMar w:top="1440" w:right="1440" w:bottom="1440" w:left="1440" w:header="397" w:footer="397" w:gutter="0"/>
          <w:cols w:space="312"/>
          <w:docGrid w:linePitch="360"/>
        </w:sectPr>
      </w:pPr>
    </w:p>
    <w:p w14:paraId="3024AB02" w14:textId="3232777B" w:rsidR="0071010C" w:rsidRDefault="0071010C" w:rsidP="007D4C48">
      <w:pPr>
        <w:pStyle w:val="F9-Paragraph"/>
      </w:pPr>
      <w:r>
        <w:lastRenderedPageBreak/>
        <w:t xml:space="preserve">Staff involved in ensuring or assuring the quality of </w:t>
      </w:r>
      <w:r w:rsidR="005609E9">
        <w:t xml:space="preserve">MoC </w:t>
      </w:r>
      <w:r>
        <w:t>proposals should be suitably qualified and experienced persons (SQEP) to do so and SQEP requirements for staff fulfilling key roles within the arrangements should be clearly defined.</w:t>
      </w:r>
      <w:r w:rsidR="00317A5F">
        <w:t xml:space="preserve"> </w:t>
      </w:r>
      <w:r>
        <w:t xml:space="preserve">The importance of SQEP input to a </w:t>
      </w:r>
      <w:r w:rsidR="005609E9">
        <w:t xml:space="preserve">MoC </w:t>
      </w:r>
      <w:r>
        <w:t xml:space="preserve">assessment cannot be over emphasised as staff experienced in the </w:t>
      </w:r>
      <w:r w:rsidR="005609E9">
        <w:t xml:space="preserve">MoC </w:t>
      </w:r>
      <w:r>
        <w:t>process can apply that experience and judgement to avoid the potential pitfalls that less experienced staff may not be aware of.</w:t>
      </w:r>
    </w:p>
    <w:p w14:paraId="09C132FD" w14:textId="1E9F2EB1" w:rsidR="0071010C" w:rsidRDefault="0071010C" w:rsidP="007D4C48">
      <w:pPr>
        <w:pStyle w:val="F9-Paragraph"/>
      </w:pPr>
      <w:r>
        <w:t>Staff implementing LC</w:t>
      </w:r>
      <w:r w:rsidR="00166CB3">
        <w:t xml:space="preserve"> </w:t>
      </w:r>
      <w:r>
        <w:t xml:space="preserve">36 arrangements should be given specific training in </w:t>
      </w:r>
      <w:r w:rsidR="005609E9">
        <w:t xml:space="preserve">MoC </w:t>
      </w:r>
      <w:r>
        <w:t>theory and principles as well as the licensee’s arrangements.</w:t>
      </w:r>
      <w:r w:rsidR="00317A5F">
        <w:t xml:space="preserve"> </w:t>
      </w:r>
      <w:r w:rsidR="005609E9">
        <w:br/>
      </w:r>
      <w:r>
        <w:t xml:space="preserve">They should not be deemed to be competent </w:t>
      </w:r>
      <w:r w:rsidR="003C3443">
        <w:t xml:space="preserve">based </w:t>
      </w:r>
      <w:r>
        <w:t>on seniority.</w:t>
      </w:r>
    </w:p>
    <w:p w14:paraId="53CDBD6B" w14:textId="40239408" w:rsidR="0071010C" w:rsidRPr="00C3008D" w:rsidRDefault="0071010C" w:rsidP="007D4C48">
      <w:pPr>
        <w:pStyle w:val="F9-Paragraph"/>
      </w:pPr>
      <w:r>
        <w:t xml:space="preserve">The arrangements should ensure that individual change proposals are clearly identified and that details of the change </w:t>
      </w:r>
      <w:r w:rsidR="005F2CBF">
        <w:t>(</w:t>
      </w:r>
      <w:r w:rsidR="0031246B">
        <w:t>that i</w:t>
      </w:r>
      <w:r w:rsidR="005F2CBF">
        <w:t>s</w:t>
      </w:r>
      <w:r>
        <w:t xml:space="preserve"> change category and other important attributes</w:t>
      </w:r>
      <w:r w:rsidR="0031246B">
        <w:t>)</w:t>
      </w:r>
      <w:r>
        <w:t xml:space="preserve"> are recorded in a change register.</w:t>
      </w:r>
      <w:r w:rsidR="00317A5F">
        <w:t xml:space="preserve"> </w:t>
      </w:r>
      <w:r w:rsidR="00166CB3">
        <w:br/>
      </w:r>
      <w:r>
        <w:t xml:space="preserve">Documentation used to assess, decide upon, monitor, review and close-out the change should be retained for current and future reference in accordance with the licensee’s arrangements under </w:t>
      </w:r>
      <w:r w:rsidRPr="00C3008D">
        <w:rPr>
          <w:bCs/>
        </w:rPr>
        <w:t>LC 6</w:t>
      </w:r>
      <w:r w:rsidRPr="00C3008D">
        <w:rPr>
          <w:sz w:val="12"/>
          <w:szCs w:val="12"/>
        </w:rPr>
        <w:t>.</w:t>
      </w:r>
      <w:r>
        <w:rPr>
          <w:szCs w:val="12"/>
        </w:rPr>
        <w:t xml:space="preserve"> ‘Documents, Records, Authorities and Certificates’.</w:t>
      </w:r>
    </w:p>
    <w:p w14:paraId="16E8A3D7" w14:textId="13197A3E" w:rsidR="0071010C" w:rsidRPr="007B285C" w:rsidRDefault="0071010C" w:rsidP="007D4C48">
      <w:pPr>
        <w:pStyle w:val="F9-Paragraph"/>
      </w:pPr>
      <w:r>
        <w:t>The arrangements should consider and, where possible, allow for the reversibility of changes or the application of contingency plans should subsequent performance monitoring indicate that the change has been inappropriately conceived or inadequately implemented.</w:t>
      </w:r>
      <w:r w:rsidR="00317A5F">
        <w:t xml:space="preserve"> </w:t>
      </w:r>
      <w:r>
        <w:t xml:space="preserve">The extent of the reversibility may </w:t>
      </w:r>
      <w:r w:rsidRPr="007B285C">
        <w:t>be related to the significance of the change and the availability of effective countermeasures.</w:t>
      </w:r>
      <w:r w:rsidRPr="00730166">
        <w:t xml:space="preserve"> </w:t>
      </w:r>
      <w:r w:rsidRPr="00D9577E">
        <w:t>For larger, more significant changes, consideration should also be given to the options</w:t>
      </w:r>
      <w:r>
        <w:t xml:space="preserve"> for how the objectives of the change can be achieved, </w:t>
      </w:r>
      <w:r w:rsidRPr="00D9577E">
        <w:t>including a justification of the chosen option.</w:t>
      </w:r>
      <w:r w:rsidR="00317A5F">
        <w:t xml:space="preserve"> </w:t>
      </w:r>
      <w:r w:rsidRPr="00D9577E">
        <w:t>The development of a communications plan should also be considered</w:t>
      </w:r>
      <w:r w:rsidRPr="007B285C">
        <w:t>.</w:t>
      </w:r>
    </w:p>
    <w:p w14:paraId="75E22D25" w14:textId="1DF808FB" w:rsidR="0071010C" w:rsidRDefault="0071010C" w:rsidP="007D4C48">
      <w:pPr>
        <w:pStyle w:val="F9-Paragraph"/>
      </w:pPr>
      <w:r w:rsidRPr="00730166">
        <w:t>All change proposals should be subject to a proportionate level</w:t>
      </w:r>
      <w:r>
        <w:t xml:space="preserve"> of scrutiny and challenge, analogous to expectations for modifications to existing plant made under </w:t>
      </w:r>
      <w:r w:rsidRPr="00C3008D">
        <w:rPr>
          <w:bCs/>
        </w:rPr>
        <w:t>LC 22</w:t>
      </w:r>
      <w:r>
        <w:rPr>
          <w:bCs/>
        </w:rPr>
        <w:t xml:space="preserve"> ‘Modification or Experimentation on Existing Plant’</w:t>
      </w:r>
      <w:r>
        <w:t xml:space="preserve">. </w:t>
      </w:r>
      <w:r w:rsidR="00166CB3">
        <w:br/>
      </w:r>
      <w:r>
        <w:t>The level of scrutiny is likely to increase with potential significance.</w:t>
      </w:r>
      <w:r w:rsidR="00317A5F">
        <w:t xml:space="preserve"> </w:t>
      </w:r>
      <w:r w:rsidR="00B560A1">
        <w:br/>
      </w:r>
      <w:r>
        <w:t xml:space="preserve">Where the safety significance of a proposed change is judged to be high, the arrangements should provide for seeking advice from the </w:t>
      </w:r>
      <w:r w:rsidR="00166CB3">
        <w:t>Nuclear Safety Committee (NSC)</w:t>
      </w:r>
      <w:r>
        <w:t xml:space="preserve"> (or identified equivalent status body where appropriate), and senior management oversight of the effectiveness of the process and implementation of individual changes.</w:t>
      </w:r>
      <w:r w:rsidRPr="004F2951">
        <w:t xml:space="preserve"> </w:t>
      </w:r>
    </w:p>
    <w:p w14:paraId="00EACD92" w14:textId="1BB957B8" w:rsidR="0071010C" w:rsidRDefault="0071010C" w:rsidP="007D4C48">
      <w:pPr>
        <w:pStyle w:val="F9-Paragraph"/>
      </w:pPr>
      <w:r>
        <w:t>The licensee’s arrangements should require approval to be formally granted by a SQEP prior to implementation of a change subject to satisfactory confirmation that any enabling actions have been completed, and for the change to be formally signed off on completion.</w:t>
      </w:r>
    </w:p>
    <w:p w14:paraId="4ADD0785" w14:textId="77777777" w:rsidR="0071010C" w:rsidRDefault="0071010C" w:rsidP="007D4C48">
      <w:pPr>
        <w:pStyle w:val="F9-Paragraph"/>
      </w:pPr>
      <w:r>
        <w:t>The effectiveness of implementation of the arrangements should be routinely monitored and reviewed as part of the licensee’s normal assurance processes.</w:t>
      </w:r>
    </w:p>
    <w:p w14:paraId="07C95A54" w14:textId="77777777" w:rsidR="005609E9" w:rsidRDefault="005609E9" w:rsidP="007D4C48">
      <w:pPr>
        <w:pStyle w:val="F9-Paragraph"/>
        <w:sectPr w:rsidR="005609E9" w:rsidSect="00434818">
          <w:pgSz w:w="11906" w:h="16838" w:code="9"/>
          <w:pgMar w:top="1440" w:right="1440" w:bottom="1440" w:left="1440" w:header="397" w:footer="397" w:gutter="0"/>
          <w:cols w:space="312"/>
          <w:docGrid w:linePitch="360"/>
        </w:sectPr>
      </w:pPr>
    </w:p>
    <w:p w14:paraId="1C765CFA" w14:textId="201374D3" w:rsidR="0071010C" w:rsidRDefault="0071010C" w:rsidP="007D4C48">
      <w:pPr>
        <w:pStyle w:val="F9-Paragraph"/>
      </w:pPr>
      <w:r>
        <w:lastRenderedPageBreak/>
        <w:t xml:space="preserve">The inspector should consider whether: </w:t>
      </w:r>
    </w:p>
    <w:p w14:paraId="03D991BB" w14:textId="2FA8B63F" w:rsidR="0071010C" w:rsidRPr="00C3008D" w:rsidRDefault="0071010C" w:rsidP="005F01F0">
      <w:pPr>
        <w:pStyle w:val="Bulletlist1"/>
      </w:pPr>
      <w:r>
        <w:t xml:space="preserve">The licensee has formal, documented </w:t>
      </w:r>
      <w:r w:rsidR="005609E9">
        <w:t xml:space="preserve">MoC </w:t>
      </w:r>
      <w:r>
        <w:t>arrangements which are an integral part of its management system;</w:t>
      </w:r>
    </w:p>
    <w:p w14:paraId="4CB85B2B" w14:textId="187E1960" w:rsidR="0071010C" w:rsidRPr="00C3008D" w:rsidRDefault="002A301C" w:rsidP="005F01F0">
      <w:pPr>
        <w:pStyle w:val="Bulletlist1"/>
      </w:pPr>
      <w:r w:rsidRPr="00001FA6">
        <w:t>T</w:t>
      </w:r>
      <w:r w:rsidR="0071010C" w:rsidRPr="00001FA6">
        <w:t>he</w:t>
      </w:r>
      <w:r w:rsidR="0071010C">
        <w:t xml:space="preserve"> arrangements apply to all aspects of the licensee’s activities, including changes at Board or Executive team level, that have the potential to affect nuclear safety, and have they been promulgated to all parts of the licensee’s organisation;</w:t>
      </w:r>
    </w:p>
    <w:p w14:paraId="578E6F37" w14:textId="77777777" w:rsidR="0071010C" w:rsidRPr="00C3008D" w:rsidRDefault="0071010C" w:rsidP="005F01F0">
      <w:pPr>
        <w:pStyle w:val="Bulletlist1"/>
      </w:pPr>
      <w:r>
        <w:t>The documented arrangements are clear, available to end users and up to date;</w:t>
      </w:r>
    </w:p>
    <w:p w14:paraId="0E4D6EB8" w14:textId="77777777" w:rsidR="0071010C" w:rsidRPr="00C3008D" w:rsidRDefault="0071010C" w:rsidP="005F01F0">
      <w:pPr>
        <w:pStyle w:val="Bulletlist1"/>
      </w:pPr>
      <w:r>
        <w:t>The arrangements use a methodology which is easy to understand and follow;</w:t>
      </w:r>
    </w:p>
    <w:p w14:paraId="4B9D453C" w14:textId="77777777" w:rsidR="0071010C" w:rsidRPr="00C3008D" w:rsidRDefault="0071010C" w:rsidP="005F01F0">
      <w:pPr>
        <w:pStyle w:val="Bulletlist1"/>
      </w:pPr>
      <w:r>
        <w:t>The methodology is being consistently interpreted and applied across the licensee organisation;</w:t>
      </w:r>
    </w:p>
    <w:p w14:paraId="6B75F812" w14:textId="19328CD7" w:rsidR="0071010C" w:rsidRPr="00C3008D" w:rsidRDefault="0071010C" w:rsidP="005F01F0">
      <w:pPr>
        <w:pStyle w:val="Bulletlist1"/>
      </w:pPr>
      <w:r>
        <w:t xml:space="preserve">Roles and responsibilities for implementing the </w:t>
      </w:r>
      <w:r w:rsidR="005609E9">
        <w:t xml:space="preserve">MoC </w:t>
      </w:r>
      <w:r>
        <w:t>arrangements are clearly defined, integrated with the management system and understood by staff with</w:t>
      </w:r>
      <w:r w:rsidR="005609E9">
        <w:t xml:space="preserve"> MoC </w:t>
      </w:r>
      <w:r>
        <w:t>process roles;</w:t>
      </w:r>
    </w:p>
    <w:p w14:paraId="27BAAC3F" w14:textId="77777777" w:rsidR="0071010C" w:rsidRPr="00C3008D" w:rsidRDefault="0071010C" w:rsidP="005F01F0">
      <w:pPr>
        <w:pStyle w:val="Bulletlist1"/>
      </w:pPr>
      <w:r>
        <w:t>SQEP requirements for staff fulfilling key roles within the arrangements are clearly defined;</w:t>
      </w:r>
    </w:p>
    <w:p w14:paraId="3F6EC155" w14:textId="615B136F" w:rsidR="0071010C" w:rsidRPr="00F55756" w:rsidRDefault="0071010C" w:rsidP="005F01F0">
      <w:pPr>
        <w:pStyle w:val="Bulletlist1"/>
      </w:pPr>
      <w:r>
        <w:t xml:space="preserve">Staff fulfilling key </w:t>
      </w:r>
      <w:r w:rsidR="005609E9">
        <w:t xml:space="preserve">MoC </w:t>
      </w:r>
      <w:r>
        <w:t>arrangements are demonstrably SQEP for those roles and they have a suitable level of authority within the licensee’s organisation;</w:t>
      </w:r>
    </w:p>
    <w:p w14:paraId="16FBA88E" w14:textId="77777777" w:rsidR="0071010C" w:rsidRPr="001E72B4" w:rsidRDefault="0071010C" w:rsidP="005F01F0">
      <w:pPr>
        <w:pStyle w:val="Bulletlist1"/>
      </w:pPr>
      <w:r>
        <w:t xml:space="preserve">All change proposals are logged in a change register and records are available to substantiate the key decisions made in support of significant changes in accordance with the licensee’s arrangements for </w:t>
      </w:r>
      <w:r w:rsidRPr="00F55756">
        <w:t>LC 6</w:t>
      </w:r>
      <w:r>
        <w:t>;</w:t>
      </w:r>
    </w:p>
    <w:p w14:paraId="4F7E1EC9" w14:textId="77777777" w:rsidR="0071010C" w:rsidRDefault="0071010C" w:rsidP="005F01F0">
      <w:pPr>
        <w:pStyle w:val="Bulletlist1"/>
      </w:pPr>
      <w:r>
        <w:t>The arrangements are subject to the processes of independent review and audit operated by the licensee.</w:t>
      </w:r>
    </w:p>
    <w:p w14:paraId="346FDEA3" w14:textId="5D8A2613" w:rsidR="0071010C" w:rsidRDefault="0071010C" w:rsidP="00FA6B69">
      <w:pPr>
        <w:pStyle w:val="Heading3"/>
      </w:pPr>
      <w:r>
        <w:t xml:space="preserve">Principle </w:t>
      </w:r>
      <w:r w:rsidR="00166CB3">
        <w:t>two</w:t>
      </w:r>
      <w:r>
        <w:t xml:space="preserve"> </w:t>
      </w:r>
    </w:p>
    <w:p w14:paraId="42BCCFFB" w14:textId="40B7FC5D" w:rsidR="0071010C" w:rsidRPr="00317A5F" w:rsidRDefault="0071010C" w:rsidP="007D4C48">
      <w:pPr>
        <w:pStyle w:val="F9-Paragraph"/>
      </w:pPr>
      <w:r w:rsidRPr="00317A5F">
        <w:t>The Board of the licensee</w:t>
      </w:r>
      <w:r w:rsidR="005609E9">
        <w:rPr>
          <w:sz w:val="22"/>
          <w:szCs w:val="22"/>
        </w:rPr>
        <w:t>/</w:t>
      </w:r>
      <w:r w:rsidRPr="00317A5F">
        <w:rPr>
          <w:sz w:val="22"/>
          <w:szCs w:val="22"/>
        </w:rPr>
        <w:t>Executive</w:t>
      </w:r>
      <w:r w:rsidRPr="00317A5F">
        <w:t xml:space="preserve"> should own and support the</w:t>
      </w:r>
      <w:r w:rsidR="005609E9">
        <w:t xml:space="preserve"> MoC </w:t>
      </w:r>
      <w:r w:rsidRPr="00317A5F">
        <w:t xml:space="preserve">arrangements and ensure that they are embedded throughout the organisation. </w:t>
      </w:r>
    </w:p>
    <w:p w14:paraId="6083B5EF" w14:textId="347B15A0" w:rsidR="0071010C" w:rsidRDefault="0071010C" w:rsidP="007D4C48">
      <w:pPr>
        <w:pStyle w:val="F9-Paragraph"/>
      </w:pPr>
      <w:r>
        <w:t>A licensee’s</w:t>
      </w:r>
      <w:r w:rsidR="005609E9">
        <w:t xml:space="preserve"> MoC </w:t>
      </w:r>
      <w:r>
        <w:t>arrangements should be peer reviewed and implemented consistently and effectively, and a visible commitment to these arrangements should be made by the licensee Board</w:t>
      </w:r>
      <w:r w:rsidR="005609E9">
        <w:t>/</w:t>
      </w:r>
      <w:r>
        <w:t>Executive.</w:t>
      </w:r>
      <w:r w:rsidR="00317A5F">
        <w:t xml:space="preserve"> </w:t>
      </w:r>
      <w:r>
        <w:t>The Board</w:t>
      </w:r>
      <w:r w:rsidR="005609E9">
        <w:t>/</w:t>
      </w:r>
      <w:r>
        <w:t>Executive should be able to show that it actively uses the MOC arrangements and supports the</w:t>
      </w:r>
      <w:r w:rsidR="005609E9">
        <w:t xml:space="preserve"> MoC </w:t>
      </w:r>
      <w:r>
        <w:t xml:space="preserve">process by regularly reinforcing to the workforce the importance of having and following a robust change process. </w:t>
      </w:r>
    </w:p>
    <w:p w14:paraId="37E7854A" w14:textId="2A235AC5" w:rsidR="0071010C" w:rsidRDefault="0071010C" w:rsidP="007D4C48">
      <w:pPr>
        <w:pStyle w:val="F9-Paragraph"/>
      </w:pPr>
      <w:r>
        <w:lastRenderedPageBreak/>
        <w:t>The Board</w:t>
      </w:r>
      <w:r w:rsidR="005609E9">
        <w:t>/</w:t>
      </w:r>
      <w:r>
        <w:t>Executive should ensure that SQEP resources are put in place to develop the</w:t>
      </w:r>
      <w:r w:rsidR="005609E9">
        <w:t xml:space="preserve"> MoC </w:t>
      </w:r>
      <w:r>
        <w:t>arrangements, to implement them and to maintain oversight of the way in which the arrangements are used.</w:t>
      </w:r>
      <w:r w:rsidR="00317A5F">
        <w:t xml:space="preserve"> </w:t>
      </w:r>
      <w:r>
        <w:t xml:space="preserve">This should include provision for suitable levels of challenge and independent peer review of change proposals as part of the licensee’s corporate governance arrangements, and for seeking advice from the </w:t>
      </w:r>
      <w:r w:rsidR="00166CB3">
        <w:t>NSC</w:t>
      </w:r>
      <w:r>
        <w:t xml:space="preserve"> or identified equivalent status body where appropriate. </w:t>
      </w:r>
    </w:p>
    <w:p w14:paraId="47F13E33" w14:textId="2AB1E24D" w:rsidR="0071010C" w:rsidRDefault="0071010C" w:rsidP="007D4C48">
      <w:pPr>
        <w:pStyle w:val="F9-Paragraph"/>
      </w:pPr>
      <w:r>
        <w:t>The</w:t>
      </w:r>
      <w:r w:rsidR="005609E9">
        <w:t xml:space="preserve"> MoC </w:t>
      </w:r>
      <w:r>
        <w:t xml:space="preserve">arrangements should apply throughout the company, up to and </w:t>
      </w:r>
      <w:r w:rsidRPr="007B285C">
        <w:t xml:space="preserve">including </w:t>
      </w:r>
      <w:r w:rsidRPr="00D9577E">
        <w:t>the Executive team</w:t>
      </w:r>
      <w:r w:rsidRPr="007B285C">
        <w:t xml:space="preserve"> and Board, noting that strategic and complex changes </w:t>
      </w:r>
      <w:r w:rsidRPr="00730166">
        <w:t>to the structure or staff composition of a b</w:t>
      </w:r>
      <w:r>
        <w:t xml:space="preserve">usiness may often originate at this level. </w:t>
      </w:r>
    </w:p>
    <w:p w14:paraId="7B0C696B" w14:textId="063C08E6" w:rsidR="001A1064" w:rsidRPr="00A809FD" w:rsidRDefault="0070050C" w:rsidP="007D4C48">
      <w:pPr>
        <w:pStyle w:val="F9-Paragraph"/>
      </w:pPr>
      <w:r w:rsidRPr="00BD0373">
        <w:t>Significant, large-scale, complex c</w:t>
      </w:r>
      <w:r w:rsidRPr="00C71AFC">
        <w:t>hange</w:t>
      </w:r>
      <w:r w:rsidR="00BD0373" w:rsidRPr="00C71AFC">
        <w:t xml:space="preserve"> in mature licensee organisations will frequently a</w:t>
      </w:r>
      <w:r w:rsidR="00BD0373">
        <w:t xml:space="preserve">rise from changes to business strategy in response to either </w:t>
      </w:r>
      <w:r w:rsidR="00EC6FD5">
        <w:t>external or internal factors.</w:t>
      </w:r>
      <w:r w:rsidR="005F01F0">
        <w:t xml:space="preserve"> </w:t>
      </w:r>
      <w:r w:rsidR="00EC6FD5">
        <w:t xml:space="preserve">Such changes are </w:t>
      </w:r>
      <w:r w:rsidR="00EC3D9D">
        <w:t xml:space="preserve">generally initiated </w:t>
      </w:r>
      <w:r w:rsidR="007C7485">
        <w:t>at Board level</w:t>
      </w:r>
      <w:r w:rsidR="00C54620">
        <w:t xml:space="preserve"> with the intent and high-level approach defined through the licensee’s </w:t>
      </w:r>
      <w:r w:rsidR="009E69DB">
        <w:t>approach to producing a business strategy.</w:t>
      </w:r>
      <w:r w:rsidR="00EC6FD5">
        <w:t xml:space="preserve"> </w:t>
      </w:r>
      <w:r w:rsidR="001A1064" w:rsidRPr="00A809FD">
        <w:t>In general, the business strategy should provide an overview of major actions, investments, programmes of change and their alignment</w:t>
      </w:r>
      <w:r w:rsidR="000A379F" w:rsidRPr="00A809FD">
        <w:t>,</w:t>
      </w:r>
      <w:r w:rsidR="001A1064" w:rsidRPr="00A809FD">
        <w:t xml:space="preserve"> and a framework and guidance to enable more detailed interpretation of the strategy</w:t>
      </w:r>
      <w:r w:rsidR="000A379F" w:rsidRPr="00A809FD">
        <w:t xml:space="preserve"> through the licensee’s</w:t>
      </w:r>
      <w:r w:rsidR="005609E9">
        <w:t xml:space="preserve"> MoC </w:t>
      </w:r>
      <w:r w:rsidR="000A379F" w:rsidRPr="00A809FD">
        <w:t>arrangements</w:t>
      </w:r>
    </w:p>
    <w:p w14:paraId="26352409" w14:textId="4FBF622B" w:rsidR="001A1064" w:rsidRPr="00FB0F92" w:rsidRDefault="001A1064" w:rsidP="007D4C48">
      <w:pPr>
        <w:pStyle w:val="F9-Paragraph"/>
      </w:pPr>
      <w:r w:rsidRPr="00FB0F92">
        <w:t>The business strategy may be defined through a single paper or through a series of documents that, from an organisational capability perspective, provide the frame and guide for strategic organisational planning.</w:t>
      </w:r>
      <w:r w:rsidR="005F01F0">
        <w:t xml:space="preserve"> </w:t>
      </w:r>
      <w:r w:rsidRPr="00FB0F92">
        <w:t>These may include a:</w:t>
      </w:r>
    </w:p>
    <w:p w14:paraId="5FB431FA" w14:textId="77777777" w:rsidR="00850EA8" w:rsidRPr="00FB0F92" w:rsidRDefault="00850EA8" w:rsidP="00166CB3">
      <w:pPr>
        <w:pStyle w:val="Bulletlist1"/>
      </w:pPr>
      <w:r w:rsidRPr="00FB0F92">
        <w:rPr>
          <w:b/>
        </w:rPr>
        <w:t xml:space="preserve">People (or Organisational Capability) Strategy </w:t>
      </w:r>
      <w:r w:rsidRPr="00FB0F92">
        <w:t>– Explanation of the strategy and the rationale for it</w:t>
      </w:r>
    </w:p>
    <w:p w14:paraId="1EEE3351" w14:textId="77777777" w:rsidR="00850EA8" w:rsidRPr="00FB0F92" w:rsidRDefault="00850EA8" w:rsidP="00166CB3">
      <w:pPr>
        <w:pStyle w:val="Bulletlist1"/>
      </w:pPr>
      <w:r w:rsidRPr="00FB0F92">
        <w:rPr>
          <w:b/>
        </w:rPr>
        <w:t xml:space="preserve">Paper of Principles </w:t>
      </w:r>
      <w:r w:rsidRPr="00FB0F92">
        <w:t>– Strategic-level principles that provide persistent direction and guide strategic planning</w:t>
      </w:r>
    </w:p>
    <w:p w14:paraId="333368B1" w14:textId="77777777" w:rsidR="00850EA8" w:rsidRPr="00FB0F92" w:rsidRDefault="00850EA8" w:rsidP="00166CB3">
      <w:pPr>
        <w:pStyle w:val="Bulletlist1"/>
      </w:pPr>
      <w:r w:rsidRPr="00FB0F92">
        <w:rPr>
          <w:b/>
        </w:rPr>
        <w:t xml:space="preserve">Concept of Operations </w:t>
      </w:r>
      <w:r w:rsidRPr="00FB0F92">
        <w:t xml:space="preserve">– The framework and guidance on how the defined organisation is intended to work so that others can interpret the strategy and apply it to the production of more detailed plans and programmes of change. </w:t>
      </w:r>
    </w:p>
    <w:p w14:paraId="0908467B" w14:textId="564425F7" w:rsidR="0070050C" w:rsidRPr="00FB0F92" w:rsidRDefault="00850EA8" w:rsidP="00166CB3">
      <w:pPr>
        <w:pStyle w:val="Bulletlist1"/>
      </w:pPr>
      <w:r w:rsidRPr="00FB0F92">
        <w:rPr>
          <w:b/>
        </w:rPr>
        <w:t xml:space="preserve">Strategic Plans: </w:t>
      </w:r>
      <w:r w:rsidRPr="00FB0F92">
        <w:t>High-level direction of the means of implementing the strategy</w:t>
      </w:r>
    </w:p>
    <w:p w14:paraId="57B8AB45" w14:textId="7903249F" w:rsidR="008E5250" w:rsidRPr="00FB0F92" w:rsidRDefault="009D7BBD" w:rsidP="007D4C48">
      <w:pPr>
        <w:pStyle w:val="F9-Paragraph"/>
      </w:pPr>
      <w:r w:rsidRPr="00FB0F92">
        <w:t>To ensure that the interfaces between</w:t>
      </w:r>
      <w:r w:rsidR="009A1F6F" w:rsidRPr="00FB0F92">
        <w:t>, and the aggregated impact of,</w:t>
      </w:r>
      <w:r w:rsidRPr="00FB0F92">
        <w:t xml:space="preserve"> components of l</w:t>
      </w:r>
      <w:r w:rsidR="007A396D" w:rsidRPr="00FB0F92">
        <w:t>arge-scale, complex change</w:t>
      </w:r>
      <w:r w:rsidR="00141A1A" w:rsidRPr="00FB0F92">
        <w:t xml:space="preserve"> are </w:t>
      </w:r>
      <w:r w:rsidR="009A1F6F" w:rsidRPr="00FB0F92">
        <w:t xml:space="preserve">managed </w:t>
      </w:r>
      <w:r w:rsidR="00022299" w:rsidRPr="00FB0F92">
        <w:t xml:space="preserve">effectively to maintain nuclear safety, the licensee’ arrangements should include </w:t>
      </w:r>
      <w:r w:rsidR="007D3CBB" w:rsidRPr="00FB0F92">
        <w:t xml:space="preserve">provision for the </w:t>
      </w:r>
      <w:r w:rsidR="004437D7" w:rsidRPr="00FB0F92">
        <w:t>development of overarching proposals and subordinate implementation changes.</w:t>
      </w:r>
    </w:p>
    <w:p w14:paraId="2FCE1376" w14:textId="77777777" w:rsidR="00166CB3" w:rsidRDefault="00166CB3" w:rsidP="007D4C48">
      <w:pPr>
        <w:pStyle w:val="F9-Paragraph"/>
        <w:sectPr w:rsidR="00166CB3" w:rsidSect="00434818">
          <w:pgSz w:w="11906" w:h="16838" w:code="9"/>
          <w:pgMar w:top="1440" w:right="1440" w:bottom="1440" w:left="1440" w:header="397" w:footer="397" w:gutter="0"/>
          <w:cols w:space="312"/>
          <w:docGrid w:linePitch="360"/>
        </w:sectPr>
      </w:pPr>
    </w:p>
    <w:p w14:paraId="20A0761F" w14:textId="08069905" w:rsidR="004437D7" w:rsidRPr="00FB0F92" w:rsidRDefault="004437D7" w:rsidP="007D4C48">
      <w:pPr>
        <w:pStyle w:val="F9-Paragraph"/>
      </w:pPr>
      <w:r w:rsidRPr="00FB0F92">
        <w:lastRenderedPageBreak/>
        <w:t>An overarching M</w:t>
      </w:r>
      <w:r w:rsidR="00166CB3">
        <w:t>o</w:t>
      </w:r>
      <w:r w:rsidRPr="00FB0F92">
        <w:t xml:space="preserve">C </w:t>
      </w:r>
      <w:r w:rsidR="00CA5696" w:rsidRPr="00FB0F92">
        <w:t>defines the</w:t>
      </w:r>
      <w:r w:rsidRPr="00FB0F92">
        <w:t xml:space="preserve"> organisation-level framework to enable the standard, consistent and reliable production of multiple implementation </w:t>
      </w:r>
      <w:proofErr w:type="spellStart"/>
      <w:r w:rsidRPr="00FB0F92">
        <w:t>M</w:t>
      </w:r>
      <w:r w:rsidR="00166CB3">
        <w:t>o</w:t>
      </w:r>
      <w:r w:rsidRPr="00FB0F92">
        <w:t>Cs</w:t>
      </w:r>
      <w:proofErr w:type="spellEnd"/>
      <w:r w:rsidRPr="00FB0F92">
        <w:t xml:space="preserve"> associated with </w:t>
      </w:r>
      <w:r w:rsidR="002F5A93">
        <w:t>large-scale</w:t>
      </w:r>
      <w:r w:rsidRPr="00FB0F92">
        <w:t>, complex change.</w:t>
      </w:r>
      <w:r w:rsidR="00CA5696" w:rsidRPr="00FB0F92">
        <w:t xml:space="preserve"> </w:t>
      </w:r>
      <w:r w:rsidRPr="00FB0F92">
        <w:t>The overarching M</w:t>
      </w:r>
      <w:r w:rsidR="00166CB3">
        <w:t>o</w:t>
      </w:r>
      <w:r w:rsidRPr="00FB0F92">
        <w:t>C does not, of itself, implement change but describes at the organisational-level</w:t>
      </w:r>
      <w:r w:rsidR="00E93C14">
        <w:t xml:space="preserve"> the</w:t>
      </w:r>
      <w:r w:rsidRPr="00FB0F92">
        <w:t>:</w:t>
      </w:r>
    </w:p>
    <w:p w14:paraId="39F636BB" w14:textId="77777777" w:rsidR="004057CC" w:rsidRDefault="004057CC" w:rsidP="005609E9">
      <w:pPr>
        <w:pStyle w:val="Bulletlist1"/>
      </w:pPr>
      <w:r>
        <w:t>C</w:t>
      </w:r>
      <w:r w:rsidRPr="00FB0F92">
        <w:t>hange</w:t>
      </w:r>
      <w:r>
        <w:t>.</w:t>
      </w:r>
    </w:p>
    <w:p w14:paraId="359E7BFA" w14:textId="77777777" w:rsidR="004057CC" w:rsidRPr="00FB0F92" w:rsidRDefault="004057CC" w:rsidP="005609E9">
      <w:pPr>
        <w:pStyle w:val="Bulletlist1"/>
      </w:pPr>
      <w:r>
        <w:t>Aggregated and interface risk assessment, with associated categorisation.</w:t>
      </w:r>
    </w:p>
    <w:p w14:paraId="1C06E9B5" w14:textId="77777777" w:rsidR="004057CC" w:rsidRDefault="004057CC" w:rsidP="005609E9">
      <w:pPr>
        <w:pStyle w:val="Bulletlist1"/>
      </w:pPr>
      <w:r>
        <w:t>C</w:t>
      </w:r>
      <w:r w:rsidRPr="00FB0F92">
        <w:t>hange strategy (such as phasing and sequencing; governance and oversight)</w:t>
      </w:r>
      <w:r>
        <w:t>.</w:t>
      </w:r>
    </w:p>
    <w:p w14:paraId="50408DF5" w14:textId="77777777" w:rsidR="004057CC" w:rsidRPr="00FB0F92" w:rsidRDefault="004057CC" w:rsidP="005609E9">
      <w:pPr>
        <w:pStyle w:val="Bulletlist1"/>
      </w:pPr>
      <w:r>
        <w:t>Change implementation governance arrangements.</w:t>
      </w:r>
    </w:p>
    <w:p w14:paraId="5792DB9A" w14:textId="77777777" w:rsidR="004057CC" w:rsidRDefault="004057CC" w:rsidP="005609E9">
      <w:pPr>
        <w:pStyle w:val="Bulletlist1"/>
      </w:pPr>
      <w:r w:rsidRPr="00FB0F92">
        <w:t xml:space="preserve">Assumptions and enabling activities to reduce uncertainty and ambiguity in the production of implementation </w:t>
      </w:r>
      <w:proofErr w:type="spellStart"/>
      <w:r w:rsidRPr="00FB0F92">
        <w:t>MoCs</w:t>
      </w:r>
      <w:proofErr w:type="spellEnd"/>
      <w:r>
        <w:t>.</w:t>
      </w:r>
      <w:r w:rsidRPr="0002077E">
        <w:t xml:space="preserve"> </w:t>
      </w:r>
    </w:p>
    <w:p w14:paraId="4EAAC488" w14:textId="0E8DA4FD" w:rsidR="0002077E" w:rsidRPr="00FB0F92" w:rsidRDefault="00B80E36" w:rsidP="005609E9">
      <w:pPr>
        <w:pStyle w:val="Bulletlist1"/>
      </w:pPr>
      <w:r>
        <w:t>P</w:t>
      </w:r>
      <w:r w:rsidR="0002077E">
        <w:t xml:space="preserve">rogramme of underpinning implementation or enactment </w:t>
      </w:r>
      <w:proofErr w:type="spellStart"/>
      <w:r w:rsidR="0002077E">
        <w:t>MoCs</w:t>
      </w:r>
      <w:proofErr w:type="spellEnd"/>
      <w:r w:rsidR="0002077E">
        <w:t>.</w:t>
      </w:r>
    </w:p>
    <w:p w14:paraId="7704E780" w14:textId="024E0578" w:rsidR="00FB0F92" w:rsidRPr="001E5474" w:rsidRDefault="00AF715E" w:rsidP="007D4C48">
      <w:pPr>
        <w:pStyle w:val="F9-Paragraph"/>
      </w:pPr>
      <w:r w:rsidRPr="001E5474">
        <w:t>An i</w:t>
      </w:r>
      <w:r w:rsidR="00FB0F92" w:rsidRPr="001E5474">
        <w:t>mplementation or enactment MoC proposal</w:t>
      </w:r>
      <w:r w:rsidRPr="001E5474">
        <w:t xml:space="preserve"> i</w:t>
      </w:r>
      <w:r w:rsidR="00FB0F92" w:rsidRPr="001E5474">
        <w:t>s generally referred to as an MoC</w:t>
      </w:r>
      <w:r w:rsidR="001E5474" w:rsidRPr="001E5474">
        <w:t>; it</w:t>
      </w:r>
      <w:r w:rsidR="00FB0F92" w:rsidRPr="001E5474">
        <w:t xml:space="preserve"> provides the:</w:t>
      </w:r>
    </w:p>
    <w:p w14:paraId="12321E5A" w14:textId="77777777" w:rsidR="00FB0F92" w:rsidRPr="00C71AFC" w:rsidRDefault="00FB0F92" w:rsidP="005609E9">
      <w:pPr>
        <w:pStyle w:val="Bulletlist1"/>
      </w:pPr>
      <w:r w:rsidRPr="00C71AFC">
        <w:t>Detailed description of the change, associated risks and categorisation;</w:t>
      </w:r>
    </w:p>
    <w:p w14:paraId="27C3181F" w14:textId="77777777" w:rsidR="00FB0F92" w:rsidRPr="00C71AFC" w:rsidRDefault="00FB0F92" w:rsidP="005609E9">
      <w:pPr>
        <w:pStyle w:val="Bulletlist1"/>
      </w:pPr>
      <w:r w:rsidRPr="00C71AFC">
        <w:t>Implementation plan and control measures to enact change safely;</w:t>
      </w:r>
    </w:p>
    <w:p w14:paraId="2D04F032" w14:textId="5E9FEF97" w:rsidR="00FB0F92" w:rsidRPr="00C71AFC" w:rsidRDefault="00FB0F92" w:rsidP="005609E9">
      <w:pPr>
        <w:pStyle w:val="Bulletlist1"/>
      </w:pPr>
      <w:r w:rsidRPr="00C71AFC">
        <w:t>Approach to post implementation evaluation</w:t>
      </w:r>
      <w:r w:rsidR="005609E9">
        <w:t>.</w:t>
      </w:r>
    </w:p>
    <w:p w14:paraId="0CEC0DF6" w14:textId="1719A81D" w:rsidR="0071010C" w:rsidRDefault="0071010C" w:rsidP="007D4C48">
      <w:pPr>
        <w:pStyle w:val="F9-Paragraph"/>
      </w:pPr>
      <w:r>
        <w:t xml:space="preserve">Progress with, and the effectiveness of, the implementation of significant, </w:t>
      </w:r>
      <w:r w:rsidR="001E5474">
        <w:t xml:space="preserve">large-scale, </w:t>
      </w:r>
      <w:r>
        <w:t>complex changes should be regularly monitored by the Board</w:t>
      </w:r>
      <w:r w:rsidR="005609E9">
        <w:t>/</w:t>
      </w:r>
      <w:r>
        <w:t xml:space="preserve">Executive. The Board/Executive should establish an oversight process for this purpose as appropriate. </w:t>
      </w:r>
    </w:p>
    <w:p w14:paraId="56E04B44" w14:textId="5CE655D3" w:rsidR="0071010C" w:rsidRDefault="0071010C" w:rsidP="007D4C48">
      <w:pPr>
        <w:pStyle w:val="F9-Paragraph"/>
      </w:pPr>
      <w:r>
        <w:t>It is expected that the licensee Board/Executive will proactively discuss significant,</w:t>
      </w:r>
      <w:r w:rsidR="00875CFD">
        <w:t xml:space="preserve"> large-scale,</w:t>
      </w:r>
      <w:r>
        <w:t xml:space="preserve"> complex changes with ONR at an early stage.</w:t>
      </w:r>
      <w:r w:rsidR="00317A5F">
        <w:t xml:space="preserve"> </w:t>
      </w:r>
      <w:r w:rsidR="005609E9">
        <w:br/>
      </w:r>
      <w:r>
        <w:t>This will allow the licensee to share its intentions with ONR and for ONR to provide advice and guidance as appropriate.</w:t>
      </w:r>
      <w:r w:rsidR="00317A5F">
        <w:t xml:space="preserve"> </w:t>
      </w:r>
      <w:r>
        <w:t xml:space="preserve">It will also help ONR to understand the licensee’s business drivers and to schedule and prioritise its own resources as appropriate. </w:t>
      </w:r>
    </w:p>
    <w:p w14:paraId="75B452AE" w14:textId="7BAE2C92" w:rsidR="0071010C" w:rsidRPr="001E72B4" w:rsidRDefault="0071010C" w:rsidP="007D4C48">
      <w:pPr>
        <w:pStyle w:val="F9-Paragraph"/>
      </w:pPr>
      <w:r>
        <w:t>The Board/Executive should satisfy itself that</w:t>
      </w:r>
      <w:r w:rsidR="005609E9">
        <w:t xml:space="preserve"> MoC </w:t>
      </w:r>
      <w:r>
        <w:t>arrangements are embedded throughout the organisation and that suitable provision is made to periodically review the effectiveness of the arrangements, and to monitor the cumulative effects of changes on the overall health of the licensee organisation.</w:t>
      </w:r>
      <w:r w:rsidR="00317A5F">
        <w:t xml:space="preserve"> </w:t>
      </w:r>
      <w:r>
        <w:t xml:space="preserve">It should ensure that the reasons for, and progress with, significant, complex changes are communicated to the workforce. </w:t>
      </w:r>
    </w:p>
    <w:p w14:paraId="6FA72E75" w14:textId="77777777" w:rsidR="005609E9" w:rsidRDefault="005609E9" w:rsidP="007D4C48">
      <w:pPr>
        <w:pStyle w:val="F9-Paragraph"/>
        <w:sectPr w:rsidR="005609E9" w:rsidSect="00434818">
          <w:pgSz w:w="11906" w:h="16838" w:code="9"/>
          <w:pgMar w:top="1440" w:right="1440" w:bottom="1440" w:left="1440" w:header="397" w:footer="397" w:gutter="0"/>
          <w:cols w:space="312"/>
          <w:docGrid w:linePitch="360"/>
        </w:sectPr>
      </w:pPr>
    </w:p>
    <w:p w14:paraId="21D4DB64" w14:textId="279A9225" w:rsidR="0071010C" w:rsidRPr="005E095B" w:rsidRDefault="0071010C" w:rsidP="007D4C48">
      <w:pPr>
        <w:pStyle w:val="F9-Paragraph"/>
      </w:pPr>
      <w:r w:rsidRPr="005E095B">
        <w:lastRenderedPageBreak/>
        <w:t xml:space="preserve">The </w:t>
      </w:r>
      <w:r>
        <w:t>inspector</w:t>
      </w:r>
      <w:r w:rsidRPr="005E095B">
        <w:t xml:space="preserve"> should consider whether: </w:t>
      </w:r>
    </w:p>
    <w:p w14:paraId="7DF160AB" w14:textId="77777777" w:rsidR="0071010C" w:rsidRPr="001E72B4" w:rsidRDefault="0071010C" w:rsidP="005F01F0">
      <w:pPr>
        <w:pStyle w:val="Bulletlist1"/>
      </w:pPr>
      <w:r>
        <w:t xml:space="preserve">The Board and Executive are able to demonstrate their commitment to effective management of organisational change; </w:t>
      </w:r>
    </w:p>
    <w:p w14:paraId="30167C0E" w14:textId="558E23A4" w:rsidR="0071010C" w:rsidRPr="001E72B4" w:rsidRDefault="0071010C" w:rsidP="005F01F0">
      <w:pPr>
        <w:pStyle w:val="Bulletlist1"/>
      </w:pPr>
      <w:r>
        <w:t>The Board and Executive has regularly satisfied itself that the</w:t>
      </w:r>
      <w:r w:rsidR="005609E9">
        <w:t xml:space="preserve"> MoC </w:t>
      </w:r>
      <w:r>
        <w:t xml:space="preserve">arrangements are adequate and that they are being implemented effectively; </w:t>
      </w:r>
    </w:p>
    <w:p w14:paraId="69A1E958" w14:textId="77777777" w:rsidR="0071010C" w:rsidRPr="001E72B4" w:rsidRDefault="0071010C" w:rsidP="005F01F0">
      <w:pPr>
        <w:pStyle w:val="Bulletlist1"/>
      </w:pPr>
      <w:r>
        <w:t xml:space="preserve">There is a governance process that ensures appropriate oversight of, and challenge to, all proposed changes; </w:t>
      </w:r>
    </w:p>
    <w:p w14:paraId="0381C105" w14:textId="183CACD2" w:rsidR="0071010C" w:rsidRPr="001E72B4" w:rsidRDefault="0071010C" w:rsidP="005F01F0">
      <w:pPr>
        <w:pStyle w:val="Bulletlist1"/>
      </w:pPr>
      <w:r>
        <w:t xml:space="preserve">The Board/Executive is involved in assessing the implications of changes which may have a greater potential impact on nuclear safety as part of the licensee’s governance arrangements; </w:t>
      </w:r>
    </w:p>
    <w:p w14:paraId="23D68D72" w14:textId="0100D6CA" w:rsidR="0071010C" w:rsidRPr="001E72B4" w:rsidRDefault="0071010C" w:rsidP="005F01F0">
      <w:pPr>
        <w:pStyle w:val="Bulletlist1"/>
      </w:pPr>
      <w:r>
        <w:t xml:space="preserve">The Board/Executive is aware of the need to discuss more significant, </w:t>
      </w:r>
      <w:r w:rsidR="00B8799E">
        <w:t xml:space="preserve">large-scale, </w:t>
      </w:r>
      <w:r>
        <w:t xml:space="preserve">complex changes with ONR at an early stage; </w:t>
      </w:r>
    </w:p>
    <w:p w14:paraId="78FD23D4" w14:textId="77777777" w:rsidR="0071010C" w:rsidRPr="001E72B4" w:rsidRDefault="0071010C" w:rsidP="005F01F0">
      <w:pPr>
        <w:pStyle w:val="Bulletlist1"/>
      </w:pPr>
      <w:r>
        <w:t>The licensee’s governance arrangements provide for an oversight process to monitor implementation and provide strategic guidance and support for more significant changes;</w:t>
      </w:r>
    </w:p>
    <w:p w14:paraId="22547EEB" w14:textId="0B777644" w:rsidR="0071010C" w:rsidRPr="001E72B4" w:rsidRDefault="0071010C" w:rsidP="005F01F0">
      <w:pPr>
        <w:pStyle w:val="Bulletlist1"/>
      </w:pPr>
      <w:r>
        <w:t>The Board/Executive regularly seeks assurance that implementation of more significant</w:t>
      </w:r>
      <w:r w:rsidR="00B8799E">
        <w:t>, large-scale</w:t>
      </w:r>
      <w:r>
        <w:t xml:space="preserve"> and complex changes is proceeding satisfactorily; </w:t>
      </w:r>
    </w:p>
    <w:p w14:paraId="1E95BD70" w14:textId="77777777" w:rsidR="0071010C" w:rsidRPr="00436EE5" w:rsidRDefault="0071010C" w:rsidP="005F01F0">
      <w:pPr>
        <w:pStyle w:val="Bulletlist1"/>
      </w:pPr>
      <w:r>
        <w:t xml:space="preserve">The licensee’s communication arrangements adequately convey the reasons for, and progress with, implementation of significant changes to the workforce. </w:t>
      </w:r>
    </w:p>
    <w:p w14:paraId="719130C6" w14:textId="10BDC672" w:rsidR="0071010C" w:rsidRDefault="0071010C" w:rsidP="00A30921">
      <w:pPr>
        <w:pStyle w:val="Heading3"/>
      </w:pPr>
      <w:r>
        <w:t xml:space="preserve">Principle </w:t>
      </w:r>
      <w:r w:rsidR="005609E9">
        <w:t>three</w:t>
      </w:r>
      <w:r>
        <w:t xml:space="preserve"> </w:t>
      </w:r>
    </w:p>
    <w:p w14:paraId="6A0919E2" w14:textId="3FE3A814" w:rsidR="0071010C" w:rsidRPr="00317A5F" w:rsidRDefault="0071010C" w:rsidP="007D4C48">
      <w:pPr>
        <w:pStyle w:val="F9-Paragraph"/>
      </w:pPr>
      <w:r w:rsidRPr="00317A5F">
        <w:t>A licensee’s</w:t>
      </w:r>
      <w:r w:rsidR="005609E9">
        <w:t xml:space="preserve"> MoC </w:t>
      </w:r>
      <w:r w:rsidRPr="00317A5F">
        <w:t xml:space="preserve">arrangements should reference the nuclear baseline and include a process for updating it on a regular basis. </w:t>
      </w:r>
    </w:p>
    <w:p w14:paraId="7A32D9FA" w14:textId="216E2290" w:rsidR="0071010C" w:rsidRDefault="0071010C" w:rsidP="007D4C48">
      <w:pPr>
        <w:pStyle w:val="F9-Paragraph"/>
      </w:pPr>
      <w:r>
        <w:t>A licensee should have a</w:t>
      </w:r>
      <w:r w:rsidR="00536B38">
        <w:t>n NB</w:t>
      </w:r>
      <w:r w:rsidR="00434818">
        <w:t xml:space="preserve"> </w:t>
      </w:r>
      <w:r>
        <w:t>which provides a demonstration that it has suitable and sufficient organisation structures, staffing and competences in place to effectively and reliably carry out those activities which could impact on nuclear safety.</w:t>
      </w:r>
      <w:r w:rsidR="00317A5F">
        <w:t xml:space="preserve"> </w:t>
      </w:r>
    </w:p>
    <w:p w14:paraId="0BE134B9" w14:textId="4ABAEA94" w:rsidR="0071010C" w:rsidRDefault="0071010C" w:rsidP="007D4C48">
      <w:pPr>
        <w:pStyle w:val="F9-Paragraph"/>
      </w:pPr>
      <w:r>
        <w:t xml:space="preserve">The </w:t>
      </w:r>
      <w:r w:rsidR="00536B38">
        <w:t>NB</w:t>
      </w:r>
      <w:r>
        <w:t xml:space="preserve"> should act as a reference point or ‘baseline’ against which the licensee can assess the potential impact on nuclear safety of proposed organisational changes.</w:t>
      </w:r>
      <w:r w:rsidR="00317A5F">
        <w:t xml:space="preserve"> </w:t>
      </w:r>
      <w:r>
        <w:t xml:space="preserve">Individual change assessments should reference the baseline where the proposed change is likely to have an impact on it. </w:t>
      </w:r>
    </w:p>
    <w:p w14:paraId="59B05C12" w14:textId="7FC5FAEA" w:rsidR="0071010C" w:rsidRDefault="0071010C" w:rsidP="007D4C48">
      <w:pPr>
        <w:pStyle w:val="F9-Paragraph"/>
      </w:pPr>
      <w:r w:rsidRPr="00D9577E">
        <w:t xml:space="preserve">The </w:t>
      </w:r>
      <w:r w:rsidR="00536B38">
        <w:t>NB</w:t>
      </w:r>
      <w:r w:rsidR="00536B38" w:rsidRPr="00D9577E">
        <w:t xml:space="preserve"> </w:t>
      </w:r>
      <w:r w:rsidRPr="00D9577E">
        <w:t>should be dynamic and</w:t>
      </w:r>
      <w:r w:rsidRPr="007B285C">
        <w:t xml:space="preserve"> updated as changes are made to the organisation</w:t>
      </w:r>
      <w:r w:rsidRPr="00730166">
        <w:t>al structure and resources, and periodically</w:t>
      </w:r>
      <w:r>
        <w:t xml:space="preserve"> reviewed to consolidate changes. </w:t>
      </w:r>
    </w:p>
    <w:p w14:paraId="5DC90796" w14:textId="21257428" w:rsidR="0071010C" w:rsidRPr="005E095B" w:rsidRDefault="0071010C" w:rsidP="007D4C48">
      <w:pPr>
        <w:pStyle w:val="F9-Paragraph"/>
      </w:pPr>
      <w:r>
        <w:lastRenderedPageBreak/>
        <w:t xml:space="preserve">The </w:t>
      </w:r>
      <w:r w:rsidR="00536B38">
        <w:t>NB</w:t>
      </w:r>
      <w:r>
        <w:t xml:space="preserve"> should be used as an integral part of the </w:t>
      </w:r>
      <w:r w:rsidR="00317A5F">
        <w:t>licensee’s</w:t>
      </w:r>
      <w:r>
        <w:t xml:space="preserve"> resourcing processes. </w:t>
      </w:r>
    </w:p>
    <w:p w14:paraId="0434F8A9" w14:textId="34E5DBA1" w:rsidR="0071010C" w:rsidRDefault="0071010C" w:rsidP="007D4C48">
      <w:pPr>
        <w:pStyle w:val="F9-Paragraph"/>
      </w:pPr>
      <w:r>
        <w:t xml:space="preserve">The inspector should consider whether: </w:t>
      </w:r>
    </w:p>
    <w:p w14:paraId="7F3425D6" w14:textId="712772B2" w:rsidR="0071010C" w:rsidRPr="005E095B" w:rsidRDefault="0071010C" w:rsidP="005F01F0">
      <w:pPr>
        <w:pStyle w:val="Bulletlist1"/>
      </w:pPr>
      <w:r>
        <w:t xml:space="preserve">The </w:t>
      </w:r>
      <w:r w:rsidR="00D451BF">
        <w:t>NB</w:t>
      </w:r>
      <w:r>
        <w:t xml:space="preserve"> is up to date and reflective of the licensee’s current organisation; </w:t>
      </w:r>
    </w:p>
    <w:p w14:paraId="0E9C76A9" w14:textId="01E6EB5C" w:rsidR="0071010C" w:rsidRPr="005E095B" w:rsidRDefault="005609E9" w:rsidP="005F01F0">
      <w:pPr>
        <w:pStyle w:val="Bulletlist1"/>
      </w:pPr>
      <w:r>
        <w:t xml:space="preserve"> MoC </w:t>
      </w:r>
      <w:r w:rsidR="0071010C">
        <w:t xml:space="preserve">assessments include a reference to the </w:t>
      </w:r>
      <w:r w:rsidR="00EC30BF">
        <w:t>NB</w:t>
      </w:r>
      <w:r w:rsidR="0071010C">
        <w:t xml:space="preserve"> and identify whether or not the proposed changes affect baseline roles; </w:t>
      </w:r>
    </w:p>
    <w:p w14:paraId="2380E4DF" w14:textId="60DD78D8" w:rsidR="0071010C" w:rsidRDefault="0071010C" w:rsidP="005F01F0">
      <w:pPr>
        <w:pStyle w:val="Bulletlist1"/>
      </w:pPr>
      <w:r>
        <w:t xml:space="preserve">The </w:t>
      </w:r>
      <w:r w:rsidR="00EC30BF">
        <w:t>NB</w:t>
      </w:r>
      <w:r>
        <w:t xml:space="preserve"> is regularly reviewed to ensure that it is up to date and incorporates changes affecting baseline roles; </w:t>
      </w:r>
    </w:p>
    <w:p w14:paraId="22D910B0" w14:textId="5C9C33D4" w:rsidR="0071010C" w:rsidRDefault="0071010C" w:rsidP="005F01F0">
      <w:pPr>
        <w:pStyle w:val="Bulletlist1"/>
      </w:pPr>
      <w:r>
        <w:t>The</w:t>
      </w:r>
      <w:r w:rsidR="005609E9">
        <w:t xml:space="preserve"> MoC </w:t>
      </w:r>
      <w:r>
        <w:t xml:space="preserve">arrangements take account of the cumulative effects of low category changes on the </w:t>
      </w:r>
      <w:r w:rsidR="00EC30BF">
        <w:t>NB</w:t>
      </w:r>
      <w:r>
        <w:t xml:space="preserve">; </w:t>
      </w:r>
    </w:p>
    <w:p w14:paraId="7C61E2F6" w14:textId="2F615163" w:rsidR="0071010C" w:rsidRDefault="0071010C" w:rsidP="005F01F0">
      <w:pPr>
        <w:pStyle w:val="Bulletlist1"/>
      </w:pPr>
      <w:r>
        <w:t>The</w:t>
      </w:r>
      <w:r w:rsidR="005609E9">
        <w:t xml:space="preserve"> MoC </w:t>
      </w:r>
      <w:r>
        <w:t>arrangements take account of baseline vulnerabilities when completing the risk assessment of the change;</w:t>
      </w:r>
    </w:p>
    <w:p w14:paraId="524CEBF4" w14:textId="0941F558" w:rsidR="0071010C" w:rsidRDefault="0071010C" w:rsidP="005F01F0">
      <w:pPr>
        <w:pStyle w:val="Bulletlist1"/>
      </w:pPr>
      <w:r>
        <w:t>The</w:t>
      </w:r>
      <w:r w:rsidR="005609E9">
        <w:t xml:space="preserve"> MoC </w:t>
      </w:r>
      <w:r>
        <w:t xml:space="preserve">arrangements are integrated with human resource processes; </w:t>
      </w:r>
    </w:p>
    <w:p w14:paraId="6C04E1C1" w14:textId="77777777" w:rsidR="0071010C" w:rsidRPr="005E095B" w:rsidRDefault="0071010C" w:rsidP="005F01F0">
      <w:pPr>
        <w:pStyle w:val="Bulletlist1"/>
      </w:pPr>
      <w:r>
        <w:t xml:space="preserve">There is evidence that the resource implications of proposed changes are shared with human resources as part of the change assessment process; </w:t>
      </w:r>
    </w:p>
    <w:p w14:paraId="12559B75" w14:textId="0AA894B2" w:rsidR="0071010C" w:rsidRDefault="0071010C" w:rsidP="005F01F0">
      <w:pPr>
        <w:pStyle w:val="Bulletlist1"/>
      </w:pPr>
      <w:r>
        <w:t>Resource actions arising from individual</w:t>
      </w:r>
      <w:r w:rsidR="005609E9">
        <w:t xml:space="preserve"> MoC </w:t>
      </w:r>
      <w:r>
        <w:t xml:space="preserve">assessments have been closed and, if not, that unresolved actions are being managed. </w:t>
      </w:r>
    </w:p>
    <w:p w14:paraId="7939922B" w14:textId="732C46A5" w:rsidR="0071010C" w:rsidRDefault="0071010C" w:rsidP="00BB4A7C">
      <w:pPr>
        <w:pStyle w:val="Heading3"/>
      </w:pPr>
      <w:r>
        <w:t xml:space="preserve">Principle </w:t>
      </w:r>
      <w:r w:rsidR="005609E9">
        <w:t>four</w:t>
      </w:r>
      <w:r>
        <w:t xml:space="preserve"> </w:t>
      </w:r>
    </w:p>
    <w:p w14:paraId="790D60CD" w14:textId="049F1318" w:rsidR="005B74B8" w:rsidRDefault="005B74B8" w:rsidP="007D4C48">
      <w:pPr>
        <w:pStyle w:val="F9-Paragraph"/>
      </w:pPr>
      <w:r>
        <w:t xml:space="preserve">It is important that a proposed change is assessed prior to implementation to ensure that the implications of the change are fully understood. </w:t>
      </w:r>
      <w:r w:rsidR="005609E9">
        <w:br/>
      </w:r>
      <w:r>
        <w:t xml:space="preserve">The assessment can be considered as an organisational risk assessment which identifies the potential risks associated with the proposed change, including risks arising both from the outcome of a proposed change and the process of transition. </w:t>
      </w:r>
    </w:p>
    <w:p w14:paraId="318AC947" w14:textId="11BBB9AF" w:rsidR="00DA6C65" w:rsidRDefault="0071010C" w:rsidP="007D4C48">
      <w:pPr>
        <w:pStyle w:val="F9-Paragraph"/>
      </w:pPr>
      <w:r>
        <w:t>The licensee’s</w:t>
      </w:r>
      <w:r w:rsidR="005609E9">
        <w:t xml:space="preserve"> MoC </w:t>
      </w:r>
      <w:r>
        <w:t>arrangements should include provision for an initial screening assessment to identify the potential nuclear safety significance of a proposed change in the event that the change is inadequately conceived or executed.</w:t>
      </w:r>
      <w:r w:rsidR="00317A5F">
        <w:t xml:space="preserve"> </w:t>
      </w:r>
      <w:r>
        <w:t>The output of this assessment should be used to</w:t>
      </w:r>
      <w:r w:rsidR="000808CF">
        <w:t xml:space="preserve"> identify where</w:t>
      </w:r>
      <w:r w:rsidR="00DA6C65">
        <w:t>:</w:t>
      </w:r>
    </w:p>
    <w:p w14:paraId="53679A53" w14:textId="18C4E764" w:rsidR="00281889" w:rsidRPr="005971B8" w:rsidRDefault="00D102BC" w:rsidP="005609E9">
      <w:pPr>
        <w:pStyle w:val="Bulletlist1"/>
      </w:pPr>
      <w:r>
        <w:t>D</w:t>
      </w:r>
      <w:r w:rsidR="00281889" w:rsidRPr="005971B8">
        <w:t>ue to the scale</w:t>
      </w:r>
      <w:r w:rsidR="00281889">
        <w:t>,</w:t>
      </w:r>
      <w:r w:rsidR="00281889" w:rsidRPr="005971B8">
        <w:t xml:space="preserve"> complexity</w:t>
      </w:r>
      <w:r w:rsidR="00281889">
        <w:t>, duration and</w:t>
      </w:r>
      <w:r w:rsidR="005609E9">
        <w:t>/</w:t>
      </w:r>
      <w:r w:rsidR="00281889">
        <w:t>or end state uncertainty</w:t>
      </w:r>
      <w:r w:rsidR="00281889" w:rsidRPr="005971B8">
        <w:t xml:space="preserve"> of the proposed change, </w:t>
      </w:r>
      <w:r w:rsidR="00281889" w:rsidRPr="0067694F">
        <w:t>it is preferable to divide the overall change into smaller, more manageable elements</w:t>
      </w:r>
      <w:r w:rsidR="00281889">
        <w:t>.</w:t>
      </w:r>
      <w:r w:rsidR="005F01F0">
        <w:t xml:space="preserve"> </w:t>
      </w:r>
      <w:r w:rsidR="00281889">
        <w:t>In this instance, the screening assessment should recommend the production of an overarching framework within which the subordinate changes will be defined, implemented and evaluated</w:t>
      </w:r>
      <w:r w:rsidR="005609E9">
        <w:t>;</w:t>
      </w:r>
    </w:p>
    <w:p w14:paraId="48983699" w14:textId="54EDB720" w:rsidR="00281889" w:rsidRPr="00F90E5F" w:rsidRDefault="00F90E5F" w:rsidP="005609E9">
      <w:pPr>
        <w:pStyle w:val="Bulletlist1"/>
        <w:numPr>
          <w:ilvl w:val="0"/>
          <w:numId w:val="0"/>
        </w:numPr>
        <w:ind w:left="1276"/>
      </w:pPr>
      <w:r>
        <w:t>O</w:t>
      </w:r>
      <w:r w:rsidR="00281889" w:rsidRPr="00F90E5F">
        <w:t>r</w:t>
      </w:r>
      <w:r w:rsidR="005609E9">
        <w:t>,</w:t>
      </w:r>
    </w:p>
    <w:p w14:paraId="25D34B78" w14:textId="3E97319F" w:rsidR="00281889" w:rsidRDefault="00D102BC" w:rsidP="005609E9">
      <w:pPr>
        <w:pStyle w:val="Bulletlist1"/>
      </w:pPr>
      <w:r>
        <w:lastRenderedPageBreak/>
        <w:t>T</w:t>
      </w:r>
      <w:r w:rsidR="00281889">
        <w:t>he change can be implemented through a discrete change proposal</w:t>
      </w:r>
      <w:r w:rsidR="00893FEB">
        <w:t xml:space="preserve">. </w:t>
      </w:r>
      <w:r w:rsidR="005609E9">
        <w:br/>
      </w:r>
      <w:r w:rsidR="00893FEB">
        <w:t>In this instance</w:t>
      </w:r>
      <w:r w:rsidR="006944B7">
        <w:t>, the output of the assessment will</w:t>
      </w:r>
      <w:r w:rsidR="0064394B">
        <w:t xml:space="preserve"> </w:t>
      </w:r>
      <w:r w:rsidR="0071010C">
        <w:t>inform the classification of the change (as required by LC 36 (5))</w:t>
      </w:r>
      <w:r w:rsidR="006944B7">
        <w:t>, which in turn</w:t>
      </w:r>
      <w:r w:rsidR="0071010C">
        <w:t xml:space="preserve"> is related to the level of analysis, justification and scrutiny that the licensee gives to the change proposal.</w:t>
      </w:r>
      <w:r w:rsidR="00317A5F">
        <w:t xml:space="preserve"> </w:t>
      </w:r>
    </w:p>
    <w:p w14:paraId="3665DDB6" w14:textId="36E426C9" w:rsidR="0071010C" w:rsidRDefault="0071010C" w:rsidP="007D4C48">
      <w:pPr>
        <w:pStyle w:val="F9-Paragraph"/>
      </w:pPr>
      <w:r>
        <w:t>The screening assessment should be formally recorded in a</w:t>
      </w:r>
      <w:r w:rsidR="005609E9">
        <w:t xml:space="preserve"> MoC </w:t>
      </w:r>
      <w:r>
        <w:t>register</w:t>
      </w:r>
      <w:r w:rsidR="00490F47">
        <w:t xml:space="preserve"> (</w:t>
      </w:r>
      <w:r w:rsidR="005609E9">
        <w:t>refer to</w:t>
      </w:r>
      <w:r w:rsidR="002C1D35">
        <w:t xml:space="preserve"> Principle </w:t>
      </w:r>
      <w:r w:rsidR="005609E9">
        <w:t>one</w:t>
      </w:r>
      <w:r w:rsidR="00490F47">
        <w:t>)</w:t>
      </w:r>
      <w:r w:rsidR="002C1D35">
        <w:t xml:space="preserve"> </w:t>
      </w:r>
      <w:r>
        <w:t>once internal licensee approval to further develop the proposal has been gained.</w:t>
      </w:r>
    </w:p>
    <w:p w14:paraId="7CF759F8" w14:textId="02A4083E" w:rsidR="0071010C" w:rsidRDefault="0071010C" w:rsidP="007D4C48">
      <w:pPr>
        <w:pStyle w:val="F9-Paragraph"/>
      </w:pPr>
      <w:r>
        <w:t xml:space="preserve">Change classification or categorisation methodology should consider the risks associated with the change being inadequately conceived or </w:t>
      </w:r>
      <w:r w:rsidR="00317A5F">
        <w:t>executed and</w:t>
      </w:r>
      <w:r>
        <w:t xml:space="preserve"> should not take planned mitigation into account.</w:t>
      </w:r>
      <w:r w:rsidR="00317A5F">
        <w:t xml:space="preserve"> </w:t>
      </w:r>
      <w:r>
        <w:t xml:space="preserve">ONR expects the change classification or category of all changes to be independently challenged prior to implementation proportionally. </w:t>
      </w:r>
    </w:p>
    <w:p w14:paraId="38436A8B" w14:textId="275C9AF9" w:rsidR="0071010C" w:rsidRPr="002D3609" w:rsidRDefault="0071010C" w:rsidP="007D4C48">
      <w:pPr>
        <w:pStyle w:val="F9-Paragraph"/>
        <w:rPr>
          <w:color w:val="000000" w:themeColor="text1"/>
          <w:sz w:val="23"/>
          <w:szCs w:val="23"/>
        </w:rPr>
      </w:pPr>
      <w:r>
        <w:t>ONR normally expects the number of change proposals which fall into the top category to be relatively few.</w:t>
      </w:r>
      <w:r w:rsidR="00317A5F">
        <w:t xml:space="preserve"> </w:t>
      </w:r>
      <w:r>
        <w:t xml:space="preserve">These ordinarily include proposals which constitute wholesale organisational </w:t>
      </w:r>
      <w:r w:rsidR="00317A5F">
        <w:t>change,</w:t>
      </w:r>
      <w:r>
        <w:t xml:space="preserve"> or which potentially challenge the basis upon which the licence was granted.</w:t>
      </w:r>
      <w:r w:rsidR="00317A5F">
        <w:t xml:space="preserve"> </w:t>
      </w:r>
      <w:r>
        <w:t>Licensees usually have three further categories of change proposal for less significant changes.</w:t>
      </w:r>
      <w:r w:rsidR="00317A5F">
        <w:t xml:space="preserve"> </w:t>
      </w:r>
      <w:r w:rsidR="005609E9">
        <w:br/>
      </w:r>
      <w:r>
        <w:t xml:space="preserve">Broad </w:t>
      </w:r>
      <w:r>
        <w:rPr>
          <w:sz w:val="23"/>
          <w:szCs w:val="23"/>
        </w:rPr>
        <w:t xml:space="preserve">guidance on classification of organisational changes is given in </w:t>
      </w:r>
      <w:r w:rsidR="004A0CD7">
        <w:rPr>
          <w:sz w:val="23"/>
          <w:szCs w:val="23"/>
        </w:rPr>
        <w:br/>
      </w:r>
      <w:hyperlink w:anchor="_Appendix_5:_Guidance" w:history="1">
        <w:r w:rsidR="004A0CD7" w:rsidRPr="004A0CD7">
          <w:rPr>
            <w:rStyle w:val="Hyperlink"/>
            <w:bCs/>
          </w:rPr>
          <w:t>Appendix 5</w:t>
        </w:r>
      </w:hyperlink>
      <w:r w:rsidRPr="003E5530">
        <w:rPr>
          <w:b/>
          <w:bCs/>
          <w:sz w:val="23"/>
          <w:szCs w:val="23"/>
        </w:rPr>
        <w:t xml:space="preserve"> </w:t>
      </w:r>
      <w:r w:rsidRPr="003E5530">
        <w:rPr>
          <w:sz w:val="23"/>
          <w:szCs w:val="23"/>
        </w:rPr>
        <w:t>for</w:t>
      </w:r>
      <w:r>
        <w:rPr>
          <w:sz w:val="23"/>
          <w:szCs w:val="23"/>
        </w:rPr>
        <w:t xml:space="preserve"> illustrative purposes, and there is guidance in </w:t>
      </w:r>
      <w:r w:rsidRPr="007B285C">
        <w:rPr>
          <w:sz w:val="23"/>
          <w:szCs w:val="23"/>
        </w:rPr>
        <w:t>the</w:t>
      </w:r>
      <w:r w:rsidR="00E001D2">
        <w:rPr>
          <w:sz w:val="23"/>
          <w:szCs w:val="23"/>
        </w:rPr>
        <w:t xml:space="preserve"> </w:t>
      </w:r>
      <w:r w:rsidR="00E001D2" w:rsidRPr="002D3609">
        <w:rPr>
          <w:color w:val="000000" w:themeColor="text1"/>
          <w:sz w:val="23"/>
          <w:szCs w:val="23"/>
        </w:rPr>
        <w:t>SDF’s</w:t>
      </w:r>
      <w:r w:rsidRPr="002D3609">
        <w:rPr>
          <w:color w:val="000000" w:themeColor="text1"/>
          <w:sz w:val="23"/>
          <w:szCs w:val="23"/>
        </w:rPr>
        <w:t xml:space="preserve"> GPG</w:t>
      </w:r>
      <w:r w:rsidR="000B0BED" w:rsidRPr="002D3609">
        <w:rPr>
          <w:color w:val="000000" w:themeColor="text1"/>
          <w:sz w:val="23"/>
          <w:szCs w:val="23"/>
        </w:rPr>
        <w:t xml:space="preserve"> </w:t>
      </w:r>
      <w:r w:rsidR="007D4C48">
        <w:rPr>
          <w:color w:val="000000" w:themeColor="text1"/>
          <w:sz w:val="23"/>
          <w:szCs w:val="23"/>
        </w:rPr>
        <w:t>(ref.</w:t>
      </w:r>
      <w:sdt>
        <w:sdtPr>
          <w:rPr>
            <w:color w:val="000000" w:themeColor="text1"/>
            <w:sz w:val="23"/>
            <w:szCs w:val="23"/>
          </w:rPr>
          <w:id w:val="-280261749"/>
          <w:citation/>
        </w:sdtPr>
        <w:sdtEndPr/>
        <w:sdtContent>
          <w:r w:rsidR="002D3609" w:rsidRPr="002D3609">
            <w:rPr>
              <w:color w:val="000000" w:themeColor="text1"/>
              <w:sz w:val="23"/>
              <w:szCs w:val="23"/>
            </w:rPr>
            <w:fldChar w:fldCharType="begin"/>
          </w:r>
          <w:r w:rsidR="002D3609" w:rsidRPr="002D3609">
            <w:rPr>
              <w:color w:val="000000" w:themeColor="text1"/>
              <w:sz w:val="23"/>
              <w:szCs w:val="23"/>
            </w:rPr>
            <w:instrText xml:space="preserve"> CITATION SDF17 \l 2057 </w:instrText>
          </w:r>
          <w:r w:rsidR="002D3609" w:rsidRPr="002D3609">
            <w:rPr>
              <w:color w:val="000000" w:themeColor="text1"/>
              <w:sz w:val="23"/>
              <w:szCs w:val="23"/>
            </w:rPr>
            <w:fldChar w:fldCharType="separate"/>
          </w:r>
          <w:r w:rsidR="00166CB3">
            <w:rPr>
              <w:noProof/>
              <w:color w:val="000000" w:themeColor="text1"/>
              <w:sz w:val="23"/>
              <w:szCs w:val="23"/>
            </w:rPr>
            <w:t xml:space="preserve"> </w:t>
          </w:r>
          <w:r w:rsidR="00166CB3" w:rsidRPr="00166CB3">
            <w:rPr>
              <w:noProof/>
              <w:color w:val="000000" w:themeColor="text1"/>
              <w:sz w:val="23"/>
              <w:szCs w:val="23"/>
            </w:rPr>
            <w:t>[4]</w:t>
          </w:r>
          <w:r w:rsidR="002D3609" w:rsidRPr="002D3609">
            <w:rPr>
              <w:color w:val="000000" w:themeColor="text1"/>
              <w:sz w:val="23"/>
              <w:szCs w:val="23"/>
            </w:rPr>
            <w:fldChar w:fldCharType="end"/>
          </w:r>
        </w:sdtContent>
      </w:sdt>
      <w:r w:rsidR="002D3609" w:rsidRPr="002D3609">
        <w:rPr>
          <w:color w:val="000000" w:themeColor="text1"/>
          <w:sz w:val="23"/>
          <w:szCs w:val="23"/>
        </w:rPr>
        <w:t>)</w:t>
      </w:r>
      <w:r w:rsidRPr="002D3609">
        <w:rPr>
          <w:color w:val="000000" w:themeColor="text1"/>
          <w:sz w:val="23"/>
          <w:szCs w:val="23"/>
        </w:rPr>
        <w:t xml:space="preserve">. </w:t>
      </w:r>
    </w:p>
    <w:p w14:paraId="32B0EE48" w14:textId="1708F1E0" w:rsidR="00E37DCB" w:rsidRPr="00814726" w:rsidRDefault="00E37DCB" w:rsidP="007D4C48">
      <w:pPr>
        <w:pStyle w:val="F9-Paragraph"/>
      </w:pPr>
      <w:r w:rsidRPr="00814726">
        <w:t xml:space="preserve">Where the licensee judges that the overall change is to be enacted through multiple </w:t>
      </w:r>
      <w:r w:rsidRPr="00F409F6">
        <w:t>implementation changes within an overarching framework</w:t>
      </w:r>
      <w:r>
        <w:t xml:space="preserve">, the licensee is to ensure that the initial screening assessment considers not only the </w:t>
      </w:r>
      <w:r w:rsidRPr="00814726">
        <w:t>potential nuclear safety significance of each change in isolation</w:t>
      </w:r>
      <w:r>
        <w:t xml:space="preserve"> but also the aggregated impact of the changes</w:t>
      </w:r>
      <w:r w:rsidRPr="00814726">
        <w:t>.</w:t>
      </w:r>
      <w:r w:rsidR="005F01F0">
        <w:t xml:space="preserve"> </w:t>
      </w:r>
    </w:p>
    <w:p w14:paraId="48B215B9" w14:textId="622D883B" w:rsidR="00E37DCB" w:rsidRPr="00814726" w:rsidRDefault="00E37DCB" w:rsidP="007D4C48">
      <w:pPr>
        <w:pStyle w:val="F9-Paragraph"/>
      </w:pPr>
      <w:r w:rsidRPr="00814726">
        <w:t>ONR expects that Organisational Capability Strategy papers, Papers of Principles and Concepts of Operations will not be categorised.</w:t>
      </w:r>
      <w:r w:rsidR="005F01F0">
        <w:t xml:space="preserve"> </w:t>
      </w:r>
      <w:r w:rsidRPr="00814726">
        <w:t xml:space="preserve">Further, ONR expects that no change will be enacted through an overarching MoC. </w:t>
      </w:r>
      <w:r w:rsidR="005609E9">
        <w:br/>
      </w:r>
      <w:r w:rsidRPr="00814726">
        <w:t>Rather, change will be enacted through detailed, subordinate implementation</w:t>
      </w:r>
      <w:r w:rsidR="005609E9">
        <w:t xml:space="preserve"> MoC </w:t>
      </w:r>
      <w:r w:rsidRPr="00814726">
        <w:t>proposals, each of which will be subject to the licensee’s</w:t>
      </w:r>
      <w:r w:rsidR="005609E9">
        <w:t xml:space="preserve"> MoC </w:t>
      </w:r>
      <w:r w:rsidRPr="00814726">
        <w:t xml:space="preserve">arrangements including a screening assessment and categorisation. </w:t>
      </w:r>
      <w:r w:rsidR="005609E9">
        <w:br/>
      </w:r>
      <w:r w:rsidRPr="00814726">
        <w:t>While some licensees find it useful to categorise the overarching</w:t>
      </w:r>
      <w:r w:rsidR="005609E9">
        <w:t xml:space="preserve"> MoC </w:t>
      </w:r>
      <w:r w:rsidRPr="00814726">
        <w:t>proposal as well as each implementation change proposal, ONR’s expectation is that the aggregated risk is assessed and reflected in the categorisation of the discrete change proposals.</w:t>
      </w:r>
      <w:r w:rsidR="005F01F0">
        <w:t xml:space="preserve"> </w:t>
      </w:r>
      <w:r w:rsidRPr="00814726">
        <w:t>In categorising changes made under the framework of an overarching MoC, where the overarching proposal is:</w:t>
      </w:r>
    </w:p>
    <w:p w14:paraId="72F844AD" w14:textId="77777777" w:rsidR="00E37DCB" w:rsidRDefault="00E37DCB" w:rsidP="005F01F0">
      <w:pPr>
        <w:pStyle w:val="Bulletlist1"/>
      </w:pPr>
      <w:r>
        <w:t>N</w:t>
      </w:r>
      <w:r w:rsidRPr="0067694F">
        <w:t xml:space="preserve">ot categorised, the licensee should demonstrate how aggregated </w:t>
      </w:r>
      <w:r>
        <w:t>risk has been considered within the categorisation of the individual implementation proposals;</w:t>
      </w:r>
    </w:p>
    <w:p w14:paraId="396FA552" w14:textId="77777777" w:rsidR="00E37DCB" w:rsidRPr="0067694F" w:rsidRDefault="00E37DCB" w:rsidP="005F01F0">
      <w:pPr>
        <w:pStyle w:val="Bulletlist1"/>
      </w:pPr>
      <w:r>
        <w:t>Is categorised</w:t>
      </w:r>
      <w:r w:rsidRPr="0067694F">
        <w:t xml:space="preserve">, </w:t>
      </w:r>
      <w:r>
        <w:t>the licensee should justify within the</w:t>
      </w:r>
      <w:r w:rsidRPr="0067694F">
        <w:t xml:space="preserve"> underpinning implementation change proposals</w:t>
      </w:r>
      <w:r>
        <w:t xml:space="preserve"> a</w:t>
      </w:r>
      <w:r w:rsidRPr="00F05689">
        <w:t xml:space="preserve">ny reduction in the categorisation </w:t>
      </w:r>
      <w:r>
        <w:t>of the proposal</w:t>
      </w:r>
      <w:r w:rsidRPr="0067694F">
        <w:t xml:space="preserve"> from that of the overarching proposal.</w:t>
      </w:r>
    </w:p>
    <w:p w14:paraId="0D5B1C42" w14:textId="45A8D2D3" w:rsidR="0071010C" w:rsidRPr="007B285C" w:rsidRDefault="0071010C" w:rsidP="007D4C48">
      <w:pPr>
        <w:pStyle w:val="F9-Paragraph"/>
      </w:pPr>
      <w:r w:rsidRPr="007B285C">
        <w:lastRenderedPageBreak/>
        <w:t xml:space="preserve">The licensee’s arrangements should make appropriate provision for engaging ONR </w:t>
      </w:r>
      <w:r w:rsidRPr="00D9577E">
        <w:t>and</w:t>
      </w:r>
      <w:r w:rsidRPr="007B285C">
        <w:t xml:space="preserve">, </w:t>
      </w:r>
      <w:r w:rsidRPr="00D9577E">
        <w:t>in the case of significant</w:t>
      </w:r>
      <w:r w:rsidR="008E53E4">
        <w:t>, large-scale</w:t>
      </w:r>
      <w:r w:rsidRPr="00D9577E">
        <w:t xml:space="preserve"> or complex changes, early engagement.</w:t>
      </w:r>
      <w:r w:rsidR="00317A5F">
        <w:t xml:space="preserve"> </w:t>
      </w:r>
      <w:r w:rsidRPr="00D9577E">
        <w:t xml:space="preserve">This will allow ONR to provide advice and guidance to the licensee as appropriate </w:t>
      </w:r>
      <w:r w:rsidRPr="00D9577E" w:rsidDel="00530234">
        <w:t>and should simplify ONR permissioning of such changes since it will have prior knowledge of the rationale for the change and gained confidence in the licensee’s approach to assessing the implications of the change.</w:t>
      </w:r>
      <w:r w:rsidR="00317A5F" w:rsidDel="00530234">
        <w:t xml:space="preserve"> </w:t>
      </w:r>
      <w:r w:rsidRPr="00D9577E">
        <w:t>This early engagement is particularly important in a number of cases, for example where a licensee is planning to reduce staff numbers through a redundancy programme where a statutory consultation period may apply.</w:t>
      </w:r>
      <w:r w:rsidR="00317A5F">
        <w:t xml:space="preserve"> </w:t>
      </w:r>
      <w:r w:rsidRPr="00D9577E">
        <w:t>ONR will expect engagement to have commenced before the statutory consultation period is invoked.</w:t>
      </w:r>
      <w:r w:rsidR="00317A5F">
        <w:t xml:space="preserve"> </w:t>
      </w:r>
      <w:r w:rsidRPr="00D9577E">
        <w:t>Further examples include where significant change is planned to the management of the organisation.</w:t>
      </w:r>
    </w:p>
    <w:p w14:paraId="719023B2" w14:textId="692FBBD4" w:rsidR="0071010C" w:rsidRPr="005E095B" w:rsidRDefault="0071010C" w:rsidP="007D4C48">
      <w:pPr>
        <w:pStyle w:val="F9-Paragraph"/>
      </w:pPr>
      <w:r>
        <w:t xml:space="preserve">ONR expects: </w:t>
      </w:r>
    </w:p>
    <w:p w14:paraId="41B66703" w14:textId="0C5C0B5E" w:rsidR="0071010C" w:rsidRDefault="0071010C" w:rsidP="005609E9">
      <w:pPr>
        <w:pStyle w:val="Bulletlist1"/>
      </w:pPr>
      <w:r>
        <w:t>The licensee’s arrangements to affirm that Category 1 changes</w:t>
      </w:r>
      <w:r w:rsidR="00264E0B">
        <w:t xml:space="preserve"> </w:t>
      </w:r>
      <w:r>
        <w:t xml:space="preserve">shall not proceed without the formal </w:t>
      </w:r>
      <w:r w:rsidRPr="005609E9">
        <w:rPr>
          <w:b/>
          <w:bCs w:val="0"/>
          <w:iCs/>
        </w:rPr>
        <w:t>agreement</w:t>
      </w:r>
      <w:r>
        <w:t xml:space="preserve"> of ONR and for such changes to be submitted in writing</w:t>
      </w:r>
      <w:r w:rsidRPr="00044BCC">
        <w:t xml:space="preserve"> to</w:t>
      </w:r>
      <w:r>
        <w:t xml:space="preserve"> ONR in accordance with LC 36 (5).</w:t>
      </w:r>
      <w:r w:rsidR="00317A5F">
        <w:t xml:space="preserve"> </w:t>
      </w:r>
      <w:r>
        <w:t>In such circumstances it is prudent for the licensee to ensure that sufficient time is built into the change programme to provide for ONR assessment of the proposed change.</w:t>
      </w:r>
      <w:r w:rsidR="00317A5F">
        <w:t xml:space="preserve"> </w:t>
      </w:r>
      <w:r>
        <w:t>The licensee should facilitate this through early engagement with ONR so that the level of regulatory interest can be established and resources can be put in place to assess the change.</w:t>
      </w:r>
      <w:r w:rsidR="00317A5F">
        <w:t xml:space="preserve"> </w:t>
      </w:r>
    </w:p>
    <w:p w14:paraId="0D9AC7F8" w14:textId="163475F2" w:rsidR="0071010C" w:rsidRPr="00172E12" w:rsidRDefault="0071010C" w:rsidP="005F01F0">
      <w:pPr>
        <w:pStyle w:val="Bulletlist1"/>
      </w:pPr>
      <w:r>
        <w:t>The licensee’s arrangements for Category 2 change proposals</w:t>
      </w:r>
      <w:r w:rsidR="00064222">
        <w:t xml:space="preserve"> </w:t>
      </w:r>
      <w:r>
        <w:t>should require the change to be submitted in writing to ONR a suitable period before the proposed implementation date.</w:t>
      </w:r>
      <w:r w:rsidR="00317A5F">
        <w:t xml:space="preserve"> </w:t>
      </w:r>
      <w:r>
        <w:t xml:space="preserve">This is at </w:t>
      </w:r>
      <w:r w:rsidRPr="007B285C">
        <w:t xml:space="preserve">least </w:t>
      </w:r>
      <w:r w:rsidRPr="00D9577E">
        <w:t>20</w:t>
      </w:r>
      <w:r w:rsidRPr="007B285C">
        <w:t xml:space="preserve"> working</w:t>
      </w:r>
      <w:r>
        <w:t xml:space="preserve"> days.</w:t>
      </w:r>
      <w:r w:rsidR="00317A5F">
        <w:t xml:space="preserve"> </w:t>
      </w:r>
      <w:r>
        <w:t xml:space="preserve">If, during this period, ONR informs the licensee in writing that ONR wishes to review the proposal before it proceeds, the licensee’s arrangements should confirm that the change will not proceed until ONR </w:t>
      </w:r>
      <w:r w:rsidRPr="005609E9">
        <w:rPr>
          <w:b/>
          <w:bCs w:val="0"/>
          <w:iCs/>
        </w:rPr>
        <w:t>agreement</w:t>
      </w:r>
      <w:r>
        <w:t xml:space="preserve"> is obtained. It is, again, clearly in the licensee’s interests to give ONR early notice of Category 2 changes where possible so that any potential issues can be discussed and resolved without undue impact on the licensee’s programme or a need to invoke the derived power</w:t>
      </w:r>
      <w:r w:rsidRPr="007674FC">
        <w:t xml:space="preserve"> </w:t>
      </w:r>
      <w:r>
        <w:t>in the licensee’s arrangements.</w:t>
      </w:r>
      <w:r w:rsidR="00317A5F">
        <w:t xml:space="preserve"> </w:t>
      </w:r>
      <w:r>
        <w:t>Where ONR does not intend to exercise the derived power and permission the change, ONR should formally communicate this to the licensee in writing so that it may proceed with the proposed change earlier if it chooses.</w:t>
      </w:r>
      <w:r w:rsidR="00317A5F">
        <w:t xml:space="preserve"> </w:t>
      </w:r>
      <w:r>
        <w:t xml:space="preserve">The basis for ONR’s decision not to exercise the derived power should be documented. </w:t>
      </w:r>
    </w:p>
    <w:p w14:paraId="05F61B76" w14:textId="0AEAB2B1" w:rsidR="0071010C" w:rsidRDefault="0071010C" w:rsidP="005F01F0">
      <w:pPr>
        <w:pStyle w:val="Bulletlist1"/>
      </w:pPr>
      <w:r>
        <w:t xml:space="preserve">Category 3 </w:t>
      </w:r>
      <w:r w:rsidRPr="00570307">
        <w:t>and 4</w:t>
      </w:r>
      <w:r>
        <w:t xml:space="preserve"> changes should be entered into the licensee’s</w:t>
      </w:r>
      <w:r w:rsidR="005609E9">
        <w:t xml:space="preserve"> MoC </w:t>
      </w:r>
      <w:r>
        <w:t xml:space="preserve">register which should be available for periodic sampling by the inspector. If ONR informs the licensee in writing that ONR wishes to review the proposal before it proceeds, the licensee’s arrangements should confirm that the change will not proceed until ONR </w:t>
      </w:r>
      <w:r w:rsidRPr="005609E9">
        <w:rPr>
          <w:b/>
          <w:bCs w:val="0"/>
          <w:iCs/>
        </w:rPr>
        <w:t>agreement</w:t>
      </w:r>
      <w:r>
        <w:t xml:space="preserve"> is obtained.</w:t>
      </w:r>
      <w:r w:rsidR="00317A5F">
        <w:t xml:space="preserve"> </w:t>
      </w:r>
    </w:p>
    <w:p w14:paraId="581FCA61" w14:textId="77777777" w:rsidR="005609E9" w:rsidRDefault="005609E9" w:rsidP="007D4C48">
      <w:pPr>
        <w:pStyle w:val="F9-Paragraph"/>
        <w:sectPr w:rsidR="005609E9" w:rsidSect="00434818">
          <w:pgSz w:w="11906" w:h="16838" w:code="9"/>
          <w:pgMar w:top="1440" w:right="1440" w:bottom="1440" w:left="1440" w:header="397" w:footer="397" w:gutter="0"/>
          <w:cols w:space="312"/>
          <w:docGrid w:linePitch="360"/>
        </w:sectPr>
      </w:pPr>
    </w:p>
    <w:p w14:paraId="4D883158" w14:textId="15881E95" w:rsidR="0071010C" w:rsidRPr="00570307" w:rsidRDefault="0071010C" w:rsidP="007D4C48">
      <w:pPr>
        <w:pStyle w:val="F9-Paragraph"/>
      </w:pPr>
      <w:r w:rsidRPr="00570307">
        <w:lastRenderedPageBreak/>
        <w:t xml:space="preserve">Where an </w:t>
      </w:r>
      <w:r w:rsidRPr="005609E9">
        <w:rPr>
          <w:b/>
          <w:bCs/>
          <w:iCs/>
        </w:rPr>
        <w:t>agreement</w:t>
      </w:r>
      <w:r w:rsidRPr="00570307">
        <w:t xml:space="preserve">, in accordance with </w:t>
      </w:r>
      <w:r>
        <w:t>the licensee’s own arrangements,</w:t>
      </w:r>
      <w:r w:rsidRPr="00570307">
        <w:t xml:space="preserve"> is needed from ONR to </w:t>
      </w:r>
      <w:r>
        <w:t xml:space="preserve">allow a proposed change to proceed, </w:t>
      </w:r>
      <w:r w:rsidRPr="00570307">
        <w:t xml:space="preserve">the </w:t>
      </w:r>
      <w:r>
        <w:t>inspector</w:t>
      </w:r>
      <w:r w:rsidRPr="00570307">
        <w:t xml:space="preserve"> should arrange for the change to be formally assessed</w:t>
      </w:r>
      <w:r>
        <w:t xml:space="preserve">, and a Project Assessment Report (PAR) produced, </w:t>
      </w:r>
      <w:r w:rsidRPr="00570307">
        <w:t>in accordance with ONR’s permissioning procedure.</w:t>
      </w:r>
      <w:r w:rsidR="00317A5F">
        <w:t xml:space="preserve"> </w:t>
      </w:r>
      <w:r w:rsidRPr="00570307">
        <w:t xml:space="preserve">Once ONR is satisfied that the change may proceed, a Licence Instrument will be issued to the licensee to permission the change. </w:t>
      </w:r>
    </w:p>
    <w:p w14:paraId="0BEAF266" w14:textId="7A43D643" w:rsidR="0071010C" w:rsidRPr="00D9577E" w:rsidRDefault="0071010C" w:rsidP="007D4C48">
      <w:pPr>
        <w:pStyle w:val="F9-Paragraph"/>
      </w:pPr>
      <w:r>
        <w:t>Application of the classification methodology and implementation of</w:t>
      </w:r>
      <w:r w:rsidR="005609E9">
        <w:t xml:space="preserve"> MoC </w:t>
      </w:r>
      <w:r>
        <w:t xml:space="preserve">arrangements should not allow changes, which if assessed in totality could constitute a Category 1 or 2 change, to be reduced to a number of smaller, lower significance changes </w:t>
      </w:r>
      <w:r w:rsidR="005609E9">
        <w:t>(</w:t>
      </w:r>
      <w:r w:rsidR="00317A5F">
        <w:t>i.e.,</w:t>
      </w:r>
      <w:r>
        <w:t xml:space="preserve"> the arrangements should not allow ‘salami slicing’</w:t>
      </w:r>
      <w:r w:rsidR="005609E9">
        <w:t>)</w:t>
      </w:r>
      <w:r>
        <w:t xml:space="preserve">. </w:t>
      </w:r>
      <w:r w:rsidRPr="00D9577E">
        <w:t>Some changes may be borderline between two classifications or categories.</w:t>
      </w:r>
      <w:r w:rsidR="00317A5F">
        <w:t xml:space="preserve"> </w:t>
      </w:r>
      <w:r w:rsidRPr="00D9577E">
        <w:t xml:space="preserve">In these </w:t>
      </w:r>
      <w:r w:rsidR="00317A5F" w:rsidRPr="00D9577E">
        <w:t>s</w:t>
      </w:r>
      <w:r w:rsidR="00317A5F">
        <w:t>ituations,</w:t>
      </w:r>
      <w:r>
        <w:t xml:space="preserve"> ONR expects the license</w:t>
      </w:r>
      <w:r w:rsidRPr="00D9577E">
        <w:t>e to take a conservative position and consider the change at the higher level.</w:t>
      </w:r>
      <w:r w:rsidR="00317A5F">
        <w:t xml:space="preserve"> </w:t>
      </w:r>
      <w:r w:rsidRPr="00D9577E">
        <w:t>Some changes may attract key stakeholder interest.</w:t>
      </w:r>
      <w:r w:rsidR="00317A5F">
        <w:t xml:space="preserve"> </w:t>
      </w:r>
      <w:r w:rsidRPr="00D9577E">
        <w:t xml:space="preserve">In these </w:t>
      </w:r>
      <w:r w:rsidR="00317A5F" w:rsidRPr="00D9577E">
        <w:t>situations,</w:t>
      </w:r>
      <w:r w:rsidRPr="00D9577E">
        <w:t xml:space="preserve"> ONR expects the change to be categorised in accordance with the licensee’s arrangements.</w:t>
      </w:r>
      <w:r w:rsidR="00317A5F">
        <w:t xml:space="preserve"> </w:t>
      </w:r>
      <w:r w:rsidRPr="00D9577E">
        <w:t>Occasionally a higher level of scrutiny can be applied; this will be viewed positively but is not expected to be normally adopted.</w:t>
      </w:r>
      <w:r w:rsidR="00317A5F">
        <w:t xml:space="preserve"> </w:t>
      </w:r>
    </w:p>
    <w:p w14:paraId="196A9700" w14:textId="77777777" w:rsidR="009729AF" w:rsidRPr="007B285C" w:rsidRDefault="009729AF" w:rsidP="007D4C48">
      <w:pPr>
        <w:pStyle w:val="F9-Paragraph"/>
      </w:pPr>
      <w:r>
        <w:t xml:space="preserve">Over time, and with experience, a licensee may develop an appreciation of the likely category for individual changes and will form a view based on an initial, informal assessment. This initial assessment should not be used in place of a comprehensive assessment for significant changes, nor should the change originator pre-judge the categorisation of a change without an appropriate assessment of the </w:t>
      </w:r>
      <w:r w:rsidRPr="007B285C">
        <w:t xml:space="preserve">implications of the change. </w:t>
      </w:r>
    </w:p>
    <w:p w14:paraId="4F61DF69" w14:textId="344CCADC" w:rsidR="0071010C" w:rsidRPr="00172E12" w:rsidRDefault="0071010C" w:rsidP="007D4C48">
      <w:pPr>
        <w:pStyle w:val="F9-Paragraph"/>
      </w:pPr>
      <w:r>
        <w:t xml:space="preserve">The inspector should consider whether: </w:t>
      </w:r>
    </w:p>
    <w:p w14:paraId="78C4AD5C" w14:textId="77777777" w:rsidR="0071010C" w:rsidRDefault="0071010C" w:rsidP="005F01F0">
      <w:pPr>
        <w:pStyle w:val="Bulletlist1"/>
      </w:pPr>
      <w:r>
        <w:t xml:space="preserve">An initial screening assessment has been prepared to identify the potential impact of the change proposal on nuclear safety significance and categorise the proposal; </w:t>
      </w:r>
    </w:p>
    <w:p w14:paraId="2C3BAA0B" w14:textId="77777777" w:rsidR="0071010C" w:rsidRDefault="0071010C" w:rsidP="005F01F0">
      <w:pPr>
        <w:pStyle w:val="Bulletlist1"/>
      </w:pPr>
      <w:r w:rsidRPr="007B285C">
        <w:t xml:space="preserve">The </w:t>
      </w:r>
      <w:r w:rsidRPr="00D9577E">
        <w:t>risk</w:t>
      </w:r>
      <w:r w:rsidRPr="007B285C">
        <w:t xml:space="preserve"> assessment</w:t>
      </w:r>
      <w:r>
        <w:t xml:space="preserve"> uses a clear, consistent and well-informed approach which identifies potential risks arising both from the final outcome of the change and the process of transition; </w:t>
      </w:r>
    </w:p>
    <w:p w14:paraId="07F73926" w14:textId="77777777" w:rsidR="0071010C" w:rsidRDefault="0071010C" w:rsidP="005F01F0">
      <w:pPr>
        <w:pStyle w:val="Bulletlist1"/>
      </w:pPr>
      <w:r>
        <w:t xml:space="preserve">The classification methodology is easy to understand and is being applied objectively and consistently, throughout the licensee’s organisation; </w:t>
      </w:r>
    </w:p>
    <w:p w14:paraId="32580F6B" w14:textId="77777777" w:rsidR="0071010C" w:rsidRDefault="0071010C" w:rsidP="005F01F0">
      <w:pPr>
        <w:pStyle w:val="Bulletlist1"/>
      </w:pPr>
      <w:r>
        <w:t xml:space="preserve">There is a checking process to confirm that changes have been correctly categorised and challenged by a SQEP; </w:t>
      </w:r>
    </w:p>
    <w:p w14:paraId="77544094" w14:textId="77777777" w:rsidR="0071010C" w:rsidRPr="00172E12" w:rsidRDefault="0071010C" w:rsidP="005F01F0">
      <w:pPr>
        <w:pStyle w:val="Bulletlist1"/>
      </w:pPr>
      <w:r>
        <w:t xml:space="preserve">Safeguards are in place to avoid under-categorisation of changes or ‘salami slicing’; </w:t>
      </w:r>
    </w:p>
    <w:p w14:paraId="18F54F20" w14:textId="77777777" w:rsidR="00560063" w:rsidRDefault="0071010C" w:rsidP="004A0CD7">
      <w:pPr>
        <w:pStyle w:val="Bulletlist1"/>
      </w:pPr>
      <w:r w:rsidRPr="00570307">
        <w:t xml:space="preserve">The licensee’s </w:t>
      </w:r>
      <w:r w:rsidRPr="00E17A65">
        <w:t>arrangements</w:t>
      </w:r>
      <w:r w:rsidR="00560063">
        <w:t>:</w:t>
      </w:r>
    </w:p>
    <w:p w14:paraId="7540825F" w14:textId="5EA9EB07" w:rsidR="00560063" w:rsidRPr="00E17A65" w:rsidRDefault="00560063" w:rsidP="004A0CD7">
      <w:pPr>
        <w:pStyle w:val="Bulletlist2"/>
        <w:ind w:left="1701"/>
      </w:pPr>
      <w:r w:rsidRPr="00E17A65">
        <w:t>I</w:t>
      </w:r>
      <w:r w:rsidR="0071010C" w:rsidRPr="00E17A65">
        <w:t>dentify, and meet ONR’s expectations for, the need to communicate Category 1 and 2 change proposals</w:t>
      </w:r>
      <w:r w:rsidR="00436C8C" w:rsidRPr="00E17A65">
        <w:t xml:space="preserve"> </w:t>
      </w:r>
      <w:r w:rsidR="0071010C" w:rsidRPr="00E17A65">
        <w:t>to ONR</w:t>
      </w:r>
    </w:p>
    <w:p w14:paraId="763E5D42" w14:textId="048DA4C1" w:rsidR="0071010C" w:rsidRPr="00E17A65" w:rsidRDefault="00560063" w:rsidP="004A0CD7">
      <w:pPr>
        <w:pStyle w:val="Bulletlist2"/>
        <w:ind w:left="1701"/>
      </w:pPr>
      <w:r w:rsidRPr="00E17A65">
        <w:lastRenderedPageBreak/>
        <w:t>I</w:t>
      </w:r>
      <w:r w:rsidR="0071010C" w:rsidRPr="00E17A65">
        <w:t>nclude a derived power which will allow ONR to provide formal agreement to change proposals</w:t>
      </w:r>
      <w:r w:rsidR="00317A5F" w:rsidRPr="00E17A65">
        <w:t xml:space="preserve">; </w:t>
      </w:r>
    </w:p>
    <w:p w14:paraId="518C919B" w14:textId="2A2B6240" w:rsidR="0071010C" w:rsidRPr="008D45F9" w:rsidRDefault="00C3365E" w:rsidP="004A0CD7">
      <w:pPr>
        <w:pStyle w:val="Bulletlist2"/>
        <w:ind w:left="1701"/>
      </w:pPr>
      <w:r w:rsidRPr="00E17A65">
        <w:t>E</w:t>
      </w:r>
      <w:r w:rsidR="0071010C" w:rsidRPr="00E17A65">
        <w:t>ncourage authors of change proposals to make provision for timely engagement with ONR</w:t>
      </w:r>
      <w:r w:rsidR="0071010C" w:rsidRPr="008D45F9">
        <w:t>.</w:t>
      </w:r>
    </w:p>
    <w:p w14:paraId="18BABF0D" w14:textId="17E4653B" w:rsidR="0071010C" w:rsidRDefault="0071010C" w:rsidP="00F23C3C">
      <w:pPr>
        <w:pStyle w:val="Heading3"/>
      </w:pPr>
      <w:r>
        <w:t xml:space="preserve">Principle </w:t>
      </w:r>
      <w:r w:rsidR="004A0CD7">
        <w:t>five</w:t>
      </w:r>
      <w:r>
        <w:t xml:space="preserve"> </w:t>
      </w:r>
    </w:p>
    <w:p w14:paraId="4F402419" w14:textId="78726F4E" w:rsidR="0071010C" w:rsidRPr="00317A5F" w:rsidRDefault="0071010C" w:rsidP="007D4C48">
      <w:pPr>
        <w:pStyle w:val="F9-Paragraph"/>
      </w:pPr>
      <w:r w:rsidRPr="00317A5F">
        <w:t>The licensee should assess and justify the safety of a proposed change, commensurate with its potential impact on safety, identify and implement suitable controls to ensure nuclear safety is not adversely affected and monitor the implementation of the change</w:t>
      </w:r>
      <w:r w:rsidR="00317A5F">
        <w:t>.</w:t>
      </w:r>
    </w:p>
    <w:p w14:paraId="6AB5ACC5" w14:textId="1A13FFDC" w:rsidR="0071010C" w:rsidRDefault="0071010C" w:rsidP="007D4C48">
      <w:pPr>
        <w:pStyle w:val="F9-Paragraph"/>
      </w:pPr>
      <w:r>
        <w:t>Changes which are identified via the initial screening assessment as falling into categories 1, 2 and 3</w:t>
      </w:r>
      <w:r w:rsidR="004A0CD7">
        <w:t xml:space="preserve"> (</w:t>
      </w:r>
      <w:r>
        <w:t xml:space="preserve">as illustrated in </w:t>
      </w:r>
      <w:hyperlink w:anchor="_Appendix_5:_Guidance" w:history="1">
        <w:r w:rsidR="004A0CD7" w:rsidRPr="004A0CD7">
          <w:rPr>
            <w:rStyle w:val="Hyperlink"/>
            <w:bCs/>
          </w:rPr>
          <w:t>Appendix 5</w:t>
        </w:r>
      </w:hyperlink>
      <w:r w:rsidR="004A0CD7">
        <w:rPr>
          <w:bCs/>
        </w:rPr>
        <w:t>)</w:t>
      </w:r>
      <w:r>
        <w:t>, should be subject to a more detailed assessment which is documented as part of the justification for the change.</w:t>
      </w:r>
      <w:r w:rsidR="00317A5F">
        <w:t xml:space="preserve"> </w:t>
      </w:r>
      <w:r>
        <w:t xml:space="preserve">The justification should ordinarily include: </w:t>
      </w:r>
    </w:p>
    <w:p w14:paraId="56B1EBAA" w14:textId="77777777" w:rsidR="0071010C" w:rsidRPr="008B6F6E" w:rsidRDefault="0071010C" w:rsidP="005F01F0">
      <w:pPr>
        <w:pStyle w:val="Bulletlist1"/>
      </w:pPr>
      <w:r>
        <w:t xml:space="preserve">A statement of the reason for and objectives of the change. This is typically identified in the ‘initial screening assessment’; </w:t>
      </w:r>
    </w:p>
    <w:p w14:paraId="02AABA65" w14:textId="77777777" w:rsidR="0071010C" w:rsidRPr="008B6F6E" w:rsidRDefault="0071010C" w:rsidP="005F01F0">
      <w:pPr>
        <w:pStyle w:val="Bulletlist1"/>
      </w:pPr>
      <w:r>
        <w:t xml:space="preserve">A risk assessment; </w:t>
      </w:r>
    </w:p>
    <w:p w14:paraId="6ABD5BCD" w14:textId="77777777" w:rsidR="0071010C" w:rsidRPr="008B6F6E" w:rsidRDefault="0071010C" w:rsidP="005F01F0">
      <w:pPr>
        <w:pStyle w:val="Bulletlist1"/>
      </w:pPr>
      <w:r>
        <w:t xml:space="preserve">An implementation plan. </w:t>
      </w:r>
    </w:p>
    <w:p w14:paraId="7D77C0A1" w14:textId="65A10B41" w:rsidR="0071010C" w:rsidRPr="00317A5F" w:rsidRDefault="0071010C" w:rsidP="007D4C48">
      <w:pPr>
        <w:pStyle w:val="F9-Paragraph"/>
      </w:pPr>
      <w:r w:rsidRPr="00317A5F">
        <w:t xml:space="preserve">Changes assessed as having a significant potential impact on nuclear safety </w:t>
      </w:r>
      <w:r w:rsidR="00782E57">
        <w:t>(that is</w:t>
      </w:r>
      <w:r w:rsidRPr="00317A5F">
        <w:t xml:space="preserve"> Categor</w:t>
      </w:r>
      <w:r w:rsidR="00872744">
        <w:t>y</w:t>
      </w:r>
      <w:r w:rsidRPr="00317A5F">
        <w:t xml:space="preserve"> 1</w:t>
      </w:r>
      <w:r w:rsidR="00775993">
        <w:t xml:space="preserve"> and Category </w:t>
      </w:r>
      <w:r w:rsidRPr="00317A5F">
        <w:t>2</w:t>
      </w:r>
      <w:r w:rsidR="00782E57">
        <w:t>)</w:t>
      </w:r>
      <w:r w:rsidRPr="00317A5F">
        <w:t xml:space="preserve"> should be subject to a more detailed </w:t>
      </w:r>
      <w:r w:rsidRPr="00317A5F">
        <w:rPr>
          <w:bCs/>
        </w:rPr>
        <w:t>risk assessment</w:t>
      </w:r>
      <w:r w:rsidRPr="00317A5F">
        <w:rPr>
          <w:b/>
          <w:bCs/>
        </w:rPr>
        <w:t xml:space="preserve"> </w:t>
      </w:r>
      <w:r w:rsidRPr="00317A5F">
        <w:t>which is documented as part of the justification for the change.</w:t>
      </w:r>
      <w:r w:rsidR="00317A5F">
        <w:t xml:space="preserve"> </w:t>
      </w:r>
      <w:r w:rsidRPr="00317A5F">
        <w:t>The risk assessment should be proportionate to the nuclear safety significance and complexity of the change being proposed.</w:t>
      </w:r>
      <w:r w:rsidR="00317A5F">
        <w:t xml:space="preserve"> </w:t>
      </w:r>
      <w:r w:rsidRPr="00317A5F">
        <w:t>The assessment should identify the ‘enablers’, or arrangements that need to be put in place to facilitate the change proposal and ensure that risks are controlled.</w:t>
      </w:r>
      <w:r w:rsidR="00317A5F">
        <w:t xml:space="preserve"> </w:t>
      </w:r>
      <w:r w:rsidR="004A0CD7">
        <w:br/>
      </w:r>
      <w:r w:rsidRPr="00317A5F">
        <w:t xml:space="preserve">These should include actions required to mitigate the risks arising from both the </w:t>
      </w:r>
      <w:r w:rsidR="0086637A" w:rsidRPr="00317A5F">
        <w:t>outcome</w:t>
      </w:r>
      <w:r w:rsidRPr="00317A5F">
        <w:t xml:space="preserve"> of the change and during transition as appropriate.</w:t>
      </w:r>
      <w:r w:rsidR="00317A5F">
        <w:t xml:space="preserve"> </w:t>
      </w:r>
      <w:r w:rsidRPr="00317A5F">
        <w:t xml:space="preserve">The licensee may identify a need to undertake a formal workload assessment for changes that have the potential to impact on the workload of an individual(s). </w:t>
      </w:r>
    </w:p>
    <w:p w14:paraId="7625ECAD" w14:textId="002F3A5C" w:rsidR="0071010C" w:rsidRPr="00317A5F" w:rsidRDefault="0071010C" w:rsidP="007D4C48">
      <w:pPr>
        <w:pStyle w:val="F9-Paragraph"/>
      </w:pPr>
      <w:r w:rsidRPr="00317A5F">
        <w:t>In many cases achieving an adequate assessment is unlikely without active consultation with the staff affected by the proposed change at an appropriate stage.</w:t>
      </w:r>
      <w:r w:rsidR="00317A5F">
        <w:t xml:space="preserve"> </w:t>
      </w:r>
      <w:r w:rsidRPr="00317A5F">
        <w:t xml:space="preserve">Although this can be sensitive, many post holders will have a unique knowledge of how they carry out their work and what its demands are. </w:t>
      </w:r>
    </w:p>
    <w:p w14:paraId="27F5A35B" w14:textId="731800B6" w:rsidR="0071010C" w:rsidRPr="00317A5F" w:rsidRDefault="0071010C" w:rsidP="007D4C48">
      <w:pPr>
        <w:pStyle w:val="F9-Paragraph"/>
      </w:pPr>
      <w:r w:rsidRPr="00317A5F">
        <w:t xml:space="preserve">The risk assessment for a </w:t>
      </w:r>
      <w:r w:rsidR="00691F9C">
        <w:t xml:space="preserve">significant, </w:t>
      </w:r>
      <w:r w:rsidRPr="00317A5F">
        <w:t>large</w:t>
      </w:r>
      <w:r w:rsidR="00691F9C">
        <w:t>-scale</w:t>
      </w:r>
      <w:r w:rsidRPr="00317A5F">
        <w:t>, complex change proposal may indicate that it is preferable to divide the overall change into smaller, more manageable elements.</w:t>
      </w:r>
      <w:r w:rsidR="00317A5F">
        <w:t xml:space="preserve"> </w:t>
      </w:r>
      <w:r w:rsidRPr="00317A5F">
        <w:t>This may have advantages in that elements can be assigned to different leads that have better-defined responsibilities and knowledge for taking a change forward.</w:t>
      </w:r>
      <w:r w:rsidR="00317A5F">
        <w:t xml:space="preserve"> </w:t>
      </w:r>
      <w:r w:rsidRPr="00317A5F">
        <w:t>However, there are risks in this approach because potential dependencies between these elements may be missed.</w:t>
      </w:r>
      <w:r w:rsidR="00317A5F">
        <w:t xml:space="preserve"> </w:t>
      </w:r>
      <w:r w:rsidRPr="00317A5F">
        <w:t xml:space="preserve">For example, an individual responsible for one element may make assumptions about the continued provision of resources or arrangements that might be affected by changes to other elements. </w:t>
      </w:r>
    </w:p>
    <w:p w14:paraId="32F8FE55" w14:textId="301AC0F5" w:rsidR="00F07404" w:rsidRDefault="0071010C" w:rsidP="007D4C48">
      <w:pPr>
        <w:pStyle w:val="F9-Paragraph"/>
      </w:pPr>
      <w:r w:rsidRPr="00317A5F">
        <w:lastRenderedPageBreak/>
        <w:t xml:space="preserve">In such instances, the licensee should produce an </w:t>
      </w:r>
      <w:r w:rsidRPr="00317A5F">
        <w:rPr>
          <w:bCs/>
        </w:rPr>
        <w:t>overarching</w:t>
      </w:r>
      <w:r w:rsidR="005609E9">
        <w:rPr>
          <w:b/>
          <w:bCs/>
        </w:rPr>
        <w:t xml:space="preserve"> </w:t>
      </w:r>
      <w:r w:rsidR="005609E9">
        <w:t xml:space="preserve">MoC </w:t>
      </w:r>
      <w:r w:rsidRPr="00317A5F">
        <w:t>proposal to define the scope of the overall proposal and set a single, coherent framework for managing the different elements which are encompassed within it.</w:t>
      </w:r>
      <w:r w:rsidR="00317A5F">
        <w:t xml:space="preserve"> </w:t>
      </w:r>
      <w:r w:rsidRPr="00317A5F">
        <w:t>The risk assessment for the overarching</w:t>
      </w:r>
      <w:r w:rsidR="005609E9">
        <w:t xml:space="preserve"> MoC </w:t>
      </w:r>
      <w:r w:rsidRPr="00317A5F">
        <w:t>should take a broader cross-cutting perspective</w:t>
      </w:r>
      <w:r w:rsidR="00640F13">
        <w:t>, including</w:t>
      </w:r>
      <w:r w:rsidR="007A2CAB">
        <w:t xml:space="preserve"> </w:t>
      </w:r>
      <w:r w:rsidRPr="00317A5F">
        <w:t>consider</w:t>
      </w:r>
      <w:r w:rsidR="00640F13">
        <w:t>ation of the</w:t>
      </w:r>
      <w:r w:rsidR="00F07404">
        <w:t>:</w:t>
      </w:r>
    </w:p>
    <w:p w14:paraId="19791462" w14:textId="77777777" w:rsidR="00F07404" w:rsidRPr="00F07404" w:rsidRDefault="00F07404" w:rsidP="005F01F0">
      <w:pPr>
        <w:pStyle w:val="Bulletlist1"/>
        <w:rPr>
          <w:szCs w:val="24"/>
        </w:rPr>
      </w:pPr>
      <w:r>
        <w:t>R</w:t>
      </w:r>
      <w:r w:rsidR="0071010C" w:rsidRPr="00317A5F">
        <w:t>isks arising at the interfaces between the various elements</w:t>
      </w:r>
      <w:r>
        <w:t>.</w:t>
      </w:r>
    </w:p>
    <w:p w14:paraId="1588B34D" w14:textId="7CDA5A46" w:rsidR="0071010C" w:rsidRDefault="006D6D42" w:rsidP="005F01F0">
      <w:pPr>
        <w:pStyle w:val="Bulletlist1"/>
        <w:rPr>
          <w:rStyle w:val="CommentReference"/>
          <w:sz w:val="24"/>
          <w:szCs w:val="24"/>
        </w:rPr>
      </w:pPr>
      <w:r>
        <w:t>A</w:t>
      </w:r>
      <w:r w:rsidR="00640F13">
        <w:t xml:space="preserve">ggregated </w:t>
      </w:r>
      <w:r w:rsidR="00223446">
        <w:t>risk arising from multiple implementation</w:t>
      </w:r>
      <w:r w:rsidR="005609E9">
        <w:t>/</w:t>
      </w:r>
      <w:r w:rsidR="00223446">
        <w:t>enactment</w:t>
      </w:r>
      <w:r w:rsidR="00FB0232">
        <w:t xml:space="preserve"> MoCs</w:t>
      </w:r>
      <w:r w:rsidR="0071010C" w:rsidRPr="00317A5F">
        <w:rPr>
          <w:rStyle w:val="CommentReference"/>
          <w:sz w:val="24"/>
          <w:szCs w:val="24"/>
        </w:rPr>
        <w:t>.</w:t>
      </w:r>
    </w:p>
    <w:p w14:paraId="0D60A032" w14:textId="372D1A45" w:rsidR="000C37F0" w:rsidRPr="00DA05A8" w:rsidRDefault="000C37F0" w:rsidP="007D4C48">
      <w:pPr>
        <w:pStyle w:val="F9-Paragraph"/>
      </w:pPr>
      <w:r>
        <w:rPr>
          <w:rStyle w:val="CommentReference"/>
          <w:sz w:val="24"/>
          <w:szCs w:val="24"/>
        </w:rPr>
        <w:t>Further guidance on overarching documents, including overarching</w:t>
      </w:r>
      <w:r w:rsidR="005609E9">
        <w:rPr>
          <w:rStyle w:val="CommentReference"/>
          <w:sz w:val="24"/>
          <w:szCs w:val="24"/>
        </w:rPr>
        <w:t xml:space="preserve"> MoC </w:t>
      </w:r>
      <w:r w:rsidR="000C5499">
        <w:rPr>
          <w:rStyle w:val="CommentReference"/>
          <w:sz w:val="24"/>
          <w:szCs w:val="24"/>
        </w:rPr>
        <w:t>proposals, may be found in the SDF’s UK Nuclear Industry Guide to Ov</w:t>
      </w:r>
      <w:r w:rsidR="005831BA">
        <w:rPr>
          <w:rStyle w:val="CommentReference"/>
          <w:sz w:val="24"/>
          <w:szCs w:val="24"/>
        </w:rPr>
        <w:t>e</w:t>
      </w:r>
      <w:r w:rsidR="000C5499">
        <w:rPr>
          <w:rStyle w:val="CommentReference"/>
          <w:sz w:val="24"/>
          <w:szCs w:val="24"/>
        </w:rPr>
        <w:t>rarching</w:t>
      </w:r>
      <w:r w:rsidR="005609E9">
        <w:rPr>
          <w:rStyle w:val="CommentReference"/>
          <w:sz w:val="24"/>
          <w:szCs w:val="24"/>
        </w:rPr>
        <w:t xml:space="preserve"> MoC </w:t>
      </w:r>
      <w:r w:rsidR="000C5499">
        <w:rPr>
          <w:rStyle w:val="CommentReference"/>
          <w:sz w:val="24"/>
          <w:szCs w:val="24"/>
        </w:rPr>
        <w:t xml:space="preserve">and Principles Papers </w:t>
      </w:r>
      <w:r w:rsidR="007D4C48">
        <w:rPr>
          <w:rStyle w:val="CommentReference"/>
          <w:sz w:val="24"/>
          <w:szCs w:val="24"/>
        </w:rPr>
        <w:t>(ref.</w:t>
      </w:r>
      <w:r w:rsidR="00F17536">
        <w:rPr>
          <w:rStyle w:val="CommentReference"/>
          <w:sz w:val="24"/>
          <w:szCs w:val="24"/>
        </w:rPr>
        <w:t xml:space="preserve"> </w:t>
      </w:r>
      <w:sdt>
        <w:sdtPr>
          <w:rPr>
            <w:rStyle w:val="CommentReference"/>
            <w:sz w:val="24"/>
            <w:szCs w:val="24"/>
          </w:rPr>
          <w:id w:val="-2004114904"/>
          <w:citation/>
        </w:sdtPr>
        <w:sdtEndPr>
          <w:rPr>
            <w:rStyle w:val="CommentReference"/>
          </w:rPr>
        </w:sdtEndPr>
        <w:sdtContent>
          <w:r w:rsidR="00DA05A8" w:rsidRPr="00DA05A8">
            <w:rPr>
              <w:rStyle w:val="CommentReference"/>
              <w:sz w:val="24"/>
              <w:szCs w:val="24"/>
            </w:rPr>
            <w:fldChar w:fldCharType="begin"/>
          </w:r>
          <w:r w:rsidR="00DA05A8" w:rsidRPr="00DA05A8">
            <w:rPr>
              <w:rStyle w:val="CommentReference"/>
              <w:sz w:val="24"/>
              <w:szCs w:val="24"/>
            </w:rPr>
            <w:instrText xml:space="preserve"> CITATION SDF20 \l 2057 </w:instrText>
          </w:r>
          <w:r w:rsidR="00DA05A8" w:rsidRPr="00DA05A8">
            <w:rPr>
              <w:rStyle w:val="CommentReference"/>
              <w:sz w:val="24"/>
              <w:szCs w:val="24"/>
            </w:rPr>
            <w:fldChar w:fldCharType="separate"/>
          </w:r>
          <w:r w:rsidR="00166CB3">
            <w:rPr>
              <w:noProof/>
            </w:rPr>
            <w:t>[6]</w:t>
          </w:r>
          <w:r w:rsidR="00DA05A8" w:rsidRPr="00DA05A8">
            <w:rPr>
              <w:rStyle w:val="CommentReference"/>
              <w:sz w:val="24"/>
              <w:szCs w:val="24"/>
            </w:rPr>
            <w:fldChar w:fldCharType="end"/>
          </w:r>
        </w:sdtContent>
      </w:sdt>
      <w:r w:rsidR="00961140" w:rsidRPr="00DA05A8">
        <w:rPr>
          <w:rStyle w:val="CommentReference"/>
          <w:sz w:val="24"/>
          <w:szCs w:val="24"/>
        </w:rPr>
        <w:t>)</w:t>
      </w:r>
    </w:p>
    <w:p w14:paraId="38535143" w14:textId="6585C680" w:rsidR="0071010C" w:rsidRPr="00317A5F" w:rsidRDefault="0071010C" w:rsidP="007D4C48">
      <w:pPr>
        <w:pStyle w:val="F9-Paragraph"/>
      </w:pPr>
      <w:r w:rsidRPr="00317A5F">
        <w:t>ONR expects the licensee to put in place suitable processes for endorsing change proposals.</w:t>
      </w:r>
      <w:r w:rsidR="00317A5F">
        <w:t xml:space="preserve"> </w:t>
      </w:r>
      <w:r w:rsidRPr="00317A5F">
        <w:t xml:space="preserve">Usually, Category 3 and </w:t>
      </w:r>
      <w:r w:rsidR="00516DBF">
        <w:t xml:space="preserve">Category </w:t>
      </w:r>
      <w:r w:rsidRPr="00317A5F">
        <w:t>4 changes may be endorsed by the originator or local process owner following an independent review of the classification or category.</w:t>
      </w:r>
      <w:r w:rsidR="00317A5F">
        <w:t xml:space="preserve"> </w:t>
      </w:r>
      <w:r w:rsidRPr="00317A5F">
        <w:t xml:space="preserve">Category 1 and </w:t>
      </w:r>
      <w:r w:rsidR="00516DBF">
        <w:t xml:space="preserve">Category </w:t>
      </w:r>
      <w:r w:rsidRPr="00317A5F">
        <w:t>2 changes</w:t>
      </w:r>
      <w:r w:rsidR="00155CC6">
        <w:t xml:space="preserve"> plus overarching</w:t>
      </w:r>
      <w:r w:rsidR="005609E9">
        <w:t xml:space="preserve"> MoC </w:t>
      </w:r>
      <w:r w:rsidR="00155CC6">
        <w:t>proposals</w:t>
      </w:r>
      <w:r w:rsidR="000E375A">
        <w:t>, however,</w:t>
      </w:r>
      <w:r w:rsidRPr="00317A5F">
        <w:t xml:space="preserve"> should be endorsed by an individual who has a full understanding of the implications of the proposed change.</w:t>
      </w:r>
      <w:r w:rsidR="00317A5F">
        <w:t xml:space="preserve"> </w:t>
      </w:r>
      <w:r w:rsidRPr="00317A5F">
        <w:t xml:space="preserve">Such individuals are more likely to be at a more senior level in the licensee organisation. </w:t>
      </w:r>
    </w:p>
    <w:p w14:paraId="6F614B55" w14:textId="40634994" w:rsidR="0071010C" w:rsidRPr="00317A5F" w:rsidRDefault="0071010C" w:rsidP="007D4C48">
      <w:pPr>
        <w:pStyle w:val="F9-Paragraph"/>
      </w:pPr>
      <w:r w:rsidRPr="00317A5F">
        <w:t xml:space="preserve">As noted in </w:t>
      </w:r>
      <w:r w:rsidRPr="00317A5F">
        <w:rPr>
          <w:bCs/>
        </w:rPr>
        <w:t>Principle 3</w:t>
      </w:r>
      <w:r w:rsidRPr="00317A5F">
        <w:t xml:space="preserve">, justification documents for Category 1 and </w:t>
      </w:r>
      <w:r w:rsidR="005D797B">
        <w:t xml:space="preserve">Category </w:t>
      </w:r>
      <w:r w:rsidRPr="00317A5F">
        <w:t xml:space="preserve">2 </w:t>
      </w:r>
      <w:r w:rsidR="005D797B">
        <w:t>changes</w:t>
      </w:r>
      <w:r w:rsidR="005D797B" w:rsidRPr="00317A5F">
        <w:t xml:space="preserve"> </w:t>
      </w:r>
      <w:r w:rsidRPr="00317A5F">
        <w:t xml:space="preserve">may need advice by a Nuclear Safety Committee or an equivalent body in accordance with the licensee’s arrangements. </w:t>
      </w:r>
    </w:p>
    <w:p w14:paraId="0293ED79" w14:textId="44EF40AE" w:rsidR="0071010C" w:rsidRPr="00317A5F" w:rsidRDefault="0071010C" w:rsidP="007D4C48">
      <w:pPr>
        <w:pStyle w:val="F9-Paragraph"/>
      </w:pPr>
      <w:r w:rsidRPr="00317A5F">
        <w:t xml:space="preserve">The mitigating actions and enablers identified in the risk assessment should, following endorsement, be addressed in an </w:t>
      </w:r>
      <w:r w:rsidRPr="00317A5F">
        <w:rPr>
          <w:bCs/>
        </w:rPr>
        <w:t>implementation plan</w:t>
      </w:r>
      <w:r w:rsidRPr="00317A5F">
        <w:t>.</w:t>
      </w:r>
      <w:r w:rsidR="00317A5F">
        <w:t xml:space="preserve"> </w:t>
      </w:r>
      <w:r w:rsidR="00434818">
        <w:br/>
      </w:r>
      <w:r w:rsidRPr="00317A5F">
        <w:t>The implementation plan should show how the mitigating actions and enablers will be delivered and managed.</w:t>
      </w:r>
      <w:r w:rsidR="00317A5F">
        <w:t xml:space="preserve"> </w:t>
      </w:r>
      <w:r w:rsidRPr="00317A5F">
        <w:t>It should include a clear definition of responsibilities for taking forward the change and maintaining a suitable level of managerial oversight.</w:t>
      </w:r>
      <w:r w:rsidR="00317A5F">
        <w:t xml:space="preserve"> </w:t>
      </w:r>
      <w:r w:rsidRPr="00317A5F">
        <w:t xml:space="preserve">For example, the inspector should be able to find evidence that documentation has been endorsed to confirm </w:t>
      </w:r>
      <w:r w:rsidR="00E2159F">
        <w:t xml:space="preserve">both the </w:t>
      </w:r>
      <w:r w:rsidR="00A75A9E">
        <w:t>completion of</w:t>
      </w:r>
      <w:r w:rsidR="00A75A9E" w:rsidRPr="00317A5F">
        <w:t xml:space="preserve"> </w:t>
      </w:r>
      <w:r w:rsidRPr="00317A5F">
        <w:t xml:space="preserve">enabling actions and that the change may proceed. </w:t>
      </w:r>
    </w:p>
    <w:p w14:paraId="0009FC86" w14:textId="33126B2A" w:rsidR="0071010C" w:rsidRPr="00317A5F" w:rsidRDefault="0071010C" w:rsidP="007D4C48">
      <w:pPr>
        <w:pStyle w:val="F9-Paragraph"/>
      </w:pPr>
      <w:r w:rsidRPr="00317A5F">
        <w:t>The output of a risk assessment may indicate that it is preferable to introduce the change on a phased or staged basis as a means of best managing the risks associated with the change.</w:t>
      </w:r>
      <w:r w:rsidR="00317A5F">
        <w:t xml:space="preserve"> </w:t>
      </w:r>
      <w:r w:rsidRPr="00317A5F">
        <w:t>This should be reflected in the implementation plan, and the licensee should consider introducing stage gates, or hold points, as necessary to manage the process.</w:t>
      </w:r>
      <w:r w:rsidR="00317A5F">
        <w:t xml:space="preserve"> </w:t>
      </w:r>
      <w:r w:rsidRPr="00317A5F">
        <w:t xml:space="preserve">ONR interaction may be considered appropriate by the licensee or ONR for some of these stages, depending on the nuclear safety significance. </w:t>
      </w:r>
    </w:p>
    <w:p w14:paraId="56244B78" w14:textId="77777777" w:rsidR="004A0CD7" w:rsidRDefault="004A0CD7" w:rsidP="007D4C48">
      <w:pPr>
        <w:pStyle w:val="F9-Paragraph"/>
        <w:sectPr w:rsidR="004A0CD7" w:rsidSect="00434818">
          <w:pgSz w:w="11906" w:h="16838" w:code="9"/>
          <w:pgMar w:top="1440" w:right="1440" w:bottom="1440" w:left="1440" w:header="397" w:footer="397" w:gutter="0"/>
          <w:cols w:space="312"/>
          <w:docGrid w:linePitch="360"/>
        </w:sectPr>
      </w:pPr>
    </w:p>
    <w:p w14:paraId="1A2951B0" w14:textId="54884CBC" w:rsidR="0071010C" w:rsidRPr="00317A5F" w:rsidRDefault="0071010C" w:rsidP="007D4C48">
      <w:pPr>
        <w:pStyle w:val="F9-Paragraph"/>
      </w:pPr>
      <w:r w:rsidRPr="00317A5F">
        <w:lastRenderedPageBreak/>
        <w:t xml:space="preserve">The implementation plan should also include </w:t>
      </w:r>
      <w:r w:rsidRPr="00317A5F">
        <w:rPr>
          <w:bCs/>
        </w:rPr>
        <w:t>indicators</w:t>
      </w:r>
      <w:r w:rsidRPr="00317A5F">
        <w:rPr>
          <w:b/>
          <w:bCs/>
        </w:rPr>
        <w:t xml:space="preserve"> </w:t>
      </w:r>
      <w:r w:rsidRPr="00317A5F">
        <w:t>that can be used to monitor progress in implementing the change and provide confidence that no adverse effects are being realised.</w:t>
      </w:r>
      <w:r w:rsidR="00317A5F">
        <w:t xml:space="preserve"> </w:t>
      </w:r>
      <w:r w:rsidRPr="00317A5F">
        <w:t>These indicators may be qualitative or quantitative as appropriate.</w:t>
      </w:r>
      <w:r w:rsidR="00317A5F">
        <w:t xml:space="preserve"> </w:t>
      </w:r>
      <w:r w:rsidRPr="00317A5F">
        <w:t xml:space="preserve">They should primarily be ‘leading’ indicators that consider the potential consequences of the change being inadequately conceived or executed such as training completed; overtime worked; maintenance backlogs etc., rather than ‘lagging’ indicators which typically monitor reduction in accident rates. </w:t>
      </w:r>
    </w:p>
    <w:p w14:paraId="3E2F8F78" w14:textId="44AE9B51" w:rsidR="0071010C" w:rsidRPr="00317A5F" w:rsidRDefault="0071010C" w:rsidP="007D4C48">
      <w:pPr>
        <w:pStyle w:val="F9-Paragraph"/>
      </w:pPr>
      <w:r w:rsidRPr="00317A5F">
        <w:t xml:space="preserve">Significant changes </w:t>
      </w:r>
      <w:r w:rsidR="0028217E">
        <w:t>(that is</w:t>
      </w:r>
      <w:r w:rsidRPr="00317A5F">
        <w:t xml:space="preserve"> those identified as Category 1 or </w:t>
      </w:r>
      <w:r w:rsidR="0028217E">
        <w:t xml:space="preserve">Category </w:t>
      </w:r>
      <w:r w:rsidRPr="00317A5F">
        <w:t xml:space="preserve">2 in </w:t>
      </w:r>
      <w:hyperlink w:anchor="_Appendix_5:_Guidance" w:history="1">
        <w:r w:rsidR="004A0CD7" w:rsidRPr="004A0CD7">
          <w:rPr>
            <w:rStyle w:val="Hyperlink"/>
            <w:bCs/>
          </w:rPr>
          <w:t>Appendix 5</w:t>
        </w:r>
      </w:hyperlink>
      <w:r w:rsidR="0028217E">
        <w:rPr>
          <w:bCs/>
        </w:rPr>
        <w:t>)</w:t>
      </w:r>
      <w:r w:rsidRPr="00317A5F">
        <w:rPr>
          <w:bCs/>
        </w:rPr>
        <w:t>,</w:t>
      </w:r>
      <w:r w:rsidRPr="00317A5F">
        <w:rPr>
          <w:b/>
          <w:bCs/>
        </w:rPr>
        <w:t xml:space="preserve"> </w:t>
      </w:r>
      <w:r w:rsidRPr="00317A5F">
        <w:t>should have Board</w:t>
      </w:r>
      <w:r w:rsidR="005609E9">
        <w:t>/</w:t>
      </w:r>
      <w:r w:rsidRPr="00317A5F">
        <w:t>Executive oversight, using indicators and any other appropriate measures, to confirm that changes are being correctly managed.</w:t>
      </w:r>
      <w:r w:rsidR="00317A5F">
        <w:t xml:space="preserve"> </w:t>
      </w:r>
      <w:r w:rsidR="00710B03" w:rsidRPr="00317A5F">
        <w:t>If</w:t>
      </w:r>
      <w:r w:rsidRPr="00317A5F">
        <w:t xml:space="preserve"> a change is not proceeding satisfactorily the Board</w:t>
      </w:r>
      <w:r w:rsidR="005609E9">
        <w:t>/</w:t>
      </w:r>
      <w:r w:rsidRPr="00317A5F">
        <w:t>Executive should identify and sponsor remedial action.</w:t>
      </w:r>
      <w:r w:rsidR="00317A5F">
        <w:t xml:space="preserve"> </w:t>
      </w:r>
      <w:r w:rsidRPr="00317A5F">
        <w:t xml:space="preserve">This monitoring should be proportionate to the significance of the change and continue for the life of the change. It should also include a post-completion review to confirm </w:t>
      </w:r>
      <w:r w:rsidR="001E7916">
        <w:t xml:space="preserve">both </w:t>
      </w:r>
      <w:r w:rsidRPr="00317A5F">
        <w:t xml:space="preserve">that </w:t>
      </w:r>
      <w:r w:rsidR="002F30ED">
        <w:t xml:space="preserve">the change has been implemented as intended and </w:t>
      </w:r>
      <w:r w:rsidR="001E7916">
        <w:t xml:space="preserve">that </w:t>
      </w:r>
      <w:r w:rsidRPr="00317A5F">
        <w:t xml:space="preserve">the objectives of the change have been satisfactorily achieved. </w:t>
      </w:r>
    </w:p>
    <w:p w14:paraId="419FC2DA" w14:textId="3F67EFFB" w:rsidR="0071010C" w:rsidRPr="00317A5F" w:rsidRDefault="0071010C" w:rsidP="007D4C48">
      <w:pPr>
        <w:pStyle w:val="F9-Paragraph"/>
      </w:pPr>
      <w:r w:rsidRPr="00317A5F">
        <w:t xml:space="preserve">Where possible, the implementation plan should reflect potential contingency actions that may be required </w:t>
      </w:r>
      <w:r w:rsidR="00490E12" w:rsidRPr="00317A5F">
        <w:t>if</w:t>
      </w:r>
      <w:r w:rsidRPr="00317A5F">
        <w:t xml:space="preserve"> the change is not proceeding as planned.</w:t>
      </w:r>
      <w:r w:rsidR="00317A5F">
        <w:t xml:space="preserve"> </w:t>
      </w:r>
      <w:r w:rsidRPr="00317A5F">
        <w:t xml:space="preserve">Where potential consequences are high it may be appropriate for the licensee to maintain for a suitable period the capability to reverse the change. </w:t>
      </w:r>
    </w:p>
    <w:p w14:paraId="2902F5AC" w14:textId="23D37F22" w:rsidR="0071010C" w:rsidRDefault="0071010C" w:rsidP="007D4C48">
      <w:pPr>
        <w:pStyle w:val="F9-Paragraph"/>
      </w:pPr>
      <w:r w:rsidRPr="00317A5F">
        <w:t>Justification documents should be formally signed off when the change is complete and should be retained as a record in accordance with the licensee’s LC 6 arrangements.</w:t>
      </w:r>
      <w:r w:rsidR="00317A5F">
        <w:t xml:space="preserve"> </w:t>
      </w:r>
      <w:r w:rsidRPr="00317A5F">
        <w:t xml:space="preserve">It can be helpful to ‘close out’ the change at an appropriate date, after the outcome has been monitored and sufficient confidence has been gained that the change need not be reversed or altered significantly. </w:t>
      </w:r>
    </w:p>
    <w:p w14:paraId="7B15F95F" w14:textId="6A541714" w:rsidR="00C447DF" w:rsidRPr="00490E12" w:rsidRDefault="00C447DF" w:rsidP="007D4C48">
      <w:pPr>
        <w:pStyle w:val="F9-Paragraph"/>
      </w:pPr>
      <w:r w:rsidRPr="00490E12">
        <w:t>ONR recognises that there may be instances where the implementation of a proposed change is delayed.</w:t>
      </w:r>
      <w:r w:rsidR="005F01F0">
        <w:t xml:space="preserve"> </w:t>
      </w:r>
      <w:r w:rsidRPr="00490E12">
        <w:t>In such circumstances, it is incumbent on the licensee to ensure that all aspects of the proposal remain valid before enacting the change. ONR expects that the licensee’s</w:t>
      </w:r>
      <w:r w:rsidR="005609E9">
        <w:t xml:space="preserve"> MoC </w:t>
      </w:r>
      <w:r w:rsidRPr="00490E12">
        <w:t xml:space="preserve">governance forum will conduct a routine review of the </w:t>
      </w:r>
      <w:r w:rsidR="005D4C79">
        <w:t>change r</w:t>
      </w:r>
      <w:r w:rsidRPr="00490E12">
        <w:t>egister.</w:t>
      </w:r>
      <w:r w:rsidR="005F01F0">
        <w:t xml:space="preserve"> </w:t>
      </w:r>
      <w:r w:rsidRPr="00490E12">
        <w:t>It should, therefore, be aware of situations where there is a lag between approval and implementation of a change proposals and should have local arrangements for re-review and, if necessary, re-approval of an MoC when there is delayed implementation.</w:t>
      </w:r>
      <w:r w:rsidR="005F01F0">
        <w:t xml:space="preserve"> </w:t>
      </w:r>
      <w:r w:rsidRPr="00490E12">
        <w:t>These local arrangements should consider factors such as significance of the change to be implemented and volume and significance of interfacing changes implemented and proposed since the change was initially approved.</w:t>
      </w:r>
    </w:p>
    <w:p w14:paraId="7FE930CA" w14:textId="77777777" w:rsidR="004A0CD7" w:rsidRDefault="004A0CD7" w:rsidP="007D4C48">
      <w:pPr>
        <w:pStyle w:val="F9-Paragraph"/>
        <w:sectPr w:rsidR="004A0CD7" w:rsidSect="00434818">
          <w:pgSz w:w="11906" w:h="16838" w:code="9"/>
          <w:pgMar w:top="1440" w:right="1440" w:bottom="1440" w:left="1440" w:header="397" w:footer="397" w:gutter="0"/>
          <w:cols w:space="312"/>
          <w:docGrid w:linePitch="360"/>
        </w:sectPr>
      </w:pPr>
    </w:p>
    <w:p w14:paraId="71977E1B" w14:textId="5BA18FD4" w:rsidR="0071010C" w:rsidRPr="00317A5F" w:rsidRDefault="0071010C" w:rsidP="007D4C48">
      <w:pPr>
        <w:pStyle w:val="F9-Paragraph"/>
      </w:pPr>
      <w:r w:rsidRPr="00317A5F">
        <w:lastRenderedPageBreak/>
        <w:t>Under LC</w:t>
      </w:r>
      <w:r w:rsidR="004A0CD7">
        <w:t xml:space="preserve"> </w:t>
      </w:r>
      <w:r w:rsidRPr="00317A5F">
        <w:t xml:space="preserve">36 (6), ONR may </w:t>
      </w:r>
      <w:r w:rsidRPr="004A0CD7">
        <w:rPr>
          <w:b/>
          <w:bCs/>
          <w:iCs/>
        </w:rPr>
        <w:t>direct</w:t>
      </w:r>
      <w:r w:rsidRPr="00317A5F">
        <w:t xml:space="preserve"> a licensee to halt a change to its organisation structure or resources if it is concerned the change may have been inadequately conceived or executed.</w:t>
      </w:r>
      <w:r w:rsidR="00317A5F">
        <w:t xml:space="preserve"> </w:t>
      </w:r>
      <w:r w:rsidRPr="00317A5F">
        <w:t>In practice, it is envisaged that this power will be used rarely.</w:t>
      </w:r>
      <w:r w:rsidR="00317A5F">
        <w:t xml:space="preserve"> </w:t>
      </w:r>
      <w:r w:rsidRPr="00317A5F">
        <w:t xml:space="preserve">In such circumstances, ONR and the licensee should discuss the proposed change and seek to resolve any issues such that an agreed way forward is established. If ONR is content that the proposed change, </w:t>
      </w:r>
      <w:r w:rsidR="001C0D41" w:rsidRPr="00317A5F">
        <w:t>amended,</w:t>
      </w:r>
      <w:r w:rsidRPr="00317A5F">
        <w:t xml:space="preserve"> if necessary, may proceed then it will provide a formal </w:t>
      </w:r>
      <w:r w:rsidRPr="004A0CD7">
        <w:rPr>
          <w:b/>
          <w:bCs/>
          <w:iCs/>
        </w:rPr>
        <w:t>consent</w:t>
      </w:r>
      <w:r w:rsidRPr="00317A5F">
        <w:t xml:space="preserve"> to permit it to progress. </w:t>
      </w:r>
    </w:p>
    <w:p w14:paraId="5BCDBB9B" w14:textId="116E4455" w:rsidR="0071010C" w:rsidRPr="00317A5F" w:rsidRDefault="0071010C" w:rsidP="007D4C48">
      <w:pPr>
        <w:pStyle w:val="F9-Paragraph"/>
      </w:pPr>
      <w:r w:rsidRPr="00317A5F">
        <w:t>The inspector should consider whether:</w:t>
      </w:r>
      <w:r w:rsidRPr="00317A5F">
        <w:rPr>
          <w:b/>
        </w:rPr>
        <w:t xml:space="preserve"> </w:t>
      </w:r>
    </w:p>
    <w:p w14:paraId="7EA3156D" w14:textId="77777777" w:rsidR="0071010C" w:rsidRPr="00893684" w:rsidRDefault="0071010C" w:rsidP="005F01F0">
      <w:pPr>
        <w:pStyle w:val="Bulletlist1"/>
      </w:pPr>
      <w:r w:rsidRPr="00893684">
        <w:t xml:space="preserve">Assessments of proposed changes are proportionate to the significance and category of the change; </w:t>
      </w:r>
    </w:p>
    <w:p w14:paraId="5179FAEC" w14:textId="77777777" w:rsidR="0071010C" w:rsidRPr="00893684" w:rsidRDefault="0071010C" w:rsidP="005F01F0">
      <w:pPr>
        <w:pStyle w:val="Bulletlist1"/>
      </w:pPr>
      <w:r w:rsidRPr="00893684">
        <w:t xml:space="preserve">Assessments have been carried out by competent persons and adequately consider the range of potential consequences should the change be inadequately conceived or executed; </w:t>
      </w:r>
    </w:p>
    <w:p w14:paraId="4F9C012E" w14:textId="290306B5" w:rsidR="0071010C" w:rsidRPr="00893684" w:rsidRDefault="0071010C" w:rsidP="005F01F0">
      <w:pPr>
        <w:pStyle w:val="Bulletlist1"/>
      </w:pPr>
      <w:r w:rsidRPr="00893684">
        <w:t>The licensee has acknowledged the need to develop an ‘overarching ‘</w:t>
      </w:r>
      <w:r w:rsidR="005609E9">
        <w:t xml:space="preserve"> MoC </w:t>
      </w:r>
      <w:r w:rsidRPr="00893684">
        <w:t xml:space="preserve">assessment as a means of defining and coordinating larger, more complex changes; </w:t>
      </w:r>
    </w:p>
    <w:p w14:paraId="2EE62C8F" w14:textId="77777777" w:rsidR="0071010C" w:rsidRPr="00893684" w:rsidRDefault="0071010C" w:rsidP="005F01F0">
      <w:pPr>
        <w:pStyle w:val="Bulletlist1"/>
      </w:pPr>
      <w:r w:rsidRPr="00893684">
        <w:t xml:space="preserve">The licensee’s arrangements provide for a staged approach to implementing larger, complex changes and make provision for ONR intervention as appropriate; </w:t>
      </w:r>
    </w:p>
    <w:p w14:paraId="4F484489" w14:textId="77777777" w:rsidR="0071010C" w:rsidRPr="008B6F6E" w:rsidRDefault="0071010C" w:rsidP="005F01F0">
      <w:pPr>
        <w:pStyle w:val="Bulletlist1"/>
      </w:pPr>
      <w:r>
        <w:t>Justification documents have been formally endorsed to confirm that proposed changes may proceed and signed off upon completion of necessary enabling actions by a SQEP;</w:t>
      </w:r>
    </w:p>
    <w:p w14:paraId="227A2CC3" w14:textId="77777777" w:rsidR="0071010C" w:rsidRDefault="0071010C" w:rsidP="005F01F0">
      <w:pPr>
        <w:pStyle w:val="Bulletlist1"/>
      </w:pPr>
      <w:r>
        <w:t>Changes have been adequately documented to enable the objective of the change, and the change categorisation to be clearly understood;</w:t>
      </w:r>
    </w:p>
    <w:p w14:paraId="44140B62" w14:textId="5A9FE5DE" w:rsidR="0071010C" w:rsidRPr="00B35752" w:rsidRDefault="0071010C" w:rsidP="005F01F0">
      <w:pPr>
        <w:pStyle w:val="Bulletlist1"/>
      </w:pPr>
      <w:r>
        <w:t xml:space="preserve">Enabling and mitigating actions for Category 1 and </w:t>
      </w:r>
      <w:r w:rsidR="00190D85">
        <w:t xml:space="preserve">Category </w:t>
      </w:r>
      <w:r>
        <w:t xml:space="preserve">2 changes are relevant and satisfactorily address the identified risks; </w:t>
      </w:r>
    </w:p>
    <w:p w14:paraId="50058093" w14:textId="04F856C0" w:rsidR="0071010C" w:rsidRPr="00DD2426" w:rsidRDefault="0071010C" w:rsidP="005F01F0">
      <w:pPr>
        <w:pStyle w:val="Bulletlist1"/>
      </w:pPr>
      <w:r>
        <w:t xml:space="preserve">The licensee’s senior management and the Nuclear Safety Committee have been involved in considering the implications </w:t>
      </w:r>
      <w:r w:rsidR="00E91CEC">
        <w:t xml:space="preserve">of </w:t>
      </w:r>
      <w:r>
        <w:t>a Category 1 change</w:t>
      </w:r>
      <w:r w:rsidR="00181E81">
        <w:t>, or an overarching</w:t>
      </w:r>
      <w:r w:rsidR="005609E9">
        <w:t xml:space="preserve"> MoC </w:t>
      </w:r>
      <w:r w:rsidR="00181E81">
        <w:t>proposal that encompasses a Category 1 change,</w:t>
      </w:r>
      <w:r>
        <w:t xml:space="preserve"> prior to</w:t>
      </w:r>
      <w:r w:rsidR="00317A5F">
        <w:t xml:space="preserve"> </w:t>
      </w:r>
      <w:r>
        <w:t xml:space="preserve">implementation; </w:t>
      </w:r>
    </w:p>
    <w:p w14:paraId="7E22564C" w14:textId="6A0A3CA3" w:rsidR="0071010C" w:rsidRPr="00DD2426" w:rsidRDefault="0071010C" w:rsidP="005F01F0">
      <w:pPr>
        <w:pStyle w:val="Bulletlist1"/>
      </w:pPr>
      <w:r>
        <w:t xml:space="preserve">Arrangements are in place in the licensee organisation to monitor Category 1 and </w:t>
      </w:r>
      <w:r w:rsidR="0050674A">
        <w:t xml:space="preserve">Category </w:t>
      </w:r>
      <w:r>
        <w:t xml:space="preserve">2 changes and, in the event that a change is not proceeding satisfactorily, to initiate remedial action; </w:t>
      </w:r>
    </w:p>
    <w:p w14:paraId="0655AC15" w14:textId="77777777" w:rsidR="0071010C" w:rsidRPr="00DD2426" w:rsidRDefault="0071010C" w:rsidP="005F01F0">
      <w:pPr>
        <w:pStyle w:val="Bulletlist1"/>
      </w:pPr>
      <w:r>
        <w:t xml:space="preserve">Suitable qualitative or quantitative indicators have been developed for significant changes and if they are linked to enabling and remedial actions; </w:t>
      </w:r>
    </w:p>
    <w:p w14:paraId="1FB74885" w14:textId="77777777" w:rsidR="0071010C" w:rsidRPr="00DD2426" w:rsidRDefault="0071010C" w:rsidP="005F01F0">
      <w:pPr>
        <w:pStyle w:val="Bulletlist1"/>
      </w:pPr>
      <w:r>
        <w:t xml:space="preserve">The indicators are being used to monitor the effectiveness of implementation of significant changes; </w:t>
      </w:r>
    </w:p>
    <w:p w14:paraId="5565D435" w14:textId="77777777" w:rsidR="0071010C" w:rsidRPr="00DD2426" w:rsidRDefault="0071010C" w:rsidP="005F01F0">
      <w:pPr>
        <w:pStyle w:val="Bulletlist1"/>
      </w:pPr>
      <w:r>
        <w:lastRenderedPageBreak/>
        <w:t xml:space="preserve">There is a process to check the quality and consistency of justification documents; </w:t>
      </w:r>
    </w:p>
    <w:p w14:paraId="3E8AD071" w14:textId="77777777" w:rsidR="0071010C" w:rsidRPr="00DD2426" w:rsidRDefault="0071010C" w:rsidP="005F01F0">
      <w:pPr>
        <w:pStyle w:val="Bulletlist1"/>
      </w:pPr>
      <w:r>
        <w:t xml:space="preserve">Justification documents are filed within a site-wide system and available for scrutiny; </w:t>
      </w:r>
    </w:p>
    <w:p w14:paraId="6E6B5B0F" w14:textId="0A0058F6" w:rsidR="0071010C" w:rsidRPr="00DD2426" w:rsidRDefault="0071010C" w:rsidP="005F01F0">
      <w:pPr>
        <w:pStyle w:val="Bulletlist1"/>
      </w:pPr>
      <w:r>
        <w:t>There is a post-change review process to enable learning points from successful and unsuccessful changes to be taken into account for future changes and, if appropriate, incorporated into the licensee’s</w:t>
      </w:r>
      <w:r w:rsidR="005609E9">
        <w:t xml:space="preserve"> MoC </w:t>
      </w:r>
      <w:r>
        <w:t xml:space="preserve">arrangements. </w:t>
      </w:r>
    </w:p>
    <w:p w14:paraId="279150C0" w14:textId="2A6D854D" w:rsidR="0071010C" w:rsidRDefault="0071010C" w:rsidP="00FD46BC">
      <w:pPr>
        <w:pStyle w:val="Heading3"/>
      </w:pPr>
      <w:r>
        <w:t xml:space="preserve">Principle </w:t>
      </w:r>
      <w:r w:rsidR="004A0CD7">
        <w:t>six</w:t>
      </w:r>
      <w:r>
        <w:t xml:space="preserve"> </w:t>
      </w:r>
    </w:p>
    <w:p w14:paraId="2AFC06EA" w14:textId="77777777" w:rsidR="00B65A01" w:rsidRDefault="0071010C" w:rsidP="007D4C48">
      <w:pPr>
        <w:pStyle w:val="F9-Paragraph"/>
      </w:pPr>
      <w:r w:rsidRPr="00317A5F">
        <w:t>The licensee should periodically review the effectiveness of the</w:t>
      </w:r>
      <w:r w:rsidR="00B65A01">
        <w:t>:</w:t>
      </w:r>
    </w:p>
    <w:p w14:paraId="0CD3AACC" w14:textId="2F7A6605" w:rsidR="0071010C" w:rsidRDefault="003A114B" w:rsidP="005F01F0">
      <w:pPr>
        <w:pStyle w:val="Bulletlist1"/>
      </w:pPr>
      <w:r>
        <w:t>A</w:t>
      </w:r>
      <w:r w:rsidR="00B65A01">
        <w:t>rrangements</w:t>
      </w:r>
      <w:r w:rsidR="006752A1">
        <w:t xml:space="preserve">, </w:t>
      </w:r>
      <w:r w:rsidR="00B65A01">
        <w:t>to confirm that they are working satisfactorily and to identify process improvements.</w:t>
      </w:r>
    </w:p>
    <w:p w14:paraId="0DA615FB" w14:textId="1ADFB73D" w:rsidR="005D5101" w:rsidRPr="00317A5F" w:rsidRDefault="003A114B" w:rsidP="005F01F0">
      <w:pPr>
        <w:pStyle w:val="Bulletlist1"/>
      </w:pPr>
      <w:r>
        <w:t>Application of the</w:t>
      </w:r>
      <w:r w:rsidR="005609E9">
        <w:t xml:space="preserve"> MoC </w:t>
      </w:r>
      <w:r w:rsidR="00806A66">
        <w:t>process, especially to more significant, larger and more complex changes.</w:t>
      </w:r>
    </w:p>
    <w:p w14:paraId="48397659" w14:textId="5C1992AD" w:rsidR="00C61D55" w:rsidRDefault="00D66CA6" w:rsidP="007D4C48">
      <w:pPr>
        <w:pStyle w:val="F9-Paragraph"/>
      </w:pPr>
      <w:r>
        <w:t>R</w:t>
      </w:r>
      <w:r w:rsidR="00C61D55">
        <w:t xml:space="preserve">egular reviews should </w:t>
      </w:r>
      <w:r>
        <w:t xml:space="preserve">also </w:t>
      </w:r>
      <w:r w:rsidR="00C61D55">
        <w:t>be conducted of the totality of changes implemented and the cumulative impact on the organisation to confirm that neither nuclear safety nor organisational capability are being degraded by a succession of changes.</w:t>
      </w:r>
    </w:p>
    <w:p w14:paraId="2F4C0DCE" w14:textId="16EE1F75" w:rsidR="0071010C" w:rsidRDefault="0010552F" w:rsidP="007D4C48">
      <w:pPr>
        <w:pStyle w:val="F9-Paragraph"/>
      </w:pPr>
      <w:r>
        <w:t xml:space="preserve">Reviews may take the form of formal audit by a licensee’s assurance function or management reviews as part of a structured approach to business improvement. </w:t>
      </w:r>
      <w:r w:rsidR="0071010C">
        <w:t xml:space="preserve">The learning gained should be reflected, where appropriate, in </w:t>
      </w:r>
      <w:r w:rsidR="006F4237">
        <w:t xml:space="preserve">briefings, modifications to training and </w:t>
      </w:r>
      <w:r w:rsidR="0071010C">
        <w:t>changed arrangements.</w:t>
      </w:r>
      <w:r w:rsidR="00317A5F">
        <w:t xml:space="preserve"> </w:t>
      </w:r>
    </w:p>
    <w:p w14:paraId="13BA6C6F" w14:textId="7E1BD93C" w:rsidR="0071010C" w:rsidRPr="00DD2426" w:rsidRDefault="0071010C" w:rsidP="007D4C48">
      <w:pPr>
        <w:pStyle w:val="F9-Paragraph"/>
      </w:pPr>
      <w:r>
        <w:t>It is important that the senior management are engaged in the review process to demonstrate leadership and commitment to the</w:t>
      </w:r>
      <w:r w:rsidR="005609E9">
        <w:t xml:space="preserve"> MoC </w:t>
      </w:r>
      <w:r>
        <w:t>arrangements.</w:t>
      </w:r>
      <w:r w:rsidR="00317A5F">
        <w:t xml:space="preserve"> </w:t>
      </w:r>
    </w:p>
    <w:p w14:paraId="71DE9492" w14:textId="4E4023AE" w:rsidR="0071010C" w:rsidRPr="00DD2426" w:rsidRDefault="0071010C" w:rsidP="007D4C48">
      <w:pPr>
        <w:pStyle w:val="F9-Paragraph"/>
      </w:pPr>
      <w:r>
        <w:t xml:space="preserve">The inspector should consider whether: </w:t>
      </w:r>
    </w:p>
    <w:p w14:paraId="02F6925D" w14:textId="2FC02DC5" w:rsidR="0071010C" w:rsidRPr="00DD2426" w:rsidRDefault="0071010C" w:rsidP="005F01F0">
      <w:pPr>
        <w:pStyle w:val="Bulletlist1"/>
      </w:pPr>
      <w:r>
        <w:t>The arrangements provide for the Board</w:t>
      </w:r>
      <w:r w:rsidR="005609E9">
        <w:t>/</w:t>
      </w:r>
      <w:r>
        <w:t>Executive to monitor the effectiveness of implementation of more significant</w:t>
      </w:r>
      <w:r w:rsidR="001672F2">
        <w:t>, larger-scale and</w:t>
      </w:r>
      <w:r w:rsidR="005609E9">
        <w:t>/</w:t>
      </w:r>
      <w:r w:rsidR="001672F2">
        <w:t>or more complex</w:t>
      </w:r>
      <w:r>
        <w:t xml:space="preserve"> changes; </w:t>
      </w:r>
    </w:p>
    <w:p w14:paraId="4859ADDC" w14:textId="2FC21978" w:rsidR="0071010C" w:rsidRPr="00DD2426" w:rsidRDefault="0071010C" w:rsidP="005F01F0">
      <w:pPr>
        <w:pStyle w:val="Bulletlist1"/>
      </w:pPr>
      <w:r>
        <w:t>There is a formal review process to confirm that the</w:t>
      </w:r>
      <w:r w:rsidR="005609E9">
        <w:t xml:space="preserve"> MoC </w:t>
      </w:r>
      <w:r>
        <w:t xml:space="preserve">arrangements are operating satisfactorily; </w:t>
      </w:r>
    </w:p>
    <w:p w14:paraId="336FB3FB" w14:textId="77777777" w:rsidR="0071010C" w:rsidRPr="00DD2426" w:rsidRDefault="0071010C" w:rsidP="005F01F0">
      <w:pPr>
        <w:pStyle w:val="Bulletlist1"/>
      </w:pPr>
      <w:r>
        <w:t xml:space="preserve">Senior management are engaged in the review process and how their leadership and commitment is demonstrated to the workforce; </w:t>
      </w:r>
    </w:p>
    <w:p w14:paraId="5F58739B" w14:textId="7B259D5D" w:rsidR="0071010C" w:rsidRPr="00B35752" w:rsidRDefault="0071010C" w:rsidP="005F01F0">
      <w:pPr>
        <w:pStyle w:val="Bulletlist1"/>
      </w:pPr>
      <w:r>
        <w:t>The review process involves persons other than those with a</w:t>
      </w:r>
      <w:r w:rsidR="005609E9">
        <w:t xml:space="preserve"> MoC </w:t>
      </w:r>
      <w:r>
        <w:t>process role to ensure that the views of originators and implementers are captured;</w:t>
      </w:r>
    </w:p>
    <w:p w14:paraId="5F57EFD4" w14:textId="77777777" w:rsidR="0071010C" w:rsidRDefault="0071010C" w:rsidP="005F01F0">
      <w:pPr>
        <w:pStyle w:val="Bulletlist1"/>
      </w:pPr>
      <w:r>
        <w:lastRenderedPageBreak/>
        <w:t xml:space="preserve">The outcome of reviews is shared with the workforce; </w:t>
      </w:r>
    </w:p>
    <w:p w14:paraId="4B986EC8" w14:textId="77777777" w:rsidR="0071010C" w:rsidRDefault="0071010C" w:rsidP="005F01F0">
      <w:pPr>
        <w:pStyle w:val="Bulletlist1"/>
      </w:pPr>
      <w:r>
        <w:t xml:space="preserve">There is a mechanism for sharing learning and building that learning back into the arrangements as part of continuous improvement; </w:t>
      </w:r>
    </w:p>
    <w:p w14:paraId="31DED589" w14:textId="78A009C4" w:rsidR="0071010C" w:rsidRDefault="0071010C" w:rsidP="005F01F0">
      <w:pPr>
        <w:pStyle w:val="Bulletlist1"/>
      </w:pPr>
      <w:r>
        <w:t>The cumulative effects of multiple changes on</w:t>
      </w:r>
      <w:r w:rsidR="002E7728">
        <w:t xml:space="preserve"> both nuclear safety and</w:t>
      </w:r>
      <w:r>
        <w:t xml:space="preserve"> organisation</w:t>
      </w:r>
      <w:r w:rsidR="002E7728">
        <w:t>al capability</w:t>
      </w:r>
      <w:r>
        <w:t xml:space="preserve"> have been considered by senior management and if there is any evidence of action being taken to avoid the potential degradation of the licensee organisation. </w:t>
      </w:r>
    </w:p>
    <w:p w14:paraId="08F0172B" w14:textId="72E2409B" w:rsidR="0071010C" w:rsidRDefault="0071010C" w:rsidP="007D4C48">
      <w:pPr>
        <w:pStyle w:val="F9-Paragraph"/>
        <w:sectPr w:rsidR="0071010C" w:rsidSect="00434818">
          <w:pgSz w:w="11906" w:h="16838" w:code="9"/>
          <w:pgMar w:top="1440" w:right="1440" w:bottom="1440" w:left="1440" w:header="397" w:footer="397" w:gutter="0"/>
          <w:cols w:space="312"/>
          <w:docGrid w:linePitch="360"/>
        </w:sectPr>
      </w:pPr>
    </w:p>
    <w:p w14:paraId="649AED9E" w14:textId="2AF20C84" w:rsidR="005613DD" w:rsidRDefault="005613DD" w:rsidP="005613DD">
      <w:pPr>
        <w:pStyle w:val="Heading1"/>
        <w:numPr>
          <w:ilvl w:val="0"/>
          <w:numId w:val="0"/>
        </w:numPr>
        <w:rPr>
          <w:lang w:val="fr-FR"/>
        </w:rPr>
      </w:pPr>
      <w:bookmarkStart w:id="9" w:name="_Appendix_1:_Licence"/>
      <w:bookmarkStart w:id="10" w:name="_Toc333926911"/>
      <w:bookmarkStart w:id="11" w:name="_Toc510084395"/>
      <w:bookmarkStart w:id="12" w:name="_Toc172196369"/>
      <w:bookmarkEnd w:id="9"/>
      <w:r>
        <w:rPr>
          <w:lang w:val="fr-FR"/>
        </w:rPr>
        <w:lastRenderedPageBreak/>
        <w:t>Appendix 1:</w:t>
      </w:r>
      <w:bookmarkEnd w:id="10"/>
      <w:r>
        <w:rPr>
          <w:lang w:val="fr-FR"/>
        </w:rPr>
        <w:t xml:space="preserve"> Licence Condition 36 - Organisational Capability</w:t>
      </w:r>
      <w:bookmarkEnd w:id="11"/>
      <w:bookmarkEnd w:id="12"/>
    </w:p>
    <w:p w14:paraId="269AAC14" w14:textId="77777777" w:rsidR="005613DD" w:rsidRDefault="005613DD" w:rsidP="00F836C5">
      <w:r>
        <w:t xml:space="preserve">Licence Condition 36 requires that: </w:t>
      </w:r>
    </w:p>
    <w:p w14:paraId="16C84167" w14:textId="77777777" w:rsidR="005613DD" w:rsidRPr="00F86C32" w:rsidRDefault="005613DD" w:rsidP="004A0CD7">
      <w:pPr>
        <w:pStyle w:val="Bulletlist1"/>
        <w:numPr>
          <w:ilvl w:val="0"/>
          <w:numId w:val="16"/>
        </w:numPr>
      </w:pPr>
      <w:r>
        <w:t xml:space="preserve">The licensee shall provide and maintain adequate financial and human resources to ensure the safe operation of the licensed site. </w:t>
      </w:r>
    </w:p>
    <w:p w14:paraId="1B81C07F" w14:textId="77777777" w:rsidR="005613DD" w:rsidRPr="00F86C32" w:rsidRDefault="005613DD" w:rsidP="004A0CD7">
      <w:pPr>
        <w:pStyle w:val="Bulletlist1"/>
        <w:numPr>
          <w:ilvl w:val="0"/>
          <w:numId w:val="16"/>
        </w:numPr>
      </w:pPr>
      <w:r>
        <w:t xml:space="preserve">Without prejudice to the requirements of paragraph 1, the licensee shall make and implement adequate arrangements to control any change to its organisational structure or resources which may affect safety. </w:t>
      </w:r>
    </w:p>
    <w:p w14:paraId="5BC284D4" w14:textId="77777777" w:rsidR="005613DD" w:rsidRPr="00F86C32" w:rsidRDefault="005613DD" w:rsidP="004A0CD7">
      <w:pPr>
        <w:pStyle w:val="Bulletlist1"/>
        <w:numPr>
          <w:ilvl w:val="0"/>
          <w:numId w:val="16"/>
        </w:numPr>
      </w:pPr>
      <w:r>
        <w:t xml:space="preserve">The licensee shall submit to ONR for </w:t>
      </w:r>
      <w:r w:rsidRPr="004A0CD7">
        <w:rPr>
          <w:b/>
          <w:bCs w:val="0"/>
          <w:iCs/>
        </w:rPr>
        <w:t>approval</w:t>
      </w:r>
      <w:r>
        <w:t xml:space="preserve"> </w:t>
      </w:r>
      <w:r w:rsidRPr="00315E53">
        <w:t>such</w:t>
      </w:r>
      <w:r>
        <w:t xml:space="preserve"> part or parts of the aforesaid arrangements as the Executive may </w:t>
      </w:r>
      <w:r w:rsidRPr="004A0CD7">
        <w:rPr>
          <w:b/>
          <w:bCs w:val="0"/>
          <w:iCs/>
        </w:rPr>
        <w:t>specify</w:t>
      </w:r>
      <w:r>
        <w:t xml:space="preserve">. </w:t>
      </w:r>
    </w:p>
    <w:p w14:paraId="506E97CD" w14:textId="3F627399" w:rsidR="005613DD" w:rsidRPr="00F86C32" w:rsidRDefault="005613DD" w:rsidP="004A0CD7">
      <w:pPr>
        <w:pStyle w:val="Bulletlist1"/>
        <w:numPr>
          <w:ilvl w:val="0"/>
          <w:numId w:val="16"/>
        </w:numPr>
      </w:pPr>
      <w:r>
        <w:t xml:space="preserve">The licensee shall ensure that once approved no alteration or amendment is made to the approved arrangements unless the ONR has </w:t>
      </w:r>
      <w:r w:rsidRPr="004A0CD7">
        <w:rPr>
          <w:b/>
          <w:bCs w:val="0"/>
          <w:iCs/>
        </w:rPr>
        <w:t>approved</w:t>
      </w:r>
      <w:r w:rsidR="004A0CD7">
        <w:t xml:space="preserve"> </w:t>
      </w:r>
      <w:r w:rsidRPr="004A0CD7">
        <w:t>such</w:t>
      </w:r>
      <w:r>
        <w:t xml:space="preserve"> alteration or amendment. </w:t>
      </w:r>
    </w:p>
    <w:p w14:paraId="3DC264B2" w14:textId="3EF98C40" w:rsidR="005613DD" w:rsidRPr="00F86C32" w:rsidRDefault="005613DD" w:rsidP="004A0CD7">
      <w:pPr>
        <w:pStyle w:val="Bulletlist1"/>
        <w:numPr>
          <w:ilvl w:val="0"/>
          <w:numId w:val="16"/>
        </w:numPr>
      </w:pPr>
      <w:r>
        <w:t>The aforesaid arrangements shall provide for the classification of changes to the organisational structure or resources according to their safety significance.</w:t>
      </w:r>
      <w:r w:rsidR="004E46CF">
        <w:t xml:space="preserve"> </w:t>
      </w:r>
      <w:r w:rsidR="004A0CD7">
        <w:br/>
      </w:r>
      <w:r>
        <w:t xml:space="preserve">The arrangements shall include a requirement for the provision of adequate documentation to justify the safety of any proposed change and shall where appropriate provide for the submission of such documentation to the ONR. </w:t>
      </w:r>
    </w:p>
    <w:p w14:paraId="659DD69B" w14:textId="77777777" w:rsidR="005613DD" w:rsidRDefault="005613DD" w:rsidP="004A0CD7">
      <w:pPr>
        <w:pStyle w:val="Bulletlist1"/>
        <w:numPr>
          <w:ilvl w:val="0"/>
          <w:numId w:val="16"/>
        </w:numPr>
      </w:pPr>
      <w:r>
        <w:t xml:space="preserve">The licensee shall if so </w:t>
      </w:r>
      <w:r w:rsidRPr="004A0CD7">
        <w:rPr>
          <w:b/>
          <w:bCs w:val="0"/>
          <w:iCs/>
        </w:rPr>
        <w:t>directed</w:t>
      </w:r>
      <w:r>
        <w:t xml:space="preserve"> </w:t>
      </w:r>
      <w:r w:rsidRPr="00315E53">
        <w:t>by</w:t>
      </w:r>
      <w:r>
        <w:t xml:space="preserve"> the ONR halt the change to its organisational structure or resources and the licensee shall not recommence such change without the </w:t>
      </w:r>
      <w:r w:rsidRPr="004A0CD7">
        <w:rPr>
          <w:b/>
          <w:bCs w:val="0"/>
          <w:iCs/>
        </w:rPr>
        <w:t>consent</w:t>
      </w:r>
      <w:r>
        <w:rPr>
          <w:i/>
        </w:rPr>
        <w:t xml:space="preserve"> </w:t>
      </w:r>
      <w:r>
        <w:t xml:space="preserve">of the ONR. </w:t>
      </w:r>
    </w:p>
    <w:p w14:paraId="733EDF42" w14:textId="77777777" w:rsidR="005613DD" w:rsidRDefault="005613DD" w:rsidP="005613DD">
      <w:pPr>
        <w:pStyle w:val="ONRNormal"/>
      </w:pPr>
    </w:p>
    <w:p w14:paraId="73E96167" w14:textId="62A06238" w:rsidR="005F01F0" w:rsidRDefault="005613DD" w:rsidP="005F01F0">
      <w:pPr>
        <w:pStyle w:val="Heading1"/>
        <w:numPr>
          <w:ilvl w:val="0"/>
          <w:numId w:val="0"/>
        </w:numPr>
        <w:rPr>
          <w:lang w:eastAsia="en-GB"/>
        </w:rPr>
      </w:pPr>
      <w:bookmarkStart w:id="13" w:name="_Appendix_2:_Guidance"/>
      <w:bookmarkEnd w:id="13"/>
      <w:r>
        <w:br w:type="page"/>
      </w:r>
      <w:bookmarkStart w:id="14" w:name="_Toc172196370"/>
      <w:bookmarkStart w:id="15" w:name="_Toc510084396"/>
      <w:r w:rsidR="005F01F0">
        <w:rPr>
          <w:lang w:eastAsia="en-GB"/>
        </w:rPr>
        <w:lastRenderedPageBreak/>
        <w:t>Appendix 2: Guidance to inspectors on the approach to be undertaken for assuring compliance with the ‘adequacy of financial resources’ aspect of LC 36(1)</w:t>
      </w:r>
      <w:bookmarkEnd w:id="14"/>
    </w:p>
    <w:p w14:paraId="5B4A97F0" w14:textId="77777777" w:rsidR="005F01F0" w:rsidRPr="004E46CF" w:rsidRDefault="005F01F0" w:rsidP="005F01F0">
      <w:pPr>
        <w:pStyle w:val="Heading2"/>
        <w:numPr>
          <w:ilvl w:val="0"/>
          <w:numId w:val="0"/>
        </w:numPr>
        <w:ind w:left="851" w:hanging="851"/>
      </w:pPr>
      <w:r w:rsidRPr="004E46CF">
        <w:t xml:space="preserve">Purpose and scope </w:t>
      </w:r>
    </w:p>
    <w:p w14:paraId="57B3C534" w14:textId="77777777" w:rsidR="005F01F0" w:rsidRPr="00FA3523" w:rsidRDefault="005F01F0" w:rsidP="005F01F0">
      <w:r w:rsidRPr="00FA3523">
        <w:t xml:space="preserve">The purpose of this Appendix is to support a proportionate and consistent regulatory approach to ONR inspection and assessment against the financial resource’s aspect of LC 36 (1) ‘Organisational Capability’. </w:t>
      </w:r>
    </w:p>
    <w:p w14:paraId="26A12EC3" w14:textId="77777777" w:rsidR="005F01F0" w:rsidRDefault="005F01F0" w:rsidP="005F01F0">
      <w:r>
        <w:t xml:space="preserve">Regarding the requirement to </w:t>
      </w:r>
      <w:r w:rsidRPr="003958C0">
        <w:rPr>
          <w:bCs/>
          <w:i/>
          <w:iCs/>
        </w:rPr>
        <w:t>maintain</w:t>
      </w:r>
      <w:r>
        <w:rPr>
          <w:b/>
          <w:bCs/>
          <w:i/>
          <w:iCs/>
        </w:rPr>
        <w:t xml:space="preserve"> </w:t>
      </w:r>
      <w:r w:rsidRPr="003958C0">
        <w:rPr>
          <w:bCs/>
          <w:iCs/>
        </w:rPr>
        <w:t>adequate</w:t>
      </w:r>
      <w:r>
        <w:rPr>
          <w:b/>
          <w:bCs/>
          <w:i/>
          <w:iCs/>
        </w:rPr>
        <w:t xml:space="preserve"> </w:t>
      </w:r>
      <w:r>
        <w:t xml:space="preserve">financial resources, ONR’s view is that the licensee should be able to clearly demonstrate that it: </w:t>
      </w:r>
    </w:p>
    <w:p w14:paraId="108BC4A3" w14:textId="77777777" w:rsidR="005F01F0" w:rsidRPr="00474E90" w:rsidRDefault="005F01F0" w:rsidP="004A0CD7">
      <w:pPr>
        <w:pStyle w:val="Bulletlist1"/>
        <w:ind w:left="426"/>
        <w:rPr>
          <w:sz w:val="20"/>
          <w:szCs w:val="20"/>
        </w:rPr>
      </w:pPr>
      <w:r>
        <w:t xml:space="preserve">Understands the hazards and risks of its undertakings and is operating in accordance with its safety case and complying with the licence conditions; </w:t>
      </w:r>
    </w:p>
    <w:p w14:paraId="5D0353DD" w14:textId="77777777" w:rsidR="005F01F0" w:rsidRPr="00474E90" w:rsidRDefault="005F01F0" w:rsidP="004A0CD7">
      <w:pPr>
        <w:pStyle w:val="Bulletlist1"/>
        <w:ind w:left="426"/>
        <w:rPr>
          <w:sz w:val="20"/>
          <w:szCs w:val="20"/>
        </w:rPr>
      </w:pPr>
      <w:r>
        <w:t xml:space="preserve">Is reducing risk so far as is reasonably practicable, and implementing improvements in a timely manner where these are identified as ALARP; </w:t>
      </w:r>
    </w:p>
    <w:p w14:paraId="63B53D65" w14:textId="77777777" w:rsidR="005F01F0" w:rsidRPr="00474E90" w:rsidRDefault="005F01F0" w:rsidP="004A0CD7">
      <w:pPr>
        <w:pStyle w:val="Bulletlist1"/>
        <w:ind w:left="426"/>
        <w:rPr>
          <w:sz w:val="20"/>
          <w:szCs w:val="20"/>
        </w:rPr>
      </w:pPr>
      <w:r>
        <w:t xml:space="preserve">Is maintaining an adequate NB resource and implementing its arrangements for managing organisational change set out under LC 36(2); </w:t>
      </w:r>
    </w:p>
    <w:p w14:paraId="3B012C0D" w14:textId="77777777" w:rsidR="005F01F0" w:rsidRPr="00474E90" w:rsidRDefault="005F01F0" w:rsidP="004A0CD7">
      <w:pPr>
        <w:pStyle w:val="Bulletlist1"/>
        <w:ind w:left="426"/>
        <w:rPr>
          <w:sz w:val="20"/>
          <w:szCs w:val="20"/>
        </w:rPr>
      </w:pPr>
      <w:r>
        <w:t xml:space="preserve">Has assessed what financial resources are necessary to continue to meet those needs; </w:t>
      </w:r>
    </w:p>
    <w:p w14:paraId="3703B8D4" w14:textId="77777777" w:rsidR="005F01F0" w:rsidRPr="00474E90" w:rsidRDefault="005F01F0" w:rsidP="004A0CD7">
      <w:pPr>
        <w:pStyle w:val="Bulletlist1"/>
        <w:ind w:left="426"/>
        <w:rPr>
          <w:sz w:val="20"/>
          <w:szCs w:val="20"/>
        </w:rPr>
      </w:pPr>
      <w:r>
        <w:t xml:space="preserve">Has, and is maintaining, or has in place arrangements to obtain, the necessary financial resources; and </w:t>
      </w:r>
    </w:p>
    <w:p w14:paraId="24D66925" w14:textId="77777777" w:rsidR="005F01F0" w:rsidRPr="00844C0B" w:rsidRDefault="005F01F0" w:rsidP="004A0CD7">
      <w:pPr>
        <w:pStyle w:val="Bulletlist1"/>
        <w:ind w:left="426"/>
        <w:rPr>
          <w:sz w:val="20"/>
          <w:szCs w:val="20"/>
        </w:rPr>
      </w:pPr>
      <w:r>
        <w:t xml:space="preserve">Has relevant records and they are being retained in accordance with LC 6. </w:t>
      </w:r>
    </w:p>
    <w:p w14:paraId="508C78E5" w14:textId="77777777" w:rsidR="005F01F0" w:rsidRPr="004E46CF" w:rsidRDefault="005F01F0" w:rsidP="005F01F0">
      <w:pPr>
        <w:pStyle w:val="Heading2"/>
        <w:numPr>
          <w:ilvl w:val="0"/>
          <w:numId w:val="0"/>
        </w:numPr>
        <w:ind w:left="851" w:hanging="851"/>
      </w:pPr>
      <w:r w:rsidRPr="004E46CF">
        <w:t>Guidance on inspection of arrangements</w:t>
      </w:r>
    </w:p>
    <w:p w14:paraId="3806DBD5" w14:textId="77777777" w:rsidR="005F01F0" w:rsidRPr="00844C0B" w:rsidRDefault="005F01F0" w:rsidP="005F01F0">
      <w:pPr>
        <w:pStyle w:val="Heading3"/>
        <w:numPr>
          <w:ilvl w:val="0"/>
          <w:numId w:val="0"/>
        </w:numPr>
        <w:ind w:left="851" w:hanging="851"/>
      </w:pPr>
      <w:r>
        <w:t>Regulatory approach</w:t>
      </w:r>
    </w:p>
    <w:p w14:paraId="7A2C50C5" w14:textId="7F9A3779" w:rsidR="005F01F0" w:rsidRPr="00474E90" w:rsidRDefault="005F01F0" w:rsidP="005F01F0">
      <w:r>
        <w:t xml:space="preserve">The financial resources of a licensee are not ordinarily the focus of routine inspection activities. Rather, inspectors should be alert to indirect evidence that may indicate a reduction in the ability or willingness of the licensee to provide or maintain adequate financial resources to ensure safety. Evidence may include failure to resource plant improvements; staff shortages that are not being filled; delays in delivering activities such as maintenance etc. Should indications be found that investment in safety-related plant or people may not be adequate to provide and maintain safety, the inspector should seek to establish whether it is attributable to other factors </w:t>
      </w:r>
      <w:r w:rsidR="004A0CD7">
        <w:br/>
      </w:r>
      <w:r>
        <w:t xml:space="preserve">(for example difficulties in identifying SQEP resource; technical difficulties or disagreements etc.) and, if so, to progress the matter in the normal manner. </w:t>
      </w:r>
    </w:p>
    <w:p w14:paraId="11237FF8" w14:textId="24A5DB06" w:rsidR="005F01F0" w:rsidRDefault="005F01F0" w:rsidP="005F01F0">
      <w:r>
        <w:lastRenderedPageBreak/>
        <w:t xml:space="preserve">If the safety issue cannot be resolved to the satisfaction of the inspector, and financial resource issues are identified as a possible factor, this matter should be elevated to the relevant Superintending Inspector and </w:t>
      </w:r>
      <w:r w:rsidR="004A0CD7">
        <w:t>Head of Profession</w:t>
      </w:r>
      <w:r>
        <w:t xml:space="preserve"> for consideration. It is anticipated that discussions will take place with the licensee to determine the cause of the issue and attempt to resolve it. This may entail an ONR review of safety cases; annual financial accounts, plans for construction and key financial decision points; investment plans; lifetime plans, the NB and other documents. If the issue cannot be resolved, and failure to comply with LC 36(1) is suspected, consideration may be given to engaging external expert financial advice to inform the process of establishing ONR’s enforcement options. The need to take this course of action is expected to be rare. </w:t>
      </w:r>
    </w:p>
    <w:p w14:paraId="19F0FDE0" w14:textId="136F32CA" w:rsidR="005F01F0" w:rsidRDefault="005F01F0" w:rsidP="005F01F0">
      <w:r>
        <w:t xml:space="preserve">Where the licensee's budget is controlled by another body (for example, the Nuclear Decommissioning Authority (NDA) or a parent organisation), financial (and other resourcing) arrangements are likely to be set out in contractual arrangements such as a Shareholders Agreement between the licensee and the controlling body. </w:t>
      </w:r>
      <w:r w:rsidR="004A0CD7">
        <w:br/>
      </w:r>
      <w:r>
        <w:t xml:space="preserve">ONR may seek to examine these documents. ONR anticipates that the controlling body will co-operate with the licensee in ensuring the adequacy of the resources needed for safety, and to meet its obligations under HSWA Section 3(1). </w:t>
      </w:r>
      <w:r w:rsidR="004A0CD7">
        <w:br/>
      </w:r>
      <w:r>
        <w:t xml:space="preserve">The licensee, however, retains an absolute responsibility for nuclear safety. </w:t>
      </w:r>
    </w:p>
    <w:p w14:paraId="4D48375E" w14:textId="77777777" w:rsidR="005F01F0" w:rsidRPr="004E46CF" w:rsidRDefault="005F01F0" w:rsidP="005F01F0">
      <w:pPr>
        <w:pStyle w:val="Heading2"/>
        <w:numPr>
          <w:ilvl w:val="0"/>
          <w:numId w:val="0"/>
        </w:numPr>
      </w:pPr>
      <w:r w:rsidRPr="004E46CF">
        <w:t xml:space="preserve">Government assurances regarding a licensee’s financial standing </w:t>
      </w:r>
    </w:p>
    <w:p w14:paraId="6680E571" w14:textId="21BE2E11" w:rsidR="005F01F0" w:rsidRDefault="005F01F0" w:rsidP="005F01F0">
      <w:r w:rsidRPr="008E42B1">
        <w:t xml:space="preserve">ONR will </w:t>
      </w:r>
      <w:r w:rsidRPr="007B285C">
        <w:t xml:space="preserve">approach the </w:t>
      </w:r>
      <w:r w:rsidRPr="00D9577E">
        <w:t>relevant government department</w:t>
      </w:r>
      <w:r w:rsidRPr="007B285C">
        <w:t xml:space="preserve"> at the time of processing a licence application, or responding to a request for relicensing, to seek </w:t>
      </w:r>
      <w:r w:rsidRPr="00D9577E">
        <w:t>its</w:t>
      </w:r>
      <w:r w:rsidRPr="007B285C">
        <w:t xml:space="preserve"> assurances regarding the applicant’s financial status.</w:t>
      </w:r>
      <w:r>
        <w:t xml:space="preserve"> </w:t>
      </w:r>
      <w:r w:rsidRPr="008E42B1">
        <w:t xml:space="preserve">ONR may, on rare occasions when it deems it relevant, also seek such assurances </w:t>
      </w:r>
      <w:r w:rsidRPr="00D9577E">
        <w:t>from government</w:t>
      </w:r>
      <w:r w:rsidRPr="007B285C">
        <w:t xml:space="preserve"> </w:t>
      </w:r>
      <w:r w:rsidRPr="007B285C">
        <w:rPr>
          <w:sz w:val="23"/>
          <w:szCs w:val="23"/>
        </w:rPr>
        <w:t xml:space="preserve">to inform </w:t>
      </w:r>
      <w:r w:rsidRPr="00730166">
        <w:rPr>
          <w:sz w:val="23"/>
          <w:szCs w:val="23"/>
        </w:rPr>
        <w:t>ONR</w:t>
      </w:r>
      <w:r w:rsidRPr="008E42B1">
        <w:rPr>
          <w:sz w:val="23"/>
          <w:szCs w:val="23"/>
        </w:rPr>
        <w:t>’s approach</w:t>
      </w:r>
      <w:r w:rsidRPr="007B285C">
        <w:rPr>
          <w:sz w:val="23"/>
          <w:szCs w:val="23"/>
        </w:rPr>
        <w:t>.</w:t>
      </w:r>
      <w:r>
        <w:rPr>
          <w:sz w:val="23"/>
          <w:szCs w:val="23"/>
        </w:rPr>
        <w:t xml:space="preserve"> </w:t>
      </w:r>
      <w:r w:rsidRPr="00D9577E">
        <w:rPr>
          <w:sz w:val="23"/>
          <w:szCs w:val="23"/>
        </w:rPr>
        <w:t>Government</w:t>
      </w:r>
      <w:r w:rsidRPr="007B285C">
        <w:rPr>
          <w:sz w:val="23"/>
          <w:szCs w:val="23"/>
        </w:rPr>
        <w:t xml:space="preserve"> assurances will be </w:t>
      </w:r>
      <w:r w:rsidRPr="00730166">
        <w:rPr>
          <w:sz w:val="23"/>
          <w:szCs w:val="23"/>
        </w:rPr>
        <w:t>used by ONR to provide confidence that, at the point of licensing, an organisation’s financial arrangements are adequate to enable it to fulfil its</w:t>
      </w:r>
      <w:r>
        <w:rPr>
          <w:sz w:val="23"/>
          <w:szCs w:val="23"/>
        </w:rPr>
        <w:t xml:space="preserve"> obligations as a nuclear site licence</w:t>
      </w:r>
      <w:r w:rsidR="005609E9">
        <w:rPr>
          <w:sz w:val="23"/>
          <w:szCs w:val="23"/>
        </w:rPr>
        <w:t xml:space="preserve"> </w:t>
      </w:r>
      <w:r>
        <w:rPr>
          <w:sz w:val="23"/>
          <w:szCs w:val="23"/>
        </w:rPr>
        <w:t>holder. After the granting of a licence, the approach set out above will be followed.</w:t>
      </w:r>
    </w:p>
    <w:p w14:paraId="79EF0726" w14:textId="77777777" w:rsidR="005F01F0" w:rsidRDefault="005F01F0" w:rsidP="005F01F0">
      <w:pPr>
        <w:spacing w:after="0" w:line="240" w:lineRule="auto"/>
        <w:rPr>
          <w:color w:val="22413A"/>
          <w:sz w:val="48"/>
        </w:rPr>
      </w:pPr>
      <w:r>
        <w:br w:type="page"/>
      </w:r>
    </w:p>
    <w:p w14:paraId="4434EDBE" w14:textId="65A474EC" w:rsidR="004A0CD7" w:rsidRDefault="004A0CD7" w:rsidP="004A0CD7">
      <w:pPr>
        <w:pStyle w:val="Heading1"/>
        <w:numPr>
          <w:ilvl w:val="0"/>
          <w:numId w:val="0"/>
        </w:numPr>
      </w:pPr>
      <w:bookmarkStart w:id="16" w:name="_Appendix_3:_Examples"/>
      <w:bookmarkStart w:id="17" w:name="_Appendix_3:_Guidance"/>
      <w:bookmarkStart w:id="18" w:name="_Toc172196371"/>
      <w:bookmarkEnd w:id="16"/>
      <w:bookmarkEnd w:id="17"/>
      <w:r>
        <w:lastRenderedPageBreak/>
        <w:t>Appendix 3: Guidance for inspectors on the factors that may be considered when inspecting the licensee’s implementation of its MoC arrangements</w:t>
      </w:r>
      <w:bookmarkEnd w:id="18"/>
    </w:p>
    <w:p w14:paraId="3D9158E8" w14:textId="77777777" w:rsidR="004A0CD7" w:rsidRDefault="004A0CD7" w:rsidP="004A0CD7">
      <w:r>
        <w:t xml:space="preserve">The following ‘short-form’ guidance is provided to assist inspectors to judge the adequacy of licensees’ arrangements to comply with LC 36 clauses (2) to (5). </w:t>
      </w:r>
    </w:p>
    <w:p w14:paraId="0C0C8FAE" w14:textId="0962A6AF" w:rsidR="004A0CD7" w:rsidRDefault="004A0CD7" w:rsidP="004A0CD7">
      <w:r>
        <w:t xml:space="preserve">This Appendix complements the more detailed guidance in the main body of this TAG and provided at ref. [2]; reference to that material should be made where appropriate. </w:t>
      </w:r>
    </w:p>
    <w:p w14:paraId="58F0C00E" w14:textId="2BFC33F2" w:rsidR="004A0CD7" w:rsidRPr="004E46CF" w:rsidRDefault="004A0CD7" w:rsidP="004A0CD7">
      <w:pPr>
        <w:pStyle w:val="Heading2"/>
        <w:numPr>
          <w:ilvl w:val="0"/>
          <w:numId w:val="0"/>
        </w:numPr>
      </w:pPr>
      <w:r>
        <w:t xml:space="preserve">MoC </w:t>
      </w:r>
      <w:r w:rsidRPr="004E46CF">
        <w:t xml:space="preserve">arrangements </w:t>
      </w:r>
    </w:p>
    <w:p w14:paraId="2704BB9E" w14:textId="77777777" w:rsidR="004A0CD7" w:rsidRDefault="004A0CD7" w:rsidP="004A0CD7">
      <w:r>
        <w:t xml:space="preserve">Interview a sample of Board, Executive and Lead Team members to examine their knowledge of: </w:t>
      </w:r>
    </w:p>
    <w:p w14:paraId="7B9E70C4" w14:textId="77777777" w:rsidR="004A0CD7" w:rsidRDefault="004A0CD7" w:rsidP="004A0CD7">
      <w:pPr>
        <w:pStyle w:val="Bulletlist1"/>
        <w:ind w:left="426"/>
      </w:pPr>
      <w:r>
        <w:t xml:space="preserve">The importance of MoC arrangements as an integral part of business strategy implementation, nuclear safety and resource management; </w:t>
      </w:r>
    </w:p>
    <w:p w14:paraId="0858FD47" w14:textId="77777777" w:rsidR="004A0CD7" w:rsidRDefault="004A0CD7" w:rsidP="004A0CD7">
      <w:pPr>
        <w:pStyle w:val="Bulletlist1"/>
        <w:ind w:left="426"/>
      </w:pPr>
      <w:r>
        <w:t xml:space="preserve">The need for the Board/Executive to visibly commit to management of organisational change as a key business process; </w:t>
      </w:r>
    </w:p>
    <w:p w14:paraId="58F939D3" w14:textId="77777777" w:rsidR="004A0CD7" w:rsidRDefault="004A0CD7" w:rsidP="004A0CD7">
      <w:pPr>
        <w:pStyle w:val="Bulletlist1"/>
        <w:ind w:left="426"/>
      </w:pPr>
      <w:r>
        <w:t xml:space="preserve">The need for the implications of all proposed organisational changes to be formally assessed using a consistent methodology which is an integral part of the licensee’s management system; </w:t>
      </w:r>
    </w:p>
    <w:p w14:paraId="6C2C33DC" w14:textId="77777777" w:rsidR="004A0CD7" w:rsidRDefault="004A0CD7" w:rsidP="004A0CD7">
      <w:pPr>
        <w:pStyle w:val="Bulletlist1"/>
        <w:ind w:left="426"/>
      </w:pPr>
      <w:r>
        <w:t>The Board/Executive’s role in ensuring that the implications of significant and complex changes are fully assessed prior to implementation;</w:t>
      </w:r>
    </w:p>
    <w:p w14:paraId="76CE6173" w14:textId="77777777" w:rsidR="004A0CD7" w:rsidRDefault="004A0CD7" w:rsidP="004A0CD7">
      <w:pPr>
        <w:pStyle w:val="Bulletlist1"/>
        <w:ind w:left="426"/>
      </w:pPr>
      <w:r>
        <w:t>The Board/Executive’s role in providing oversight of significant and complex changes and ensuring that the objectives of the changes are met;</w:t>
      </w:r>
    </w:p>
    <w:p w14:paraId="667D7395" w14:textId="77777777" w:rsidR="004A0CD7" w:rsidRDefault="004A0CD7" w:rsidP="004A0CD7">
      <w:pPr>
        <w:pStyle w:val="Bulletlist1"/>
        <w:ind w:left="426"/>
      </w:pPr>
      <w:r>
        <w:t>The importance of regularly monitoring the state of the organisation to ensure that nuclear safety is not progressively degraded over time as a result of a succession of changes;</w:t>
      </w:r>
    </w:p>
    <w:p w14:paraId="75C8103D" w14:textId="77777777" w:rsidR="004A0CD7" w:rsidRDefault="004A0CD7" w:rsidP="004A0CD7">
      <w:pPr>
        <w:pStyle w:val="Bulletlist1"/>
        <w:ind w:left="426"/>
      </w:pPr>
      <w:r>
        <w:t>The need to regularly review that the licensee’s MoC arrangements are up to date and are being consistently applied across the entirety of the licensee organisation;</w:t>
      </w:r>
    </w:p>
    <w:p w14:paraId="1723F0B2" w14:textId="77777777" w:rsidR="004A0CD7" w:rsidRDefault="004A0CD7" w:rsidP="004A0CD7">
      <w:pPr>
        <w:pStyle w:val="Bulletlist1"/>
        <w:ind w:left="426"/>
      </w:pPr>
      <w:r>
        <w:t>The importance of having SQEPs in key MoC roles.</w:t>
      </w:r>
    </w:p>
    <w:p w14:paraId="58D58BF1" w14:textId="77777777" w:rsidR="004A0CD7" w:rsidRDefault="004A0CD7" w:rsidP="004A0CD7">
      <w:r>
        <w:t xml:space="preserve">Check that the baseline contains a substantiation of the ‘right size and structure’ for the licensee organisation. Check that there is not a presumption that the existing structure is adequate. </w:t>
      </w:r>
    </w:p>
    <w:p w14:paraId="13668DFF" w14:textId="77777777" w:rsidR="004A0CD7" w:rsidRDefault="004A0CD7" w:rsidP="004A0CD7">
      <w:r>
        <w:lastRenderedPageBreak/>
        <w:t xml:space="preserve">Check that the arrangements are linked to human resource processes and that Human Resources is involved in assessing implications of changes for workforce planning and training and acting appropriately. </w:t>
      </w:r>
    </w:p>
    <w:p w14:paraId="60622343" w14:textId="77777777" w:rsidR="004A0CD7" w:rsidRDefault="004A0CD7" w:rsidP="004A0CD7">
      <w:r>
        <w:t xml:space="preserve">Interview some of the managers proposing changes and key role holders such as reviewers to examine their knowledge of: </w:t>
      </w:r>
    </w:p>
    <w:p w14:paraId="2FEFA0F3" w14:textId="77777777" w:rsidR="004A0CD7" w:rsidRDefault="004A0CD7" w:rsidP="004A0CD7">
      <w:pPr>
        <w:pStyle w:val="Bulletlist1"/>
        <w:ind w:left="426"/>
      </w:pPr>
      <w:r>
        <w:t xml:space="preserve">Roles and responsibilities; </w:t>
      </w:r>
    </w:p>
    <w:p w14:paraId="16FE5B6D" w14:textId="77777777" w:rsidR="004A0CD7" w:rsidRDefault="004A0CD7" w:rsidP="004A0CD7">
      <w:pPr>
        <w:pStyle w:val="Bulletlist1"/>
        <w:ind w:left="426"/>
      </w:pPr>
      <w:r>
        <w:t xml:space="preserve">Staging of changes where appropriate; </w:t>
      </w:r>
    </w:p>
    <w:p w14:paraId="37063393" w14:textId="77777777" w:rsidR="004A0CD7" w:rsidRDefault="004A0CD7" w:rsidP="004A0CD7">
      <w:pPr>
        <w:pStyle w:val="Bulletlist1"/>
        <w:ind w:left="426"/>
      </w:pPr>
      <w:r>
        <w:t xml:space="preserve">The value of enabling actions which have been properly identified and managed i.e. verifiably closed out; </w:t>
      </w:r>
    </w:p>
    <w:p w14:paraId="03F5531E" w14:textId="77777777" w:rsidR="004A0CD7" w:rsidRDefault="004A0CD7" w:rsidP="004A0CD7">
      <w:pPr>
        <w:pStyle w:val="Bulletlist1"/>
        <w:ind w:left="426"/>
      </w:pPr>
      <w:r>
        <w:t xml:space="preserve">Use of performance indicators and contingency measures or remedial actions, and that they have been properly identified and managed; </w:t>
      </w:r>
    </w:p>
    <w:p w14:paraId="758248AA" w14:textId="77777777" w:rsidR="004A0CD7" w:rsidRDefault="004A0CD7" w:rsidP="004A0CD7">
      <w:pPr>
        <w:pStyle w:val="Bulletlist1"/>
        <w:ind w:left="426"/>
      </w:pPr>
      <w:r>
        <w:t xml:space="preserve">The importance of reviews at appropriate times during implementation. </w:t>
      </w:r>
    </w:p>
    <w:p w14:paraId="222A8663" w14:textId="77777777" w:rsidR="004A0CD7" w:rsidRDefault="004A0CD7" w:rsidP="004A0CD7">
      <w:pPr>
        <w:pStyle w:val="Bulletlist1"/>
        <w:ind w:left="426"/>
      </w:pPr>
      <w:r>
        <w:t>Records requirements.</w:t>
      </w:r>
    </w:p>
    <w:p w14:paraId="54725BB4" w14:textId="77777777" w:rsidR="004A0CD7" w:rsidRDefault="004A0CD7" w:rsidP="004A0CD7">
      <w:r>
        <w:t xml:space="preserve">Confirm that the arrangements are being adhered to by discussion with staff at various levels throughout the licensee’s organisation. </w:t>
      </w:r>
    </w:p>
    <w:p w14:paraId="4234FD21" w14:textId="77777777" w:rsidR="004A0CD7" w:rsidRDefault="004A0CD7" w:rsidP="004A0CD7">
      <w:r>
        <w:t xml:space="preserve">Check the change register and observe if: </w:t>
      </w:r>
    </w:p>
    <w:p w14:paraId="05DFB4AE" w14:textId="77777777" w:rsidR="004A0CD7" w:rsidRDefault="004A0CD7" w:rsidP="004A0CD7">
      <w:pPr>
        <w:pStyle w:val="Bulletlist1"/>
        <w:ind w:left="426"/>
      </w:pPr>
      <w:r>
        <w:t>There are similar, linked changes which should have been managed in a coordinated manner i.e. under an umbrella or overarching management of change, and given a higher change category;</w:t>
      </w:r>
    </w:p>
    <w:p w14:paraId="72233AF2" w14:textId="77777777" w:rsidR="004A0CD7" w:rsidRDefault="004A0CD7" w:rsidP="004A0CD7">
      <w:pPr>
        <w:pStyle w:val="Bulletlist1"/>
        <w:ind w:left="426"/>
      </w:pPr>
      <w:r>
        <w:t xml:space="preserve">There is evidence of ‘salami slicing’ of a larger change into a series of smaller changes. </w:t>
      </w:r>
    </w:p>
    <w:p w14:paraId="4C99378C" w14:textId="77777777" w:rsidR="004A0CD7" w:rsidRDefault="004A0CD7" w:rsidP="004A0CD7">
      <w:r>
        <w:t xml:space="preserve">Check the licensee's implementation of its review and audit processes and examine: </w:t>
      </w:r>
    </w:p>
    <w:p w14:paraId="2CF4C369" w14:textId="77777777" w:rsidR="004A0CD7" w:rsidRDefault="004A0CD7" w:rsidP="004A0CD7">
      <w:pPr>
        <w:pStyle w:val="Bulletlist1"/>
        <w:ind w:left="426"/>
      </w:pPr>
      <w:r>
        <w:t xml:space="preserve">Periodic review and update of the NB; </w:t>
      </w:r>
    </w:p>
    <w:p w14:paraId="44F96CE9" w14:textId="77777777" w:rsidR="004A0CD7" w:rsidRDefault="004A0CD7" w:rsidP="004A0CD7">
      <w:pPr>
        <w:pStyle w:val="Bulletlist1"/>
        <w:ind w:left="426"/>
      </w:pPr>
      <w:r>
        <w:t xml:space="preserve">Reviews of performance indicators during and after implementation; </w:t>
      </w:r>
    </w:p>
    <w:p w14:paraId="2FD3F159" w14:textId="77777777" w:rsidR="004A0CD7" w:rsidRDefault="004A0CD7" w:rsidP="004A0CD7">
      <w:pPr>
        <w:pStyle w:val="Bulletlist1"/>
        <w:ind w:left="426"/>
      </w:pPr>
      <w:r>
        <w:t xml:space="preserve">Categorisation reviews; </w:t>
      </w:r>
    </w:p>
    <w:p w14:paraId="70DEC0D7" w14:textId="77777777" w:rsidR="004A0CD7" w:rsidRDefault="004A0CD7" w:rsidP="004A0CD7">
      <w:pPr>
        <w:pStyle w:val="Bulletlist1"/>
        <w:ind w:left="426"/>
      </w:pPr>
      <w:r>
        <w:t xml:space="preserve">Independent safety reviews; </w:t>
      </w:r>
    </w:p>
    <w:p w14:paraId="2C98EC52" w14:textId="77777777" w:rsidR="004A0CD7" w:rsidRDefault="004A0CD7" w:rsidP="004A0CD7">
      <w:pPr>
        <w:pStyle w:val="Bulletlist1"/>
        <w:ind w:left="426"/>
      </w:pPr>
      <w:r>
        <w:t xml:space="preserve">Reviews of implementation of the arrangements and plans for improvement. </w:t>
      </w:r>
    </w:p>
    <w:p w14:paraId="01AED524" w14:textId="77777777" w:rsidR="004A0CD7" w:rsidRDefault="004A0CD7" w:rsidP="004A0CD7">
      <w:pPr>
        <w:pStyle w:val="Bulletlist1"/>
        <w:ind w:left="426"/>
      </w:pPr>
      <w:r>
        <w:t xml:space="preserve">Reviews of cumulative effects of change on the organisation. </w:t>
      </w:r>
    </w:p>
    <w:p w14:paraId="2B338744" w14:textId="77777777" w:rsidR="004A0CD7" w:rsidRDefault="004A0CD7" w:rsidP="004A0CD7">
      <w:r>
        <w:t xml:space="preserve">Check the licensee’s communication arrangements to confirm whether the workforce understands the implications of significant changes and is kept informed of implementation progress. </w:t>
      </w:r>
    </w:p>
    <w:p w14:paraId="72D91697" w14:textId="77777777" w:rsidR="004A0CD7" w:rsidRDefault="004A0CD7" w:rsidP="004A0CD7">
      <w:pPr>
        <w:pStyle w:val="Bulletlist1"/>
        <w:ind w:left="426"/>
      </w:pPr>
      <w:r>
        <w:t xml:space="preserve">Check that arrangements exist to periodically update the NB and that the baseline is up to date and reflective of the licensee organisation. </w:t>
      </w:r>
    </w:p>
    <w:p w14:paraId="0D449C5D" w14:textId="77777777" w:rsidR="004A0CD7" w:rsidRPr="004E46CF" w:rsidRDefault="004A0CD7" w:rsidP="004A0CD7">
      <w:pPr>
        <w:pStyle w:val="Heading2"/>
        <w:numPr>
          <w:ilvl w:val="0"/>
          <w:numId w:val="0"/>
        </w:numPr>
        <w:ind w:left="851" w:hanging="851"/>
      </w:pPr>
      <w:r w:rsidRPr="004E46CF">
        <w:lastRenderedPageBreak/>
        <w:t xml:space="preserve">Implementation of change proposals </w:t>
      </w:r>
    </w:p>
    <w:p w14:paraId="1C2F58DB" w14:textId="77777777" w:rsidR="004A0CD7" w:rsidRDefault="004A0CD7" w:rsidP="004A0CD7">
      <w:r>
        <w:t xml:space="preserve">Select a sample of change proposals for checking. The sample should include top category changes if there have been any, and lower category changes throughout the range of significance. The sample should ideally include any corporate changes which may affect safety on site. Consider ‘calling in’ changes (at any or all category levels) for specialist assessment. </w:t>
      </w:r>
    </w:p>
    <w:p w14:paraId="5F707E75" w14:textId="77777777" w:rsidR="004A0CD7" w:rsidRDefault="004A0CD7" w:rsidP="004A0CD7">
      <w:r>
        <w:t xml:space="preserve">For each change proposal in the sample: </w:t>
      </w:r>
    </w:p>
    <w:p w14:paraId="79B0317B" w14:textId="77777777" w:rsidR="004A0CD7" w:rsidRDefault="004A0CD7" w:rsidP="004A0CD7">
      <w:pPr>
        <w:pStyle w:val="Bulletlist1"/>
        <w:ind w:left="426"/>
      </w:pPr>
      <w:r>
        <w:t xml:space="preserve">Check the register of change proposals to confirm that change proposals for significant changes were reviewed and authorised through the appropriate route and available in time to provide 20 working days’ notice for ONR assessment prior to implementation if required. </w:t>
      </w:r>
    </w:p>
    <w:p w14:paraId="776739DC" w14:textId="77777777" w:rsidR="004A0CD7" w:rsidRDefault="004A0CD7" w:rsidP="004A0CD7">
      <w:pPr>
        <w:pStyle w:val="Bulletlist1"/>
        <w:ind w:left="426"/>
      </w:pPr>
      <w:r>
        <w:t xml:space="preserve">Make a judgement about the accuracy of the classification of the change. </w:t>
      </w:r>
    </w:p>
    <w:p w14:paraId="4E23A8A1" w14:textId="7F692B22" w:rsidR="004A0CD7" w:rsidRDefault="004A0CD7" w:rsidP="004A0CD7">
      <w:pPr>
        <w:pStyle w:val="Bulletlist1"/>
        <w:ind w:left="426"/>
      </w:pPr>
      <w:r>
        <w:t>Check that the substantiation document for significant changes includes where appropriate:</w:t>
      </w:r>
    </w:p>
    <w:p w14:paraId="4908FE22" w14:textId="77777777" w:rsidR="004A0CD7" w:rsidRDefault="004A0CD7" w:rsidP="004A0CD7">
      <w:pPr>
        <w:pStyle w:val="Bulletlist2"/>
      </w:pPr>
      <w:r>
        <w:t>A clear description of the objectives of the change;</w:t>
      </w:r>
    </w:p>
    <w:p w14:paraId="790A296D" w14:textId="77777777" w:rsidR="004A0CD7" w:rsidRDefault="004A0CD7" w:rsidP="004A0CD7">
      <w:pPr>
        <w:pStyle w:val="Bulletlist2"/>
      </w:pPr>
      <w:r>
        <w:t>A reference to the NB;</w:t>
      </w:r>
    </w:p>
    <w:p w14:paraId="15E43AF4" w14:textId="77777777" w:rsidR="004A0CD7" w:rsidRDefault="004A0CD7" w:rsidP="004A0CD7">
      <w:pPr>
        <w:pStyle w:val="Bulletlist2"/>
      </w:pPr>
      <w:r>
        <w:t>A risk assessment which has been used to inform the classification of the change;</w:t>
      </w:r>
    </w:p>
    <w:p w14:paraId="6FB65BF5" w14:textId="77777777" w:rsidR="004A0CD7" w:rsidRDefault="004A0CD7" w:rsidP="004A0CD7">
      <w:pPr>
        <w:pStyle w:val="Bulletlist2"/>
      </w:pPr>
      <w:r>
        <w:t>A detailed implementation plan with timescales, including staging of the change where appropriate;</w:t>
      </w:r>
    </w:p>
    <w:p w14:paraId="41F2C47C" w14:textId="77777777" w:rsidR="004A0CD7" w:rsidRDefault="004A0CD7" w:rsidP="004A0CD7">
      <w:pPr>
        <w:pStyle w:val="Bulletlist2"/>
      </w:pPr>
      <w:r>
        <w:t>Enabling actions as precursors to implementation of the change;</w:t>
      </w:r>
    </w:p>
    <w:p w14:paraId="196893E7" w14:textId="77777777" w:rsidR="004A0CD7" w:rsidRDefault="004A0CD7" w:rsidP="004A0CD7">
      <w:pPr>
        <w:pStyle w:val="Bulletlist2"/>
      </w:pPr>
      <w:r>
        <w:t>Performance indicators to monitor the effectiveness of implementation;</w:t>
      </w:r>
    </w:p>
    <w:p w14:paraId="5BFECA00" w14:textId="77777777" w:rsidR="004A0CD7" w:rsidRDefault="004A0CD7" w:rsidP="004A0CD7">
      <w:pPr>
        <w:pStyle w:val="Bulletlist2"/>
      </w:pPr>
      <w:r>
        <w:t>Contingency plans and remedial actions;</w:t>
      </w:r>
    </w:p>
    <w:p w14:paraId="58984DF8" w14:textId="77777777" w:rsidR="004A0CD7" w:rsidRDefault="004A0CD7" w:rsidP="004A0CD7">
      <w:pPr>
        <w:pStyle w:val="Bulletlist2"/>
      </w:pPr>
      <w:r>
        <w:t xml:space="preserve">Shadow working to confirm planned arrangements where appropriate. </w:t>
      </w:r>
    </w:p>
    <w:p w14:paraId="65F4197A" w14:textId="77777777" w:rsidR="004A0CD7" w:rsidRDefault="004A0CD7" w:rsidP="004A0CD7">
      <w:pPr>
        <w:pStyle w:val="Bulletlist1"/>
        <w:ind w:left="426"/>
      </w:pPr>
      <w:r>
        <w:t xml:space="preserve">Check that authorisation to proceed with the proposed change was granted by a SQEP. </w:t>
      </w:r>
    </w:p>
    <w:p w14:paraId="60825D39" w14:textId="77777777" w:rsidR="004A0CD7" w:rsidRDefault="004A0CD7" w:rsidP="004A0CD7">
      <w:pPr>
        <w:pStyle w:val="Bulletlist1"/>
        <w:ind w:left="426"/>
      </w:pPr>
      <w:r>
        <w:t xml:space="preserve">Check that all enabling actions for significant changes were satisfactorily closed out before the appropriate parts of the change were implemented. Verify a sample of the actions if appropriate. </w:t>
      </w:r>
    </w:p>
    <w:p w14:paraId="043F2FDF" w14:textId="77777777" w:rsidR="004A0CD7" w:rsidRDefault="004A0CD7" w:rsidP="004A0CD7">
      <w:pPr>
        <w:pStyle w:val="Bulletlist1"/>
        <w:ind w:left="426"/>
      </w:pPr>
      <w:r>
        <w:t xml:space="preserve">Check that the performance indicators were used to monitor implementation progress and that contingency plans or remedial actions were invoked at an appropriate time. </w:t>
      </w:r>
    </w:p>
    <w:p w14:paraId="071C4187" w14:textId="77777777" w:rsidR="004A0CD7" w:rsidRDefault="004A0CD7" w:rsidP="004A0CD7">
      <w:pPr>
        <w:pStyle w:val="Bulletlist1"/>
        <w:ind w:left="426"/>
      </w:pPr>
      <w:r>
        <w:t xml:space="preserve">Check that the change proposal was signed off as complete by a SQEP. </w:t>
      </w:r>
    </w:p>
    <w:p w14:paraId="620A7E68" w14:textId="77777777" w:rsidR="004A0CD7" w:rsidRDefault="004A0CD7" w:rsidP="004A0CD7">
      <w:pPr>
        <w:pStyle w:val="Bulletlist1"/>
        <w:ind w:left="426"/>
      </w:pPr>
      <w:r>
        <w:lastRenderedPageBreak/>
        <w:t xml:space="preserve">Check that the objectives of the change were met. </w:t>
      </w:r>
    </w:p>
    <w:p w14:paraId="47A0359F" w14:textId="77777777" w:rsidR="004A0CD7" w:rsidRDefault="004A0CD7" w:rsidP="004A0CD7">
      <w:pPr>
        <w:pStyle w:val="Bulletlist1"/>
        <w:ind w:left="426"/>
      </w:pPr>
      <w:r>
        <w:t xml:space="preserve">Check that any staff implications have been satisfactorily addressed, for example: </w:t>
      </w:r>
    </w:p>
    <w:p w14:paraId="6835E66E" w14:textId="77777777" w:rsidR="004A0CD7" w:rsidRDefault="004A0CD7" w:rsidP="004A0CD7">
      <w:pPr>
        <w:pStyle w:val="Bulletlist2"/>
      </w:pPr>
      <w:r>
        <w:t xml:space="preserve">Vacancy filling and recruitment; </w:t>
      </w:r>
    </w:p>
    <w:p w14:paraId="76D609B6" w14:textId="77777777" w:rsidR="004A0CD7" w:rsidRDefault="004A0CD7" w:rsidP="004A0CD7">
      <w:pPr>
        <w:pStyle w:val="Bulletlist2"/>
      </w:pPr>
      <w:r>
        <w:t xml:space="preserve">Training and development. </w:t>
      </w:r>
    </w:p>
    <w:p w14:paraId="0C3F7FB6" w14:textId="77777777" w:rsidR="004A0CD7" w:rsidRPr="002E5D5E" w:rsidRDefault="004A0CD7" w:rsidP="004A0CD7">
      <w:pPr>
        <w:pStyle w:val="Bulletlist1"/>
        <w:ind w:left="426"/>
      </w:pPr>
      <w:r>
        <w:t xml:space="preserve">Check that the baseline has been updated to reflect the impact on baseline roles where appropriate. </w:t>
      </w:r>
    </w:p>
    <w:p w14:paraId="7B130E81" w14:textId="77777777" w:rsidR="004A0CD7" w:rsidRDefault="004A0CD7" w:rsidP="004A0CD7">
      <w:pPr>
        <w:tabs>
          <w:tab w:val="left" w:pos="1440"/>
        </w:tabs>
        <w:spacing w:line="240" w:lineRule="auto"/>
        <w:contextualSpacing/>
      </w:pPr>
    </w:p>
    <w:p w14:paraId="794B56A3" w14:textId="77777777" w:rsidR="004A0CD7" w:rsidRDefault="004A0CD7" w:rsidP="00166CB3">
      <w:pPr>
        <w:pStyle w:val="Heading1"/>
        <w:numPr>
          <w:ilvl w:val="0"/>
          <w:numId w:val="0"/>
        </w:numPr>
        <w:sectPr w:rsidR="004A0CD7" w:rsidSect="00166CB3">
          <w:pgSz w:w="11906" w:h="16838" w:code="9"/>
          <w:pgMar w:top="1440" w:right="1440" w:bottom="1440" w:left="1440" w:header="397" w:footer="397" w:gutter="0"/>
          <w:cols w:space="312"/>
          <w:docGrid w:linePitch="360"/>
        </w:sectPr>
      </w:pPr>
      <w:bookmarkStart w:id="19" w:name="_Appendix_4:_Examples"/>
      <w:bookmarkEnd w:id="19"/>
    </w:p>
    <w:p w14:paraId="4E2A2726" w14:textId="64045488" w:rsidR="00166CB3" w:rsidRDefault="00166CB3" w:rsidP="00166CB3">
      <w:pPr>
        <w:pStyle w:val="Heading1"/>
        <w:numPr>
          <w:ilvl w:val="0"/>
          <w:numId w:val="0"/>
        </w:numPr>
      </w:pPr>
      <w:bookmarkStart w:id="20" w:name="_Toc172196372"/>
      <w:r>
        <w:lastRenderedPageBreak/>
        <w:t xml:space="preserve">Appendix </w:t>
      </w:r>
      <w:r w:rsidR="004A0CD7">
        <w:t>4</w:t>
      </w:r>
      <w:r>
        <w:t>: Examples of drivers for organisational change</w:t>
      </w:r>
      <w:bookmarkEnd w:id="20"/>
    </w:p>
    <w:p w14:paraId="422CB8D1" w14:textId="77777777" w:rsidR="00166CB3" w:rsidRDefault="00166CB3" w:rsidP="00166CB3">
      <w:r>
        <w:t xml:space="preserve">This appendix provides some examples of drivers for organisational change and the potential implications for nuclear safety if a change is inadequately conceived or executed. </w:t>
      </w:r>
    </w:p>
    <w:p w14:paraId="48BB05DD" w14:textId="77777777" w:rsidR="00166CB3" w:rsidRPr="00F86C32" w:rsidRDefault="00166CB3" w:rsidP="004A0CD7">
      <w:pPr>
        <w:pStyle w:val="Bulletlist1"/>
        <w:ind w:left="426"/>
      </w:pPr>
      <w:r>
        <w:rPr>
          <w:b/>
        </w:rPr>
        <w:t xml:space="preserve">Cost reduction. </w:t>
      </w:r>
      <w:r w:rsidRPr="007C6F9C">
        <w:t>This</w:t>
      </w:r>
      <w:r>
        <w:rPr>
          <w:b/>
        </w:rPr>
        <w:t xml:space="preserve"> </w:t>
      </w:r>
      <w:r>
        <w:t xml:space="preserve">may result in inadequate resources being available to fulfil baseline organisational roles. </w:t>
      </w:r>
    </w:p>
    <w:p w14:paraId="49DCC441" w14:textId="77777777" w:rsidR="00166CB3" w:rsidRPr="00F86C32" w:rsidRDefault="00166CB3" w:rsidP="004A0CD7">
      <w:pPr>
        <w:pStyle w:val="Bulletlist1"/>
        <w:ind w:left="426"/>
      </w:pPr>
      <w:r>
        <w:rPr>
          <w:b/>
        </w:rPr>
        <w:t xml:space="preserve">Sales, acquisitions, mergers or creation of subsidiary companies. </w:t>
      </w:r>
      <w:r>
        <w:t xml:space="preserve">This may lead to a loss of nuclear related expertise at Board and Executive level, resulting in a lack of understanding of what is required to maintain the defence in depth which is essential to the achievement of very high levels of safety. Corporate mergers may result in a lack of harmonisation of standards and procedures, and a lack of clarity of managerial responsibilities and accountabilities. </w:t>
      </w:r>
    </w:p>
    <w:p w14:paraId="3561CAB4" w14:textId="77777777" w:rsidR="00166CB3" w:rsidRPr="00F86C32" w:rsidRDefault="00166CB3" w:rsidP="004A0CD7">
      <w:pPr>
        <w:pStyle w:val="Bulletlist1"/>
        <w:ind w:left="426"/>
      </w:pPr>
      <w:r>
        <w:rPr>
          <w:b/>
        </w:rPr>
        <w:t xml:space="preserve">Downsizing, re-engineering and outsourcing. </w:t>
      </w:r>
      <w:r>
        <w:t xml:space="preserve">This may result in understaffing and lack of competent staff or </w:t>
      </w:r>
      <w:r w:rsidRPr="007C6F9C">
        <w:t>'intelligent customer'</w:t>
      </w:r>
      <w:r>
        <w:rPr>
          <w:b/>
        </w:rPr>
        <w:t xml:space="preserve"> </w:t>
      </w:r>
      <w:r>
        <w:t xml:space="preserve">capability to make an informed judgement. It may lead to instances where there is insufficient competent staff available to assess the safety significance of activities with the potential to impact on nuclear safety, or the loss of ‘corporate memory’ in a particular field. </w:t>
      </w:r>
    </w:p>
    <w:p w14:paraId="03AA341C" w14:textId="77777777" w:rsidR="00166CB3" w:rsidRPr="007B285C" w:rsidRDefault="00166CB3" w:rsidP="004A0CD7">
      <w:pPr>
        <w:pStyle w:val="Bulletlist1"/>
        <w:ind w:left="426"/>
      </w:pPr>
      <w:r>
        <w:rPr>
          <w:b/>
        </w:rPr>
        <w:t xml:space="preserve">Reduction of the numbers of layers of management. </w:t>
      </w:r>
      <w:r>
        <w:t xml:space="preserve">This may result in inadequate supervision or oversight of staff work, or an unacceptable increase in </w:t>
      </w:r>
      <w:r w:rsidRPr="007B285C">
        <w:t>individual workload or management spans of control.</w:t>
      </w:r>
    </w:p>
    <w:p w14:paraId="339DCC0C" w14:textId="77777777" w:rsidR="00166CB3" w:rsidRPr="00D9577E" w:rsidRDefault="00166CB3" w:rsidP="004A0CD7">
      <w:pPr>
        <w:pStyle w:val="Bulletlist1"/>
        <w:ind w:left="426"/>
        <w:rPr>
          <w:b/>
        </w:rPr>
      </w:pPr>
      <w:r w:rsidRPr="00D9577E">
        <w:rPr>
          <w:b/>
        </w:rPr>
        <w:t>Organisational development.</w:t>
      </w:r>
      <w:r>
        <w:rPr>
          <w:b/>
        </w:rPr>
        <w:t xml:space="preserve"> </w:t>
      </w:r>
      <w:r w:rsidRPr="00D9577E">
        <w:t>This is particularly appropriate in the case of new build organisations where the organisation structure may change several times as the project progress both within a particular project phase and as the project progresses from one phase to the next.</w:t>
      </w:r>
    </w:p>
    <w:p w14:paraId="47A9B2D7" w14:textId="41993EA0" w:rsidR="00166CB3" w:rsidRPr="00F86C32" w:rsidRDefault="00166CB3" w:rsidP="004A0CD7">
      <w:pPr>
        <w:pStyle w:val="Bulletlist1"/>
        <w:ind w:left="426"/>
      </w:pPr>
      <w:r w:rsidRPr="007B285C">
        <w:rPr>
          <w:b/>
        </w:rPr>
        <w:t>Organisational restructuring and change initiatives.</w:t>
      </w:r>
      <w:r>
        <w:rPr>
          <w:b/>
        </w:rPr>
        <w:t xml:space="preserve"> </w:t>
      </w:r>
      <w:r w:rsidRPr="007B285C">
        <w:t>This may result in competent staff being</w:t>
      </w:r>
      <w:r>
        <w:t xml:space="preserve"> diverted to restructuring</w:t>
      </w:r>
      <w:r w:rsidR="005609E9">
        <w:t>/</w:t>
      </w:r>
      <w:r>
        <w:t xml:space="preserve">change projects. </w:t>
      </w:r>
    </w:p>
    <w:p w14:paraId="543EAAB6" w14:textId="77777777" w:rsidR="00166CB3" w:rsidRPr="00F86C32" w:rsidRDefault="00166CB3" w:rsidP="004A0CD7">
      <w:pPr>
        <w:pStyle w:val="Bulletlist1"/>
        <w:ind w:left="426"/>
      </w:pPr>
      <w:r>
        <w:rPr>
          <w:b/>
        </w:rPr>
        <w:t xml:space="preserve">Downgrading the Head of Safety post </w:t>
      </w:r>
      <w:r>
        <w:t xml:space="preserve">so that he or she is no longer a member of the licensee’s </w:t>
      </w:r>
      <w:r w:rsidRPr="00315E53">
        <w:t>Executive or Board</w:t>
      </w:r>
      <w:r>
        <w:t xml:space="preserve">, resulting in a loss of independent, authoritative advice for nuclear safety at Board level. </w:t>
      </w:r>
    </w:p>
    <w:p w14:paraId="0327E256" w14:textId="77777777" w:rsidR="00166CB3" w:rsidRPr="00F86C32" w:rsidRDefault="00166CB3" w:rsidP="004A0CD7">
      <w:pPr>
        <w:pStyle w:val="Bulletlist1"/>
        <w:ind w:left="426"/>
      </w:pPr>
      <w:r>
        <w:rPr>
          <w:b/>
        </w:rPr>
        <w:t xml:space="preserve">Relocation of offices. </w:t>
      </w:r>
      <w:r w:rsidRPr="007C6F9C">
        <w:t>This</w:t>
      </w:r>
      <w:r>
        <w:rPr>
          <w:b/>
        </w:rPr>
        <w:t xml:space="preserve"> </w:t>
      </w:r>
      <w:r>
        <w:t xml:space="preserve">may result in the loss of key staff and expertise in critical areas. </w:t>
      </w:r>
    </w:p>
    <w:p w14:paraId="2C22A508" w14:textId="77777777" w:rsidR="00166CB3" w:rsidRPr="007B285C" w:rsidRDefault="00166CB3" w:rsidP="004A0CD7">
      <w:pPr>
        <w:pStyle w:val="Bulletlist1"/>
        <w:ind w:left="426"/>
      </w:pPr>
      <w:r w:rsidRPr="007C41AB">
        <w:rPr>
          <w:b/>
        </w:rPr>
        <w:t>Changes in policies for recruitment and training of staff.</w:t>
      </w:r>
      <w:r>
        <w:rPr>
          <w:b/>
        </w:rPr>
        <w:t xml:space="preserve"> </w:t>
      </w:r>
      <w:r w:rsidRPr="007C41AB">
        <w:t xml:space="preserve">This </w:t>
      </w:r>
      <w:r>
        <w:t xml:space="preserve">may result from national skills shortages, demographics etc leading to vacancies not being filled, recruitment of poor quality staff, and degradation of the competence of individuals </w:t>
      </w:r>
      <w:r w:rsidRPr="007B285C">
        <w:t>and the organisation as a whole.</w:t>
      </w:r>
    </w:p>
    <w:p w14:paraId="4821E8B1" w14:textId="002A7312" w:rsidR="00166CB3" w:rsidRPr="00D9577E" w:rsidRDefault="00166CB3" w:rsidP="004A0CD7">
      <w:pPr>
        <w:pStyle w:val="Bulletlist1"/>
        <w:ind w:left="426"/>
      </w:pPr>
      <w:r w:rsidRPr="00D9577E">
        <w:rPr>
          <w:b/>
        </w:rPr>
        <w:lastRenderedPageBreak/>
        <w:t xml:space="preserve">Change in Board </w:t>
      </w:r>
      <w:r w:rsidR="005609E9">
        <w:rPr>
          <w:b/>
        </w:rPr>
        <w:t>/</w:t>
      </w:r>
      <w:r w:rsidRPr="00D9577E">
        <w:rPr>
          <w:b/>
        </w:rPr>
        <w:t>Executive.</w:t>
      </w:r>
      <w:r>
        <w:t xml:space="preserve"> </w:t>
      </w:r>
      <w:r w:rsidRPr="00D9577E">
        <w:t>Although not necessarily an organisational change this change could still result in significant safety risks.</w:t>
      </w:r>
      <w:r>
        <w:t xml:space="preserve"> </w:t>
      </w:r>
      <w:r w:rsidR="004A0CD7">
        <w:br/>
      </w:r>
      <w:r w:rsidRPr="00D9577E">
        <w:t xml:space="preserve">Organisational change control can be used as a flexible risk assessment tool in these cases, which is seen as good practice, allowing the organisation to manage potential risks. </w:t>
      </w:r>
    </w:p>
    <w:p w14:paraId="57E8B567" w14:textId="77777777" w:rsidR="00166CB3" w:rsidRDefault="00166CB3" w:rsidP="00166CB3">
      <w:pPr>
        <w:pStyle w:val="Default"/>
        <w:jc w:val="both"/>
        <w:rPr>
          <w:color w:val="auto"/>
          <w:sz w:val="23"/>
          <w:szCs w:val="23"/>
        </w:rPr>
      </w:pPr>
    </w:p>
    <w:p w14:paraId="158407DD" w14:textId="77777777" w:rsidR="00166CB3" w:rsidRPr="00012B16" w:rsidRDefault="00166CB3" w:rsidP="00166CB3">
      <w:pPr>
        <w:pStyle w:val="NumberedHeading"/>
        <w:numPr>
          <w:ilvl w:val="0"/>
          <w:numId w:val="0"/>
        </w:numPr>
        <w:jc w:val="both"/>
      </w:pPr>
    </w:p>
    <w:p w14:paraId="120FA766" w14:textId="4E45982A" w:rsidR="00166CB3" w:rsidRPr="00DA6A76" w:rsidRDefault="00166CB3" w:rsidP="00166CB3">
      <w:pPr>
        <w:pStyle w:val="Heading1"/>
        <w:numPr>
          <w:ilvl w:val="0"/>
          <w:numId w:val="0"/>
        </w:numPr>
      </w:pPr>
      <w:bookmarkStart w:id="21" w:name="_Appendix_4:_Guidance"/>
      <w:bookmarkStart w:id="22" w:name="_Appendix_5:_Guidance"/>
      <w:bookmarkEnd w:id="21"/>
      <w:bookmarkEnd w:id="22"/>
      <w:r w:rsidRPr="008066F5">
        <w:br w:type="page"/>
      </w:r>
      <w:bookmarkStart w:id="23" w:name="_Toc172196373"/>
      <w:r>
        <w:lastRenderedPageBreak/>
        <w:t>A</w:t>
      </w:r>
      <w:r w:rsidRPr="00DA6A76">
        <w:t xml:space="preserve">ppendix </w:t>
      </w:r>
      <w:r w:rsidR="004A0CD7">
        <w:t>5</w:t>
      </w:r>
      <w:r w:rsidRPr="00DA6A76">
        <w:t xml:space="preserve">: </w:t>
      </w:r>
      <w:r>
        <w:t>G</w:t>
      </w:r>
      <w:r w:rsidRPr="00DA6A76">
        <w:t xml:space="preserve">uidance on </w:t>
      </w:r>
      <w:r>
        <w:t>the c</w:t>
      </w:r>
      <w:r w:rsidRPr="00DA6A76">
        <w:t xml:space="preserve">lassification of </w:t>
      </w:r>
      <w:r>
        <w:t>o</w:t>
      </w:r>
      <w:r w:rsidRPr="00DA6A76">
        <w:t xml:space="preserve">rganisational </w:t>
      </w:r>
      <w:r>
        <w:t>c</w:t>
      </w:r>
      <w:r w:rsidRPr="00DA6A76">
        <w:t>hange</w:t>
      </w:r>
      <w:r>
        <w:t>s</w:t>
      </w:r>
      <w:bookmarkEnd w:id="23"/>
    </w:p>
    <w:p w14:paraId="7D959FBC" w14:textId="77777777" w:rsidR="00166CB3" w:rsidRPr="00C4095F" w:rsidRDefault="00166CB3" w:rsidP="00166CB3">
      <w:r>
        <w:t xml:space="preserve">The approach to classifying changes may vary according to licensee. The following example classifications are provided for illustrative purposes to guide the inspector: </w:t>
      </w:r>
    </w:p>
    <w:p w14:paraId="701DEB86" w14:textId="77777777" w:rsidR="00166CB3" w:rsidRPr="00C4095F" w:rsidRDefault="00166CB3" w:rsidP="004A0CD7">
      <w:pPr>
        <w:pStyle w:val="Bulletlist1"/>
        <w:ind w:left="426"/>
      </w:pPr>
      <w:r>
        <w:t xml:space="preserve">Category 1 changes, which if inadequately conceived or executed, could result in a </w:t>
      </w:r>
      <w:r w:rsidRPr="004A0CD7">
        <w:rPr>
          <w:b/>
          <w:bCs w:val="0"/>
          <w:iCs/>
        </w:rPr>
        <w:t>major reduction</w:t>
      </w:r>
      <w:r>
        <w:t xml:space="preserve"> in the standards of nuclear safety with the potential for on-site and off-site impact such as: </w:t>
      </w:r>
    </w:p>
    <w:p w14:paraId="46E17A2D" w14:textId="77777777" w:rsidR="00166CB3" w:rsidRPr="00C4095F" w:rsidRDefault="00166CB3" w:rsidP="00166CB3">
      <w:pPr>
        <w:pStyle w:val="Bulletlist2"/>
      </w:pPr>
      <w:r>
        <w:t xml:space="preserve">Wide ranging company or site changes that have the potential to affect the validity of, or basis on which, the nuclear site licence was granted. </w:t>
      </w:r>
    </w:p>
    <w:p w14:paraId="5318EBFC" w14:textId="77777777" w:rsidR="00166CB3" w:rsidRPr="00C4095F" w:rsidRDefault="00166CB3" w:rsidP="00166CB3">
      <w:pPr>
        <w:pStyle w:val="Bulletlist2"/>
      </w:pPr>
      <w:r>
        <w:t xml:space="preserve">Changes resulting in the granting of a new site licence. </w:t>
      </w:r>
    </w:p>
    <w:p w14:paraId="7E220201" w14:textId="77777777" w:rsidR="00166CB3" w:rsidRPr="00C4095F" w:rsidRDefault="00166CB3" w:rsidP="00166CB3">
      <w:pPr>
        <w:pStyle w:val="Bulletlist2"/>
      </w:pPr>
      <w:r>
        <w:t xml:space="preserve">Sale, acquisition or merger of a licensee organisation or a nuclear licensed site. </w:t>
      </w:r>
    </w:p>
    <w:p w14:paraId="79B3C9EF" w14:textId="77777777" w:rsidR="00166CB3" w:rsidRPr="00C4095F" w:rsidRDefault="00166CB3" w:rsidP="00166CB3">
      <w:pPr>
        <w:pStyle w:val="Bulletlist2"/>
      </w:pPr>
      <w:r>
        <w:t xml:space="preserve">Changes involving more than one business unit, division or site. </w:t>
      </w:r>
    </w:p>
    <w:p w14:paraId="0156D37C" w14:textId="77777777" w:rsidR="00166CB3" w:rsidRPr="00C4095F" w:rsidRDefault="00166CB3" w:rsidP="00166CB3">
      <w:pPr>
        <w:pStyle w:val="Bulletlist2"/>
      </w:pPr>
      <w:r>
        <w:t xml:space="preserve">Large-scale downsizing or outsourcing of a nuclear safety significant function. </w:t>
      </w:r>
    </w:p>
    <w:p w14:paraId="7AFBE0AF" w14:textId="77777777" w:rsidR="00166CB3" w:rsidRPr="00C4095F" w:rsidRDefault="00166CB3" w:rsidP="004A0CD7">
      <w:pPr>
        <w:pStyle w:val="Bulletlist1"/>
        <w:ind w:left="426"/>
      </w:pPr>
      <w:r>
        <w:t xml:space="preserve">Category 2 changes, which if inadequately conceived or executed, could result in a </w:t>
      </w:r>
      <w:r w:rsidRPr="004A0CD7">
        <w:rPr>
          <w:b/>
          <w:bCs w:val="0"/>
          <w:iCs/>
        </w:rPr>
        <w:t>significant reduction</w:t>
      </w:r>
      <w:r>
        <w:t xml:space="preserve"> in the standards of nuclear safety with the potential to affect a large proportion of or the whole of a site such as: </w:t>
      </w:r>
    </w:p>
    <w:p w14:paraId="2BE792F6" w14:textId="77777777" w:rsidR="00166CB3" w:rsidRPr="00C4095F" w:rsidRDefault="00166CB3" w:rsidP="00166CB3">
      <w:pPr>
        <w:pStyle w:val="Bulletlist2"/>
      </w:pPr>
      <w:r>
        <w:t xml:space="preserve">Changes that affect people within a whole facility. </w:t>
      </w:r>
    </w:p>
    <w:p w14:paraId="6DFDB045" w14:textId="77777777" w:rsidR="00166CB3" w:rsidRPr="00C4095F" w:rsidRDefault="00166CB3" w:rsidP="00166CB3">
      <w:pPr>
        <w:pStyle w:val="Bulletlist2"/>
      </w:pPr>
      <w:r>
        <w:t xml:space="preserve">Changes that affect a whole department or large groups of staff. </w:t>
      </w:r>
    </w:p>
    <w:p w14:paraId="38603D27" w14:textId="77777777" w:rsidR="00166CB3" w:rsidRPr="00C4095F" w:rsidRDefault="00166CB3" w:rsidP="00166CB3">
      <w:pPr>
        <w:pStyle w:val="Bulletlist2"/>
      </w:pPr>
      <w:r>
        <w:t xml:space="preserve">Changes that affect several layers of management. </w:t>
      </w:r>
    </w:p>
    <w:p w14:paraId="5F16E532" w14:textId="77777777" w:rsidR="00166CB3" w:rsidRPr="00C4095F" w:rsidRDefault="00166CB3" w:rsidP="00166CB3">
      <w:pPr>
        <w:pStyle w:val="Bulletlist2"/>
      </w:pPr>
      <w:r>
        <w:t xml:space="preserve">Significant reduction in the size of a team that has an EH&amp;S role. </w:t>
      </w:r>
    </w:p>
    <w:p w14:paraId="0C639BD0" w14:textId="77777777" w:rsidR="00166CB3" w:rsidRPr="00C4095F" w:rsidRDefault="00166CB3" w:rsidP="00166CB3">
      <w:pPr>
        <w:pStyle w:val="Bulletlist2"/>
      </w:pPr>
      <w:r>
        <w:t xml:space="preserve">Changes with significant potential to adversely impact on a site’s emergency response. </w:t>
      </w:r>
    </w:p>
    <w:p w14:paraId="645D3C93" w14:textId="77777777" w:rsidR="00166CB3" w:rsidRPr="007B285C" w:rsidRDefault="00166CB3" w:rsidP="00166CB3">
      <w:pPr>
        <w:pStyle w:val="Bulletlist2"/>
      </w:pPr>
      <w:r>
        <w:t xml:space="preserve">Changes </w:t>
      </w:r>
      <w:r w:rsidRPr="007B285C">
        <w:t xml:space="preserve">resulting in a significant transfer of key EH&amp;S accountabilities and responsibilities </w:t>
      </w:r>
      <w:r w:rsidRPr="00D9577E">
        <w:t>such as those associated with DAP duties</w:t>
      </w:r>
      <w:r w:rsidRPr="007B285C">
        <w:t>.</w:t>
      </w:r>
    </w:p>
    <w:p w14:paraId="67E9AE37" w14:textId="77777777" w:rsidR="00166CB3" w:rsidRPr="00D9577E" w:rsidRDefault="00166CB3" w:rsidP="00166CB3">
      <w:pPr>
        <w:pStyle w:val="Bulletlist2"/>
      </w:pPr>
      <w:r w:rsidRPr="00D9577E">
        <w:t>Changes in staff shift patterns</w:t>
      </w:r>
      <w:r>
        <w:t xml:space="preserve"> </w:t>
      </w:r>
    </w:p>
    <w:p w14:paraId="0ACD5385" w14:textId="77777777" w:rsidR="00166CB3" w:rsidRPr="00C4095F" w:rsidRDefault="00166CB3" w:rsidP="004A0CD7">
      <w:pPr>
        <w:pStyle w:val="Bulletlist1"/>
        <w:ind w:left="426"/>
      </w:pPr>
      <w:r>
        <w:t xml:space="preserve">Category 3 changes, which if inadequately conceived or executed, could result in a </w:t>
      </w:r>
      <w:r w:rsidRPr="004A0CD7">
        <w:rPr>
          <w:b/>
          <w:bCs w:val="0"/>
          <w:iCs/>
        </w:rPr>
        <w:t>minor reduction</w:t>
      </w:r>
      <w:r>
        <w:t xml:space="preserve"> in the standards of nuclear safety with the potential to affect a single plant, department or business unit such as: </w:t>
      </w:r>
    </w:p>
    <w:p w14:paraId="0209B923" w14:textId="77777777" w:rsidR="00166CB3" w:rsidRPr="00C4095F" w:rsidRDefault="00166CB3" w:rsidP="00166CB3">
      <w:pPr>
        <w:pStyle w:val="Bulletlist2"/>
      </w:pPr>
      <w:r>
        <w:t xml:space="preserve">Changes that affect staff within one process area or a significant part of a plant. </w:t>
      </w:r>
    </w:p>
    <w:p w14:paraId="4A102072" w14:textId="77777777" w:rsidR="00166CB3" w:rsidRPr="00C4095F" w:rsidRDefault="00166CB3" w:rsidP="00166CB3">
      <w:pPr>
        <w:pStyle w:val="Bulletlist2"/>
      </w:pPr>
      <w:r>
        <w:lastRenderedPageBreak/>
        <w:t xml:space="preserve">Changes that affect a small group of staff, such as part of a department. </w:t>
      </w:r>
    </w:p>
    <w:p w14:paraId="67B9A01D" w14:textId="77777777" w:rsidR="00166CB3" w:rsidRPr="00C4095F" w:rsidRDefault="00166CB3" w:rsidP="00166CB3">
      <w:pPr>
        <w:pStyle w:val="Bulletlist2"/>
      </w:pPr>
      <w:r>
        <w:t xml:space="preserve">Small reduction in the size of a team. </w:t>
      </w:r>
    </w:p>
    <w:p w14:paraId="57405C30" w14:textId="77777777" w:rsidR="00166CB3" w:rsidRPr="00C4095F" w:rsidRDefault="00166CB3" w:rsidP="00166CB3">
      <w:pPr>
        <w:pStyle w:val="Bulletlist2"/>
      </w:pPr>
      <w:r>
        <w:t xml:space="preserve">Changes in management accountabilities/responsibilities that have a small impact on EH&amp;S. </w:t>
      </w:r>
    </w:p>
    <w:p w14:paraId="5B1D8D9B" w14:textId="77777777" w:rsidR="00166CB3" w:rsidRDefault="00166CB3" w:rsidP="00166CB3">
      <w:pPr>
        <w:pStyle w:val="Bulletlist2"/>
      </w:pPr>
      <w:r>
        <w:t>Transfer of responsibilities between departments/units.</w:t>
      </w:r>
    </w:p>
    <w:p w14:paraId="17CE49EE" w14:textId="77777777" w:rsidR="00166CB3" w:rsidRPr="00C4095F" w:rsidRDefault="00166CB3" w:rsidP="004A0CD7">
      <w:pPr>
        <w:pStyle w:val="Bulletlist1"/>
        <w:ind w:left="426"/>
      </w:pPr>
      <w:r>
        <w:t xml:space="preserve"> Category 4 changes with </w:t>
      </w:r>
      <w:r w:rsidRPr="004A0CD7">
        <w:rPr>
          <w:b/>
          <w:bCs w:val="0"/>
          <w:iCs/>
        </w:rPr>
        <w:t>negligible</w:t>
      </w:r>
      <w:r w:rsidRPr="00315E53">
        <w:rPr>
          <w:i/>
        </w:rPr>
        <w:t xml:space="preserve"> or </w:t>
      </w:r>
      <w:r w:rsidRPr="004A0CD7">
        <w:rPr>
          <w:b/>
          <w:bCs w:val="0"/>
          <w:iCs/>
        </w:rPr>
        <w:t>no effect</w:t>
      </w:r>
      <w:r>
        <w:t xml:space="preserve"> on nuclear safety such as: </w:t>
      </w:r>
    </w:p>
    <w:p w14:paraId="5FF6E209" w14:textId="77777777" w:rsidR="00166CB3" w:rsidRPr="00C4095F" w:rsidRDefault="00166CB3" w:rsidP="00166CB3">
      <w:pPr>
        <w:pStyle w:val="Bulletlist2"/>
      </w:pPr>
      <w:r>
        <w:t xml:space="preserve">Changes to organisational responsibilities that do not lead to a significant increase in the workload of any line manager or group of staff. </w:t>
      </w:r>
    </w:p>
    <w:p w14:paraId="1D4A646A" w14:textId="77777777" w:rsidR="00166CB3" w:rsidRDefault="00166CB3" w:rsidP="00166CB3">
      <w:pPr>
        <w:pStyle w:val="Bulletlist2"/>
      </w:pPr>
      <w:r>
        <w:t xml:space="preserve">A reduction in the size of a team that has little or no EH&amp;S role. </w:t>
      </w:r>
    </w:p>
    <w:p w14:paraId="49FAF4A0" w14:textId="77777777" w:rsidR="00166CB3" w:rsidRPr="00D9577E" w:rsidRDefault="00166CB3" w:rsidP="00166CB3">
      <w:pPr>
        <w:pStyle w:val="Bulletlist2"/>
      </w:pPr>
      <w:r w:rsidRPr="00D9577E">
        <w:t>Staff being moved or leaving following completion of a project or package of work</w:t>
      </w:r>
      <w:r>
        <w:t>.</w:t>
      </w:r>
    </w:p>
    <w:p w14:paraId="3B8767DB" w14:textId="77777777" w:rsidR="00166CB3" w:rsidRDefault="00166CB3" w:rsidP="00166CB3">
      <w:pPr>
        <w:pStyle w:val="NumberedHeading"/>
        <w:numPr>
          <w:ilvl w:val="0"/>
          <w:numId w:val="0"/>
        </w:numPr>
        <w:tabs>
          <w:tab w:val="left" w:pos="720"/>
        </w:tabs>
        <w:ind w:left="720"/>
        <w:jc w:val="both"/>
        <w:rPr>
          <w:lang w:eastAsia="en-GB"/>
        </w:rPr>
        <w:sectPr w:rsidR="00166CB3" w:rsidSect="00166CB3">
          <w:pgSz w:w="11906" w:h="16838" w:code="9"/>
          <w:pgMar w:top="1440" w:right="1440" w:bottom="1440" w:left="1440" w:header="397" w:footer="397" w:gutter="0"/>
          <w:cols w:space="312"/>
          <w:docGrid w:linePitch="360"/>
        </w:sectPr>
      </w:pPr>
      <w:bookmarkStart w:id="24" w:name="_Toc358981189"/>
    </w:p>
    <w:bookmarkEnd w:id="24" w:displacedByCustomXml="next"/>
    <w:bookmarkEnd w:id="15" w:displacedByCustomXml="next"/>
    <w:bookmarkStart w:id="25" w:name="_Toc172196374" w:displacedByCustomXml="next"/>
    <w:sdt>
      <w:sdtPr>
        <w:rPr>
          <w:color w:val="auto"/>
          <w:sz w:val="24"/>
        </w:rPr>
        <w:id w:val="-284124854"/>
        <w:docPartObj>
          <w:docPartGallery w:val="Bibliographies"/>
          <w:docPartUnique/>
        </w:docPartObj>
      </w:sdtPr>
      <w:sdtEndPr/>
      <w:sdtContent>
        <w:p w14:paraId="73E8545A" w14:textId="77777777" w:rsidR="004A0CD7" w:rsidRDefault="004A0CD7" w:rsidP="004A0CD7">
          <w:pPr>
            <w:pStyle w:val="Heading1"/>
            <w:numPr>
              <w:ilvl w:val="0"/>
              <w:numId w:val="0"/>
            </w:numPr>
          </w:pPr>
          <w:r>
            <w:t>References</w:t>
          </w:r>
          <w:bookmarkEnd w:id="25"/>
        </w:p>
        <w:sdt>
          <w:sdtPr>
            <w:id w:val="700524479"/>
            <w:bibliography/>
          </w:sdtPr>
          <w:sdtEndPr/>
          <w:sdtContent>
            <w:p w14:paraId="03652129" w14:textId="77777777" w:rsidR="00FB6981" w:rsidRDefault="004A0CD7" w:rsidP="004A0CD7">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FB6981" w14:paraId="49299890" w14:textId="77777777">
                <w:trPr>
                  <w:divId w:val="1623802719"/>
                  <w:tblCellSpacing w:w="15" w:type="dxa"/>
                </w:trPr>
                <w:tc>
                  <w:tcPr>
                    <w:tcW w:w="50" w:type="pct"/>
                    <w:hideMark/>
                  </w:tcPr>
                  <w:p w14:paraId="3EF54D41" w14:textId="5228D44B" w:rsidR="00FB6981" w:rsidRDefault="00FB6981">
                    <w:pPr>
                      <w:pStyle w:val="Bibliography"/>
                      <w:rPr>
                        <w:noProof/>
                        <w:szCs w:val="24"/>
                      </w:rPr>
                    </w:pPr>
                    <w:r>
                      <w:rPr>
                        <w:noProof/>
                      </w:rPr>
                      <w:t xml:space="preserve">[1] </w:t>
                    </w:r>
                  </w:p>
                </w:tc>
                <w:tc>
                  <w:tcPr>
                    <w:tcW w:w="0" w:type="auto"/>
                    <w:hideMark/>
                  </w:tcPr>
                  <w:p w14:paraId="63A196F8" w14:textId="77777777" w:rsidR="00FB6981" w:rsidRDefault="00FB6981">
                    <w:pPr>
                      <w:pStyle w:val="Bibliography"/>
                      <w:rPr>
                        <w:noProof/>
                      </w:rPr>
                    </w:pPr>
                    <w:r>
                      <w:rPr>
                        <w:noProof/>
                      </w:rPr>
                      <w:t>ONR, “Safety Assessment Principles (SAPs) for Nuclear Facilities - 2014 Edition (Revision 1),” 2020.</w:t>
                    </w:r>
                  </w:p>
                </w:tc>
              </w:tr>
              <w:tr w:rsidR="00FB6981" w14:paraId="61831A80" w14:textId="77777777">
                <w:trPr>
                  <w:divId w:val="1623802719"/>
                  <w:tblCellSpacing w:w="15" w:type="dxa"/>
                </w:trPr>
                <w:tc>
                  <w:tcPr>
                    <w:tcW w:w="50" w:type="pct"/>
                    <w:hideMark/>
                  </w:tcPr>
                  <w:p w14:paraId="5BCE9870" w14:textId="77777777" w:rsidR="00FB6981" w:rsidRDefault="00FB6981">
                    <w:pPr>
                      <w:pStyle w:val="Bibliography"/>
                      <w:rPr>
                        <w:noProof/>
                      </w:rPr>
                    </w:pPr>
                    <w:r>
                      <w:rPr>
                        <w:noProof/>
                      </w:rPr>
                      <w:t xml:space="preserve">[2] </w:t>
                    </w:r>
                  </w:p>
                </w:tc>
                <w:tc>
                  <w:tcPr>
                    <w:tcW w:w="0" w:type="auto"/>
                    <w:hideMark/>
                  </w:tcPr>
                  <w:p w14:paraId="1FBAEF82" w14:textId="77777777" w:rsidR="00FB6981" w:rsidRDefault="00FB6981">
                    <w:pPr>
                      <w:pStyle w:val="Bibliography"/>
                      <w:rPr>
                        <w:noProof/>
                      </w:rPr>
                    </w:pPr>
                    <w:r>
                      <w:rPr>
                        <w:noProof/>
                      </w:rPr>
                      <w:t>ONR, “NS-INSP-GD-036 - LC36 - Organisational Capability”.</w:t>
                    </w:r>
                  </w:p>
                </w:tc>
              </w:tr>
              <w:tr w:rsidR="00FB6981" w14:paraId="3218973C" w14:textId="77777777">
                <w:trPr>
                  <w:divId w:val="1623802719"/>
                  <w:tblCellSpacing w:w="15" w:type="dxa"/>
                </w:trPr>
                <w:tc>
                  <w:tcPr>
                    <w:tcW w:w="50" w:type="pct"/>
                    <w:hideMark/>
                  </w:tcPr>
                  <w:p w14:paraId="7D9C9D41" w14:textId="77777777" w:rsidR="00FB6981" w:rsidRDefault="00FB6981">
                    <w:pPr>
                      <w:pStyle w:val="Bibliography"/>
                      <w:rPr>
                        <w:noProof/>
                      </w:rPr>
                    </w:pPr>
                    <w:r>
                      <w:rPr>
                        <w:noProof/>
                      </w:rPr>
                      <w:t xml:space="preserve">[3] </w:t>
                    </w:r>
                  </w:p>
                </w:tc>
                <w:tc>
                  <w:tcPr>
                    <w:tcW w:w="0" w:type="auto"/>
                    <w:hideMark/>
                  </w:tcPr>
                  <w:p w14:paraId="7C49B102" w14:textId="77777777" w:rsidR="00FB6981" w:rsidRDefault="00FB6981">
                    <w:pPr>
                      <w:pStyle w:val="Bibliography"/>
                      <w:rPr>
                        <w:noProof/>
                      </w:rPr>
                    </w:pPr>
                    <w:r>
                      <w:rPr>
                        <w:noProof/>
                      </w:rPr>
                      <w:t>ONR, “NS-TAST-GD-065 - Function and Content of the Nuclear Baseline”.</w:t>
                    </w:r>
                  </w:p>
                </w:tc>
              </w:tr>
              <w:tr w:rsidR="00FB6981" w14:paraId="079F4FFE" w14:textId="77777777">
                <w:trPr>
                  <w:divId w:val="1623802719"/>
                  <w:tblCellSpacing w:w="15" w:type="dxa"/>
                </w:trPr>
                <w:tc>
                  <w:tcPr>
                    <w:tcW w:w="50" w:type="pct"/>
                    <w:hideMark/>
                  </w:tcPr>
                  <w:p w14:paraId="746E95DC" w14:textId="77777777" w:rsidR="00FB6981" w:rsidRDefault="00FB6981">
                    <w:pPr>
                      <w:pStyle w:val="Bibliography"/>
                      <w:rPr>
                        <w:noProof/>
                      </w:rPr>
                    </w:pPr>
                    <w:r>
                      <w:rPr>
                        <w:noProof/>
                      </w:rPr>
                      <w:t xml:space="preserve">[4] </w:t>
                    </w:r>
                  </w:p>
                </w:tc>
                <w:tc>
                  <w:tcPr>
                    <w:tcW w:w="0" w:type="auto"/>
                    <w:hideMark/>
                  </w:tcPr>
                  <w:p w14:paraId="51781A8C" w14:textId="77777777" w:rsidR="00FB6981" w:rsidRDefault="00FB6981">
                    <w:pPr>
                      <w:pStyle w:val="Bibliography"/>
                      <w:rPr>
                        <w:noProof/>
                      </w:rPr>
                    </w:pPr>
                    <w:r>
                      <w:rPr>
                        <w:noProof/>
                      </w:rPr>
                      <w:t>SDF, “Nuclear Baseline and the Management of Organisational Change – A Good Practice Guide (Issue 3),” 2017.</w:t>
                    </w:r>
                  </w:p>
                </w:tc>
              </w:tr>
              <w:tr w:rsidR="00FB6981" w14:paraId="2E054E3E" w14:textId="77777777">
                <w:trPr>
                  <w:divId w:val="1623802719"/>
                  <w:tblCellSpacing w:w="15" w:type="dxa"/>
                </w:trPr>
                <w:tc>
                  <w:tcPr>
                    <w:tcW w:w="50" w:type="pct"/>
                    <w:hideMark/>
                  </w:tcPr>
                  <w:p w14:paraId="05CC82AB" w14:textId="77777777" w:rsidR="00FB6981" w:rsidRDefault="00FB6981">
                    <w:pPr>
                      <w:pStyle w:val="Bibliography"/>
                      <w:rPr>
                        <w:noProof/>
                      </w:rPr>
                    </w:pPr>
                    <w:r>
                      <w:rPr>
                        <w:noProof/>
                      </w:rPr>
                      <w:t xml:space="preserve">[5] </w:t>
                    </w:r>
                  </w:p>
                </w:tc>
                <w:tc>
                  <w:tcPr>
                    <w:tcW w:w="0" w:type="auto"/>
                    <w:hideMark/>
                  </w:tcPr>
                  <w:p w14:paraId="11BD80DD" w14:textId="77777777" w:rsidR="00FB6981" w:rsidRDefault="00FB6981">
                    <w:pPr>
                      <w:pStyle w:val="Bibliography"/>
                      <w:rPr>
                        <w:noProof/>
                      </w:rPr>
                    </w:pPr>
                    <w:r>
                      <w:rPr>
                        <w:noProof/>
                      </w:rPr>
                      <w:t xml:space="preserve">SDF, Good Practice Guide on Organisational Capability and Resilience, 2018. </w:t>
                    </w:r>
                  </w:p>
                </w:tc>
              </w:tr>
              <w:tr w:rsidR="00FB6981" w14:paraId="50DE72E1" w14:textId="77777777">
                <w:trPr>
                  <w:divId w:val="1623802719"/>
                  <w:tblCellSpacing w:w="15" w:type="dxa"/>
                </w:trPr>
                <w:tc>
                  <w:tcPr>
                    <w:tcW w:w="50" w:type="pct"/>
                    <w:hideMark/>
                  </w:tcPr>
                  <w:p w14:paraId="1C975D98" w14:textId="77777777" w:rsidR="00FB6981" w:rsidRDefault="00FB6981">
                    <w:pPr>
                      <w:pStyle w:val="Bibliography"/>
                      <w:rPr>
                        <w:noProof/>
                      </w:rPr>
                    </w:pPr>
                    <w:r>
                      <w:rPr>
                        <w:noProof/>
                      </w:rPr>
                      <w:t xml:space="preserve">[6] </w:t>
                    </w:r>
                  </w:p>
                </w:tc>
                <w:tc>
                  <w:tcPr>
                    <w:tcW w:w="0" w:type="auto"/>
                    <w:hideMark/>
                  </w:tcPr>
                  <w:p w14:paraId="75EE451D" w14:textId="77777777" w:rsidR="00FB6981" w:rsidRDefault="00FB6981">
                    <w:pPr>
                      <w:pStyle w:val="Bibliography"/>
                      <w:rPr>
                        <w:noProof/>
                      </w:rPr>
                    </w:pPr>
                    <w:r>
                      <w:rPr>
                        <w:noProof/>
                      </w:rPr>
                      <w:t xml:space="preserve">SDF, Nuclear Industry Guide to Overarching MoC Documents and Principles Papers, 2020. </w:t>
                    </w:r>
                  </w:p>
                </w:tc>
              </w:tr>
              <w:tr w:rsidR="00FB6981" w14:paraId="308C96EC" w14:textId="77777777">
                <w:trPr>
                  <w:divId w:val="1623802719"/>
                  <w:tblCellSpacing w:w="15" w:type="dxa"/>
                </w:trPr>
                <w:tc>
                  <w:tcPr>
                    <w:tcW w:w="50" w:type="pct"/>
                    <w:hideMark/>
                  </w:tcPr>
                  <w:p w14:paraId="00E9F9A2" w14:textId="77777777" w:rsidR="00FB6981" w:rsidRDefault="00FB6981">
                    <w:pPr>
                      <w:pStyle w:val="Bibliography"/>
                      <w:rPr>
                        <w:noProof/>
                      </w:rPr>
                    </w:pPr>
                    <w:r>
                      <w:rPr>
                        <w:noProof/>
                      </w:rPr>
                      <w:t xml:space="preserve">[7] </w:t>
                    </w:r>
                  </w:p>
                </w:tc>
                <w:tc>
                  <w:tcPr>
                    <w:tcW w:w="0" w:type="auto"/>
                    <w:hideMark/>
                  </w:tcPr>
                  <w:p w14:paraId="2B1A71CD" w14:textId="77777777" w:rsidR="00FB6981" w:rsidRDefault="00FB6981">
                    <w:pPr>
                      <w:pStyle w:val="Bibliography"/>
                      <w:rPr>
                        <w:noProof/>
                      </w:rPr>
                    </w:pPr>
                    <w:r>
                      <w:rPr>
                        <w:noProof/>
                      </w:rPr>
                      <w:t>ONR, “NS-TAST-GD-027 - Training and Assuring Personnel Competence”.</w:t>
                    </w:r>
                  </w:p>
                </w:tc>
              </w:tr>
              <w:tr w:rsidR="00FB6981" w14:paraId="62283FAB" w14:textId="77777777">
                <w:trPr>
                  <w:divId w:val="1623802719"/>
                  <w:tblCellSpacing w:w="15" w:type="dxa"/>
                </w:trPr>
                <w:tc>
                  <w:tcPr>
                    <w:tcW w:w="50" w:type="pct"/>
                    <w:hideMark/>
                  </w:tcPr>
                  <w:p w14:paraId="1C86ABB9" w14:textId="77777777" w:rsidR="00FB6981" w:rsidRDefault="00FB6981">
                    <w:pPr>
                      <w:pStyle w:val="Bibliography"/>
                      <w:rPr>
                        <w:noProof/>
                      </w:rPr>
                    </w:pPr>
                    <w:r>
                      <w:rPr>
                        <w:noProof/>
                      </w:rPr>
                      <w:t xml:space="preserve">[8] </w:t>
                    </w:r>
                  </w:p>
                </w:tc>
                <w:tc>
                  <w:tcPr>
                    <w:tcW w:w="0" w:type="auto"/>
                    <w:hideMark/>
                  </w:tcPr>
                  <w:p w14:paraId="75769B14" w14:textId="77777777" w:rsidR="00FB6981" w:rsidRDefault="00FB6981">
                    <w:pPr>
                      <w:pStyle w:val="Bibliography"/>
                      <w:rPr>
                        <w:noProof/>
                      </w:rPr>
                    </w:pPr>
                    <w:r>
                      <w:rPr>
                        <w:noProof/>
                      </w:rPr>
                      <w:t>ONR, “NS-TAST-GD-049 - Licensee Use of Contractors and Intelligent Customer Capability”.</w:t>
                    </w:r>
                  </w:p>
                </w:tc>
              </w:tr>
              <w:tr w:rsidR="00FB6981" w14:paraId="76EFD8D7" w14:textId="77777777">
                <w:trPr>
                  <w:divId w:val="1623802719"/>
                  <w:tblCellSpacing w:w="15" w:type="dxa"/>
                </w:trPr>
                <w:tc>
                  <w:tcPr>
                    <w:tcW w:w="50" w:type="pct"/>
                    <w:hideMark/>
                  </w:tcPr>
                  <w:p w14:paraId="3D1F6CD8" w14:textId="77777777" w:rsidR="00FB6981" w:rsidRDefault="00FB6981">
                    <w:pPr>
                      <w:pStyle w:val="Bibliography"/>
                      <w:rPr>
                        <w:noProof/>
                      </w:rPr>
                    </w:pPr>
                    <w:r>
                      <w:rPr>
                        <w:noProof/>
                      </w:rPr>
                      <w:t xml:space="preserve">[9] </w:t>
                    </w:r>
                  </w:p>
                </w:tc>
                <w:tc>
                  <w:tcPr>
                    <w:tcW w:w="0" w:type="auto"/>
                    <w:hideMark/>
                  </w:tcPr>
                  <w:p w14:paraId="799F7F9E" w14:textId="77777777" w:rsidR="00FB6981" w:rsidRDefault="00FB6981">
                    <w:pPr>
                      <w:pStyle w:val="Bibliography"/>
                      <w:rPr>
                        <w:noProof/>
                      </w:rPr>
                    </w:pPr>
                    <w:r>
                      <w:rPr>
                        <w:noProof/>
                      </w:rPr>
                      <w:t xml:space="preserve">ONR, NS-TAST_GD-050 - Periodic Safety Reviews. </w:t>
                    </w:r>
                  </w:p>
                </w:tc>
              </w:tr>
              <w:tr w:rsidR="00FB6981" w14:paraId="03D65EAD" w14:textId="77777777">
                <w:trPr>
                  <w:divId w:val="1623802719"/>
                  <w:tblCellSpacing w:w="15" w:type="dxa"/>
                </w:trPr>
                <w:tc>
                  <w:tcPr>
                    <w:tcW w:w="50" w:type="pct"/>
                    <w:hideMark/>
                  </w:tcPr>
                  <w:p w14:paraId="6A5EA777" w14:textId="77777777" w:rsidR="00FB6981" w:rsidRDefault="00FB6981">
                    <w:pPr>
                      <w:pStyle w:val="Bibliography"/>
                      <w:rPr>
                        <w:noProof/>
                      </w:rPr>
                    </w:pPr>
                    <w:r>
                      <w:rPr>
                        <w:noProof/>
                      </w:rPr>
                      <w:t xml:space="preserve">[10] </w:t>
                    </w:r>
                  </w:p>
                </w:tc>
                <w:tc>
                  <w:tcPr>
                    <w:tcW w:w="0" w:type="auto"/>
                    <w:hideMark/>
                  </w:tcPr>
                  <w:p w14:paraId="4C4B67B5" w14:textId="77777777" w:rsidR="00FB6981" w:rsidRDefault="00FB6981">
                    <w:pPr>
                      <w:pStyle w:val="Bibliography"/>
                      <w:rPr>
                        <w:noProof/>
                      </w:rPr>
                    </w:pPr>
                    <w:r>
                      <w:rPr>
                        <w:noProof/>
                      </w:rPr>
                      <w:t xml:space="preserve">ONR, NS-TAST-GD-061 – Staffing Levels and Task Organisation. </w:t>
                    </w:r>
                  </w:p>
                </w:tc>
              </w:tr>
              <w:tr w:rsidR="00FB6981" w14:paraId="6CAF328C" w14:textId="77777777">
                <w:trPr>
                  <w:divId w:val="1623802719"/>
                  <w:tblCellSpacing w:w="15" w:type="dxa"/>
                </w:trPr>
                <w:tc>
                  <w:tcPr>
                    <w:tcW w:w="50" w:type="pct"/>
                    <w:hideMark/>
                  </w:tcPr>
                  <w:p w14:paraId="51FAD71B" w14:textId="77777777" w:rsidR="00FB6981" w:rsidRDefault="00FB6981">
                    <w:pPr>
                      <w:pStyle w:val="Bibliography"/>
                      <w:rPr>
                        <w:noProof/>
                      </w:rPr>
                    </w:pPr>
                    <w:r>
                      <w:rPr>
                        <w:noProof/>
                      </w:rPr>
                      <w:t xml:space="preserve">[11] </w:t>
                    </w:r>
                  </w:p>
                </w:tc>
                <w:tc>
                  <w:tcPr>
                    <w:tcW w:w="0" w:type="auto"/>
                    <w:hideMark/>
                  </w:tcPr>
                  <w:p w14:paraId="1F1B12DC" w14:textId="77777777" w:rsidR="00FB6981" w:rsidRDefault="00FB6981">
                    <w:pPr>
                      <w:pStyle w:val="Bibliography"/>
                      <w:rPr>
                        <w:noProof/>
                      </w:rPr>
                    </w:pPr>
                    <w:r>
                      <w:rPr>
                        <w:noProof/>
                      </w:rPr>
                      <w:t xml:space="preserve">ONR, NS-TAST-GD-072 – Function and Content of a Safety Management Prospectus. </w:t>
                    </w:r>
                  </w:p>
                </w:tc>
              </w:tr>
              <w:tr w:rsidR="00FB6981" w14:paraId="250F0EE4" w14:textId="77777777">
                <w:trPr>
                  <w:divId w:val="1623802719"/>
                  <w:tblCellSpacing w:w="15" w:type="dxa"/>
                </w:trPr>
                <w:tc>
                  <w:tcPr>
                    <w:tcW w:w="50" w:type="pct"/>
                    <w:hideMark/>
                  </w:tcPr>
                  <w:p w14:paraId="183320A5" w14:textId="77777777" w:rsidR="00FB6981" w:rsidRDefault="00FB6981">
                    <w:pPr>
                      <w:pStyle w:val="Bibliography"/>
                      <w:rPr>
                        <w:noProof/>
                      </w:rPr>
                    </w:pPr>
                    <w:r>
                      <w:rPr>
                        <w:noProof/>
                      </w:rPr>
                      <w:t xml:space="preserve">[12] </w:t>
                    </w:r>
                  </w:p>
                </w:tc>
                <w:tc>
                  <w:tcPr>
                    <w:tcW w:w="0" w:type="auto"/>
                    <w:hideMark/>
                  </w:tcPr>
                  <w:p w14:paraId="7C78101C" w14:textId="77777777" w:rsidR="00FB6981" w:rsidRDefault="00FB6981">
                    <w:pPr>
                      <w:pStyle w:val="Bibliography"/>
                      <w:rPr>
                        <w:noProof/>
                      </w:rPr>
                    </w:pPr>
                    <w:r>
                      <w:rPr>
                        <w:noProof/>
                      </w:rPr>
                      <w:t xml:space="preserve">ONR, NS-TAST-GD-077 – Supply Chain Management Arrangements for the Procurement of Nulcear Safety Related Items or Services. </w:t>
                    </w:r>
                  </w:p>
                </w:tc>
              </w:tr>
              <w:tr w:rsidR="00FB6981" w14:paraId="41C86D1E" w14:textId="77777777">
                <w:trPr>
                  <w:divId w:val="1623802719"/>
                  <w:tblCellSpacing w:w="15" w:type="dxa"/>
                </w:trPr>
                <w:tc>
                  <w:tcPr>
                    <w:tcW w:w="50" w:type="pct"/>
                    <w:hideMark/>
                  </w:tcPr>
                  <w:p w14:paraId="4DBAF919" w14:textId="77777777" w:rsidR="00FB6981" w:rsidRDefault="00FB6981">
                    <w:pPr>
                      <w:pStyle w:val="Bibliography"/>
                      <w:rPr>
                        <w:noProof/>
                      </w:rPr>
                    </w:pPr>
                    <w:r>
                      <w:rPr>
                        <w:noProof/>
                      </w:rPr>
                      <w:t xml:space="preserve">[13] </w:t>
                    </w:r>
                  </w:p>
                </w:tc>
                <w:tc>
                  <w:tcPr>
                    <w:tcW w:w="0" w:type="auto"/>
                    <w:hideMark/>
                  </w:tcPr>
                  <w:p w14:paraId="18F31DBC" w14:textId="77777777" w:rsidR="00FB6981" w:rsidRDefault="00FB6981">
                    <w:pPr>
                      <w:pStyle w:val="Bibliography"/>
                      <w:rPr>
                        <w:noProof/>
                      </w:rPr>
                    </w:pPr>
                    <w:r>
                      <w:rPr>
                        <w:noProof/>
                      </w:rPr>
                      <w:t>ONR, “NS-TAST-GD-079 - Licensee Design Authority Capability”.</w:t>
                    </w:r>
                  </w:p>
                </w:tc>
              </w:tr>
              <w:tr w:rsidR="00FB6981" w14:paraId="136E233B" w14:textId="77777777">
                <w:trPr>
                  <w:divId w:val="1623802719"/>
                  <w:tblCellSpacing w:w="15" w:type="dxa"/>
                </w:trPr>
                <w:tc>
                  <w:tcPr>
                    <w:tcW w:w="50" w:type="pct"/>
                    <w:hideMark/>
                  </w:tcPr>
                  <w:p w14:paraId="410EFE1A" w14:textId="77777777" w:rsidR="00FB6981" w:rsidRDefault="00FB6981">
                    <w:pPr>
                      <w:pStyle w:val="Bibliography"/>
                      <w:rPr>
                        <w:noProof/>
                      </w:rPr>
                    </w:pPr>
                    <w:r>
                      <w:rPr>
                        <w:noProof/>
                      </w:rPr>
                      <w:t xml:space="preserve">[14] </w:t>
                    </w:r>
                  </w:p>
                </w:tc>
                <w:tc>
                  <w:tcPr>
                    <w:tcW w:w="0" w:type="auto"/>
                    <w:hideMark/>
                  </w:tcPr>
                  <w:p w14:paraId="7736FBFD" w14:textId="77777777" w:rsidR="00FB6981" w:rsidRDefault="00FB6981">
                    <w:pPr>
                      <w:pStyle w:val="Bibliography"/>
                      <w:rPr>
                        <w:noProof/>
                      </w:rPr>
                    </w:pPr>
                    <w:r>
                      <w:rPr>
                        <w:noProof/>
                      </w:rPr>
                      <w:t xml:space="preserve">ONR, NS-TAST-GD-080 – Nuclear Safety Advice and Independent Challenge. </w:t>
                    </w:r>
                  </w:p>
                </w:tc>
              </w:tr>
              <w:tr w:rsidR="00FB6981" w14:paraId="63A48052" w14:textId="77777777">
                <w:trPr>
                  <w:divId w:val="1623802719"/>
                  <w:tblCellSpacing w:w="15" w:type="dxa"/>
                </w:trPr>
                <w:tc>
                  <w:tcPr>
                    <w:tcW w:w="50" w:type="pct"/>
                    <w:hideMark/>
                  </w:tcPr>
                  <w:p w14:paraId="034A4DE7" w14:textId="77777777" w:rsidR="00FB6981" w:rsidRDefault="00FB6981">
                    <w:pPr>
                      <w:pStyle w:val="Bibliography"/>
                      <w:rPr>
                        <w:noProof/>
                      </w:rPr>
                    </w:pPr>
                    <w:r>
                      <w:rPr>
                        <w:noProof/>
                      </w:rPr>
                      <w:t xml:space="preserve">[15] </w:t>
                    </w:r>
                  </w:p>
                </w:tc>
                <w:tc>
                  <w:tcPr>
                    <w:tcW w:w="0" w:type="auto"/>
                    <w:hideMark/>
                  </w:tcPr>
                  <w:p w14:paraId="549B44A0" w14:textId="77777777" w:rsidR="00FB6981" w:rsidRDefault="00FB6981">
                    <w:pPr>
                      <w:pStyle w:val="Bibliography"/>
                      <w:rPr>
                        <w:noProof/>
                      </w:rPr>
                    </w:pPr>
                    <w:r>
                      <w:rPr>
                        <w:noProof/>
                      </w:rPr>
                      <w:t>ONR, “Licensing Nuclear Installations”.</w:t>
                    </w:r>
                  </w:p>
                </w:tc>
              </w:tr>
              <w:tr w:rsidR="00FB6981" w14:paraId="653AE32C" w14:textId="77777777">
                <w:trPr>
                  <w:divId w:val="1623802719"/>
                  <w:tblCellSpacing w:w="15" w:type="dxa"/>
                </w:trPr>
                <w:tc>
                  <w:tcPr>
                    <w:tcW w:w="50" w:type="pct"/>
                    <w:hideMark/>
                  </w:tcPr>
                  <w:p w14:paraId="38DBC499" w14:textId="77777777" w:rsidR="00FB6981" w:rsidRDefault="00FB6981">
                    <w:pPr>
                      <w:pStyle w:val="Bibliography"/>
                      <w:rPr>
                        <w:noProof/>
                      </w:rPr>
                    </w:pPr>
                    <w:r>
                      <w:rPr>
                        <w:noProof/>
                      </w:rPr>
                      <w:t xml:space="preserve">[16] </w:t>
                    </w:r>
                  </w:p>
                </w:tc>
                <w:tc>
                  <w:tcPr>
                    <w:tcW w:w="0" w:type="auto"/>
                    <w:hideMark/>
                  </w:tcPr>
                  <w:p w14:paraId="6211F041" w14:textId="77777777" w:rsidR="00FB6981" w:rsidRDefault="00FB6981">
                    <w:pPr>
                      <w:pStyle w:val="Bibliography"/>
                      <w:rPr>
                        <w:noProof/>
                      </w:rPr>
                    </w:pPr>
                    <w:r>
                      <w:rPr>
                        <w:noProof/>
                      </w:rPr>
                      <w:t>WENRA, “WENRA Safety Reference Levels for Existing Reactors,” 2020.</w:t>
                    </w:r>
                  </w:p>
                </w:tc>
              </w:tr>
              <w:tr w:rsidR="00FB6981" w14:paraId="550DABE3" w14:textId="77777777">
                <w:trPr>
                  <w:divId w:val="1623802719"/>
                  <w:tblCellSpacing w:w="15" w:type="dxa"/>
                </w:trPr>
                <w:tc>
                  <w:tcPr>
                    <w:tcW w:w="50" w:type="pct"/>
                    <w:hideMark/>
                  </w:tcPr>
                  <w:p w14:paraId="1F2A0EF7" w14:textId="77777777" w:rsidR="00FB6981" w:rsidRDefault="00FB6981">
                    <w:pPr>
                      <w:pStyle w:val="Bibliography"/>
                      <w:rPr>
                        <w:noProof/>
                      </w:rPr>
                    </w:pPr>
                    <w:r>
                      <w:rPr>
                        <w:noProof/>
                      </w:rPr>
                      <w:t xml:space="preserve">[17] </w:t>
                    </w:r>
                  </w:p>
                </w:tc>
                <w:tc>
                  <w:tcPr>
                    <w:tcW w:w="0" w:type="auto"/>
                    <w:hideMark/>
                  </w:tcPr>
                  <w:p w14:paraId="2B8CD680" w14:textId="77777777" w:rsidR="00FB6981" w:rsidRDefault="00FB6981">
                    <w:pPr>
                      <w:pStyle w:val="Bibliography"/>
                      <w:rPr>
                        <w:noProof/>
                      </w:rPr>
                    </w:pPr>
                    <w:r>
                      <w:rPr>
                        <w:noProof/>
                      </w:rPr>
                      <w:t xml:space="preserve">IAEA, Specific Safety Guide SSG-72 – The Operating Organisation for Nuclear Power Plants. </w:t>
                    </w:r>
                  </w:p>
                </w:tc>
              </w:tr>
              <w:tr w:rsidR="00FB6981" w14:paraId="43E07BB9" w14:textId="77777777">
                <w:trPr>
                  <w:divId w:val="1623802719"/>
                  <w:tblCellSpacing w:w="15" w:type="dxa"/>
                </w:trPr>
                <w:tc>
                  <w:tcPr>
                    <w:tcW w:w="50" w:type="pct"/>
                    <w:hideMark/>
                  </w:tcPr>
                  <w:p w14:paraId="088816EF" w14:textId="77777777" w:rsidR="00FB6981" w:rsidRDefault="00FB6981">
                    <w:pPr>
                      <w:pStyle w:val="Bibliography"/>
                      <w:rPr>
                        <w:noProof/>
                      </w:rPr>
                    </w:pPr>
                    <w:r>
                      <w:rPr>
                        <w:noProof/>
                      </w:rPr>
                      <w:lastRenderedPageBreak/>
                      <w:t xml:space="preserve">[18] </w:t>
                    </w:r>
                  </w:p>
                </w:tc>
                <w:tc>
                  <w:tcPr>
                    <w:tcW w:w="0" w:type="auto"/>
                    <w:hideMark/>
                  </w:tcPr>
                  <w:p w14:paraId="67E47EC7" w14:textId="77777777" w:rsidR="00FB6981" w:rsidRDefault="00FB6981">
                    <w:pPr>
                      <w:pStyle w:val="Bibliography"/>
                      <w:rPr>
                        <w:noProof/>
                      </w:rPr>
                    </w:pPr>
                    <w:r>
                      <w:rPr>
                        <w:noProof/>
                      </w:rPr>
                      <w:t xml:space="preserve">IAEA, Specific Safety Requirements SSR-2/2 – Safety of Nuclear Power Plants: Commissioning and Operation. </w:t>
                    </w:r>
                  </w:p>
                </w:tc>
              </w:tr>
              <w:tr w:rsidR="00FB6981" w14:paraId="52E82038" w14:textId="77777777">
                <w:trPr>
                  <w:divId w:val="1623802719"/>
                  <w:tblCellSpacing w:w="15" w:type="dxa"/>
                </w:trPr>
                <w:tc>
                  <w:tcPr>
                    <w:tcW w:w="50" w:type="pct"/>
                    <w:hideMark/>
                  </w:tcPr>
                  <w:p w14:paraId="15F74379" w14:textId="77777777" w:rsidR="00FB6981" w:rsidRDefault="00FB6981">
                    <w:pPr>
                      <w:pStyle w:val="Bibliography"/>
                      <w:rPr>
                        <w:noProof/>
                      </w:rPr>
                    </w:pPr>
                    <w:r>
                      <w:rPr>
                        <w:noProof/>
                      </w:rPr>
                      <w:t xml:space="preserve">[19] </w:t>
                    </w:r>
                  </w:p>
                </w:tc>
                <w:tc>
                  <w:tcPr>
                    <w:tcW w:w="0" w:type="auto"/>
                    <w:hideMark/>
                  </w:tcPr>
                  <w:p w14:paraId="49E43593" w14:textId="77777777" w:rsidR="00FB6981" w:rsidRDefault="00FB6981">
                    <w:pPr>
                      <w:pStyle w:val="Bibliography"/>
                      <w:rPr>
                        <w:noProof/>
                      </w:rPr>
                    </w:pPr>
                    <w:r>
                      <w:rPr>
                        <w:noProof/>
                      </w:rPr>
                      <w:t>IAEA, “GSR Part 2 - Leadership and Management for Safety,” International Atomic Energy Agency (IAEA), Vienna, 2016.</w:t>
                    </w:r>
                  </w:p>
                </w:tc>
              </w:tr>
              <w:tr w:rsidR="00FB6981" w14:paraId="1783E157" w14:textId="77777777">
                <w:trPr>
                  <w:divId w:val="1623802719"/>
                  <w:tblCellSpacing w:w="15" w:type="dxa"/>
                </w:trPr>
                <w:tc>
                  <w:tcPr>
                    <w:tcW w:w="50" w:type="pct"/>
                    <w:hideMark/>
                  </w:tcPr>
                  <w:p w14:paraId="2E28D9B0" w14:textId="77777777" w:rsidR="00FB6981" w:rsidRDefault="00FB6981">
                    <w:pPr>
                      <w:pStyle w:val="Bibliography"/>
                      <w:rPr>
                        <w:noProof/>
                      </w:rPr>
                    </w:pPr>
                    <w:r>
                      <w:rPr>
                        <w:noProof/>
                      </w:rPr>
                      <w:t xml:space="preserve">[20] </w:t>
                    </w:r>
                  </w:p>
                </w:tc>
                <w:tc>
                  <w:tcPr>
                    <w:tcW w:w="0" w:type="auto"/>
                    <w:hideMark/>
                  </w:tcPr>
                  <w:p w14:paraId="70340A81" w14:textId="77777777" w:rsidR="00FB6981" w:rsidRDefault="00FB6981">
                    <w:pPr>
                      <w:pStyle w:val="Bibliography"/>
                      <w:rPr>
                        <w:noProof/>
                      </w:rPr>
                    </w:pPr>
                    <w:r>
                      <w:rPr>
                        <w:noProof/>
                      </w:rPr>
                      <w:t xml:space="preserve">IAEA, International Nuclear Safety Advisory Group INSAG 18 – Managing Change in the Nuclear Industry: The Effects on Safety. </w:t>
                    </w:r>
                  </w:p>
                </w:tc>
              </w:tr>
              <w:tr w:rsidR="00FB6981" w14:paraId="059CE606" w14:textId="77777777">
                <w:trPr>
                  <w:divId w:val="1623802719"/>
                  <w:tblCellSpacing w:w="15" w:type="dxa"/>
                </w:trPr>
                <w:tc>
                  <w:tcPr>
                    <w:tcW w:w="50" w:type="pct"/>
                    <w:hideMark/>
                  </w:tcPr>
                  <w:p w14:paraId="39687E6E" w14:textId="77777777" w:rsidR="00FB6981" w:rsidRDefault="00FB6981">
                    <w:pPr>
                      <w:pStyle w:val="Bibliography"/>
                      <w:rPr>
                        <w:noProof/>
                      </w:rPr>
                    </w:pPr>
                    <w:r>
                      <w:rPr>
                        <w:noProof/>
                      </w:rPr>
                      <w:t xml:space="preserve">[21] </w:t>
                    </w:r>
                  </w:p>
                </w:tc>
                <w:tc>
                  <w:tcPr>
                    <w:tcW w:w="0" w:type="auto"/>
                    <w:hideMark/>
                  </w:tcPr>
                  <w:p w14:paraId="78C701CC" w14:textId="77777777" w:rsidR="00FB6981" w:rsidRDefault="00FB6981">
                    <w:pPr>
                      <w:pStyle w:val="Bibliography"/>
                      <w:rPr>
                        <w:noProof/>
                      </w:rPr>
                    </w:pPr>
                    <w:r>
                      <w:rPr>
                        <w:noProof/>
                      </w:rPr>
                      <w:t xml:space="preserve">IAEA, General Safety Guide GS-G-3.1 – Application of the Management System for Facilities and Activities. </w:t>
                    </w:r>
                  </w:p>
                </w:tc>
              </w:tr>
              <w:tr w:rsidR="00FB6981" w14:paraId="6173F90F" w14:textId="77777777">
                <w:trPr>
                  <w:divId w:val="1623802719"/>
                  <w:tblCellSpacing w:w="15" w:type="dxa"/>
                </w:trPr>
                <w:tc>
                  <w:tcPr>
                    <w:tcW w:w="50" w:type="pct"/>
                    <w:hideMark/>
                  </w:tcPr>
                  <w:p w14:paraId="6F3131D8" w14:textId="77777777" w:rsidR="00FB6981" w:rsidRDefault="00FB6981">
                    <w:pPr>
                      <w:pStyle w:val="Bibliography"/>
                      <w:rPr>
                        <w:noProof/>
                      </w:rPr>
                    </w:pPr>
                    <w:r>
                      <w:rPr>
                        <w:noProof/>
                      </w:rPr>
                      <w:t xml:space="preserve">[22] </w:t>
                    </w:r>
                  </w:p>
                </w:tc>
                <w:tc>
                  <w:tcPr>
                    <w:tcW w:w="0" w:type="auto"/>
                    <w:hideMark/>
                  </w:tcPr>
                  <w:p w14:paraId="4D52181D" w14:textId="77777777" w:rsidR="00FB6981" w:rsidRDefault="00FB6981">
                    <w:pPr>
                      <w:pStyle w:val="Bibliography"/>
                      <w:rPr>
                        <w:noProof/>
                      </w:rPr>
                    </w:pPr>
                    <w:r>
                      <w:rPr>
                        <w:noProof/>
                      </w:rPr>
                      <w:t>IAEA, “IAEA Safety Standards Series No. GS-G-3.5 - The Management System for Nuclear Installations,” 2009.</w:t>
                    </w:r>
                  </w:p>
                </w:tc>
              </w:tr>
              <w:tr w:rsidR="00FB6981" w14:paraId="00193739" w14:textId="77777777">
                <w:trPr>
                  <w:divId w:val="1623802719"/>
                  <w:tblCellSpacing w:w="15" w:type="dxa"/>
                </w:trPr>
                <w:tc>
                  <w:tcPr>
                    <w:tcW w:w="50" w:type="pct"/>
                    <w:hideMark/>
                  </w:tcPr>
                  <w:p w14:paraId="39269D33" w14:textId="77777777" w:rsidR="00FB6981" w:rsidRDefault="00FB6981">
                    <w:pPr>
                      <w:pStyle w:val="Bibliography"/>
                      <w:rPr>
                        <w:noProof/>
                      </w:rPr>
                    </w:pPr>
                    <w:r>
                      <w:rPr>
                        <w:noProof/>
                      </w:rPr>
                      <w:t xml:space="preserve">[23] </w:t>
                    </w:r>
                  </w:p>
                </w:tc>
                <w:tc>
                  <w:tcPr>
                    <w:tcW w:w="0" w:type="auto"/>
                    <w:hideMark/>
                  </w:tcPr>
                  <w:p w14:paraId="196984D2" w14:textId="77777777" w:rsidR="00FB6981" w:rsidRDefault="00FB6981">
                    <w:pPr>
                      <w:pStyle w:val="Bibliography"/>
                      <w:rPr>
                        <w:noProof/>
                      </w:rPr>
                    </w:pPr>
                    <w:r>
                      <w:rPr>
                        <w:noProof/>
                      </w:rPr>
                      <w:t>IAEA, “INSAG Series No. 18 - Managing Change in the Nuclear Industry: The Effects on Safety,” 2003.</w:t>
                    </w:r>
                  </w:p>
                </w:tc>
              </w:tr>
              <w:tr w:rsidR="00FB6981" w14:paraId="5E561788" w14:textId="77777777">
                <w:trPr>
                  <w:divId w:val="1623802719"/>
                  <w:tblCellSpacing w:w="15" w:type="dxa"/>
                </w:trPr>
                <w:tc>
                  <w:tcPr>
                    <w:tcW w:w="50" w:type="pct"/>
                    <w:hideMark/>
                  </w:tcPr>
                  <w:p w14:paraId="62682B65" w14:textId="77777777" w:rsidR="00FB6981" w:rsidRDefault="00FB6981">
                    <w:pPr>
                      <w:pStyle w:val="Bibliography"/>
                      <w:rPr>
                        <w:noProof/>
                      </w:rPr>
                    </w:pPr>
                    <w:r>
                      <w:rPr>
                        <w:noProof/>
                      </w:rPr>
                      <w:t xml:space="preserve">[24] </w:t>
                    </w:r>
                  </w:p>
                </w:tc>
                <w:tc>
                  <w:tcPr>
                    <w:tcW w:w="0" w:type="auto"/>
                    <w:hideMark/>
                  </w:tcPr>
                  <w:p w14:paraId="5155A98B" w14:textId="77777777" w:rsidR="00FB6981" w:rsidRDefault="00FB6981">
                    <w:pPr>
                      <w:pStyle w:val="Bibliography"/>
                      <w:rPr>
                        <w:noProof/>
                      </w:rPr>
                    </w:pPr>
                    <w:r>
                      <w:rPr>
                        <w:noProof/>
                      </w:rPr>
                      <w:t>IAEA, “IAEA Safety Standards Series No. GS-G-3.1 - Application of the Management System for Facilities and Activities,” 2006.</w:t>
                    </w:r>
                  </w:p>
                </w:tc>
              </w:tr>
              <w:tr w:rsidR="00FB6981" w14:paraId="1D8A57A3" w14:textId="77777777">
                <w:trPr>
                  <w:divId w:val="1623802719"/>
                  <w:tblCellSpacing w:w="15" w:type="dxa"/>
                </w:trPr>
                <w:tc>
                  <w:tcPr>
                    <w:tcW w:w="50" w:type="pct"/>
                    <w:hideMark/>
                  </w:tcPr>
                  <w:p w14:paraId="27D194AC" w14:textId="77777777" w:rsidR="00FB6981" w:rsidRDefault="00FB6981">
                    <w:pPr>
                      <w:pStyle w:val="Bibliography"/>
                      <w:rPr>
                        <w:noProof/>
                      </w:rPr>
                    </w:pPr>
                    <w:r>
                      <w:rPr>
                        <w:noProof/>
                      </w:rPr>
                      <w:t xml:space="preserve">[25] </w:t>
                    </w:r>
                  </w:p>
                </w:tc>
                <w:tc>
                  <w:tcPr>
                    <w:tcW w:w="0" w:type="auto"/>
                    <w:hideMark/>
                  </w:tcPr>
                  <w:p w14:paraId="2E416347" w14:textId="77777777" w:rsidR="00FB6981" w:rsidRDefault="00FB6981">
                    <w:pPr>
                      <w:pStyle w:val="Bibliography"/>
                      <w:rPr>
                        <w:noProof/>
                      </w:rPr>
                    </w:pPr>
                    <w:r>
                      <w:rPr>
                        <w:noProof/>
                      </w:rPr>
                      <w:t>ONR, “NS-PER-GD-001 - The Purpose and use of Permissioning”.</w:t>
                    </w:r>
                  </w:p>
                </w:tc>
              </w:tr>
            </w:tbl>
            <w:p w14:paraId="5F50CE92" w14:textId="77777777" w:rsidR="00FB6981" w:rsidRDefault="00FB6981">
              <w:pPr>
                <w:divId w:val="1623802719"/>
                <w:rPr>
                  <w:rFonts w:eastAsia="Times New Roman"/>
                  <w:noProof/>
                </w:rPr>
              </w:pPr>
            </w:p>
            <w:p w14:paraId="29C639D5" w14:textId="77777777" w:rsidR="004A0CD7" w:rsidRDefault="004A0CD7" w:rsidP="004A0CD7">
              <w:r>
                <w:fldChar w:fldCharType="end"/>
              </w:r>
            </w:p>
          </w:sdtContent>
        </w:sdt>
      </w:sdtContent>
    </w:sdt>
    <w:p w14:paraId="400201F5" w14:textId="77777777" w:rsidR="004A0CD7" w:rsidRPr="003B4701" w:rsidRDefault="004A0CD7" w:rsidP="004A0CD7">
      <w:pPr>
        <w:pStyle w:val="Heading1"/>
        <w:numPr>
          <w:ilvl w:val="0"/>
          <w:numId w:val="0"/>
        </w:numPr>
        <w:ind w:left="851" w:hanging="851"/>
      </w:pPr>
      <w:bookmarkStart w:id="26" w:name="_Toc89268373"/>
      <w:bookmarkStart w:id="27" w:name="_Toc172196375"/>
      <w:r w:rsidRPr="003B4701">
        <w:t>Glossary and Abbreviations</w:t>
      </w:r>
      <w:bookmarkEnd w:id="26"/>
      <w:bookmarkEnd w:id="27"/>
    </w:p>
    <w:p w14:paraId="2811DC16" w14:textId="77777777" w:rsidR="004A0CD7" w:rsidRPr="0003328B" w:rsidRDefault="004A0CD7" w:rsidP="004A0CD7">
      <w:pPr>
        <w:tabs>
          <w:tab w:val="left" w:pos="1440"/>
        </w:tabs>
        <w:spacing w:line="240" w:lineRule="auto"/>
        <w:contextualSpacing/>
      </w:pPr>
      <w:r w:rsidRPr="0003328B">
        <w:t>IAEA</w:t>
      </w:r>
      <w:r w:rsidRPr="0003328B">
        <w:tab/>
        <w:t>International Atomic Energy Agency</w:t>
      </w:r>
    </w:p>
    <w:p w14:paraId="503507CA" w14:textId="77777777" w:rsidR="004A0CD7" w:rsidRPr="0003328B" w:rsidRDefault="004A0CD7" w:rsidP="004A0CD7">
      <w:pPr>
        <w:tabs>
          <w:tab w:val="left" w:pos="1440"/>
        </w:tabs>
        <w:spacing w:line="240" w:lineRule="auto"/>
        <w:contextualSpacing/>
      </w:pPr>
      <w:r w:rsidRPr="0003328B">
        <w:t>SAP</w:t>
      </w:r>
      <w:r w:rsidRPr="0003328B">
        <w:tab/>
        <w:t xml:space="preserve">Safety Assessment Principle(s) </w:t>
      </w:r>
    </w:p>
    <w:p w14:paraId="1D78BB62" w14:textId="77777777" w:rsidR="004A0CD7" w:rsidRPr="0003328B" w:rsidRDefault="004A0CD7" w:rsidP="004A0CD7">
      <w:pPr>
        <w:tabs>
          <w:tab w:val="left" w:pos="1440"/>
        </w:tabs>
        <w:spacing w:line="240" w:lineRule="auto"/>
        <w:contextualSpacing/>
      </w:pPr>
      <w:r w:rsidRPr="0003328B">
        <w:t>TAG</w:t>
      </w:r>
      <w:r w:rsidRPr="0003328B">
        <w:tab/>
        <w:t>Technical Assessment Guide(s)</w:t>
      </w:r>
    </w:p>
    <w:p w14:paraId="4A93B687" w14:textId="0C16DB30" w:rsidR="00637B5E" w:rsidRDefault="004A0CD7" w:rsidP="004A0CD7">
      <w:pPr>
        <w:tabs>
          <w:tab w:val="left" w:pos="1440"/>
        </w:tabs>
        <w:spacing w:line="240" w:lineRule="auto"/>
        <w:contextualSpacing/>
      </w:pPr>
      <w:r w:rsidRPr="0003328B">
        <w:t>WENRA</w:t>
      </w:r>
      <w:r w:rsidRPr="0003328B">
        <w:tab/>
        <w:t>Western European Nuclear Regulators’ Associati</w:t>
      </w:r>
      <w:r>
        <w:t>on</w:t>
      </w:r>
    </w:p>
    <w:sectPr w:rsidR="00637B5E" w:rsidSect="00434818">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FB45A" w14:textId="77777777" w:rsidR="00280F81" w:rsidRDefault="00280F81" w:rsidP="007D199A">
      <w:pPr>
        <w:spacing w:after="0"/>
      </w:pPr>
      <w:r>
        <w:separator/>
      </w:r>
    </w:p>
    <w:p w14:paraId="4146AF38" w14:textId="77777777" w:rsidR="00280F81" w:rsidRDefault="00280F81"/>
    <w:p w14:paraId="4FBCDEF8" w14:textId="77777777" w:rsidR="00280F81" w:rsidRDefault="00280F81"/>
  </w:endnote>
  <w:endnote w:type="continuationSeparator" w:id="0">
    <w:p w14:paraId="173199A9" w14:textId="77777777" w:rsidR="00280F81" w:rsidRDefault="00280F81" w:rsidP="007D199A">
      <w:pPr>
        <w:spacing w:after="0"/>
      </w:pPr>
      <w:r>
        <w:continuationSeparator/>
      </w:r>
    </w:p>
    <w:p w14:paraId="64E0AED3" w14:textId="77777777" w:rsidR="00280F81" w:rsidRDefault="00280F81"/>
    <w:p w14:paraId="1A9FCAF7" w14:textId="77777777" w:rsidR="00280F81" w:rsidRDefault="00280F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A9414C5"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7E33B9DC" w:rsidR="00CE6198" w:rsidRPr="00434818" w:rsidRDefault="00434818" w:rsidP="00434818">
    <w:pPr>
      <w:pStyle w:val="Footer"/>
      <w:rPr>
        <w:rStyle w:val="PageNumber"/>
        <w:color w:val="22413A"/>
        <w:sz w:val="24"/>
      </w:rPr>
    </w:pPr>
    <w:r w:rsidRPr="00434818">
      <w:rPr>
        <w:rStyle w:val="PageNumber"/>
        <w:color w:val="22413A"/>
        <w:sz w:val="24"/>
      </w:rPr>
      <w:t xml:space="preserve">Page | </w:t>
    </w:r>
    <w:r w:rsidRPr="00434818">
      <w:rPr>
        <w:rStyle w:val="PageNumber"/>
        <w:color w:val="22413A"/>
        <w:sz w:val="24"/>
      </w:rPr>
      <w:fldChar w:fldCharType="begin"/>
    </w:r>
    <w:r w:rsidRPr="00434818">
      <w:rPr>
        <w:rStyle w:val="PageNumber"/>
        <w:color w:val="22413A"/>
        <w:sz w:val="24"/>
      </w:rPr>
      <w:instrText xml:space="preserve"> PAGE   \* MERGEFORMAT </w:instrText>
    </w:r>
    <w:r w:rsidRPr="00434818">
      <w:rPr>
        <w:rStyle w:val="PageNumber"/>
        <w:color w:val="22413A"/>
        <w:sz w:val="24"/>
      </w:rPr>
      <w:fldChar w:fldCharType="separate"/>
    </w:r>
    <w:r w:rsidRPr="00434818">
      <w:rPr>
        <w:rStyle w:val="PageNumber"/>
        <w:noProof/>
        <w:color w:val="22413A"/>
        <w:sz w:val="24"/>
      </w:rPr>
      <w:t>1</w:t>
    </w:r>
    <w:r w:rsidRPr="00434818">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86DB3" w14:textId="77777777" w:rsidR="00280F81" w:rsidRPr="005E0344" w:rsidRDefault="00280F81" w:rsidP="005E0344">
      <w:pPr>
        <w:spacing w:after="120"/>
        <w:rPr>
          <w:color w:val="000000" w:themeColor="text2"/>
        </w:rPr>
      </w:pPr>
      <w:r w:rsidRPr="005E0344">
        <w:rPr>
          <w:color w:val="000000" w:themeColor="text2"/>
        </w:rPr>
        <w:separator/>
      </w:r>
    </w:p>
    <w:p w14:paraId="2EE51431" w14:textId="77777777" w:rsidR="00280F81" w:rsidRDefault="00280F81"/>
  </w:footnote>
  <w:footnote w:type="continuationSeparator" w:id="0">
    <w:p w14:paraId="4AB310AB" w14:textId="77777777" w:rsidR="00280F81" w:rsidRPr="005E0344" w:rsidRDefault="00280F81" w:rsidP="0090581D">
      <w:pPr>
        <w:spacing w:after="120"/>
        <w:rPr>
          <w:color w:val="000000" w:themeColor="text2"/>
        </w:rPr>
      </w:pPr>
      <w:r w:rsidRPr="005E0344">
        <w:rPr>
          <w:color w:val="000000" w:themeColor="text2"/>
        </w:rPr>
        <w:continuationSeparator/>
      </w:r>
    </w:p>
    <w:p w14:paraId="52935280" w14:textId="77777777" w:rsidR="00280F81" w:rsidRDefault="00280F81"/>
    <w:p w14:paraId="78D0E54B" w14:textId="77777777" w:rsidR="00280F81" w:rsidRDefault="00280F81"/>
  </w:footnote>
  <w:footnote w:type="continuationNotice" w:id="1">
    <w:p w14:paraId="7A939498" w14:textId="77777777" w:rsidR="00280F81" w:rsidRDefault="00280F81">
      <w:pPr>
        <w:spacing w:after="0"/>
      </w:pPr>
    </w:p>
    <w:p w14:paraId="0AB8727A" w14:textId="77777777" w:rsidR="00280F81" w:rsidRDefault="00280F81"/>
    <w:p w14:paraId="610C5682" w14:textId="77777777" w:rsidR="00280F81" w:rsidRDefault="00280F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5786E27" w:rsidR="00177666" w:rsidRPr="00046936" w:rsidRDefault="00F2428A" w:rsidP="009E0E52">
    <w:pPr>
      <w:pStyle w:val="Header"/>
      <w:rPr>
        <w:sz w:val="20"/>
        <w:szCs w:val="24"/>
      </w:rPr>
    </w:pPr>
    <w:sdt>
      <w:sdtPr>
        <w:rPr>
          <w:sz w:val="20"/>
          <w:szCs w:val="24"/>
        </w:rPr>
        <w:alias w:val="Title"/>
        <w:tag w:val=""/>
        <w:id w:val="-1960172840"/>
        <w:placeholder>
          <w:docPart w:val="63229422943F40F0AEC5DEB4DD6823FC"/>
        </w:placeholder>
        <w:dataBinding w:prefixMappings="xmlns:ns0='http://purl.org/dc/elements/1.1/' xmlns:ns1='http://schemas.openxmlformats.org/package/2006/metadata/core-properties' " w:xpath="/ns1:coreProperties[1]/ns0:title[1]" w:storeItemID="{6C3C8BC8-F283-45AE-878A-BAB7291924A1}"/>
        <w:text/>
      </w:sdtPr>
      <w:sdtEndPr/>
      <w:sdtContent>
        <w:r w:rsidR="007D4C48">
          <w:rPr>
            <w:sz w:val="20"/>
            <w:szCs w:val="24"/>
          </w:rPr>
          <w:t>Organisational change</w:t>
        </w:r>
      </w:sdtContent>
    </w:sdt>
    <w:r w:rsidR="004E3932" w:rsidRPr="00046936">
      <w:rPr>
        <w:sz w:val="20"/>
        <w:szCs w:val="24"/>
      </w:rPr>
      <w:t xml:space="preserve"> | Issue</w:t>
    </w:r>
    <w:r w:rsidR="007D4C48">
      <w:rPr>
        <w:sz w:val="20"/>
        <w:szCs w:val="24"/>
      </w:rPr>
      <w:t>:</w:t>
    </w:r>
    <w:r w:rsidR="004E3932" w:rsidRPr="00046936">
      <w:rPr>
        <w:sz w:val="20"/>
        <w:szCs w:val="24"/>
      </w:rPr>
      <w:t xml:space="preserve"> </w:t>
    </w:r>
    <w:sdt>
      <w:sdtPr>
        <w:rPr>
          <w:sz w:val="20"/>
          <w:szCs w:val="24"/>
        </w:rPr>
        <w:alias w:val="Status"/>
        <w:tag w:val=""/>
        <w:id w:val="-178132988"/>
        <w:placeholder>
          <w:docPart w:val="8323E5D29AED4DA288592BDAF1C8F8CD"/>
        </w:placeholder>
        <w:dataBinding w:prefixMappings="xmlns:ns0='http://purl.org/dc/elements/1.1/' xmlns:ns1='http://schemas.openxmlformats.org/package/2006/metadata/core-properties' " w:xpath="/ns1:coreProperties[1]/ns1:contentStatus[1]" w:storeItemID="{6C3C8BC8-F283-45AE-878A-BAB7291924A1}"/>
        <w:text/>
      </w:sdtPr>
      <w:sdtEndPr/>
      <w:sdtContent>
        <w:r w:rsidR="007D4C48">
          <w:rPr>
            <w:sz w:val="20"/>
            <w:szCs w:val="24"/>
          </w:rPr>
          <w:t>7.1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69CAFA40"/>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C3B5787"/>
    <w:multiLevelType w:val="hybridMultilevel"/>
    <w:tmpl w:val="2D2E8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69175F"/>
    <w:multiLevelType w:val="hybridMultilevel"/>
    <w:tmpl w:val="828CB5CC"/>
    <w:lvl w:ilvl="0" w:tplc="D28CC04E">
      <w:start w:val="1"/>
      <w:numFmt w:val="bullet"/>
      <w:lvlText w:val=""/>
      <w:lvlJc w:val="left"/>
      <w:pPr>
        <w:tabs>
          <w:tab w:val="num" w:pos="720"/>
        </w:tabs>
        <w:ind w:left="720" w:hanging="360"/>
      </w:pPr>
      <w:rPr>
        <w:rFonts w:ascii="Symbol" w:hAnsi="Symbol" w:hint="default"/>
      </w:rPr>
    </w:lvl>
    <w:lvl w:ilvl="1" w:tplc="F3E6892A" w:tentative="1">
      <w:start w:val="1"/>
      <w:numFmt w:val="bullet"/>
      <w:lvlText w:val=""/>
      <w:lvlJc w:val="left"/>
      <w:pPr>
        <w:tabs>
          <w:tab w:val="num" w:pos="1440"/>
        </w:tabs>
        <w:ind w:left="1440" w:hanging="360"/>
      </w:pPr>
      <w:rPr>
        <w:rFonts w:ascii="Symbol" w:hAnsi="Symbol" w:hint="default"/>
      </w:rPr>
    </w:lvl>
    <w:lvl w:ilvl="2" w:tplc="787EEC80" w:tentative="1">
      <w:start w:val="1"/>
      <w:numFmt w:val="bullet"/>
      <w:lvlText w:val=""/>
      <w:lvlJc w:val="left"/>
      <w:pPr>
        <w:tabs>
          <w:tab w:val="num" w:pos="2160"/>
        </w:tabs>
        <w:ind w:left="2160" w:hanging="360"/>
      </w:pPr>
      <w:rPr>
        <w:rFonts w:ascii="Symbol" w:hAnsi="Symbol" w:hint="default"/>
      </w:rPr>
    </w:lvl>
    <w:lvl w:ilvl="3" w:tplc="A9B27BF2" w:tentative="1">
      <w:start w:val="1"/>
      <w:numFmt w:val="bullet"/>
      <w:lvlText w:val=""/>
      <w:lvlJc w:val="left"/>
      <w:pPr>
        <w:tabs>
          <w:tab w:val="num" w:pos="2880"/>
        </w:tabs>
        <w:ind w:left="2880" w:hanging="360"/>
      </w:pPr>
      <w:rPr>
        <w:rFonts w:ascii="Symbol" w:hAnsi="Symbol" w:hint="default"/>
      </w:rPr>
    </w:lvl>
    <w:lvl w:ilvl="4" w:tplc="5CAE042A" w:tentative="1">
      <w:start w:val="1"/>
      <w:numFmt w:val="bullet"/>
      <w:lvlText w:val=""/>
      <w:lvlJc w:val="left"/>
      <w:pPr>
        <w:tabs>
          <w:tab w:val="num" w:pos="3600"/>
        </w:tabs>
        <w:ind w:left="3600" w:hanging="360"/>
      </w:pPr>
      <w:rPr>
        <w:rFonts w:ascii="Symbol" w:hAnsi="Symbol" w:hint="default"/>
      </w:rPr>
    </w:lvl>
    <w:lvl w:ilvl="5" w:tplc="3EC6A0D8" w:tentative="1">
      <w:start w:val="1"/>
      <w:numFmt w:val="bullet"/>
      <w:lvlText w:val=""/>
      <w:lvlJc w:val="left"/>
      <w:pPr>
        <w:tabs>
          <w:tab w:val="num" w:pos="4320"/>
        </w:tabs>
        <w:ind w:left="4320" w:hanging="360"/>
      </w:pPr>
      <w:rPr>
        <w:rFonts w:ascii="Symbol" w:hAnsi="Symbol" w:hint="default"/>
      </w:rPr>
    </w:lvl>
    <w:lvl w:ilvl="6" w:tplc="03BA51CE" w:tentative="1">
      <w:start w:val="1"/>
      <w:numFmt w:val="bullet"/>
      <w:lvlText w:val=""/>
      <w:lvlJc w:val="left"/>
      <w:pPr>
        <w:tabs>
          <w:tab w:val="num" w:pos="5040"/>
        </w:tabs>
        <w:ind w:left="5040" w:hanging="360"/>
      </w:pPr>
      <w:rPr>
        <w:rFonts w:ascii="Symbol" w:hAnsi="Symbol" w:hint="default"/>
      </w:rPr>
    </w:lvl>
    <w:lvl w:ilvl="7" w:tplc="E1483EB2" w:tentative="1">
      <w:start w:val="1"/>
      <w:numFmt w:val="bullet"/>
      <w:lvlText w:val=""/>
      <w:lvlJc w:val="left"/>
      <w:pPr>
        <w:tabs>
          <w:tab w:val="num" w:pos="5760"/>
        </w:tabs>
        <w:ind w:left="5760" w:hanging="360"/>
      </w:pPr>
      <w:rPr>
        <w:rFonts w:ascii="Symbol" w:hAnsi="Symbol" w:hint="default"/>
      </w:rPr>
    </w:lvl>
    <w:lvl w:ilvl="8" w:tplc="A1D8746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6BF02CC"/>
    <w:multiLevelType w:val="hybridMultilevel"/>
    <w:tmpl w:val="F9468378"/>
    <w:lvl w:ilvl="0" w:tplc="F7DC465C">
      <w:start w:val="1"/>
      <w:numFmt w:val="bullet"/>
      <w:pStyle w:val="ONRSquareBullet1"/>
      <w:lvlText w:val=""/>
      <w:lvlJc w:val="left"/>
      <w:pPr>
        <w:tabs>
          <w:tab w:val="num" w:pos="1418"/>
        </w:tabs>
        <w:ind w:left="1418" w:hanging="567"/>
      </w:pPr>
      <w:rPr>
        <w:rFonts w:ascii="Wingdings" w:hAnsi="Wingdings" w:hint="default"/>
        <w:caps w:val="0"/>
        <w:strike w:val="0"/>
        <w:dstrike w:val="0"/>
        <w:vanish w:val="0"/>
        <w:webHidden w:val="0"/>
        <w:color w:val="333333"/>
        <w:sz w:val="20"/>
        <w:u w:val="none"/>
        <w:effect w:val="none"/>
        <w:vertAlign w:val="baseline"/>
        <w:specVanish w:val="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79E6390"/>
    <w:multiLevelType w:val="hybridMultilevel"/>
    <w:tmpl w:val="D8222D0A"/>
    <w:lvl w:ilvl="0" w:tplc="50844E68">
      <w:start w:val="1"/>
      <w:numFmt w:val="bullet"/>
      <w:pStyle w:val="Bullet"/>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19792F"/>
    <w:multiLevelType w:val="hybridMultilevel"/>
    <w:tmpl w:val="BCD25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D20594"/>
    <w:multiLevelType w:val="hybridMultilevel"/>
    <w:tmpl w:val="DEB69744"/>
    <w:lvl w:ilvl="0" w:tplc="08090011">
      <w:start w:val="1"/>
      <w:numFmt w:val="decimal"/>
      <w:lvlText w:val="%1)"/>
      <w:lvlJc w:val="left"/>
      <w:pPr>
        <w:ind w:left="644" w:hanging="360"/>
      </w:pPr>
      <w:rPr>
        <w:rFonts w:hint="default"/>
        <w:strike w:val="0"/>
        <w:dstrike w:val="0"/>
        <w:color w:val="auto"/>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D00479C"/>
    <w:multiLevelType w:val="hybridMultilevel"/>
    <w:tmpl w:val="D122B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3B7A79"/>
    <w:multiLevelType w:val="multilevel"/>
    <w:tmpl w:val="10BC4DE4"/>
    <w:lvl w:ilvl="0">
      <w:start w:val="1"/>
      <w:numFmt w:val="decimal"/>
      <w:pStyle w:val="NumberedHeading"/>
      <w:lvlText w:val="%1."/>
      <w:lvlJc w:val="left"/>
      <w:pPr>
        <w:ind w:left="720" w:hanging="720"/>
      </w:pPr>
    </w:lvl>
    <w:lvl w:ilvl="1">
      <w:start w:val="1"/>
      <w:numFmt w:val="decimal"/>
      <w:pStyle w:val="NumberedParagraph"/>
      <w:lvlText w:val="%1.%2."/>
      <w:lvlJc w:val="left"/>
      <w:pPr>
        <w:ind w:left="720" w:hanging="720"/>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52957587"/>
    <w:multiLevelType w:val="multilevel"/>
    <w:tmpl w:val="F2460B1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5123D66"/>
    <w:multiLevelType w:val="hybridMultilevel"/>
    <w:tmpl w:val="4A94A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F46359"/>
    <w:multiLevelType w:val="hybridMultilevel"/>
    <w:tmpl w:val="003A1706"/>
    <w:lvl w:ilvl="0" w:tplc="8F16E6B4">
      <w:start w:val="1"/>
      <w:numFmt w:val="bullet"/>
      <w:pStyle w:val="Bulletlist1"/>
      <w:lvlText w:val=""/>
      <w:lvlJc w:val="left"/>
      <w:pPr>
        <w:ind w:left="644" w:hanging="360"/>
      </w:pPr>
      <w:rPr>
        <w:rFonts w:ascii="Symbol" w:hAnsi="Symbol" w:cs="Symbol" w:hint="default"/>
        <w:strike w:val="0"/>
        <w:dstrike w:val="0"/>
        <w:color w:val="auto"/>
        <w:sz w:val="24"/>
      </w:rPr>
    </w:lvl>
    <w:lvl w:ilvl="1" w:tplc="297605F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504B11"/>
    <w:multiLevelType w:val="hybridMultilevel"/>
    <w:tmpl w:val="BE8C8F12"/>
    <w:lvl w:ilvl="0" w:tplc="462C5DEE">
      <w:start w:val="1"/>
      <w:numFmt w:val="decimal"/>
      <w:pStyle w:val="F9-Paragraph"/>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848103311">
    <w:abstractNumId w:val="11"/>
  </w:num>
  <w:num w:numId="2" w16cid:durableId="1211922187">
    <w:abstractNumId w:val="9"/>
  </w:num>
  <w:num w:numId="3" w16cid:durableId="9608380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32115891">
    <w:abstractNumId w:val="13"/>
  </w:num>
  <w:num w:numId="5" w16cid:durableId="269628632">
    <w:abstractNumId w:val="0"/>
  </w:num>
  <w:num w:numId="6" w16cid:durableId="1117674265">
    <w:abstractNumId w:val="3"/>
  </w:num>
  <w:num w:numId="7" w16cid:durableId="17728928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0999155">
    <w:abstractNumId w:val="4"/>
  </w:num>
  <w:num w:numId="9" w16cid:durableId="1244223522">
    <w:abstractNumId w:val="7"/>
  </w:num>
  <w:num w:numId="10" w16cid:durableId="1077558711">
    <w:abstractNumId w:val="10"/>
  </w:num>
  <w:num w:numId="11" w16cid:durableId="1894651903">
    <w:abstractNumId w:val="5"/>
  </w:num>
  <w:num w:numId="12" w16cid:durableId="1961763024">
    <w:abstractNumId w:val="2"/>
  </w:num>
  <w:num w:numId="13" w16cid:durableId="1685863746">
    <w:abstractNumId w:val="1"/>
  </w:num>
  <w:num w:numId="14" w16cid:durableId="1597179246">
    <w:abstractNumId w:val="12"/>
  </w:num>
  <w:num w:numId="15" w16cid:durableId="357700735">
    <w:abstractNumId w:val="11"/>
    <w:lvlOverride w:ilvl="0">
      <w:startOverride w:val="1"/>
    </w:lvlOverride>
  </w:num>
  <w:num w:numId="16" w16cid:durableId="1070038200">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E65"/>
    <w:rsid w:val="00001FA6"/>
    <w:rsid w:val="00002F03"/>
    <w:rsid w:val="000032C9"/>
    <w:rsid w:val="00004C16"/>
    <w:rsid w:val="00006C62"/>
    <w:rsid w:val="00011177"/>
    <w:rsid w:val="0001254E"/>
    <w:rsid w:val="00014814"/>
    <w:rsid w:val="0002077E"/>
    <w:rsid w:val="00021238"/>
    <w:rsid w:val="00022299"/>
    <w:rsid w:val="00022DA0"/>
    <w:rsid w:val="00024522"/>
    <w:rsid w:val="00024B2E"/>
    <w:rsid w:val="00025C41"/>
    <w:rsid w:val="00026423"/>
    <w:rsid w:val="00027F4F"/>
    <w:rsid w:val="00027FC0"/>
    <w:rsid w:val="00030430"/>
    <w:rsid w:val="0003078E"/>
    <w:rsid w:val="00031B89"/>
    <w:rsid w:val="00032A02"/>
    <w:rsid w:val="0003693D"/>
    <w:rsid w:val="00037EE2"/>
    <w:rsid w:val="00040D47"/>
    <w:rsid w:val="00041A51"/>
    <w:rsid w:val="00043A0B"/>
    <w:rsid w:val="0004440F"/>
    <w:rsid w:val="000463CF"/>
    <w:rsid w:val="00046936"/>
    <w:rsid w:val="000474D0"/>
    <w:rsid w:val="00051B89"/>
    <w:rsid w:val="00051F15"/>
    <w:rsid w:val="00052190"/>
    <w:rsid w:val="000521C1"/>
    <w:rsid w:val="00052C8A"/>
    <w:rsid w:val="00053C53"/>
    <w:rsid w:val="000548C8"/>
    <w:rsid w:val="000552BC"/>
    <w:rsid w:val="00055898"/>
    <w:rsid w:val="0005630A"/>
    <w:rsid w:val="00064222"/>
    <w:rsid w:val="00066015"/>
    <w:rsid w:val="0006605C"/>
    <w:rsid w:val="00067672"/>
    <w:rsid w:val="00070655"/>
    <w:rsid w:val="00073A16"/>
    <w:rsid w:val="00075605"/>
    <w:rsid w:val="00075C66"/>
    <w:rsid w:val="00075E2E"/>
    <w:rsid w:val="000808CF"/>
    <w:rsid w:val="00081114"/>
    <w:rsid w:val="00082879"/>
    <w:rsid w:val="0008781A"/>
    <w:rsid w:val="0009045B"/>
    <w:rsid w:val="00091D2B"/>
    <w:rsid w:val="00091EEA"/>
    <w:rsid w:val="00093FBE"/>
    <w:rsid w:val="000950B3"/>
    <w:rsid w:val="00097D62"/>
    <w:rsid w:val="00097FAD"/>
    <w:rsid w:val="000A379F"/>
    <w:rsid w:val="000A51C3"/>
    <w:rsid w:val="000A5BE9"/>
    <w:rsid w:val="000B0BED"/>
    <w:rsid w:val="000B25FE"/>
    <w:rsid w:val="000B3686"/>
    <w:rsid w:val="000B597F"/>
    <w:rsid w:val="000B5C7A"/>
    <w:rsid w:val="000B6F80"/>
    <w:rsid w:val="000C10F3"/>
    <w:rsid w:val="000C2DDC"/>
    <w:rsid w:val="000C37F0"/>
    <w:rsid w:val="000C412B"/>
    <w:rsid w:val="000C5499"/>
    <w:rsid w:val="000D174E"/>
    <w:rsid w:val="000D1854"/>
    <w:rsid w:val="000D2FD4"/>
    <w:rsid w:val="000D62E8"/>
    <w:rsid w:val="000D7AC3"/>
    <w:rsid w:val="000E0135"/>
    <w:rsid w:val="000E375A"/>
    <w:rsid w:val="000E5CD0"/>
    <w:rsid w:val="000E6EF8"/>
    <w:rsid w:val="000E7D07"/>
    <w:rsid w:val="000F1B7B"/>
    <w:rsid w:val="000F2ED4"/>
    <w:rsid w:val="000F3932"/>
    <w:rsid w:val="000F46D3"/>
    <w:rsid w:val="000F4779"/>
    <w:rsid w:val="000F52A7"/>
    <w:rsid w:val="000F583E"/>
    <w:rsid w:val="00100C44"/>
    <w:rsid w:val="00100CF8"/>
    <w:rsid w:val="001028E8"/>
    <w:rsid w:val="0010552F"/>
    <w:rsid w:val="00111E74"/>
    <w:rsid w:val="00120147"/>
    <w:rsid w:val="00122FCC"/>
    <w:rsid w:val="00126752"/>
    <w:rsid w:val="00130B30"/>
    <w:rsid w:val="00131E06"/>
    <w:rsid w:val="001321E2"/>
    <w:rsid w:val="00134AD5"/>
    <w:rsid w:val="00140E1C"/>
    <w:rsid w:val="00141A1A"/>
    <w:rsid w:val="001422D4"/>
    <w:rsid w:val="001447A9"/>
    <w:rsid w:val="00147AE4"/>
    <w:rsid w:val="0015054C"/>
    <w:rsid w:val="00153F00"/>
    <w:rsid w:val="0015407B"/>
    <w:rsid w:val="0015457A"/>
    <w:rsid w:val="00155CC6"/>
    <w:rsid w:val="001571E5"/>
    <w:rsid w:val="001575C3"/>
    <w:rsid w:val="00162183"/>
    <w:rsid w:val="00163C81"/>
    <w:rsid w:val="00164129"/>
    <w:rsid w:val="00166CB3"/>
    <w:rsid w:val="001672F2"/>
    <w:rsid w:val="00171596"/>
    <w:rsid w:val="00171FFB"/>
    <w:rsid w:val="00174B2A"/>
    <w:rsid w:val="001759DC"/>
    <w:rsid w:val="00177666"/>
    <w:rsid w:val="0018059C"/>
    <w:rsid w:val="00181C6B"/>
    <w:rsid w:val="00181E81"/>
    <w:rsid w:val="001849CA"/>
    <w:rsid w:val="00185410"/>
    <w:rsid w:val="00186CE1"/>
    <w:rsid w:val="00187CB2"/>
    <w:rsid w:val="00190D85"/>
    <w:rsid w:val="0019150C"/>
    <w:rsid w:val="00191908"/>
    <w:rsid w:val="00192352"/>
    <w:rsid w:val="001953FE"/>
    <w:rsid w:val="00195F94"/>
    <w:rsid w:val="00197CF3"/>
    <w:rsid w:val="001A0905"/>
    <w:rsid w:val="001A1064"/>
    <w:rsid w:val="001A22FF"/>
    <w:rsid w:val="001A48B8"/>
    <w:rsid w:val="001A5378"/>
    <w:rsid w:val="001A5FC2"/>
    <w:rsid w:val="001B0163"/>
    <w:rsid w:val="001B3DE5"/>
    <w:rsid w:val="001B6B39"/>
    <w:rsid w:val="001B7697"/>
    <w:rsid w:val="001C0D41"/>
    <w:rsid w:val="001C4A67"/>
    <w:rsid w:val="001C4AED"/>
    <w:rsid w:val="001C4D63"/>
    <w:rsid w:val="001C7B59"/>
    <w:rsid w:val="001C7F46"/>
    <w:rsid w:val="001D0DE0"/>
    <w:rsid w:val="001D0F57"/>
    <w:rsid w:val="001D1038"/>
    <w:rsid w:val="001D5AFF"/>
    <w:rsid w:val="001D74B4"/>
    <w:rsid w:val="001E03E1"/>
    <w:rsid w:val="001E0B38"/>
    <w:rsid w:val="001E1F29"/>
    <w:rsid w:val="001E5474"/>
    <w:rsid w:val="001E5F94"/>
    <w:rsid w:val="001E7916"/>
    <w:rsid w:val="001E7D63"/>
    <w:rsid w:val="001F059F"/>
    <w:rsid w:val="001F1787"/>
    <w:rsid w:val="001F3223"/>
    <w:rsid w:val="001F5E91"/>
    <w:rsid w:val="001F6FD0"/>
    <w:rsid w:val="00200811"/>
    <w:rsid w:val="00200CA1"/>
    <w:rsid w:val="00205B12"/>
    <w:rsid w:val="00206B43"/>
    <w:rsid w:val="0021338D"/>
    <w:rsid w:val="00214D43"/>
    <w:rsid w:val="00216570"/>
    <w:rsid w:val="00221ED0"/>
    <w:rsid w:val="00222596"/>
    <w:rsid w:val="00223446"/>
    <w:rsid w:val="002238B4"/>
    <w:rsid w:val="00230CC1"/>
    <w:rsid w:val="00230D24"/>
    <w:rsid w:val="002319AB"/>
    <w:rsid w:val="002319AC"/>
    <w:rsid w:val="00233F26"/>
    <w:rsid w:val="00234342"/>
    <w:rsid w:val="0024040D"/>
    <w:rsid w:val="00240D85"/>
    <w:rsid w:val="00241594"/>
    <w:rsid w:val="00241D52"/>
    <w:rsid w:val="00241F21"/>
    <w:rsid w:val="00242C61"/>
    <w:rsid w:val="00244066"/>
    <w:rsid w:val="00245A0D"/>
    <w:rsid w:val="00246E16"/>
    <w:rsid w:val="0025228D"/>
    <w:rsid w:val="002527D0"/>
    <w:rsid w:val="00254F7C"/>
    <w:rsid w:val="00255FA3"/>
    <w:rsid w:val="00256B5B"/>
    <w:rsid w:val="00257288"/>
    <w:rsid w:val="00261FB6"/>
    <w:rsid w:val="002629F8"/>
    <w:rsid w:val="00262B64"/>
    <w:rsid w:val="00263396"/>
    <w:rsid w:val="00264E0B"/>
    <w:rsid w:val="002659FA"/>
    <w:rsid w:val="00267815"/>
    <w:rsid w:val="00273666"/>
    <w:rsid w:val="002759E5"/>
    <w:rsid w:val="00280DDF"/>
    <w:rsid w:val="00280F81"/>
    <w:rsid w:val="00281889"/>
    <w:rsid w:val="0028217E"/>
    <w:rsid w:val="00283FEB"/>
    <w:rsid w:val="002909D4"/>
    <w:rsid w:val="002917FF"/>
    <w:rsid w:val="00292ADF"/>
    <w:rsid w:val="00296531"/>
    <w:rsid w:val="002A0DEC"/>
    <w:rsid w:val="002A301C"/>
    <w:rsid w:val="002A5298"/>
    <w:rsid w:val="002B1C53"/>
    <w:rsid w:val="002B2817"/>
    <w:rsid w:val="002B510C"/>
    <w:rsid w:val="002C1D35"/>
    <w:rsid w:val="002C6202"/>
    <w:rsid w:val="002C6EBC"/>
    <w:rsid w:val="002D1BFF"/>
    <w:rsid w:val="002D3609"/>
    <w:rsid w:val="002D4F55"/>
    <w:rsid w:val="002E0BE4"/>
    <w:rsid w:val="002E221F"/>
    <w:rsid w:val="002E227A"/>
    <w:rsid w:val="002E3B58"/>
    <w:rsid w:val="002E3E8A"/>
    <w:rsid w:val="002E53C9"/>
    <w:rsid w:val="002E6A6A"/>
    <w:rsid w:val="002E7728"/>
    <w:rsid w:val="002F10C6"/>
    <w:rsid w:val="002F14C1"/>
    <w:rsid w:val="002F30ED"/>
    <w:rsid w:val="002F3397"/>
    <w:rsid w:val="002F5A93"/>
    <w:rsid w:val="002F6A8D"/>
    <w:rsid w:val="0030380D"/>
    <w:rsid w:val="003040C8"/>
    <w:rsid w:val="00304104"/>
    <w:rsid w:val="00312411"/>
    <w:rsid w:val="0031246B"/>
    <w:rsid w:val="0031408D"/>
    <w:rsid w:val="0031586F"/>
    <w:rsid w:val="00315F49"/>
    <w:rsid w:val="00317A5F"/>
    <w:rsid w:val="00321576"/>
    <w:rsid w:val="00322894"/>
    <w:rsid w:val="00323E71"/>
    <w:rsid w:val="00330881"/>
    <w:rsid w:val="00334124"/>
    <w:rsid w:val="003353D9"/>
    <w:rsid w:val="0034290C"/>
    <w:rsid w:val="00346873"/>
    <w:rsid w:val="00346C8E"/>
    <w:rsid w:val="00347CA8"/>
    <w:rsid w:val="00352DAC"/>
    <w:rsid w:val="00353D36"/>
    <w:rsid w:val="00357A80"/>
    <w:rsid w:val="00360DC5"/>
    <w:rsid w:val="00361E09"/>
    <w:rsid w:val="003625E8"/>
    <w:rsid w:val="0036355E"/>
    <w:rsid w:val="00365B31"/>
    <w:rsid w:val="00367BD5"/>
    <w:rsid w:val="00367D34"/>
    <w:rsid w:val="0037176F"/>
    <w:rsid w:val="00373817"/>
    <w:rsid w:val="00373F7A"/>
    <w:rsid w:val="00375153"/>
    <w:rsid w:val="0038761F"/>
    <w:rsid w:val="00390327"/>
    <w:rsid w:val="00391FF5"/>
    <w:rsid w:val="003937A4"/>
    <w:rsid w:val="00393B78"/>
    <w:rsid w:val="0039682C"/>
    <w:rsid w:val="00397036"/>
    <w:rsid w:val="003970B0"/>
    <w:rsid w:val="00397A5B"/>
    <w:rsid w:val="003A01E9"/>
    <w:rsid w:val="003A1139"/>
    <w:rsid w:val="003A114B"/>
    <w:rsid w:val="003A1CD4"/>
    <w:rsid w:val="003A1EBF"/>
    <w:rsid w:val="003A2F85"/>
    <w:rsid w:val="003A5819"/>
    <w:rsid w:val="003B096B"/>
    <w:rsid w:val="003B1E56"/>
    <w:rsid w:val="003B2B90"/>
    <w:rsid w:val="003B606F"/>
    <w:rsid w:val="003B7152"/>
    <w:rsid w:val="003C0306"/>
    <w:rsid w:val="003C0DD8"/>
    <w:rsid w:val="003C114C"/>
    <w:rsid w:val="003C3443"/>
    <w:rsid w:val="003C465D"/>
    <w:rsid w:val="003C6ACE"/>
    <w:rsid w:val="003D2A89"/>
    <w:rsid w:val="003D2EA7"/>
    <w:rsid w:val="003D3900"/>
    <w:rsid w:val="003D495D"/>
    <w:rsid w:val="003D6219"/>
    <w:rsid w:val="003E0331"/>
    <w:rsid w:val="003E098E"/>
    <w:rsid w:val="003E2F1A"/>
    <w:rsid w:val="003E2FAE"/>
    <w:rsid w:val="003E5530"/>
    <w:rsid w:val="003F2B0D"/>
    <w:rsid w:val="003F3014"/>
    <w:rsid w:val="003F5092"/>
    <w:rsid w:val="003F7AAE"/>
    <w:rsid w:val="00401071"/>
    <w:rsid w:val="0040181B"/>
    <w:rsid w:val="0040215E"/>
    <w:rsid w:val="00402E29"/>
    <w:rsid w:val="00402FE8"/>
    <w:rsid w:val="00404B0C"/>
    <w:rsid w:val="00405035"/>
    <w:rsid w:val="004057CC"/>
    <w:rsid w:val="00405E9C"/>
    <w:rsid w:val="00407CF7"/>
    <w:rsid w:val="00410252"/>
    <w:rsid w:val="00411648"/>
    <w:rsid w:val="004116A5"/>
    <w:rsid w:val="00412261"/>
    <w:rsid w:val="00414924"/>
    <w:rsid w:val="00415ED6"/>
    <w:rsid w:val="00417CAF"/>
    <w:rsid w:val="00420A11"/>
    <w:rsid w:val="00422265"/>
    <w:rsid w:val="0042657E"/>
    <w:rsid w:val="00427262"/>
    <w:rsid w:val="0042744F"/>
    <w:rsid w:val="00430E3A"/>
    <w:rsid w:val="00432314"/>
    <w:rsid w:val="00434818"/>
    <w:rsid w:val="00435891"/>
    <w:rsid w:val="00436C8C"/>
    <w:rsid w:val="004371FB"/>
    <w:rsid w:val="004373A7"/>
    <w:rsid w:val="00437D94"/>
    <w:rsid w:val="0044030C"/>
    <w:rsid w:val="004415AB"/>
    <w:rsid w:val="004437D7"/>
    <w:rsid w:val="00444483"/>
    <w:rsid w:val="00444C44"/>
    <w:rsid w:val="00447B9A"/>
    <w:rsid w:val="004545BF"/>
    <w:rsid w:val="00454608"/>
    <w:rsid w:val="004638C7"/>
    <w:rsid w:val="004648A4"/>
    <w:rsid w:val="00465005"/>
    <w:rsid w:val="004662A9"/>
    <w:rsid w:val="00471380"/>
    <w:rsid w:val="00475962"/>
    <w:rsid w:val="00477D72"/>
    <w:rsid w:val="00484918"/>
    <w:rsid w:val="00490E12"/>
    <w:rsid w:val="00490F47"/>
    <w:rsid w:val="00493822"/>
    <w:rsid w:val="0049439C"/>
    <w:rsid w:val="00494F0D"/>
    <w:rsid w:val="00496BFD"/>
    <w:rsid w:val="004A0CD7"/>
    <w:rsid w:val="004A1856"/>
    <w:rsid w:val="004A3DF2"/>
    <w:rsid w:val="004A65A7"/>
    <w:rsid w:val="004B3D9F"/>
    <w:rsid w:val="004C099A"/>
    <w:rsid w:val="004C361D"/>
    <w:rsid w:val="004C39A6"/>
    <w:rsid w:val="004C4891"/>
    <w:rsid w:val="004D03B4"/>
    <w:rsid w:val="004D2C89"/>
    <w:rsid w:val="004D35A0"/>
    <w:rsid w:val="004E282E"/>
    <w:rsid w:val="004E3932"/>
    <w:rsid w:val="004E46CF"/>
    <w:rsid w:val="004E7AEB"/>
    <w:rsid w:val="004F1E79"/>
    <w:rsid w:val="004F4435"/>
    <w:rsid w:val="004F5F33"/>
    <w:rsid w:val="00500403"/>
    <w:rsid w:val="0050103A"/>
    <w:rsid w:val="005053D0"/>
    <w:rsid w:val="0050674A"/>
    <w:rsid w:val="00511B0F"/>
    <w:rsid w:val="00516DBF"/>
    <w:rsid w:val="00517481"/>
    <w:rsid w:val="005176CC"/>
    <w:rsid w:val="005207DE"/>
    <w:rsid w:val="005251B4"/>
    <w:rsid w:val="005262BF"/>
    <w:rsid w:val="00527FF4"/>
    <w:rsid w:val="00530234"/>
    <w:rsid w:val="005313ED"/>
    <w:rsid w:val="005353EF"/>
    <w:rsid w:val="00536428"/>
    <w:rsid w:val="00536721"/>
    <w:rsid w:val="00536B38"/>
    <w:rsid w:val="005503B7"/>
    <w:rsid w:val="005504C2"/>
    <w:rsid w:val="00551468"/>
    <w:rsid w:val="0055388E"/>
    <w:rsid w:val="00554FCF"/>
    <w:rsid w:val="00560063"/>
    <w:rsid w:val="005609E9"/>
    <w:rsid w:val="00560BC6"/>
    <w:rsid w:val="005613DD"/>
    <w:rsid w:val="00564676"/>
    <w:rsid w:val="00565113"/>
    <w:rsid w:val="00567F97"/>
    <w:rsid w:val="00570477"/>
    <w:rsid w:val="0057178C"/>
    <w:rsid w:val="005754AE"/>
    <w:rsid w:val="00576102"/>
    <w:rsid w:val="00577FB5"/>
    <w:rsid w:val="0058301B"/>
    <w:rsid w:val="005831BA"/>
    <w:rsid w:val="00584459"/>
    <w:rsid w:val="00584867"/>
    <w:rsid w:val="005852D1"/>
    <w:rsid w:val="00587A22"/>
    <w:rsid w:val="00587E35"/>
    <w:rsid w:val="00590AC6"/>
    <w:rsid w:val="00590B59"/>
    <w:rsid w:val="005923C4"/>
    <w:rsid w:val="0059299D"/>
    <w:rsid w:val="005940E2"/>
    <w:rsid w:val="00594379"/>
    <w:rsid w:val="00595C8C"/>
    <w:rsid w:val="005963D9"/>
    <w:rsid w:val="00597747"/>
    <w:rsid w:val="005A1B7D"/>
    <w:rsid w:val="005A4CDD"/>
    <w:rsid w:val="005A515E"/>
    <w:rsid w:val="005B30D8"/>
    <w:rsid w:val="005B57E4"/>
    <w:rsid w:val="005B5ABD"/>
    <w:rsid w:val="005B5DD1"/>
    <w:rsid w:val="005B74B8"/>
    <w:rsid w:val="005B7798"/>
    <w:rsid w:val="005B7FC8"/>
    <w:rsid w:val="005C1320"/>
    <w:rsid w:val="005C140A"/>
    <w:rsid w:val="005C241D"/>
    <w:rsid w:val="005C631B"/>
    <w:rsid w:val="005C6763"/>
    <w:rsid w:val="005C7903"/>
    <w:rsid w:val="005D02F6"/>
    <w:rsid w:val="005D3164"/>
    <w:rsid w:val="005D47D5"/>
    <w:rsid w:val="005D4C79"/>
    <w:rsid w:val="005D5101"/>
    <w:rsid w:val="005D59C8"/>
    <w:rsid w:val="005D797B"/>
    <w:rsid w:val="005E0344"/>
    <w:rsid w:val="005E17B4"/>
    <w:rsid w:val="005E211F"/>
    <w:rsid w:val="005E2842"/>
    <w:rsid w:val="005E440B"/>
    <w:rsid w:val="005F01F0"/>
    <w:rsid w:val="005F2C85"/>
    <w:rsid w:val="005F2CBF"/>
    <w:rsid w:val="005F37AA"/>
    <w:rsid w:val="005F3D75"/>
    <w:rsid w:val="00600DF8"/>
    <w:rsid w:val="0060161E"/>
    <w:rsid w:val="00602435"/>
    <w:rsid w:val="00604A2E"/>
    <w:rsid w:val="00605ADB"/>
    <w:rsid w:val="00605BD2"/>
    <w:rsid w:val="00605F11"/>
    <w:rsid w:val="00611C9F"/>
    <w:rsid w:val="00611FF6"/>
    <w:rsid w:val="00616D21"/>
    <w:rsid w:val="00621BF6"/>
    <w:rsid w:val="00624429"/>
    <w:rsid w:val="00627555"/>
    <w:rsid w:val="00627B76"/>
    <w:rsid w:val="006316C4"/>
    <w:rsid w:val="006317CE"/>
    <w:rsid w:val="006322A0"/>
    <w:rsid w:val="00635337"/>
    <w:rsid w:val="00635EAF"/>
    <w:rsid w:val="006361FD"/>
    <w:rsid w:val="00637B24"/>
    <w:rsid w:val="00637B5E"/>
    <w:rsid w:val="0064099E"/>
    <w:rsid w:val="00640F13"/>
    <w:rsid w:val="0064226F"/>
    <w:rsid w:val="0064394B"/>
    <w:rsid w:val="006464C4"/>
    <w:rsid w:val="00651E64"/>
    <w:rsid w:val="00653298"/>
    <w:rsid w:val="00653E56"/>
    <w:rsid w:val="00654FD0"/>
    <w:rsid w:val="00655052"/>
    <w:rsid w:val="006562EA"/>
    <w:rsid w:val="00656B64"/>
    <w:rsid w:val="00663932"/>
    <w:rsid w:val="00663A7C"/>
    <w:rsid w:val="006663E5"/>
    <w:rsid w:val="00666FBD"/>
    <w:rsid w:val="00667DF2"/>
    <w:rsid w:val="00670DF1"/>
    <w:rsid w:val="00671345"/>
    <w:rsid w:val="006726E6"/>
    <w:rsid w:val="00672A9B"/>
    <w:rsid w:val="00673415"/>
    <w:rsid w:val="00674646"/>
    <w:rsid w:val="006752A1"/>
    <w:rsid w:val="00675884"/>
    <w:rsid w:val="0067747A"/>
    <w:rsid w:val="00680232"/>
    <w:rsid w:val="00682156"/>
    <w:rsid w:val="00682FA4"/>
    <w:rsid w:val="0068324C"/>
    <w:rsid w:val="006847F4"/>
    <w:rsid w:val="006851EA"/>
    <w:rsid w:val="00685601"/>
    <w:rsid w:val="00686F40"/>
    <w:rsid w:val="00691F9C"/>
    <w:rsid w:val="006944B7"/>
    <w:rsid w:val="00696EE0"/>
    <w:rsid w:val="00697980"/>
    <w:rsid w:val="00697F4D"/>
    <w:rsid w:val="006A1739"/>
    <w:rsid w:val="006A19EF"/>
    <w:rsid w:val="006A3D16"/>
    <w:rsid w:val="006A42C1"/>
    <w:rsid w:val="006A43D5"/>
    <w:rsid w:val="006A525B"/>
    <w:rsid w:val="006A534F"/>
    <w:rsid w:val="006A7329"/>
    <w:rsid w:val="006B0839"/>
    <w:rsid w:val="006B0DE2"/>
    <w:rsid w:val="006B1D27"/>
    <w:rsid w:val="006B1E80"/>
    <w:rsid w:val="006B26F5"/>
    <w:rsid w:val="006B3516"/>
    <w:rsid w:val="006B67FE"/>
    <w:rsid w:val="006C045F"/>
    <w:rsid w:val="006C4196"/>
    <w:rsid w:val="006C63B0"/>
    <w:rsid w:val="006C6D14"/>
    <w:rsid w:val="006C76A2"/>
    <w:rsid w:val="006C792E"/>
    <w:rsid w:val="006D116C"/>
    <w:rsid w:val="006D6330"/>
    <w:rsid w:val="006D6D42"/>
    <w:rsid w:val="006E1AE8"/>
    <w:rsid w:val="006E200C"/>
    <w:rsid w:val="006E22C1"/>
    <w:rsid w:val="006E667A"/>
    <w:rsid w:val="006E755D"/>
    <w:rsid w:val="006E7C42"/>
    <w:rsid w:val="006F124D"/>
    <w:rsid w:val="006F168A"/>
    <w:rsid w:val="006F3254"/>
    <w:rsid w:val="006F4237"/>
    <w:rsid w:val="006F5076"/>
    <w:rsid w:val="006F589F"/>
    <w:rsid w:val="006F6009"/>
    <w:rsid w:val="006F6212"/>
    <w:rsid w:val="006F7A43"/>
    <w:rsid w:val="0070050C"/>
    <w:rsid w:val="00702237"/>
    <w:rsid w:val="0070321D"/>
    <w:rsid w:val="00703C9C"/>
    <w:rsid w:val="007040B7"/>
    <w:rsid w:val="00704EE6"/>
    <w:rsid w:val="007060E7"/>
    <w:rsid w:val="007063D4"/>
    <w:rsid w:val="007068BA"/>
    <w:rsid w:val="00706C7B"/>
    <w:rsid w:val="0071010C"/>
    <w:rsid w:val="00710B03"/>
    <w:rsid w:val="007121D2"/>
    <w:rsid w:val="00716AB1"/>
    <w:rsid w:val="00721D63"/>
    <w:rsid w:val="00726EB3"/>
    <w:rsid w:val="0073290E"/>
    <w:rsid w:val="00732C7B"/>
    <w:rsid w:val="00734D2B"/>
    <w:rsid w:val="00737705"/>
    <w:rsid w:val="007405B2"/>
    <w:rsid w:val="007408D4"/>
    <w:rsid w:val="00741037"/>
    <w:rsid w:val="007420AC"/>
    <w:rsid w:val="00742617"/>
    <w:rsid w:val="00744CAF"/>
    <w:rsid w:val="00744D59"/>
    <w:rsid w:val="00745781"/>
    <w:rsid w:val="007547CA"/>
    <w:rsid w:val="00757B14"/>
    <w:rsid w:val="00760D8F"/>
    <w:rsid w:val="00761372"/>
    <w:rsid w:val="007648C9"/>
    <w:rsid w:val="00765A07"/>
    <w:rsid w:val="00771E03"/>
    <w:rsid w:val="00775993"/>
    <w:rsid w:val="00776E6B"/>
    <w:rsid w:val="00777747"/>
    <w:rsid w:val="00782E57"/>
    <w:rsid w:val="00783AFA"/>
    <w:rsid w:val="00785427"/>
    <w:rsid w:val="0078741E"/>
    <w:rsid w:val="00790139"/>
    <w:rsid w:val="00790540"/>
    <w:rsid w:val="00792DF4"/>
    <w:rsid w:val="007967EC"/>
    <w:rsid w:val="007968CA"/>
    <w:rsid w:val="007A2613"/>
    <w:rsid w:val="007A2CAB"/>
    <w:rsid w:val="007A35A1"/>
    <w:rsid w:val="007A396D"/>
    <w:rsid w:val="007A43FF"/>
    <w:rsid w:val="007B3918"/>
    <w:rsid w:val="007B576F"/>
    <w:rsid w:val="007C09A9"/>
    <w:rsid w:val="007C0AD9"/>
    <w:rsid w:val="007C0DFE"/>
    <w:rsid w:val="007C3C1D"/>
    <w:rsid w:val="007C571D"/>
    <w:rsid w:val="007C7485"/>
    <w:rsid w:val="007D16B2"/>
    <w:rsid w:val="007D199A"/>
    <w:rsid w:val="007D23BB"/>
    <w:rsid w:val="007D2EBE"/>
    <w:rsid w:val="007D326F"/>
    <w:rsid w:val="007D3CBB"/>
    <w:rsid w:val="007D4049"/>
    <w:rsid w:val="007D4726"/>
    <w:rsid w:val="007D4C48"/>
    <w:rsid w:val="007D69E5"/>
    <w:rsid w:val="007D7B8D"/>
    <w:rsid w:val="007E0D71"/>
    <w:rsid w:val="007E1628"/>
    <w:rsid w:val="007E1C07"/>
    <w:rsid w:val="007F24B6"/>
    <w:rsid w:val="007F2A70"/>
    <w:rsid w:val="007F4D77"/>
    <w:rsid w:val="007F5DE1"/>
    <w:rsid w:val="007F5EFE"/>
    <w:rsid w:val="00801790"/>
    <w:rsid w:val="00803D94"/>
    <w:rsid w:val="00806A66"/>
    <w:rsid w:val="00806D68"/>
    <w:rsid w:val="008115CB"/>
    <w:rsid w:val="008229BA"/>
    <w:rsid w:val="008239C3"/>
    <w:rsid w:val="00823F3F"/>
    <w:rsid w:val="00826D5B"/>
    <w:rsid w:val="008324F3"/>
    <w:rsid w:val="00837AFE"/>
    <w:rsid w:val="00840BD1"/>
    <w:rsid w:val="008412DA"/>
    <w:rsid w:val="00843F59"/>
    <w:rsid w:val="008447EF"/>
    <w:rsid w:val="00845390"/>
    <w:rsid w:val="00845C9C"/>
    <w:rsid w:val="0084601B"/>
    <w:rsid w:val="008477F1"/>
    <w:rsid w:val="00850EA8"/>
    <w:rsid w:val="008521C8"/>
    <w:rsid w:val="00856233"/>
    <w:rsid w:val="008606F0"/>
    <w:rsid w:val="00865489"/>
    <w:rsid w:val="0086553D"/>
    <w:rsid w:val="00865750"/>
    <w:rsid w:val="00865776"/>
    <w:rsid w:val="0086637A"/>
    <w:rsid w:val="00866EBD"/>
    <w:rsid w:val="00872744"/>
    <w:rsid w:val="00873D29"/>
    <w:rsid w:val="00874FEB"/>
    <w:rsid w:val="00875CFD"/>
    <w:rsid w:val="00876582"/>
    <w:rsid w:val="00880506"/>
    <w:rsid w:val="00881A3C"/>
    <w:rsid w:val="00881B6F"/>
    <w:rsid w:val="00882AA4"/>
    <w:rsid w:val="00883E19"/>
    <w:rsid w:val="00883E22"/>
    <w:rsid w:val="00884E43"/>
    <w:rsid w:val="00886A63"/>
    <w:rsid w:val="00887EC6"/>
    <w:rsid w:val="0089084C"/>
    <w:rsid w:val="00891914"/>
    <w:rsid w:val="00893409"/>
    <w:rsid w:val="00893684"/>
    <w:rsid w:val="00893D9F"/>
    <w:rsid w:val="00893FEB"/>
    <w:rsid w:val="00895FF9"/>
    <w:rsid w:val="008A062F"/>
    <w:rsid w:val="008A2379"/>
    <w:rsid w:val="008A4329"/>
    <w:rsid w:val="008A578E"/>
    <w:rsid w:val="008B1519"/>
    <w:rsid w:val="008B69E3"/>
    <w:rsid w:val="008B7BCC"/>
    <w:rsid w:val="008C2B73"/>
    <w:rsid w:val="008C2E2B"/>
    <w:rsid w:val="008C34AB"/>
    <w:rsid w:val="008C36FF"/>
    <w:rsid w:val="008C50C3"/>
    <w:rsid w:val="008C5459"/>
    <w:rsid w:val="008C6A9C"/>
    <w:rsid w:val="008C7094"/>
    <w:rsid w:val="008C777F"/>
    <w:rsid w:val="008D02DC"/>
    <w:rsid w:val="008D2B97"/>
    <w:rsid w:val="008D45F9"/>
    <w:rsid w:val="008D49A5"/>
    <w:rsid w:val="008D54BE"/>
    <w:rsid w:val="008D6C81"/>
    <w:rsid w:val="008E30B1"/>
    <w:rsid w:val="008E3608"/>
    <w:rsid w:val="008E38AE"/>
    <w:rsid w:val="008E5250"/>
    <w:rsid w:val="008E53E4"/>
    <w:rsid w:val="008E6CF0"/>
    <w:rsid w:val="008F1439"/>
    <w:rsid w:val="008F162E"/>
    <w:rsid w:val="008F660E"/>
    <w:rsid w:val="008F7051"/>
    <w:rsid w:val="008F75EF"/>
    <w:rsid w:val="009000BB"/>
    <w:rsid w:val="009011BE"/>
    <w:rsid w:val="00902830"/>
    <w:rsid w:val="009033A9"/>
    <w:rsid w:val="00904152"/>
    <w:rsid w:val="0090581D"/>
    <w:rsid w:val="00910122"/>
    <w:rsid w:val="00913D7A"/>
    <w:rsid w:val="0091439C"/>
    <w:rsid w:val="0091663A"/>
    <w:rsid w:val="009200EA"/>
    <w:rsid w:val="00920572"/>
    <w:rsid w:val="00920BF2"/>
    <w:rsid w:val="00920CA1"/>
    <w:rsid w:val="00924F41"/>
    <w:rsid w:val="00926DE4"/>
    <w:rsid w:val="009349A9"/>
    <w:rsid w:val="00936C52"/>
    <w:rsid w:val="00937FBF"/>
    <w:rsid w:val="009443AE"/>
    <w:rsid w:val="0095173B"/>
    <w:rsid w:val="00951F8A"/>
    <w:rsid w:val="0095485E"/>
    <w:rsid w:val="0095489B"/>
    <w:rsid w:val="00955354"/>
    <w:rsid w:val="00955541"/>
    <w:rsid w:val="009575D1"/>
    <w:rsid w:val="00961140"/>
    <w:rsid w:val="0096175C"/>
    <w:rsid w:val="0096461E"/>
    <w:rsid w:val="009652DE"/>
    <w:rsid w:val="00966FB9"/>
    <w:rsid w:val="009671CD"/>
    <w:rsid w:val="009729AF"/>
    <w:rsid w:val="009751A9"/>
    <w:rsid w:val="00975770"/>
    <w:rsid w:val="009757F1"/>
    <w:rsid w:val="00977610"/>
    <w:rsid w:val="00980F9C"/>
    <w:rsid w:val="0098160A"/>
    <w:rsid w:val="0098632B"/>
    <w:rsid w:val="0098689D"/>
    <w:rsid w:val="00990870"/>
    <w:rsid w:val="009961F1"/>
    <w:rsid w:val="00997A5A"/>
    <w:rsid w:val="00997BFB"/>
    <w:rsid w:val="009A1F6F"/>
    <w:rsid w:val="009A3425"/>
    <w:rsid w:val="009A5D0B"/>
    <w:rsid w:val="009A7348"/>
    <w:rsid w:val="009B1947"/>
    <w:rsid w:val="009B3CB1"/>
    <w:rsid w:val="009B462C"/>
    <w:rsid w:val="009C15F3"/>
    <w:rsid w:val="009C2631"/>
    <w:rsid w:val="009C4E52"/>
    <w:rsid w:val="009D0FFB"/>
    <w:rsid w:val="009D2103"/>
    <w:rsid w:val="009D4D1F"/>
    <w:rsid w:val="009D58AC"/>
    <w:rsid w:val="009D5E57"/>
    <w:rsid w:val="009D6BF3"/>
    <w:rsid w:val="009D7BBD"/>
    <w:rsid w:val="009E07C2"/>
    <w:rsid w:val="009E0E52"/>
    <w:rsid w:val="009E6743"/>
    <w:rsid w:val="009E69DB"/>
    <w:rsid w:val="009F27A9"/>
    <w:rsid w:val="009F5204"/>
    <w:rsid w:val="009F60FE"/>
    <w:rsid w:val="009F72F9"/>
    <w:rsid w:val="00A00205"/>
    <w:rsid w:val="00A00AF0"/>
    <w:rsid w:val="00A01412"/>
    <w:rsid w:val="00A01C4A"/>
    <w:rsid w:val="00A031B5"/>
    <w:rsid w:val="00A147CE"/>
    <w:rsid w:val="00A14B5A"/>
    <w:rsid w:val="00A20BE9"/>
    <w:rsid w:val="00A23800"/>
    <w:rsid w:val="00A24262"/>
    <w:rsid w:val="00A30921"/>
    <w:rsid w:val="00A31DA7"/>
    <w:rsid w:val="00A3567F"/>
    <w:rsid w:val="00A36A6B"/>
    <w:rsid w:val="00A37698"/>
    <w:rsid w:val="00A400ED"/>
    <w:rsid w:val="00A407D7"/>
    <w:rsid w:val="00A41ED3"/>
    <w:rsid w:val="00A437D2"/>
    <w:rsid w:val="00A46727"/>
    <w:rsid w:val="00A5503C"/>
    <w:rsid w:val="00A56C01"/>
    <w:rsid w:val="00A56CB4"/>
    <w:rsid w:val="00A57823"/>
    <w:rsid w:val="00A57923"/>
    <w:rsid w:val="00A6545B"/>
    <w:rsid w:val="00A65B95"/>
    <w:rsid w:val="00A676FC"/>
    <w:rsid w:val="00A70D1E"/>
    <w:rsid w:val="00A71E27"/>
    <w:rsid w:val="00A748E5"/>
    <w:rsid w:val="00A75438"/>
    <w:rsid w:val="00A75A9E"/>
    <w:rsid w:val="00A76DFF"/>
    <w:rsid w:val="00A809FD"/>
    <w:rsid w:val="00A81D82"/>
    <w:rsid w:val="00A82E36"/>
    <w:rsid w:val="00A874E3"/>
    <w:rsid w:val="00A87BEB"/>
    <w:rsid w:val="00A92129"/>
    <w:rsid w:val="00A92899"/>
    <w:rsid w:val="00A93E33"/>
    <w:rsid w:val="00A94AF9"/>
    <w:rsid w:val="00A95123"/>
    <w:rsid w:val="00A979F3"/>
    <w:rsid w:val="00AA295D"/>
    <w:rsid w:val="00AA2E6B"/>
    <w:rsid w:val="00AA4282"/>
    <w:rsid w:val="00AA55EC"/>
    <w:rsid w:val="00AB08C9"/>
    <w:rsid w:val="00AB0E37"/>
    <w:rsid w:val="00AB4683"/>
    <w:rsid w:val="00AB63AB"/>
    <w:rsid w:val="00AB6970"/>
    <w:rsid w:val="00AB7CAD"/>
    <w:rsid w:val="00AC1939"/>
    <w:rsid w:val="00AC1E0C"/>
    <w:rsid w:val="00AC4514"/>
    <w:rsid w:val="00AC6069"/>
    <w:rsid w:val="00AC7C05"/>
    <w:rsid w:val="00AD167C"/>
    <w:rsid w:val="00AD17C7"/>
    <w:rsid w:val="00AD4041"/>
    <w:rsid w:val="00AD78FC"/>
    <w:rsid w:val="00AE302B"/>
    <w:rsid w:val="00AE4F54"/>
    <w:rsid w:val="00AF061F"/>
    <w:rsid w:val="00AF31F0"/>
    <w:rsid w:val="00AF367A"/>
    <w:rsid w:val="00AF574D"/>
    <w:rsid w:val="00AF6EE4"/>
    <w:rsid w:val="00AF715E"/>
    <w:rsid w:val="00B0109D"/>
    <w:rsid w:val="00B03B75"/>
    <w:rsid w:val="00B055CB"/>
    <w:rsid w:val="00B10A5C"/>
    <w:rsid w:val="00B11ABA"/>
    <w:rsid w:val="00B121BF"/>
    <w:rsid w:val="00B13C5B"/>
    <w:rsid w:val="00B146DE"/>
    <w:rsid w:val="00B246FF"/>
    <w:rsid w:val="00B259DF"/>
    <w:rsid w:val="00B265FE"/>
    <w:rsid w:val="00B27B8E"/>
    <w:rsid w:val="00B37201"/>
    <w:rsid w:val="00B44B1F"/>
    <w:rsid w:val="00B50450"/>
    <w:rsid w:val="00B53AAD"/>
    <w:rsid w:val="00B53E0E"/>
    <w:rsid w:val="00B54842"/>
    <w:rsid w:val="00B560A1"/>
    <w:rsid w:val="00B560C3"/>
    <w:rsid w:val="00B62413"/>
    <w:rsid w:val="00B64141"/>
    <w:rsid w:val="00B64E72"/>
    <w:rsid w:val="00B65A01"/>
    <w:rsid w:val="00B7170E"/>
    <w:rsid w:val="00B73194"/>
    <w:rsid w:val="00B77913"/>
    <w:rsid w:val="00B80E36"/>
    <w:rsid w:val="00B824FB"/>
    <w:rsid w:val="00B82646"/>
    <w:rsid w:val="00B83CAC"/>
    <w:rsid w:val="00B8799E"/>
    <w:rsid w:val="00B92E1A"/>
    <w:rsid w:val="00B95BE6"/>
    <w:rsid w:val="00B97359"/>
    <w:rsid w:val="00B97A8F"/>
    <w:rsid w:val="00BA258C"/>
    <w:rsid w:val="00BA4CCD"/>
    <w:rsid w:val="00BA4E58"/>
    <w:rsid w:val="00BA7074"/>
    <w:rsid w:val="00BB198B"/>
    <w:rsid w:val="00BB4337"/>
    <w:rsid w:val="00BB4A7C"/>
    <w:rsid w:val="00BB4E7A"/>
    <w:rsid w:val="00BB5EBA"/>
    <w:rsid w:val="00BB7829"/>
    <w:rsid w:val="00BC4122"/>
    <w:rsid w:val="00BD0373"/>
    <w:rsid w:val="00BD1457"/>
    <w:rsid w:val="00BD26F1"/>
    <w:rsid w:val="00BE2660"/>
    <w:rsid w:val="00BE2AD9"/>
    <w:rsid w:val="00BF27FE"/>
    <w:rsid w:val="00BF2EFC"/>
    <w:rsid w:val="00BF4526"/>
    <w:rsid w:val="00C02D24"/>
    <w:rsid w:val="00C043B3"/>
    <w:rsid w:val="00C05772"/>
    <w:rsid w:val="00C05FB7"/>
    <w:rsid w:val="00C0727F"/>
    <w:rsid w:val="00C079AB"/>
    <w:rsid w:val="00C10E61"/>
    <w:rsid w:val="00C14787"/>
    <w:rsid w:val="00C14E6F"/>
    <w:rsid w:val="00C1596D"/>
    <w:rsid w:val="00C15B8D"/>
    <w:rsid w:val="00C17010"/>
    <w:rsid w:val="00C20562"/>
    <w:rsid w:val="00C215C3"/>
    <w:rsid w:val="00C23A96"/>
    <w:rsid w:val="00C249C6"/>
    <w:rsid w:val="00C251E9"/>
    <w:rsid w:val="00C32CC1"/>
    <w:rsid w:val="00C330DD"/>
    <w:rsid w:val="00C33114"/>
    <w:rsid w:val="00C3365E"/>
    <w:rsid w:val="00C35D86"/>
    <w:rsid w:val="00C36E28"/>
    <w:rsid w:val="00C4048F"/>
    <w:rsid w:val="00C426EC"/>
    <w:rsid w:val="00C447DF"/>
    <w:rsid w:val="00C44ADE"/>
    <w:rsid w:val="00C44E35"/>
    <w:rsid w:val="00C46D67"/>
    <w:rsid w:val="00C4766F"/>
    <w:rsid w:val="00C518A3"/>
    <w:rsid w:val="00C5280B"/>
    <w:rsid w:val="00C53B86"/>
    <w:rsid w:val="00C54620"/>
    <w:rsid w:val="00C57C01"/>
    <w:rsid w:val="00C61D55"/>
    <w:rsid w:val="00C639E9"/>
    <w:rsid w:val="00C64394"/>
    <w:rsid w:val="00C6483C"/>
    <w:rsid w:val="00C64AE9"/>
    <w:rsid w:val="00C66EFE"/>
    <w:rsid w:val="00C70CFF"/>
    <w:rsid w:val="00C718FE"/>
    <w:rsid w:val="00C71AFC"/>
    <w:rsid w:val="00C7567A"/>
    <w:rsid w:val="00C8342A"/>
    <w:rsid w:val="00C84BF2"/>
    <w:rsid w:val="00C86691"/>
    <w:rsid w:val="00C8773D"/>
    <w:rsid w:val="00C87ABB"/>
    <w:rsid w:val="00C9166D"/>
    <w:rsid w:val="00C91831"/>
    <w:rsid w:val="00C9378A"/>
    <w:rsid w:val="00C942E7"/>
    <w:rsid w:val="00C953DF"/>
    <w:rsid w:val="00CA2905"/>
    <w:rsid w:val="00CA4F26"/>
    <w:rsid w:val="00CA5696"/>
    <w:rsid w:val="00CA7B44"/>
    <w:rsid w:val="00CB152E"/>
    <w:rsid w:val="00CB2FED"/>
    <w:rsid w:val="00CC6F54"/>
    <w:rsid w:val="00CD2965"/>
    <w:rsid w:val="00CD3583"/>
    <w:rsid w:val="00CD48E3"/>
    <w:rsid w:val="00CD4BEB"/>
    <w:rsid w:val="00CE1DB2"/>
    <w:rsid w:val="00CE2709"/>
    <w:rsid w:val="00CE2D64"/>
    <w:rsid w:val="00CE444A"/>
    <w:rsid w:val="00CE6198"/>
    <w:rsid w:val="00CF2893"/>
    <w:rsid w:val="00CF5370"/>
    <w:rsid w:val="00CF6230"/>
    <w:rsid w:val="00D0141F"/>
    <w:rsid w:val="00D017FC"/>
    <w:rsid w:val="00D0226A"/>
    <w:rsid w:val="00D0443F"/>
    <w:rsid w:val="00D06029"/>
    <w:rsid w:val="00D061D8"/>
    <w:rsid w:val="00D102BC"/>
    <w:rsid w:val="00D11727"/>
    <w:rsid w:val="00D1256B"/>
    <w:rsid w:val="00D13147"/>
    <w:rsid w:val="00D14459"/>
    <w:rsid w:val="00D16E54"/>
    <w:rsid w:val="00D21FA1"/>
    <w:rsid w:val="00D25994"/>
    <w:rsid w:val="00D27B1D"/>
    <w:rsid w:val="00D31DBB"/>
    <w:rsid w:val="00D32641"/>
    <w:rsid w:val="00D32D73"/>
    <w:rsid w:val="00D33ECC"/>
    <w:rsid w:val="00D36620"/>
    <w:rsid w:val="00D4115C"/>
    <w:rsid w:val="00D451BF"/>
    <w:rsid w:val="00D45743"/>
    <w:rsid w:val="00D532EE"/>
    <w:rsid w:val="00D5715A"/>
    <w:rsid w:val="00D625C5"/>
    <w:rsid w:val="00D6436F"/>
    <w:rsid w:val="00D66989"/>
    <w:rsid w:val="00D66CA6"/>
    <w:rsid w:val="00D71687"/>
    <w:rsid w:val="00D73206"/>
    <w:rsid w:val="00D742F2"/>
    <w:rsid w:val="00D74813"/>
    <w:rsid w:val="00D82373"/>
    <w:rsid w:val="00D849DE"/>
    <w:rsid w:val="00D900E7"/>
    <w:rsid w:val="00D91670"/>
    <w:rsid w:val="00D9589D"/>
    <w:rsid w:val="00D97590"/>
    <w:rsid w:val="00DA0468"/>
    <w:rsid w:val="00DA05A8"/>
    <w:rsid w:val="00DA11D2"/>
    <w:rsid w:val="00DA26FF"/>
    <w:rsid w:val="00DA30BC"/>
    <w:rsid w:val="00DA5809"/>
    <w:rsid w:val="00DA614E"/>
    <w:rsid w:val="00DA69C2"/>
    <w:rsid w:val="00DA6C65"/>
    <w:rsid w:val="00DA6D70"/>
    <w:rsid w:val="00DB3D66"/>
    <w:rsid w:val="00DB5D0C"/>
    <w:rsid w:val="00DB6050"/>
    <w:rsid w:val="00DC020F"/>
    <w:rsid w:val="00DC034B"/>
    <w:rsid w:val="00DC083E"/>
    <w:rsid w:val="00DC0F8E"/>
    <w:rsid w:val="00DC2C34"/>
    <w:rsid w:val="00DC340E"/>
    <w:rsid w:val="00DC3BD7"/>
    <w:rsid w:val="00DC4909"/>
    <w:rsid w:val="00DE11B6"/>
    <w:rsid w:val="00DE1D9F"/>
    <w:rsid w:val="00DE2C87"/>
    <w:rsid w:val="00DE459A"/>
    <w:rsid w:val="00DF19E0"/>
    <w:rsid w:val="00DF1DEC"/>
    <w:rsid w:val="00DF27DA"/>
    <w:rsid w:val="00DF4DBE"/>
    <w:rsid w:val="00DF5A27"/>
    <w:rsid w:val="00DF659A"/>
    <w:rsid w:val="00E001D2"/>
    <w:rsid w:val="00E01077"/>
    <w:rsid w:val="00E10635"/>
    <w:rsid w:val="00E152EC"/>
    <w:rsid w:val="00E15DB8"/>
    <w:rsid w:val="00E17A65"/>
    <w:rsid w:val="00E2159F"/>
    <w:rsid w:val="00E221DC"/>
    <w:rsid w:val="00E27BE6"/>
    <w:rsid w:val="00E27CDC"/>
    <w:rsid w:val="00E3215F"/>
    <w:rsid w:val="00E34607"/>
    <w:rsid w:val="00E354FB"/>
    <w:rsid w:val="00E361C5"/>
    <w:rsid w:val="00E37DCB"/>
    <w:rsid w:val="00E40820"/>
    <w:rsid w:val="00E428F9"/>
    <w:rsid w:val="00E42E00"/>
    <w:rsid w:val="00E44895"/>
    <w:rsid w:val="00E4658F"/>
    <w:rsid w:val="00E54479"/>
    <w:rsid w:val="00E54A67"/>
    <w:rsid w:val="00E57490"/>
    <w:rsid w:val="00E578D8"/>
    <w:rsid w:val="00E57CA1"/>
    <w:rsid w:val="00E57DB9"/>
    <w:rsid w:val="00E60408"/>
    <w:rsid w:val="00E61C0D"/>
    <w:rsid w:val="00E63EB4"/>
    <w:rsid w:val="00E64912"/>
    <w:rsid w:val="00E66160"/>
    <w:rsid w:val="00E67022"/>
    <w:rsid w:val="00E71329"/>
    <w:rsid w:val="00E7181E"/>
    <w:rsid w:val="00E71989"/>
    <w:rsid w:val="00E72250"/>
    <w:rsid w:val="00E75032"/>
    <w:rsid w:val="00E771F4"/>
    <w:rsid w:val="00E816F3"/>
    <w:rsid w:val="00E81DB5"/>
    <w:rsid w:val="00E82D1D"/>
    <w:rsid w:val="00E8363B"/>
    <w:rsid w:val="00E83A52"/>
    <w:rsid w:val="00E84966"/>
    <w:rsid w:val="00E90780"/>
    <w:rsid w:val="00E91CEC"/>
    <w:rsid w:val="00E92383"/>
    <w:rsid w:val="00E93C14"/>
    <w:rsid w:val="00E94853"/>
    <w:rsid w:val="00E9489D"/>
    <w:rsid w:val="00EA1B3A"/>
    <w:rsid w:val="00EA2109"/>
    <w:rsid w:val="00EB00FC"/>
    <w:rsid w:val="00EC2CEE"/>
    <w:rsid w:val="00EC30BF"/>
    <w:rsid w:val="00EC3D9D"/>
    <w:rsid w:val="00EC4292"/>
    <w:rsid w:val="00EC6E7C"/>
    <w:rsid w:val="00EC6FD5"/>
    <w:rsid w:val="00ED2C6B"/>
    <w:rsid w:val="00ED3B46"/>
    <w:rsid w:val="00ED4D4E"/>
    <w:rsid w:val="00ED59CE"/>
    <w:rsid w:val="00ED6056"/>
    <w:rsid w:val="00EE07AD"/>
    <w:rsid w:val="00EE0C77"/>
    <w:rsid w:val="00EE0FCE"/>
    <w:rsid w:val="00EE2CB1"/>
    <w:rsid w:val="00EE3CEC"/>
    <w:rsid w:val="00EE4859"/>
    <w:rsid w:val="00EE4965"/>
    <w:rsid w:val="00EE4E54"/>
    <w:rsid w:val="00EE5356"/>
    <w:rsid w:val="00EF2F59"/>
    <w:rsid w:val="00EF639F"/>
    <w:rsid w:val="00F00C2F"/>
    <w:rsid w:val="00F01A40"/>
    <w:rsid w:val="00F01F71"/>
    <w:rsid w:val="00F03BF9"/>
    <w:rsid w:val="00F03E70"/>
    <w:rsid w:val="00F07404"/>
    <w:rsid w:val="00F119A0"/>
    <w:rsid w:val="00F1238E"/>
    <w:rsid w:val="00F17536"/>
    <w:rsid w:val="00F17D52"/>
    <w:rsid w:val="00F20CB8"/>
    <w:rsid w:val="00F21677"/>
    <w:rsid w:val="00F23C3C"/>
    <w:rsid w:val="00F2428A"/>
    <w:rsid w:val="00F2699F"/>
    <w:rsid w:val="00F300E2"/>
    <w:rsid w:val="00F330EC"/>
    <w:rsid w:val="00F4052B"/>
    <w:rsid w:val="00F4203E"/>
    <w:rsid w:val="00F436BB"/>
    <w:rsid w:val="00F4444F"/>
    <w:rsid w:val="00F44BEF"/>
    <w:rsid w:val="00F44C90"/>
    <w:rsid w:val="00F46418"/>
    <w:rsid w:val="00F4656F"/>
    <w:rsid w:val="00F47145"/>
    <w:rsid w:val="00F521E6"/>
    <w:rsid w:val="00F545BF"/>
    <w:rsid w:val="00F56152"/>
    <w:rsid w:val="00F566AA"/>
    <w:rsid w:val="00F60305"/>
    <w:rsid w:val="00F61B86"/>
    <w:rsid w:val="00F62C9E"/>
    <w:rsid w:val="00F639AA"/>
    <w:rsid w:val="00F63AA5"/>
    <w:rsid w:val="00F66D50"/>
    <w:rsid w:val="00F67C7F"/>
    <w:rsid w:val="00F70B0A"/>
    <w:rsid w:val="00F70DC2"/>
    <w:rsid w:val="00F71B56"/>
    <w:rsid w:val="00F75BBB"/>
    <w:rsid w:val="00F75C4C"/>
    <w:rsid w:val="00F7687C"/>
    <w:rsid w:val="00F77981"/>
    <w:rsid w:val="00F77F8D"/>
    <w:rsid w:val="00F80043"/>
    <w:rsid w:val="00F8024A"/>
    <w:rsid w:val="00F832C8"/>
    <w:rsid w:val="00F836C5"/>
    <w:rsid w:val="00F873B3"/>
    <w:rsid w:val="00F90E5F"/>
    <w:rsid w:val="00F91049"/>
    <w:rsid w:val="00F91DAE"/>
    <w:rsid w:val="00F929A8"/>
    <w:rsid w:val="00F96BC4"/>
    <w:rsid w:val="00FA0EF8"/>
    <w:rsid w:val="00FA3523"/>
    <w:rsid w:val="00FA42B9"/>
    <w:rsid w:val="00FA6B69"/>
    <w:rsid w:val="00FA755A"/>
    <w:rsid w:val="00FB0232"/>
    <w:rsid w:val="00FB0F92"/>
    <w:rsid w:val="00FB2B0F"/>
    <w:rsid w:val="00FB4F6B"/>
    <w:rsid w:val="00FB5FE1"/>
    <w:rsid w:val="00FB6981"/>
    <w:rsid w:val="00FC0E8D"/>
    <w:rsid w:val="00FC31D2"/>
    <w:rsid w:val="00FC35A7"/>
    <w:rsid w:val="00FC46EF"/>
    <w:rsid w:val="00FC7714"/>
    <w:rsid w:val="00FD31B3"/>
    <w:rsid w:val="00FD418B"/>
    <w:rsid w:val="00FD4204"/>
    <w:rsid w:val="00FD4476"/>
    <w:rsid w:val="00FD46BC"/>
    <w:rsid w:val="00FE02BC"/>
    <w:rsid w:val="00FE0C0F"/>
    <w:rsid w:val="00FE1DB4"/>
    <w:rsid w:val="00FE501A"/>
    <w:rsid w:val="00FF1FC0"/>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
      </w:numPr>
      <w:spacing w:before="240"/>
      <w:ind w:left="851" w:hanging="851"/>
      <w:outlineLvl w:val="0"/>
    </w:pPr>
    <w:rPr>
      <w:color w:val="22413A"/>
      <w:sz w:val="48"/>
    </w:rPr>
  </w:style>
  <w:style w:type="paragraph" w:styleId="Heading2">
    <w:name w:val="heading 2"/>
    <w:basedOn w:val="Heading1"/>
    <w:next w:val="Normal"/>
    <w:link w:val="Heading2Char"/>
    <w:qFormat/>
    <w:rsid w:val="00434818"/>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A46727"/>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A46727"/>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A46727"/>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434818"/>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5F01F0"/>
    <w:pPr>
      <w:numPr>
        <w:numId w:val="1"/>
      </w:numPr>
      <w:spacing w:before="240" w:after="120" w:line="240" w:lineRule="auto"/>
      <w:ind w:left="1276"/>
    </w:pPr>
    <w:rPr>
      <w:bCs/>
      <w:color w:val="000000" w:themeColor="text1"/>
    </w:rPr>
  </w:style>
  <w:style w:type="paragraph" w:customStyle="1" w:styleId="Bulletlist2">
    <w:name w:val="Bullet list 2"/>
    <w:basedOn w:val="Bulletlist1"/>
    <w:uiPriority w:val="1"/>
    <w:qFormat/>
    <w:rsid w:val="00E17A65"/>
    <w:pPr>
      <w:numPr>
        <w:ilvl w:val="1"/>
      </w:numPr>
      <w:ind w:left="99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34818"/>
    <w:pPr>
      <w:pBdr>
        <w:top w:val="single" w:sz="4" w:space="6" w:color="22413A"/>
        <w:bottom w:val="single" w:sz="4" w:space="6" w:color="22413A"/>
      </w:pBdr>
      <w:spacing w:before="240"/>
      <w:ind w:left="1418"/>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244066"/>
    <w:pPr>
      <w:numPr>
        <w:numId w:val="5"/>
      </w:numPr>
      <w:spacing w:before="240" w:after="120" w:line="240" w:lineRule="auto"/>
      <w:ind w:left="709"/>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autoRedefine/>
    <w:qFormat/>
    <w:rsid w:val="007D4C48"/>
    <w:pPr>
      <w:numPr>
        <w:numId w:val="14"/>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7D4C48"/>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4"/>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character" w:customStyle="1" w:styleId="Heading7Char">
    <w:name w:val="Heading 7 Char"/>
    <w:basedOn w:val="DefaultParagraphFont"/>
    <w:link w:val="Heading7"/>
    <w:rsid w:val="00A4672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A4672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A46727"/>
    <w:rPr>
      <w:rFonts w:ascii="Arial" w:eastAsia="Times New Roman" w:hAnsi="Arial"/>
      <w:sz w:val="22"/>
      <w:szCs w:val="22"/>
      <w:lang w:eastAsia="en-US"/>
    </w:rPr>
  </w:style>
  <w:style w:type="paragraph" w:customStyle="1" w:styleId="TSHeadingNumbered1">
    <w:name w:val="TS Heading Numbered 1"/>
    <w:basedOn w:val="Normal"/>
    <w:rsid w:val="00A4672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A46727"/>
  </w:style>
  <w:style w:type="paragraph" w:customStyle="1" w:styleId="TSHeadingNumbered111">
    <w:name w:val="TS Heading Numbered 1.1.1"/>
    <w:basedOn w:val="TSHeadingNumbered1"/>
    <w:rsid w:val="00A46727"/>
  </w:style>
  <w:style w:type="paragraph" w:customStyle="1" w:styleId="TSHeadingNumbered1111">
    <w:name w:val="TS Heading Numbered 1.1.1.1"/>
    <w:basedOn w:val="TSHeadingNumbered1"/>
    <w:rsid w:val="00A46727"/>
  </w:style>
  <w:style w:type="paragraph" w:customStyle="1" w:styleId="TSNumberedParagraph11">
    <w:name w:val="TS Numbered Paragraph 1.1"/>
    <w:basedOn w:val="TSHeadingNumbered11"/>
    <w:rsid w:val="00A46727"/>
    <w:pPr>
      <w:numPr>
        <w:ilvl w:val="1"/>
      </w:numPr>
      <w:tabs>
        <w:tab w:val="num" w:pos="-31680"/>
      </w:tabs>
      <w:ind w:left="720" w:hanging="720"/>
    </w:pPr>
    <w:rPr>
      <w:rFonts w:ascii="Arial" w:hAnsi="Arial"/>
      <w:b w:val="0"/>
      <w:caps w:val="0"/>
    </w:rPr>
  </w:style>
  <w:style w:type="character" w:customStyle="1" w:styleId="DefaultChar">
    <w:name w:val="Default Char"/>
    <w:link w:val="Default"/>
    <w:locked/>
    <w:rsid w:val="00EC2CEE"/>
    <w:rPr>
      <w:rFonts w:ascii="Arial" w:hAnsi="Arial"/>
      <w:color w:val="000000"/>
      <w:sz w:val="24"/>
      <w:szCs w:val="24"/>
    </w:rPr>
  </w:style>
  <w:style w:type="paragraph" w:customStyle="1" w:styleId="Default">
    <w:name w:val="Default"/>
    <w:link w:val="DefaultChar"/>
    <w:rsid w:val="00EC2CEE"/>
    <w:pPr>
      <w:autoSpaceDE w:val="0"/>
      <w:autoSpaceDN w:val="0"/>
      <w:adjustRightInd w:val="0"/>
    </w:pPr>
    <w:rPr>
      <w:rFonts w:ascii="Arial" w:hAnsi="Arial"/>
      <w:color w:val="000000"/>
      <w:sz w:val="24"/>
      <w:szCs w:val="24"/>
    </w:rPr>
  </w:style>
  <w:style w:type="paragraph" w:customStyle="1" w:styleId="ONRSquareBullet1">
    <w:name w:val="ONR Square Bullet 1"/>
    <w:basedOn w:val="Normal"/>
    <w:rsid w:val="00EC2CEE"/>
    <w:pPr>
      <w:numPr>
        <w:numId w:val="6"/>
      </w:numPr>
      <w:spacing w:after="120" w:line="240" w:lineRule="auto"/>
    </w:pPr>
    <w:rPr>
      <w:rFonts w:eastAsia="Times New Roman"/>
      <w:sz w:val="22"/>
      <w:lang w:bidi="ar-SA"/>
    </w:rPr>
  </w:style>
  <w:style w:type="paragraph" w:customStyle="1" w:styleId="NumberedHeading">
    <w:name w:val="Numbered Heading"/>
    <w:basedOn w:val="Normal"/>
    <w:rsid w:val="007B576F"/>
    <w:pPr>
      <w:keepNext/>
      <w:numPr>
        <w:numId w:val="7"/>
      </w:numPr>
      <w:tabs>
        <w:tab w:val="num" w:pos="-31680"/>
      </w:tabs>
      <w:overflowPunct w:val="0"/>
      <w:autoSpaceDE w:val="0"/>
      <w:autoSpaceDN w:val="0"/>
      <w:adjustRightInd w:val="0"/>
      <w:spacing w:line="240" w:lineRule="auto"/>
    </w:pPr>
    <w:rPr>
      <w:rFonts w:ascii="Arial Bold" w:eastAsia="Times New Roman" w:hAnsi="Arial Bold"/>
      <w:b/>
      <w:bCs/>
      <w:caps/>
      <w:color w:val="000000"/>
      <w:sz w:val="22"/>
      <w:szCs w:val="20"/>
      <w:lang w:bidi="ar-SA"/>
    </w:rPr>
  </w:style>
  <w:style w:type="paragraph" w:customStyle="1" w:styleId="NumberedParagraph">
    <w:name w:val="Numbered Paragraph"/>
    <w:basedOn w:val="Normal"/>
    <w:rsid w:val="007B576F"/>
    <w:pPr>
      <w:numPr>
        <w:ilvl w:val="1"/>
        <w:numId w:val="7"/>
      </w:numPr>
      <w:spacing w:line="240" w:lineRule="auto"/>
      <w:jc w:val="both"/>
    </w:pPr>
    <w:rPr>
      <w:rFonts w:eastAsia="Times New Roman"/>
      <w:sz w:val="22"/>
      <w:lang w:bidi="ar-SA"/>
    </w:rPr>
  </w:style>
  <w:style w:type="character" w:customStyle="1" w:styleId="ONRNormalChar">
    <w:name w:val="ONR Normal Char"/>
    <w:link w:val="ONRNormal"/>
    <w:locked/>
    <w:rsid w:val="005613DD"/>
    <w:rPr>
      <w:rFonts w:ascii="Arial" w:hAnsi="Arial"/>
      <w:sz w:val="22"/>
      <w:szCs w:val="22"/>
      <w:lang w:eastAsia="en-US"/>
    </w:rPr>
  </w:style>
  <w:style w:type="paragraph" w:customStyle="1" w:styleId="ONRNormal">
    <w:name w:val="ONR Normal"/>
    <w:link w:val="ONRNormalChar"/>
    <w:rsid w:val="005613DD"/>
    <w:pPr>
      <w:spacing w:after="120"/>
    </w:pPr>
    <w:rPr>
      <w:rFonts w:ascii="Arial" w:hAnsi="Arial"/>
      <w:sz w:val="22"/>
      <w:szCs w:val="22"/>
      <w:lang w:eastAsia="en-US"/>
    </w:rPr>
  </w:style>
  <w:style w:type="paragraph" w:styleId="Revision">
    <w:name w:val="Revision"/>
    <w:hidden/>
    <w:uiPriority w:val="99"/>
    <w:semiHidden/>
    <w:rsid w:val="00F03BF9"/>
    <w:rPr>
      <w:rFonts w:ascii="Arial" w:hAnsi="Arial"/>
      <w:sz w:val="24"/>
      <w:szCs w:val="22"/>
      <w:lang w:eastAsia="en-US" w:bidi="he-IL"/>
    </w:rPr>
  </w:style>
  <w:style w:type="paragraph" w:customStyle="1" w:styleId="Bullet">
    <w:name w:val="Bullet"/>
    <w:basedOn w:val="Normal"/>
    <w:link w:val="BulletChar"/>
    <w:qFormat/>
    <w:rsid w:val="00F03BF9"/>
    <w:pPr>
      <w:numPr>
        <w:numId w:val="8"/>
      </w:numPr>
      <w:spacing w:before="120" w:after="120" w:line="240" w:lineRule="auto"/>
    </w:pPr>
    <w:rPr>
      <w:rFonts w:eastAsia="Times New Roman" w:cs="Times New Roman"/>
      <w:szCs w:val="28"/>
      <w:lang w:bidi="ar-SA"/>
    </w:rPr>
  </w:style>
  <w:style w:type="character" w:customStyle="1" w:styleId="BulletChar">
    <w:name w:val="Bullet Char"/>
    <w:basedOn w:val="DefaultParagraphFont"/>
    <w:link w:val="Bullet"/>
    <w:rsid w:val="00F03BF9"/>
    <w:rPr>
      <w:rFonts w:ascii="Arial" w:eastAsia="Times New Roman" w:hAnsi="Arial" w:cs="Times New Roman"/>
      <w:sz w:val="24"/>
      <w:szCs w:val="28"/>
      <w:lang w:eastAsia="en-US"/>
    </w:rPr>
  </w:style>
  <w:style w:type="paragraph" w:customStyle="1" w:styleId="TableFigureCaptions">
    <w:name w:val="Table/Figure Captions"/>
    <w:basedOn w:val="Caption"/>
    <w:link w:val="TableFigureCaptionsChar"/>
    <w:qFormat/>
    <w:rsid w:val="00F03BF9"/>
    <w:pPr>
      <w:keepNext/>
      <w:spacing w:before="240" w:line="264" w:lineRule="auto"/>
    </w:pPr>
    <w:rPr>
      <w:rFonts w:eastAsia="Times New Roman"/>
      <w:color w:val="auto"/>
      <w:lang w:bidi="ar-SA"/>
    </w:rPr>
  </w:style>
  <w:style w:type="character" w:customStyle="1" w:styleId="TableFigureCaptionsChar">
    <w:name w:val="Table/Figure Captions Char"/>
    <w:basedOn w:val="DefaultParagraphFont"/>
    <w:link w:val="TableFigureCaptions"/>
    <w:rsid w:val="00F03BF9"/>
    <w:rPr>
      <w:rFonts w:ascii="Arial" w:eastAsia="Times New Roman" w:hAnsi="Arial"/>
      <w:b/>
      <w:bCs/>
      <w:sz w:val="22"/>
      <w:szCs w:val="22"/>
      <w:lang w:eastAsia="en-US"/>
    </w:rPr>
  </w:style>
  <w:style w:type="paragraph" w:styleId="CommentSubject">
    <w:name w:val="annotation subject"/>
    <w:basedOn w:val="CommentText"/>
    <w:next w:val="CommentText"/>
    <w:link w:val="CommentSubjectChar"/>
    <w:uiPriority w:val="99"/>
    <w:semiHidden/>
    <w:unhideWhenUsed/>
    <w:rsid w:val="001E7D63"/>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1E7D63"/>
    <w:rPr>
      <w:rFonts w:ascii="Arial" w:eastAsiaTheme="minorHAnsi" w:hAnsi="Arial" w:cstheme="minorBidi"/>
      <w:b/>
      <w:bCs/>
      <w:lang w:eastAsia="en-US" w:bidi="he-IL"/>
    </w:rPr>
  </w:style>
  <w:style w:type="character" w:customStyle="1" w:styleId="cf01">
    <w:name w:val="cf01"/>
    <w:basedOn w:val="DefaultParagraphFont"/>
    <w:rsid w:val="00D73206"/>
    <w:rPr>
      <w:rFonts w:ascii="Segoe UI" w:hAnsi="Segoe UI" w:cs="Segoe UI" w:hint="default"/>
      <w:sz w:val="18"/>
      <w:szCs w:val="18"/>
    </w:rPr>
  </w:style>
  <w:style w:type="paragraph" w:customStyle="1" w:styleId="Style3">
    <w:name w:val="Style3"/>
    <w:basedOn w:val="F9-Paragraph"/>
    <w:link w:val="Style3Char"/>
    <w:qFormat/>
    <w:rsid w:val="00CD2965"/>
  </w:style>
  <w:style w:type="character" w:customStyle="1" w:styleId="Style3Char">
    <w:name w:val="Style3 Char"/>
    <w:basedOn w:val="F9-ParagraphChar"/>
    <w:link w:val="Style3"/>
    <w:rsid w:val="00CD2965"/>
    <w:rPr>
      <w:rFonts w:ascii="Arial" w:eastAsia="Times New Roman"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43">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5445508">
      <w:bodyDiv w:val="1"/>
      <w:marLeft w:val="0"/>
      <w:marRight w:val="0"/>
      <w:marTop w:val="0"/>
      <w:marBottom w:val="0"/>
      <w:divBdr>
        <w:top w:val="none" w:sz="0" w:space="0" w:color="auto"/>
        <w:left w:val="none" w:sz="0" w:space="0" w:color="auto"/>
        <w:bottom w:val="none" w:sz="0" w:space="0" w:color="auto"/>
        <w:right w:val="none" w:sz="0" w:space="0" w:color="auto"/>
      </w:divBdr>
    </w:div>
    <w:div w:id="6099247">
      <w:bodyDiv w:val="1"/>
      <w:marLeft w:val="0"/>
      <w:marRight w:val="0"/>
      <w:marTop w:val="0"/>
      <w:marBottom w:val="0"/>
      <w:divBdr>
        <w:top w:val="none" w:sz="0" w:space="0" w:color="auto"/>
        <w:left w:val="none" w:sz="0" w:space="0" w:color="auto"/>
        <w:bottom w:val="none" w:sz="0" w:space="0" w:color="auto"/>
        <w:right w:val="none" w:sz="0" w:space="0" w:color="auto"/>
      </w:divBdr>
    </w:div>
    <w:div w:id="8682502">
      <w:bodyDiv w:val="1"/>
      <w:marLeft w:val="0"/>
      <w:marRight w:val="0"/>
      <w:marTop w:val="0"/>
      <w:marBottom w:val="0"/>
      <w:divBdr>
        <w:top w:val="none" w:sz="0" w:space="0" w:color="auto"/>
        <w:left w:val="none" w:sz="0" w:space="0" w:color="auto"/>
        <w:bottom w:val="none" w:sz="0" w:space="0" w:color="auto"/>
        <w:right w:val="none" w:sz="0" w:space="0" w:color="auto"/>
      </w:divBdr>
    </w:div>
    <w:div w:id="10693793">
      <w:bodyDiv w:val="1"/>
      <w:marLeft w:val="0"/>
      <w:marRight w:val="0"/>
      <w:marTop w:val="0"/>
      <w:marBottom w:val="0"/>
      <w:divBdr>
        <w:top w:val="none" w:sz="0" w:space="0" w:color="auto"/>
        <w:left w:val="none" w:sz="0" w:space="0" w:color="auto"/>
        <w:bottom w:val="none" w:sz="0" w:space="0" w:color="auto"/>
        <w:right w:val="none" w:sz="0" w:space="0" w:color="auto"/>
      </w:divBdr>
    </w:div>
    <w:div w:id="13315347">
      <w:bodyDiv w:val="1"/>
      <w:marLeft w:val="0"/>
      <w:marRight w:val="0"/>
      <w:marTop w:val="0"/>
      <w:marBottom w:val="0"/>
      <w:divBdr>
        <w:top w:val="none" w:sz="0" w:space="0" w:color="auto"/>
        <w:left w:val="none" w:sz="0" w:space="0" w:color="auto"/>
        <w:bottom w:val="none" w:sz="0" w:space="0" w:color="auto"/>
        <w:right w:val="none" w:sz="0" w:space="0" w:color="auto"/>
      </w:divBdr>
    </w:div>
    <w:div w:id="14549983">
      <w:bodyDiv w:val="1"/>
      <w:marLeft w:val="0"/>
      <w:marRight w:val="0"/>
      <w:marTop w:val="0"/>
      <w:marBottom w:val="0"/>
      <w:divBdr>
        <w:top w:val="none" w:sz="0" w:space="0" w:color="auto"/>
        <w:left w:val="none" w:sz="0" w:space="0" w:color="auto"/>
        <w:bottom w:val="none" w:sz="0" w:space="0" w:color="auto"/>
        <w:right w:val="none" w:sz="0" w:space="0" w:color="auto"/>
      </w:divBdr>
    </w:div>
    <w:div w:id="15156384">
      <w:bodyDiv w:val="1"/>
      <w:marLeft w:val="0"/>
      <w:marRight w:val="0"/>
      <w:marTop w:val="0"/>
      <w:marBottom w:val="0"/>
      <w:divBdr>
        <w:top w:val="none" w:sz="0" w:space="0" w:color="auto"/>
        <w:left w:val="none" w:sz="0" w:space="0" w:color="auto"/>
        <w:bottom w:val="none" w:sz="0" w:space="0" w:color="auto"/>
        <w:right w:val="none" w:sz="0" w:space="0" w:color="auto"/>
      </w:divBdr>
    </w:div>
    <w:div w:id="16660158">
      <w:bodyDiv w:val="1"/>
      <w:marLeft w:val="0"/>
      <w:marRight w:val="0"/>
      <w:marTop w:val="0"/>
      <w:marBottom w:val="0"/>
      <w:divBdr>
        <w:top w:val="none" w:sz="0" w:space="0" w:color="auto"/>
        <w:left w:val="none" w:sz="0" w:space="0" w:color="auto"/>
        <w:bottom w:val="none" w:sz="0" w:space="0" w:color="auto"/>
        <w:right w:val="none" w:sz="0" w:space="0" w:color="auto"/>
      </w:divBdr>
    </w:div>
    <w:div w:id="19399074">
      <w:bodyDiv w:val="1"/>
      <w:marLeft w:val="0"/>
      <w:marRight w:val="0"/>
      <w:marTop w:val="0"/>
      <w:marBottom w:val="0"/>
      <w:divBdr>
        <w:top w:val="none" w:sz="0" w:space="0" w:color="auto"/>
        <w:left w:val="none" w:sz="0" w:space="0" w:color="auto"/>
        <w:bottom w:val="none" w:sz="0" w:space="0" w:color="auto"/>
        <w:right w:val="none" w:sz="0" w:space="0" w:color="auto"/>
      </w:divBdr>
    </w:div>
    <w:div w:id="28459024">
      <w:bodyDiv w:val="1"/>
      <w:marLeft w:val="0"/>
      <w:marRight w:val="0"/>
      <w:marTop w:val="0"/>
      <w:marBottom w:val="0"/>
      <w:divBdr>
        <w:top w:val="none" w:sz="0" w:space="0" w:color="auto"/>
        <w:left w:val="none" w:sz="0" w:space="0" w:color="auto"/>
        <w:bottom w:val="none" w:sz="0" w:space="0" w:color="auto"/>
        <w:right w:val="none" w:sz="0" w:space="0" w:color="auto"/>
      </w:divBdr>
    </w:div>
    <w:div w:id="29186183">
      <w:bodyDiv w:val="1"/>
      <w:marLeft w:val="0"/>
      <w:marRight w:val="0"/>
      <w:marTop w:val="0"/>
      <w:marBottom w:val="0"/>
      <w:divBdr>
        <w:top w:val="none" w:sz="0" w:space="0" w:color="auto"/>
        <w:left w:val="none" w:sz="0" w:space="0" w:color="auto"/>
        <w:bottom w:val="none" w:sz="0" w:space="0" w:color="auto"/>
        <w:right w:val="none" w:sz="0" w:space="0" w:color="auto"/>
      </w:divBdr>
    </w:div>
    <w:div w:id="30039563">
      <w:bodyDiv w:val="1"/>
      <w:marLeft w:val="0"/>
      <w:marRight w:val="0"/>
      <w:marTop w:val="0"/>
      <w:marBottom w:val="0"/>
      <w:divBdr>
        <w:top w:val="none" w:sz="0" w:space="0" w:color="auto"/>
        <w:left w:val="none" w:sz="0" w:space="0" w:color="auto"/>
        <w:bottom w:val="none" w:sz="0" w:space="0" w:color="auto"/>
        <w:right w:val="none" w:sz="0" w:space="0" w:color="auto"/>
      </w:divBdr>
    </w:div>
    <w:div w:id="32464012">
      <w:bodyDiv w:val="1"/>
      <w:marLeft w:val="0"/>
      <w:marRight w:val="0"/>
      <w:marTop w:val="0"/>
      <w:marBottom w:val="0"/>
      <w:divBdr>
        <w:top w:val="none" w:sz="0" w:space="0" w:color="auto"/>
        <w:left w:val="none" w:sz="0" w:space="0" w:color="auto"/>
        <w:bottom w:val="none" w:sz="0" w:space="0" w:color="auto"/>
        <w:right w:val="none" w:sz="0" w:space="0" w:color="auto"/>
      </w:divBdr>
    </w:div>
    <w:div w:id="32505878">
      <w:bodyDiv w:val="1"/>
      <w:marLeft w:val="0"/>
      <w:marRight w:val="0"/>
      <w:marTop w:val="0"/>
      <w:marBottom w:val="0"/>
      <w:divBdr>
        <w:top w:val="none" w:sz="0" w:space="0" w:color="auto"/>
        <w:left w:val="none" w:sz="0" w:space="0" w:color="auto"/>
        <w:bottom w:val="none" w:sz="0" w:space="0" w:color="auto"/>
        <w:right w:val="none" w:sz="0" w:space="0" w:color="auto"/>
      </w:divBdr>
    </w:div>
    <w:div w:id="36049237">
      <w:bodyDiv w:val="1"/>
      <w:marLeft w:val="0"/>
      <w:marRight w:val="0"/>
      <w:marTop w:val="0"/>
      <w:marBottom w:val="0"/>
      <w:divBdr>
        <w:top w:val="none" w:sz="0" w:space="0" w:color="auto"/>
        <w:left w:val="none" w:sz="0" w:space="0" w:color="auto"/>
        <w:bottom w:val="none" w:sz="0" w:space="0" w:color="auto"/>
        <w:right w:val="none" w:sz="0" w:space="0" w:color="auto"/>
      </w:divBdr>
    </w:div>
    <w:div w:id="39285982">
      <w:bodyDiv w:val="1"/>
      <w:marLeft w:val="0"/>
      <w:marRight w:val="0"/>
      <w:marTop w:val="0"/>
      <w:marBottom w:val="0"/>
      <w:divBdr>
        <w:top w:val="none" w:sz="0" w:space="0" w:color="auto"/>
        <w:left w:val="none" w:sz="0" w:space="0" w:color="auto"/>
        <w:bottom w:val="none" w:sz="0" w:space="0" w:color="auto"/>
        <w:right w:val="none" w:sz="0" w:space="0" w:color="auto"/>
      </w:divBdr>
    </w:div>
    <w:div w:id="43138423">
      <w:bodyDiv w:val="1"/>
      <w:marLeft w:val="0"/>
      <w:marRight w:val="0"/>
      <w:marTop w:val="0"/>
      <w:marBottom w:val="0"/>
      <w:divBdr>
        <w:top w:val="none" w:sz="0" w:space="0" w:color="auto"/>
        <w:left w:val="none" w:sz="0" w:space="0" w:color="auto"/>
        <w:bottom w:val="none" w:sz="0" w:space="0" w:color="auto"/>
        <w:right w:val="none" w:sz="0" w:space="0" w:color="auto"/>
      </w:divBdr>
    </w:div>
    <w:div w:id="46345200">
      <w:bodyDiv w:val="1"/>
      <w:marLeft w:val="0"/>
      <w:marRight w:val="0"/>
      <w:marTop w:val="0"/>
      <w:marBottom w:val="0"/>
      <w:divBdr>
        <w:top w:val="none" w:sz="0" w:space="0" w:color="auto"/>
        <w:left w:val="none" w:sz="0" w:space="0" w:color="auto"/>
        <w:bottom w:val="none" w:sz="0" w:space="0" w:color="auto"/>
        <w:right w:val="none" w:sz="0" w:space="0" w:color="auto"/>
      </w:divBdr>
    </w:div>
    <w:div w:id="46422895">
      <w:bodyDiv w:val="1"/>
      <w:marLeft w:val="0"/>
      <w:marRight w:val="0"/>
      <w:marTop w:val="0"/>
      <w:marBottom w:val="0"/>
      <w:divBdr>
        <w:top w:val="none" w:sz="0" w:space="0" w:color="auto"/>
        <w:left w:val="none" w:sz="0" w:space="0" w:color="auto"/>
        <w:bottom w:val="none" w:sz="0" w:space="0" w:color="auto"/>
        <w:right w:val="none" w:sz="0" w:space="0" w:color="auto"/>
      </w:divBdr>
    </w:div>
    <w:div w:id="48191694">
      <w:bodyDiv w:val="1"/>
      <w:marLeft w:val="0"/>
      <w:marRight w:val="0"/>
      <w:marTop w:val="0"/>
      <w:marBottom w:val="0"/>
      <w:divBdr>
        <w:top w:val="none" w:sz="0" w:space="0" w:color="auto"/>
        <w:left w:val="none" w:sz="0" w:space="0" w:color="auto"/>
        <w:bottom w:val="none" w:sz="0" w:space="0" w:color="auto"/>
        <w:right w:val="none" w:sz="0" w:space="0" w:color="auto"/>
      </w:divBdr>
    </w:div>
    <w:div w:id="49109978">
      <w:bodyDiv w:val="1"/>
      <w:marLeft w:val="0"/>
      <w:marRight w:val="0"/>
      <w:marTop w:val="0"/>
      <w:marBottom w:val="0"/>
      <w:divBdr>
        <w:top w:val="none" w:sz="0" w:space="0" w:color="auto"/>
        <w:left w:val="none" w:sz="0" w:space="0" w:color="auto"/>
        <w:bottom w:val="none" w:sz="0" w:space="0" w:color="auto"/>
        <w:right w:val="none" w:sz="0" w:space="0" w:color="auto"/>
      </w:divBdr>
    </w:div>
    <w:div w:id="54161142">
      <w:bodyDiv w:val="1"/>
      <w:marLeft w:val="0"/>
      <w:marRight w:val="0"/>
      <w:marTop w:val="0"/>
      <w:marBottom w:val="0"/>
      <w:divBdr>
        <w:top w:val="none" w:sz="0" w:space="0" w:color="auto"/>
        <w:left w:val="none" w:sz="0" w:space="0" w:color="auto"/>
        <w:bottom w:val="none" w:sz="0" w:space="0" w:color="auto"/>
        <w:right w:val="none" w:sz="0" w:space="0" w:color="auto"/>
      </w:divBdr>
    </w:div>
    <w:div w:id="71392432">
      <w:bodyDiv w:val="1"/>
      <w:marLeft w:val="0"/>
      <w:marRight w:val="0"/>
      <w:marTop w:val="0"/>
      <w:marBottom w:val="0"/>
      <w:divBdr>
        <w:top w:val="none" w:sz="0" w:space="0" w:color="auto"/>
        <w:left w:val="none" w:sz="0" w:space="0" w:color="auto"/>
        <w:bottom w:val="none" w:sz="0" w:space="0" w:color="auto"/>
        <w:right w:val="none" w:sz="0" w:space="0" w:color="auto"/>
      </w:divBdr>
    </w:div>
    <w:div w:id="73432780">
      <w:bodyDiv w:val="1"/>
      <w:marLeft w:val="0"/>
      <w:marRight w:val="0"/>
      <w:marTop w:val="0"/>
      <w:marBottom w:val="0"/>
      <w:divBdr>
        <w:top w:val="none" w:sz="0" w:space="0" w:color="auto"/>
        <w:left w:val="none" w:sz="0" w:space="0" w:color="auto"/>
        <w:bottom w:val="none" w:sz="0" w:space="0" w:color="auto"/>
        <w:right w:val="none" w:sz="0" w:space="0" w:color="auto"/>
      </w:divBdr>
    </w:div>
    <w:div w:id="75716349">
      <w:bodyDiv w:val="1"/>
      <w:marLeft w:val="0"/>
      <w:marRight w:val="0"/>
      <w:marTop w:val="0"/>
      <w:marBottom w:val="0"/>
      <w:divBdr>
        <w:top w:val="none" w:sz="0" w:space="0" w:color="auto"/>
        <w:left w:val="none" w:sz="0" w:space="0" w:color="auto"/>
        <w:bottom w:val="none" w:sz="0" w:space="0" w:color="auto"/>
        <w:right w:val="none" w:sz="0" w:space="0" w:color="auto"/>
      </w:divBdr>
    </w:div>
    <w:div w:id="81343231">
      <w:bodyDiv w:val="1"/>
      <w:marLeft w:val="0"/>
      <w:marRight w:val="0"/>
      <w:marTop w:val="0"/>
      <w:marBottom w:val="0"/>
      <w:divBdr>
        <w:top w:val="none" w:sz="0" w:space="0" w:color="auto"/>
        <w:left w:val="none" w:sz="0" w:space="0" w:color="auto"/>
        <w:bottom w:val="none" w:sz="0" w:space="0" w:color="auto"/>
        <w:right w:val="none" w:sz="0" w:space="0" w:color="auto"/>
      </w:divBdr>
    </w:div>
    <w:div w:id="81948451">
      <w:bodyDiv w:val="1"/>
      <w:marLeft w:val="0"/>
      <w:marRight w:val="0"/>
      <w:marTop w:val="0"/>
      <w:marBottom w:val="0"/>
      <w:divBdr>
        <w:top w:val="none" w:sz="0" w:space="0" w:color="auto"/>
        <w:left w:val="none" w:sz="0" w:space="0" w:color="auto"/>
        <w:bottom w:val="none" w:sz="0" w:space="0" w:color="auto"/>
        <w:right w:val="none" w:sz="0" w:space="0" w:color="auto"/>
      </w:divBdr>
    </w:div>
    <w:div w:id="82651579">
      <w:bodyDiv w:val="1"/>
      <w:marLeft w:val="0"/>
      <w:marRight w:val="0"/>
      <w:marTop w:val="0"/>
      <w:marBottom w:val="0"/>
      <w:divBdr>
        <w:top w:val="none" w:sz="0" w:space="0" w:color="auto"/>
        <w:left w:val="none" w:sz="0" w:space="0" w:color="auto"/>
        <w:bottom w:val="none" w:sz="0" w:space="0" w:color="auto"/>
        <w:right w:val="none" w:sz="0" w:space="0" w:color="auto"/>
      </w:divBdr>
    </w:div>
    <w:div w:id="85930991">
      <w:bodyDiv w:val="1"/>
      <w:marLeft w:val="0"/>
      <w:marRight w:val="0"/>
      <w:marTop w:val="0"/>
      <w:marBottom w:val="0"/>
      <w:divBdr>
        <w:top w:val="none" w:sz="0" w:space="0" w:color="auto"/>
        <w:left w:val="none" w:sz="0" w:space="0" w:color="auto"/>
        <w:bottom w:val="none" w:sz="0" w:space="0" w:color="auto"/>
        <w:right w:val="none" w:sz="0" w:space="0" w:color="auto"/>
      </w:divBdr>
    </w:div>
    <w:div w:id="88619942">
      <w:bodyDiv w:val="1"/>
      <w:marLeft w:val="0"/>
      <w:marRight w:val="0"/>
      <w:marTop w:val="0"/>
      <w:marBottom w:val="0"/>
      <w:divBdr>
        <w:top w:val="none" w:sz="0" w:space="0" w:color="auto"/>
        <w:left w:val="none" w:sz="0" w:space="0" w:color="auto"/>
        <w:bottom w:val="none" w:sz="0" w:space="0" w:color="auto"/>
        <w:right w:val="none" w:sz="0" w:space="0" w:color="auto"/>
      </w:divBdr>
    </w:div>
    <w:div w:id="90202139">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00030732">
      <w:bodyDiv w:val="1"/>
      <w:marLeft w:val="0"/>
      <w:marRight w:val="0"/>
      <w:marTop w:val="0"/>
      <w:marBottom w:val="0"/>
      <w:divBdr>
        <w:top w:val="none" w:sz="0" w:space="0" w:color="auto"/>
        <w:left w:val="none" w:sz="0" w:space="0" w:color="auto"/>
        <w:bottom w:val="none" w:sz="0" w:space="0" w:color="auto"/>
        <w:right w:val="none" w:sz="0" w:space="0" w:color="auto"/>
      </w:divBdr>
    </w:div>
    <w:div w:id="102576443">
      <w:bodyDiv w:val="1"/>
      <w:marLeft w:val="0"/>
      <w:marRight w:val="0"/>
      <w:marTop w:val="0"/>
      <w:marBottom w:val="0"/>
      <w:divBdr>
        <w:top w:val="none" w:sz="0" w:space="0" w:color="auto"/>
        <w:left w:val="none" w:sz="0" w:space="0" w:color="auto"/>
        <w:bottom w:val="none" w:sz="0" w:space="0" w:color="auto"/>
        <w:right w:val="none" w:sz="0" w:space="0" w:color="auto"/>
      </w:divBdr>
    </w:div>
    <w:div w:id="103888938">
      <w:bodyDiv w:val="1"/>
      <w:marLeft w:val="0"/>
      <w:marRight w:val="0"/>
      <w:marTop w:val="0"/>
      <w:marBottom w:val="0"/>
      <w:divBdr>
        <w:top w:val="none" w:sz="0" w:space="0" w:color="auto"/>
        <w:left w:val="none" w:sz="0" w:space="0" w:color="auto"/>
        <w:bottom w:val="none" w:sz="0" w:space="0" w:color="auto"/>
        <w:right w:val="none" w:sz="0" w:space="0" w:color="auto"/>
      </w:divBdr>
    </w:div>
    <w:div w:id="106313791">
      <w:bodyDiv w:val="1"/>
      <w:marLeft w:val="0"/>
      <w:marRight w:val="0"/>
      <w:marTop w:val="0"/>
      <w:marBottom w:val="0"/>
      <w:divBdr>
        <w:top w:val="none" w:sz="0" w:space="0" w:color="auto"/>
        <w:left w:val="none" w:sz="0" w:space="0" w:color="auto"/>
        <w:bottom w:val="none" w:sz="0" w:space="0" w:color="auto"/>
        <w:right w:val="none" w:sz="0" w:space="0" w:color="auto"/>
      </w:divBdr>
    </w:div>
    <w:div w:id="108858217">
      <w:bodyDiv w:val="1"/>
      <w:marLeft w:val="0"/>
      <w:marRight w:val="0"/>
      <w:marTop w:val="0"/>
      <w:marBottom w:val="0"/>
      <w:divBdr>
        <w:top w:val="none" w:sz="0" w:space="0" w:color="auto"/>
        <w:left w:val="none" w:sz="0" w:space="0" w:color="auto"/>
        <w:bottom w:val="none" w:sz="0" w:space="0" w:color="auto"/>
        <w:right w:val="none" w:sz="0" w:space="0" w:color="auto"/>
      </w:divBdr>
    </w:div>
    <w:div w:id="110101284">
      <w:bodyDiv w:val="1"/>
      <w:marLeft w:val="0"/>
      <w:marRight w:val="0"/>
      <w:marTop w:val="0"/>
      <w:marBottom w:val="0"/>
      <w:divBdr>
        <w:top w:val="none" w:sz="0" w:space="0" w:color="auto"/>
        <w:left w:val="none" w:sz="0" w:space="0" w:color="auto"/>
        <w:bottom w:val="none" w:sz="0" w:space="0" w:color="auto"/>
        <w:right w:val="none" w:sz="0" w:space="0" w:color="auto"/>
      </w:divBdr>
    </w:div>
    <w:div w:id="114644655">
      <w:bodyDiv w:val="1"/>
      <w:marLeft w:val="0"/>
      <w:marRight w:val="0"/>
      <w:marTop w:val="0"/>
      <w:marBottom w:val="0"/>
      <w:divBdr>
        <w:top w:val="none" w:sz="0" w:space="0" w:color="auto"/>
        <w:left w:val="none" w:sz="0" w:space="0" w:color="auto"/>
        <w:bottom w:val="none" w:sz="0" w:space="0" w:color="auto"/>
        <w:right w:val="none" w:sz="0" w:space="0" w:color="auto"/>
      </w:divBdr>
    </w:div>
    <w:div w:id="115566206">
      <w:bodyDiv w:val="1"/>
      <w:marLeft w:val="0"/>
      <w:marRight w:val="0"/>
      <w:marTop w:val="0"/>
      <w:marBottom w:val="0"/>
      <w:divBdr>
        <w:top w:val="none" w:sz="0" w:space="0" w:color="auto"/>
        <w:left w:val="none" w:sz="0" w:space="0" w:color="auto"/>
        <w:bottom w:val="none" w:sz="0" w:space="0" w:color="auto"/>
        <w:right w:val="none" w:sz="0" w:space="0" w:color="auto"/>
      </w:divBdr>
    </w:div>
    <w:div w:id="115681296">
      <w:bodyDiv w:val="1"/>
      <w:marLeft w:val="0"/>
      <w:marRight w:val="0"/>
      <w:marTop w:val="0"/>
      <w:marBottom w:val="0"/>
      <w:divBdr>
        <w:top w:val="none" w:sz="0" w:space="0" w:color="auto"/>
        <w:left w:val="none" w:sz="0" w:space="0" w:color="auto"/>
        <w:bottom w:val="none" w:sz="0" w:space="0" w:color="auto"/>
        <w:right w:val="none" w:sz="0" w:space="0" w:color="auto"/>
      </w:divBdr>
    </w:div>
    <w:div w:id="115947429">
      <w:bodyDiv w:val="1"/>
      <w:marLeft w:val="0"/>
      <w:marRight w:val="0"/>
      <w:marTop w:val="0"/>
      <w:marBottom w:val="0"/>
      <w:divBdr>
        <w:top w:val="none" w:sz="0" w:space="0" w:color="auto"/>
        <w:left w:val="none" w:sz="0" w:space="0" w:color="auto"/>
        <w:bottom w:val="none" w:sz="0" w:space="0" w:color="auto"/>
        <w:right w:val="none" w:sz="0" w:space="0" w:color="auto"/>
      </w:divBdr>
    </w:div>
    <w:div w:id="116874592">
      <w:bodyDiv w:val="1"/>
      <w:marLeft w:val="0"/>
      <w:marRight w:val="0"/>
      <w:marTop w:val="0"/>
      <w:marBottom w:val="0"/>
      <w:divBdr>
        <w:top w:val="none" w:sz="0" w:space="0" w:color="auto"/>
        <w:left w:val="none" w:sz="0" w:space="0" w:color="auto"/>
        <w:bottom w:val="none" w:sz="0" w:space="0" w:color="auto"/>
        <w:right w:val="none" w:sz="0" w:space="0" w:color="auto"/>
      </w:divBdr>
    </w:div>
    <w:div w:id="116993604">
      <w:bodyDiv w:val="1"/>
      <w:marLeft w:val="0"/>
      <w:marRight w:val="0"/>
      <w:marTop w:val="0"/>
      <w:marBottom w:val="0"/>
      <w:divBdr>
        <w:top w:val="none" w:sz="0" w:space="0" w:color="auto"/>
        <w:left w:val="none" w:sz="0" w:space="0" w:color="auto"/>
        <w:bottom w:val="none" w:sz="0" w:space="0" w:color="auto"/>
        <w:right w:val="none" w:sz="0" w:space="0" w:color="auto"/>
      </w:divBdr>
    </w:div>
    <w:div w:id="124466154">
      <w:bodyDiv w:val="1"/>
      <w:marLeft w:val="0"/>
      <w:marRight w:val="0"/>
      <w:marTop w:val="0"/>
      <w:marBottom w:val="0"/>
      <w:divBdr>
        <w:top w:val="none" w:sz="0" w:space="0" w:color="auto"/>
        <w:left w:val="none" w:sz="0" w:space="0" w:color="auto"/>
        <w:bottom w:val="none" w:sz="0" w:space="0" w:color="auto"/>
        <w:right w:val="none" w:sz="0" w:space="0" w:color="auto"/>
      </w:divBdr>
    </w:div>
    <w:div w:id="128983629">
      <w:bodyDiv w:val="1"/>
      <w:marLeft w:val="0"/>
      <w:marRight w:val="0"/>
      <w:marTop w:val="0"/>
      <w:marBottom w:val="0"/>
      <w:divBdr>
        <w:top w:val="none" w:sz="0" w:space="0" w:color="auto"/>
        <w:left w:val="none" w:sz="0" w:space="0" w:color="auto"/>
        <w:bottom w:val="none" w:sz="0" w:space="0" w:color="auto"/>
        <w:right w:val="none" w:sz="0" w:space="0" w:color="auto"/>
      </w:divBdr>
    </w:div>
    <w:div w:id="129323384">
      <w:bodyDiv w:val="1"/>
      <w:marLeft w:val="0"/>
      <w:marRight w:val="0"/>
      <w:marTop w:val="0"/>
      <w:marBottom w:val="0"/>
      <w:divBdr>
        <w:top w:val="none" w:sz="0" w:space="0" w:color="auto"/>
        <w:left w:val="none" w:sz="0" w:space="0" w:color="auto"/>
        <w:bottom w:val="none" w:sz="0" w:space="0" w:color="auto"/>
        <w:right w:val="none" w:sz="0" w:space="0" w:color="auto"/>
      </w:divBdr>
    </w:div>
    <w:div w:id="133108421">
      <w:bodyDiv w:val="1"/>
      <w:marLeft w:val="0"/>
      <w:marRight w:val="0"/>
      <w:marTop w:val="0"/>
      <w:marBottom w:val="0"/>
      <w:divBdr>
        <w:top w:val="none" w:sz="0" w:space="0" w:color="auto"/>
        <w:left w:val="none" w:sz="0" w:space="0" w:color="auto"/>
        <w:bottom w:val="none" w:sz="0" w:space="0" w:color="auto"/>
        <w:right w:val="none" w:sz="0" w:space="0" w:color="auto"/>
      </w:divBdr>
    </w:div>
    <w:div w:id="134681176">
      <w:bodyDiv w:val="1"/>
      <w:marLeft w:val="0"/>
      <w:marRight w:val="0"/>
      <w:marTop w:val="0"/>
      <w:marBottom w:val="0"/>
      <w:divBdr>
        <w:top w:val="none" w:sz="0" w:space="0" w:color="auto"/>
        <w:left w:val="none" w:sz="0" w:space="0" w:color="auto"/>
        <w:bottom w:val="none" w:sz="0" w:space="0" w:color="auto"/>
        <w:right w:val="none" w:sz="0" w:space="0" w:color="auto"/>
      </w:divBdr>
    </w:div>
    <w:div w:id="138811279">
      <w:bodyDiv w:val="1"/>
      <w:marLeft w:val="0"/>
      <w:marRight w:val="0"/>
      <w:marTop w:val="0"/>
      <w:marBottom w:val="0"/>
      <w:divBdr>
        <w:top w:val="none" w:sz="0" w:space="0" w:color="auto"/>
        <w:left w:val="none" w:sz="0" w:space="0" w:color="auto"/>
        <w:bottom w:val="none" w:sz="0" w:space="0" w:color="auto"/>
        <w:right w:val="none" w:sz="0" w:space="0" w:color="auto"/>
      </w:divBdr>
    </w:div>
    <w:div w:id="144594377">
      <w:bodyDiv w:val="1"/>
      <w:marLeft w:val="0"/>
      <w:marRight w:val="0"/>
      <w:marTop w:val="0"/>
      <w:marBottom w:val="0"/>
      <w:divBdr>
        <w:top w:val="none" w:sz="0" w:space="0" w:color="auto"/>
        <w:left w:val="none" w:sz="0" w:space="0" w:color="auto"/>
        <w:bottom w:val="none" w:sz="0" w:space="0" w:color="auto"/>
        <w:right w:val="none" w:sz="0" w:space="0" w:color="auto"/>
      </w:divBdr>
    </w:div>
    <w:div w:id="149295536">
      <w:bodyDiv w:val="1"/>
      <w:marLeft w:val="0"/>
      <w:marRight w:val="0"/>
      <w:marTop w:val="0"/>
      <w:marBottom w:val="0"/>
      <w:divBdr>
        <w:top w:val="none" w:sz="0" w:space="0" w:color="auto"/>
        <w:left w:val="none" w:sz="0" w:space="0" w:color="auto"/>
        <w:bottom w:val="none" w:sz="0" w:space="0" w:color="auto"/>
        <w:right w:val="none" w:sz="0" w:space="0" w:color="auto"/>
      </w:divBdr>
    </w:div>
    <w:div w:id="150676677">
      <w:bodyDiv w:val="1"/>
      <w:marLeft w:val="0"/>
      <w:marRight w:val="0"/>
      <w:marTop w:val="0"/>
      <w:marBottom w:val="0"/>
      <w:divBdr>
        <w:top w:val="none" w:sz="0" w:space="0" w:color="auto"/>
        <w:left w:val="none" w:sz="0" w:space="0" w:color="auto"/>
        <w:bottom w:val="none" w:sz="0" w:space="0" w:color="auto"/>
        <w:right w:val="none" w:sz="0" w:space="0" w:color="auto"/>
      </w:divBdr>
    </w:div>
    <w:div w:id="151990214">
      <w:bodyDiv w:val="1"/>
      <w:marLeft w:val="0"/>
      <w:marRight w:val="0"/>
      <w:marTop w:val="0"/>
      <w:marBottom w:val="0"/>
      <w:divBdr>
        <w:top w:val="none" w:sz="0" w:space="0" w:color="auto"/>
        <w:left w:val="none" w:sz="0" w:space="0" w:color="auto"/>
        <w:bottom w:val="none" w:sz="0" w:space="0" w:color="auto"/>
        <w:right w:val="none" w:sz="0" w:space="0" w:color="auto"/>
      </w:divBdr>
    </w:div>
    <w:div w:id="155416786">
      <w:bodyDiv w:val="1"/>
      <w:marLeft w:val="0"/>
      <w:marRight w:val="0"/>
      <w:marTop w:val="0"/>
      <w:marBottom w:val="0"/>
      <w:divBdr>
        <w:top w:val="none" w:sz="0" w:space="0" w:color="auto"/>
        <w:left w:val="none" w:sz="0" w:space="0" w:color="auto"/>
        <w:bottom w:val="none" w:sz="0" w:space="0" w:color="auto"/>
        <w:right w:val="none" w:sz="0" w:space="0" w:color="auto"/>
      </w:divBdr>
    </w:div>
    <w:div w:id="157038598">
      <w:bodyDiv w:val="1"/>
      <w:marLeft w:val="0"/>
      <w:marRight w:val="0"/>
      <w:marTop w:val="0"/>
      <w:marBottom w:val="0"/>
      <w:divBdr>
        <w:top w:val="none" w:sz="0" w:space="0" w:color="auto"/>
        <w:left w:val="none" w:sz="0" w:space="0" w:color="auto"/>
        <w:bottom w:val="none" w:sz="0" w:space="0" w:color="auto"/>
        <w:right w:val="none" w:sz="0" w:space="0" w:color="auto"/>
      </w:divBdr>
    </w:div>
    <w:div w:id="157161151">
      <w:bodyDiv w:val="1"/>
      <w:marLeft w:val="0"/>
      <w:marRight w:val="0"/>
      <w:marTop w:val="0"/>
      <w:marBottom w:val="0"/>
      <w:divBdr>
        <w:top w:val="none" w:sz="0" w:space="0" w:color="auto"/>
        <w:left w:val="none" w:sz="0" w:space="0" w:color="auto"/>
        <w:bottom w:val="none" w:sz="0" w:space="0" w:color="auto"/>
        <w:right w:val="none" w:sz="0" w:space="0" w:color="auto"/>
      </w:divBdr>
    </w:div>
    <w:div w:id="157841797">
      <w:bodyDiv w:val="1"/>
      <w:marLeft w:val="0"/>
      <w:marRight w:val="0"/>
      <w:marTop w:val="0"/>
      <w:marBottom w:val="0"/>
      <w:divBdr>
        <w:top w:val="none" w:sz="0" w:space="0" w:color="auto"/>
        <w:left w:val="none" w:sz="0" w:space="0" w:color="auto"/>
        <w:bottom w:val="none" w:sz="0" w:space="0" w:color="auto"/>
        <w:right w:val="none" w:sz="0" w:space="0" w:color="auto"/>
      </w:divBdr>
    </w:div>
    <w:div w:id="159659022">
      <w:bodyDiv w:val="1"/>
      <w:marLeft w:val="0"/>
      <w:marRight w:val="0"/>
      <w:marTop w:val="0"/>
      <w:marBottom w:val="0"/>
      <w:divBdr>
        <w:top w:val="none" w:sz="0" w:space="0" w:color="auto"/>
        <w:left w:val="none" w:sz="0" w:space="0" w:color="auto"/>
        <w:bottom w:val="none" w:sz="0" w:space="0" w:color="auto"/>
        <w:right w:val="none" w:sz="0" w:space="0" w:color="auto"/>
      </w:divBdr>
    </w:div>
    <w:div w:id="161820787">
      <w:bodyDiv w:val="1"/>
      <w:marLeft w:val="0"/>
      <w:marRight w:val="0"/>
      <w:marTop w:val="0"/>
      <w:marBottom w:val="0"/>
      <w:divBdr>
        <w:top w:val="none" w:sz="0" w:space="0" w:color="auto"/>
        <w:left w:val="none" w:sz="0" w:space="0" w:color="auto"/>
        <w:bottom w:val="none" w:sz="0" w:space="0" w:color="auto"/>
        <w:right w:val="none" w:sz="0" w:space="0" w:color="auto"/>
      </w:divBdr>
    </w:div>
    <w:div w:id="170801170">
      <w:bodyDiv w:val="1"/>
      <w:marLeft w:val="0"/>
      <w:marRight w:val="0"/>
      <w:marTop w:val="0"/>
      <w:marBottom w:val="0"/>
      <w:divBdr>
        <w:top w:val="none" w:sz="0" w:space="0" w:color="auto"/>
        <w:left w:val="none" w:sz="0" w:space="0" w:color="auto"/>
        <w:bottom w:val="none" w:sz="0" w:space="0" w:color="auto"/>
        <w:right w:val="none" w:sz="0" w:space="0" w:color="auto"/>
      </w:divBdr>
    </w:div>
    <w:div w:id="170918439">
      <w:bodyDiv w:val="1"/>
      <w:marLeft w:val="0"/>
      <w:marRight w:val="0"/>
      <w:marTop w:val="0"/>
      <w:marBottom w:val="0"/>
      <w:divBdr>
        <w:top w:val="none" w:sz="0" w:space="0" w:color="auto"/>
        <w:left w:val="none" w:sz="0" w:space="0" w:color="auto"/>
        <w:bottom w:val="none" w:sz="0" w:space="0" w:color="auto"/>
        <w:right w:val="none" w:sz="0" w:space="0" w:color="auto"/>
      </w:divBdr>
    </w:div>
    <w:div w:id="182135338">
      <w:bodyDiv w:val="1"/>
      <w:marLeft w:val="0"/>
      <w:marRight w:val="0"/>
      <w:marTop w:val="0"/>
      <w:marBottom w:val="0"/>
      <w:divBdr>
        <w:top w:val="none" w:sz="0" w:space="0" w:color="auto"/>
        <w:left w:val="none" w:sz="0" w:space="0" w:color="auto"/>
        <w:bottom w:val="none" w:sz="0" w:space="0" w:color="auto"/>
        <w:right w:val="none" w:sz="0" w:space="0" w:color="auto"/>
      </w:divBdr>
    </w:div>
    <w:div w:id="182208283">
      <w:bodyDiv w:val="1"/>
      <w:marLeft w:val="0"/>
      <w:marRight w:val="0"/>
      <w:marTop w:val="0"/>
      <w:marBottom w:val="0"/>
      <w:divBdr>
        <w:top w:val="none" w:sz="0" w:space="0" w:color="auto"/>
        <w:left w:val="none" w:sz="0" w:space="0" w:color="auto"/>
        <w:bottom w:val="none" w:sz="0" w:space="0" w:color="auto"/>
        <w:right w:val="none" w:sz="0" w:space="0" w:color="auto"/>
      </w:divBdr>
    </w:div>
    <w:div w:id="183131546">
      <w:bodyDiv w:val="1"/>
      <w:marLeft w:val="0"/>
      <w:marRight w:val="0"/>
      <w:marTop w:val="0"/>
      <w:marBottom w:val="0"/>
      <w:divBdr>
        <w:top w:val="none" w:sz="0" w:space="0" w:color="auto"/>
        <w:left w:val="none" w:sz="0" w:space="0" w:color="auto"/>
        <w:bottom w:val="none" w:sz="0" w:space="0" w:color="auto"/>
        <w:right w:val="none" w:sz="0" w:space="0" w:color="auto"/>
      </w:divBdr>
    </w:div>
    <w:div w:id="185562108">
      <w:bodyDiv w:val="1"/>
      <w:marLeft w:val="0"/>
      <w:marRight w:val="0"/>
      <w:marTop w:val="0"/>
      <w:marBottom w:val="0"/>
      <w:divBdr>
        <w:top w:val="none" w:sz="0" w:space="0" w:color="auto"/>
        <w:left w:val="none" w:sz="0" w:space="0" w:color="auto"/>
        <w:bottom w:val="none" w:sz="0" w:space="0" w:color="auto"/>
        <w:right w:val="none" w:sz="0" w:space="0" w:color="auto"/>
      </w:divBdr>
    </w:div>
    <w:div w:id="187330296">
      <w:bodyDiv w:val="1"/>
      <w:marLeft w:val="0"/>
      <w:marRight w:val="0"/>
      <w:marTop w:val="0"/>
      <w:marBottom w:val="0"/>
      <w:divBdr>
        <w:top w:val="none" w:sz="0" w:space="0" w:color="auto"/>
        <w:left w:val="none" w:sz="0" w:space="0" w:color="auto"/>
        <w:bottom w:val="none" w:sz="0" w:space="0" w:color="auto"/>
        <w:right w:val="none" w:sz="0" w:space="0" w:color="auto"/>
      </w:divBdr>
    </w:div>
    <w:div w:id="187331069">
      <w:bodyDiv w:val="1"/>
      <w:marLeft w:val="0"/>
      <w:marRight w:val="0"/>
      <w:marTop w:val="0"/>
      <w:marBottom w:val="0"/>
      <w:divBdr>
        <w:top w:val="none" w:sz="0" w:space="0" w:color="auto"/>
        <w:left w:val="none" w:sz="0" w:space="0" w:color="auto"/>
        <w:bottom w:val="none" w:sz="0" w:space="0" w:color="auto"/>
        <w:right w:val="none" w:sz="0" w:space="0" w:color="auto"/>
      </w:divBdr>
    </w:div>
    <w:div w:id="187723188">
      <w:bodyDiv w:val="1"/>
      <w:marLeft w:val="0"/>
      <w:marRight w:val="0"/>
      <w:marTop w:val="0"/>
      <w:marBottom w:val="0"/>
      <w:divBdr>
        <w:top w:val="none" w:sz="0" w:space="0" w:color="auto"/>
        <w:left w:val="none" w:sz="0" w:space="0" w:color="auto"/>
        <w:bottom w:val="none" w:sz="0" w:space="0" w:color="auto"/>
        <w:right w:val="none" w:sz="0" w:space="0" w:color="auto"/>
      </w:divBdr>
    </w:div>
    <w:div w:id="189345214">
      <w:bodyDiv w:val="1"/>
      <w:marLeft w:val="0"/>
      <w:marRight w:val="0"/>
      <w:marTop w:val="0"/>
      <w:marBottom w:val="0"/>
      <w:divBdr>
        <w:top w:val="none" w:sz="0" w:space="0" w:color="auto"/>
        <w:left w:val="none" w:sz="0" w:space="0" w:color="auto"/>
        <w:bottom w:val="none" w:sz="0" w:space="0" w:color="auto"/>
        <w:right w:val="none" w:sz="0" w:space="0" w:color="auto"/>
      </w:divBdr>
    </w:div>
    <w:div w:id="192034311">
      <w:bodyDiv w:val="1"/>
      <w:marLeft w:val="0"/>
      <w:marRight w:val="0"/>
      <w:marTop w:val="0"/>
      <w:marBottom w:val="0"/>
      <w:divBdr>
        <w:top w:val="none" w:sz="0" w:space="0" w:color="auto"/>
        <w:left w:val="none" w:sz="0" w:space="0" w:color="auto"/>
        <w:bottom w:val="none" w:sz="0" w:space="0" w:color="auto"/>
        <w:right w:val="none" w:sz="0" w:space="0" w:color="auto"/>
      </w:divBdr>
    </w:div>
    <w:div w:id="192620774">
      <w:bodyDiv w:val="1"/>
      <w:marLeft w:val="0"/>
      <w:marRight w:val="0"/>
      <w:marTop w:val="0"/>
      <w:marBottom w:val="0"/>
      <w:divBdr>
        <w:top w:val="none" w:sz="0" w:space="0" w:color="auto"/>
        <w:left w:val="none" w:sz="0" w:space="0" w:color="auto"/>
        <w:bottom w:val="none" w:sz="0" w:space="0" w:color="auto"/>
        <w:right w:val="none" w:sz="0" w:space="0" w:color="auto"/>
      </w:divBdr>
    </w:div>
    <w:div w:id="193926588">
      <w:bodyDiv w:val="1"/>
      <w:marLeft w:val="0"/>
      <w:marRight w:val="0"/>
      <w:marTop w:val="0"/>
      <w:marBottom w:val="0"/>
      <w:divBdr>
        <w:top w:val="none" w:sz="0" w:space="0" w:color="auto"/>
        <w:left w:val="none" w:sz="0" w:space="0" w:color="auto"/>
        <w:bottom w:val="none" w:sz="0" w:space="0" w:color="auto"/>
        <w:right w:val="none" w:sz="0" w:space="0" w:color="auto"/>
      </w:divBdr>
    </w:div>
    <w:div w:id="19511942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403858">
      <w:bodyDiv w:val="1"/>
      <w:marLeft w:val="0"/>
      <w:marRight w:val="0"/>
      <w:marTop w:val="0"/>
      <w:marBottom w:val="0"/>
      <w:divBdr>
        <w:top w:val="none" w:sz="0" w:space="0" w:color="auto"/>
        <w:left w:val="none" w:sz="0" w:space="0" w:color="auto"/>
        <w:bottom w:val="none" w:sz="0" w:space="0" w:color="auto"/>
        <w:right w:val="none" w:sz="0" w:space="0" w:color="auto"/>
      </w:divBdr>
    </w:div>
    <w:div w:id="204372711">
      <w:bodyDiv w:val="1"/>
      <w:marLeft w:val="0"/>
      <w:marRight w:val="0"/>
      <w:marTop w:val="0"/>
      <w:marBottom w:val="0"/>
      <w:divBdr>
        <w:top w:val="none" w:sz="0" w:space="0" w:color="auto"/>
        <w:left w:val="none" w:sz="0" w:space="0" w:color="auto"/>
        <w:bottom w:val="none" w:sz="0" w:space="0" w:color="auto"/>
        <w:right w:val="none" w:sz="0" w:space="0" w:color="auto"/>
      </w:divBdr>
    </w:div>
    <w:div w:id="205140847">
      <w:bodyDiv w:val="1"/>
      <w:marLeft w:val="0"/>
      <w:marRight w:val="0"/>
      <w:marTop w:val="0"/>
      <w:marBottom w:val="0"/>
      <w:divBdr>
        <w:top w:val="none" w:sz="0" w:space="0" w:color="auto"/>
        <w:left w:val="none" w:sz="0" w:space="0" w:color="auto"/>
        <w:bottom w:val="none" w:sz="0" w:space="0" w:color="auto"/>
        <w:right w:val="none" w:sz="0" w:space="0" w:color="auto"/>
      </w:divBdr>
    </w:div>
    <w:div w:id="207843054">
      <w:bodyDiv w:val="1"/>
      <w:marLeft w:val="0"/>
      <w:marRight w:val="0"/>
      <w:marTop w:val="0"/>
      <w:marBottom w:val="0"/>
      <w:divBdr>
        <w:top w:val="none" w:sz="0" w:space="0" w:color="auto"/>
        <w:left w:val="none" w:sz="0" w:space="0" w:color="auto"/>
        <w:bottom w:val="none" w:sz="0" w:space="0" w:color="auto"/>
        <w:right w:val="none" w:sz="0" w:space="0" w:color="auto"/>
      </w:divBdr>
    </w:div>
    <w:div w:id="213931184">
      <w:bodyDiv w:val="1"/>
      <w:marLeft w:val="0"/>
      <w:marRight w:val="0"/>
      <w:marTop w:val="0"/>
      <w:marBottom w:val="0"/>
      <w:divBdr>
        <w:top w:val="none" w:sz="0" w:space="0" w:color="auto"/>
        <w:left w:val="none" w:sz="0" w:space="0" w:color="auto"/>
        <w:bottom w:val="none" w:sz="0" w:space="0" w:color="auto"/>
        <w:right w:val="none" w:sz="0" w:space="0" w:color="auto"/>
      </w:divBdr>
    </w:div>
    <w:div w:id="218906154">
      <w:bodyDiv w:val="1"/>
      <w:marLeft w:val="0"/>
      <w:marRight w:val="0"/>
      <w:marTop w:val="0"/>
      <w:marBottom w:val="0"/>
      <w:divBdr>
        <w:top w:val="none" w:sz="0" w:space="0" w:color="auto"/>
        <w:left w:val="none" w:sz="0" w:space="0" w:color="auto"/>
        <w:bottom w:val="none" w:sz="0" w:space="0" w:color="auto"/>
        <w:right w:val="none" w:sz="0" w:space="0" w:color="auto"/>
      </w:divBdr>
    </w:div>
    <w:div w:id="219250591">
      <w:bodyDiv w:val="1"/>
      <w:marLeft w:val="0"/>
      <w:marRight w:val="0"/>
      <w:marTop w:val="0"/>
      <w:marBottom w:val="0"/>
      <w:divBdr>
        <w:top w:val="none" w:sz="0" w:space="0" w:color="auto"/>
        <w:left w:val="none" w:sz="0" w:space="0" w:color="auto"/>
        <w:bottom w:val="none" w:sz="0" w:space="0" w:color="auto"/>
        <w:right w:val="none" w:sz="0" w:space="0" w:color="auto"/>
      </w:divBdr>
    </w:div>
    <w:div w:id="219369011">
      <w:bodyDiv w:val="1"/>
      <w:marLeft w:val="0"/>
      <w:marRight w:val="0"/>
      <w:marTop w:val="0"/>
      <w:marBottom w:val="0"/>
      <w:divBdr>
        <w:top w:val="none" w:sz="0" w:space="0" w:color="auto"/>
        <w:left w:val="none" w:sz="0" w:space="0" w:color="auto"/>
        <w:bottom w:val="none" w:sz="0" w:space="0" w:color="auto"/>
        <w:right w:val="none" w:sz="0" w:space="0" w:color="auto"/>
      </w:divBdr>
    </w:div>
    <w:div w:id="219437642">
      <w:bodyDiv w:val="1"/>
      <w:marLeft w:val="0"/>
      <w:marRight w:val="0"/>
      <w:marTop w:val="0"/>
      <w:marBottom w:val="0"/>
      <w:divBdr>
        <w:top w:val="none" w:sz="0" w:space="0" w:color="auto"/>
        <w:left w:val="none" w:sz="0" w:space="0" w:color="auto"/>
        <w:bottom w:val="none" w:sz="0" w:space="0" w:color="auto"/>
        <w:right w:val="none" w:sz="0" w:space="0" w:color="auto"/>
      </w:divBdr>
    </w:div>
    <w:div w:id="220942522">
      <w:bodyDiv w:val="1"/>
      <w:marLeft w:val="0"/>
      <w:marRight w:val="0"/>
      <w:marTop w:val="0"/>
      <w:marBottom w:val="0"/>
      <w:divBdr>
        <w:top w:val="none" w:sz="0" w:space="0" w:color="auto"/>
        <w:left w:val="none" w:sz="0" w:space="0" w:color="auto"/>
        <w:bottom w:val="none" w:sz="0" w:space="0" w:color="auto"/>
        <w:right w:val="none" w:sz="0" w:space="0" w:color="auto"/>
      </w:divBdr>
    </w:div>
    <w:div w:id="222718804">
      <w:bodyDiv w:val="1"/>
      <w:marLeft w:val="0"/>
      <w:marRight w:val="0"/>
      <w:marTop w:val="0"/>
      <w:marBottom w:val="0"/>
      <w:divBdr>
        <w:top w:val="none" w:sz="0" w:space="0" w:color="auto"/>
        <w:left w:val="none" w:sz="0" w:space="0" w:color="auto"/>
        <w:bottom w:val="none" w:sz="0" w:space="0" w:color="auto"/>
        <w:right w:val="none" w:sz="0" w:space="0" w:color="auto"/>
      </w:divBdr>
    </w:div>
    <w:div w:id="223567226">
      <w:bodyDiv w:val="1"/>
      <w:marLeft w:val="0"/>
      <w:marRight w:val="0"/>
      <w:marTop w:val="0"/>
      <w:marBottom w:val="0"/>
      <w:divBdr>
        <w:top w:val="none" w:sz="0" w:space="0" w:color="auto"/>
        <w:left w:val="none" w:sz="0" w:space="0" w:color="auto"/>
        <w:bottom w:val="none" w:sz="0" w:space="0" w:color="auto"/>
        <w:right w:val="none" w:sz="0" w:space="0" w:color="auto"/>
      </w:divBdr>
    </w:div>
    <w:div w:id="226573657">
      <w:bodyDiv w:val="1"/>
      <w:marLeft w:val="0"/>
      <w:marRight w:val="0"/>
      <w:marTop w:val="0"/>
      <w:marBottom w:val="0"/>
      <w:divBdr>
        <w:top w:val="none" w:sz="0" w:space="0" w:color="auto"/>
        <w:left w:val="none" w:sz="0" w:space="0" w:color="auto"/>
        <w:bottom w:val="none" w:sz="0" w:space="0" w:color="auto"/>
        <w:right w:val="none" w:sz="0" w:space="0" w:color="auto"/>
      </w:divBdr>
    </w:div>
    <w:div w:id="231351428">
      <w:bodyDiv w:val="1"/>
      <w:marLeft w:val="0"/>
      <w:marRight w:val="0"/>
      <w:marTop w:val="0"/>
      <w:marBottom w:val="0"/>
      <w:divBdr>
        <w:top w:val="none" w:sz="0" w:space="0" w:color="auto"/>
        <w:left w:val="none" w:sz="0" w:space="0" w:color="auto"/>
        <w:bottom w:val="none" w:sz="0" w:space="0" w:color="auto"/>
        <w:right w:val="none" w:sz="0" w:space="0" w:color="auto"/>
      </w:divBdr>
    </w:div>
    <w:div w:id="237711905">
      <w:bodyDiv w:val="1"/>
      <w:marLeft w:val="0"/>
      <w:marRight w:val="0"/>
      <w:marTop w:val="0"/>
      <w:marBottom w:val="0"/>
      <w:divBdr>
        <w:top w:val="none" w:sz="0" w:space="0" w:color="auto"/>
        <w:left w:val="none" w:sz="0" w:space="0" w:color="auto"/>
        <w:bottom w:val="none" w:sz="0" w:space="0" w:color="auto"/>
        <w:right w:val="none" w:sz="0" w:space="0" w:color="auto"/>
      </w:divBdr>
    </w:div>
    <w:div w:id="242645292">
      <w:bodyDiv w:val="1"/>
      <w:marLeft w:val="0"/>
      <w:marRight w:val="0"/>
      <w:marTop w:val="0"/>
      <w:marBottom w:val="0"/>
      <w:divBdr>
        <w:top w:val="none" w:sz="0" w:space="0" w:color="auto"/>
        <w:left w:val="none" w:sz="0" w:space="0" w:color="auto"/>
        <w:bottom w:val="none" w:sz="0" w:space="0" w:color="auto"/>
        <w:right w:val="none" w:sz="0" w:space="0" w:color="auto"/>
      </w:divBdr>
    </w:div>
    <w:div w:id="242837839">
      <w:bodyDiv w:val="1"/>
      <w:marLeft w:val="0"/>
      <w:marRight w:val="0"/>
      <w:marTop w:val="0"/>
      <w:marBottom w:val="0"/>
      <w:divBdr>
        <w:top w:val="none" w:sz="0" w:space="0" w:color="auto"/>
        <w:left w:val="none" w:sz="0" w:space="0" w:color="auto"/>
        <w:bottom w:val="none" w:sz="0" w:space="0" w:color="auto"/>
        <w:right w:val="none" w:sz="0" w:space="0" w:color="auto"/>
      </w:divBdr>
    </w:div>
    <w:div w:id="243926021">
      <w:bodyDiv w:val="1"/>
      <w:marLeft w:val="0"/>
      <w:marRight w:val="0"/>
      <w:marTop w:val="0"/>
      <w:marBottom w:val="0"/>
      <w:divBdr>
        <w:top w:val="none" w:sz="0" w:space="0" w:color="auto"/>
        <w:left w:val="none" w:sz="0" w:space="0" w:color="auto"/>
        <w:bottom w:val="none" w:sz="0" w:space="0" w:color="auto"/>
        <w:right w:val="none" w:sz="0" w:space="0" w:color="auto"/>
      </w:divBdr>
    </w:div>
    <w:div w:id="245501202">
      <w:bodyDiv w:val="1"/>
      <w:marLeft w:val="0"/>
      <w:marRight w:val="0"/>
      <w:marTop w:val="0"/>
      <w:marBottom w:val="0"/>
      <w:divBdr>
        <w:top w:val="none" w:sz="0" w:space="0" w:color="auto"/>
        <w:left w:val="none" w:sz="0" w:space="0" w:color="auto"/>
        <w:bottom w:val="none" w:sz="0" w:space="0" w:color="auto"/>
        <w:right w:val="none" w:sz="0" w:space="0" w:color="auto"/>
      </w:divBdr>
    </w:div>
    <w:div w:id="249317095">
      <w:bodyDiv w:val="1"/>
      <w:marLeft w:val="0"/>
      <w:marRight w:val="0"/>
      <w:marTop w:val="0"/>
      <w:marBottom w:val="0"/>
      <w:divBdr>
        <w:top w:val="none" w:sz="0" w:space="0" w:color="auto"/>
        <w:left w:val="none" w:sz="0" w:space="0" w:color="auto"/>
        <w:bottom w:val="none" w:sz="0" w:space="0" w:color="auto"/>
        <w:right w:val="none" w:sz="0" w:space="0" w:color="auto"/>
      </w:divBdr>
    </w:div>
    <w:div w:id="249654872">
      <w:bodyDiv w:val="1"/>
      <w:marLeft w:val="0"/>
      <w:marRight w:val="0"/>
      <w:marTop w:val="0"/>
      <w:marBottom w:val="0"/>
      <w:divBdr>
        <w:top w:val="none" w:sz="0" w:space="0" w:color="auto"/>
        <w:left w:val="none" w:sz="0" w:space="0" w:color="auto"/>
        <w:bottom w:val="none" w:sz="0" w:space="0" w:color="auto"/>
        <w:right w:val="none" w:sz="0" w:space="0" w:color="auto"/>
      </w:divBdr>
    </w:div>
    <w:div w:id="250168074">
      <w:bodyDiv w:val="1"/>
      <w:marLeft w:val="0"/>
      <w:marRight w:val="0"/>
      <w:marTop w:val="0"/>
      <w:marBottom w:val="0"/>
      <w:divBdr>
        <w:top w:val="none" w:sz="0" w:space="0" w:color="auto"/>
        <w:left w:val="none" w:sz="0" w:space="0" w:color="auto"/>
        <w:bottom w:val="none" w:sz="0" w:space="0" w:color="auto"/>
        <w:right w:val="none" w:sz="0" w:space="0" w:color="auto"/>
      </w:divBdr>
    </w:div>
    <w:div w:id="250235961">
      <w:bodyDiv w:val="1"/>
      <w:marLeft w:val="0"/>
      <w:marRight w:val="0"/>
      <w:marTop w:val="0"/>
      <w:marBottom w:val="0"/>
      <w:divBdr>
        <w:top w:val="none" w:sz="0" w:space="0" w:color="auto"/>
        <w:left w:val="none" w:sz="0" w:space="0" w:color="auto"/>
        <w:bottom w:val="none" w:sz="0" w:space="0" w:color="auto"/>
        <w:right w:val="none" w:sz="0" w:space="0" w:color="auto"/>
      </w:divBdr>
    </w:div>
    <w:div w:id="251816711">
      <w:bodyDiv w:val="1"/>
      <w:marLeft w:val="0"/>
      <w:marRight w:val="0"/>
      <w:marTop w:val="0"/>
      <w:marBottom w:val="0"/>
      <w:divBdr>
        <w:top w:val="none" w:sz="0" w:space="0" w:color="auto"/>
        <w:left w:val="none" w:sz="0" w:space="0" w:color="auto"/>
        <w:bottom w:val="none" w:sz="0" w:space="0" w:color="auto"/>
        <w:right w:val="none" w:sz="0" w:space="0" w:color="auto"/>
      </w:divBdr>
    </w:div>
    <w:div w:id="257179670">
      <w:bodyDiv w:val="1"/>
      <w:marLeft w:val="0"/>
      <w:marRight w:val="0"/>
      <w:marTop w:val="0"/>
      <w:marBottom w:val="0"/>
      <w:divBdr>
        <w:top w:val="none" w:sz="0" w:space="0" w:color="auto"/>
        <w:left w:val="none" w:sz="0" w:space="0" w:color="auto"/>
        <w:bottom w:val="none" w:sz="0" w:space="0" w:color="auto"/>
        <w:right w:val="none" w:sz="0" w:space="0" w:color="auto"/>
      </w:divBdr>
    </w:div>
    <w:div w:id="258606212">
      <w:bodyDiv w:val="1"/>
      <w:marLeft w:val="0"/>
      <w:marRight w:val="0"/>
      <w:marTop w:val="0"/>
      <w:marBottom w:val="0"/>
      <w:divBdr>
        <w:top w:val="none" w:sz="0" w:space="0" w:color="auto"/>
        <w:left w:val="none" w:sz="0" w:space="0" w:color="auto"/>
        <w:bottom w:val="none" w:sz="0" w:space="0" w:color="auto"/>
        <w:right w:val="none" w:sz="0" w:space="0" w:color="auto"/>
      </w:divBdr>
    </w:div>
    <w:div w:id="259266909">
      <w:bodyDiv w:val="1"/>
      <w:marLeft w:val="0"/>
      <w:marRight w:val="0"/>
      <w:marTop w:val="0"/>
      <w:marBottom w:val="0"/>
      <w:divBdr>
        <w:top w:val="none" w:sz="0" w:space="0" w:color="auto"/>
        <w:left w:val="none" w:sz="0" w:space="0" w:color="auto"/>
        <w:bottom w:val="none" w:sz="0" w:space="0" w:color="auto"/>
        <w:right w:val="none" w:sz="0" w:space="0" w:color="auto"/>
      </w:divBdr>
    </w:div>
    <w:div w:id="260915260">
      <w:bodyDiv w:val="1"/>
      <w:marLeft w:val="0"/>
      <w:marRight w:val="0"/>
      <w:marTop w:val="0"/>
      <w:marBottom w:val="0"/>
      <w:divBdr>
        <w:top w:val="none" w:sz="0" w:space="0" w:color="auto"/>
        <w:left w:val="none" w:sz="0" w:space="0" w:color="auto"/>
        <w:bottom w:val="none" w:sz="0" w:space="0" w:color="auto"/>
        <w:right w:val="none" w:sz="0" w:space="0" w:color="auto"/>
      </w:divBdr>
    </w:div>
    <w:div w:id="264384526">
      <w:bodyDiv w:val="1"/>
      <w:marLeft w:val="0"/>
      <w:marRight w:val="0"/>
      <w:marTop w:val="0"/>
      <w:marBottom w:val="0"/>
      <w:divBdr>
        <w:top w:val="none" w:sz="0" w:space="0" w:color="auto"/>
        <w:left w:val="none" w:sz="0" w:space="0" w:color="auto"/>
        <w:bottom w:val="none" w:sz="0" w:space="0" w:color="auto"/>
        <w:right w:val="none" w:sz="0" w:space="0" w:color="auto"/>
      </w:divBdr>
    </w:div>
    <w:div w:id="265817228">
      <w:bodyDiv w:val="1"/>
      <w:marLeft w:val="0"/>
      <w:marRight w:val="0"/>
      <w:marTop w:val="0"/>
      <w:marBottom w:val="0"/>
      <w:divBdr>
        <w:top w:val="none" w:sz="0" w:space="0" w:color="auto"/>
        <w:left w:val="none" w:sz="0" w:space="0" w:color="auto"/>
        <w:bottom w:val="none" w:sz="0" w:space="0" w:color="auto"/>
        <w:right w:val="none" w:sz="0" w:space="0" w:color="auto"/>
      </w:divBdr>
    </w:div>
    <w:div w:id="269778796">
      <w:bodyDiv w:val="1"/>
      <w:marLeft w:val="0"/>
      <w:marRight w:val="0"/>
      <w:marTop w:val="0"/>
      <w:marBottom w:val="0"/>
      <w:divBdr>
        <w:top w:val="none" w:sz="0" w:space="0" w:color="auto"/>
        <w:left w:val="none" w:sz="0" w:space="0" w:color="auto"/>
        <w:bottom w:val="none" w:sz="0" w:space="0" w:color="auto"/>
        <w:right w:val="none" w:sz="0" w:space="0" w:color="auto"/>
      </w:divBdr>
    </w:div>
    <w:div w:id="272636502">
      <w:bodyDiv w:val="1"/>
      <w:marLeft w:val="0"/>
      <w:marRight w:val="0"/>
      <w:marTop w:val="0"/>
      <w:marBottom w:val="0"/>
      <w:divBdr>
        <w:top w:val="none" w:sz="0" w:space="0" w:color="auto"/>
        <w:left w:val="none" w:sz="0" w:space="0" w:color="auto"/>
        <w:bottom w:val="none" w:sz="0" w:space="0" w:color="auto"/>
        <w:right w:val="none" w:sz="0" w:space="0" w:color="auto"/>
      </w:divBdr>
    </w:div>
    <w:div w:id="273173115">
      <w:bodyDiv w:val="1"/>
      <w:marLeft w:val="0"/>
      <w:marRight w:val="0"/>
      <w:marTop w:val="0"/>
      <w:marBottom w:val="0"/>
      <w:divBdr>
        <w:top w:val="none" w:sz="0" w:space="0" w:color="auto"/>
        <w:left w:val="none" w:sz="0" w:space="0" w:color="auto"/>
        <w:bottom w:val="none" w:sz="0" w:space="0" w:color="auto"/>
        <w:right w:val="none" w:sz="0" w:space="0" w:color="auto"/>
      </w:divBdr>
    </w:div>
    <w:div w:id="274220608">
      <w:bodyDiv w:val="1"/>
      <w:marLeft w:val="0"/>
      <w:marRight w:val="0"/>
      <w:marTop w:val="0"/>
      <w:marBottom w:val="0"/>
      <w:divBdr>
        <w:top w:val="none" w:sz="0" w:space="0" w:color="auto"/>
        <w:left w:val="none" w:sz="0" w:space="0" w:color="auto"/>
        <w:bottom w:val="none" w:sz="0" w:space="0" w:color="auto"/>
        <w:right w:val="none" w:sz="0" w:space="0" w:color="auto"/>
      </w:divBdr>
    </w:div>
    <w:div w:id="275409990">
      <w:bodyDiv w:val="1"/>
      <w:marLeft w:val="0"/>
      <w:marRight w:val="0"/>
      <w:marTop w:val="0"/>
      <w:marBottom w:val="0"/>
      <w:divBdr>
        <w:top w:val="none" w:sz="0" w:space="0" w:color="auto"/>
        <w:left w:val="none" w:sz="0" w:space="0" w:color="auto"/>
        <w:bottom w:val="none" w:sz="0" w:space="0" w:color="auto"/>
        <w:right w:val="none" w:sz="0" w:space="0" w:color="auto"/>
      </w:divBdr>
    </w:div>
    <w:div w:id="276328400">
      <w:bodyDiv w:val="1"/>
      <w:marLeft w:val="0"/>
      <w:marRight w:val="0"/>
      <w:marTop w:val="0"/>
      <w:marBottom w:val="0"/>
      <w:divBdr>
        <w:top w:val="none" w:sz="0" w:space="0" w:color="auto"/>
        <w:left w:val="none" w:sz="0" w:space="0" w:color="auto"/>
        <w:bottom w:val="none" w:sz="0" w:space="0" w:color="auto"/>
        <w:right w:val="none" w:sz="0" w:space="0" w:color="auto"/>
      </w:divBdr>
    </w:div>
    <w:div w:id="277953481">
      <w:bodyDiv w:val="1"/>
      <w:marLeft w:val="0"/>
      <w:marRight w:val="0"/>
      <w:marTop w:val="0"/>
      <w:marBottom w:val="0"/>
      <w:divBdr>
        <w:top w:val="none" w:sz="0" w:space="0" w:color="auto"/>
        <w:left w:val="none" w:sz="0" w:space="0" w:color="auto"/>
        <w:bottom w:val="none" w:sz="0" w:space="0" w:color="auto"/>
        <w:right w:val="none" w:sz="0" w:space="0" w:color="auto"/>
      </w:divBdr>
    </w:div>
    <w:div w:id="280381066">
      <w:bodyDiv w:val="1"/>
      <w:marLeft w:val="0"/>
      <w:marRight w:val="0"/>
      <w:marTop w:val="0"/>
      <w:marBottom w:val="0"/>
      <w:divBdr>
        <w:top w:val="none" w:sz="0" w:space="0" w:color="auto"/>
        <w:left w:val="none" w:sz="0" w:space="0" w:color="auto"/>
        <w:bottom w:val="none" w:sz="0" w:space="0" w:color="auto"/>
        <w:right w:val="none" w:sz="0" w:space="0" w:color="auto"/>
      </w:divBdr>
    </w:div>
    <w:div w:id="283929193">
      <w:bodyDiv w:val="1"/>
      <w:marLeft w:val="0"/>
      <w:marRight w:val="0"/>
      <w:marTop w:val="0"/>
      <w:marBottom w:val="0"/>
      <w:divBdr>
        <w:top w:val="none" w:sz="0" w:space="0" w:color="auto"/>
        <w:left w:val="none" w:sz="0" w:space="0" w:color="auto"/>
        <w:bottom w:val="none" w:sz="0" w:space="0" w:color="auto"/>
        <w:right w:val="none" w:sz="0" w:space="0" w:color="auto"/>
      </w:divBdr>
    </w:div>
    <w:div w:id="284192842">
      <w:bodyDiv w:val="1"/>
      <w:marLeft w:val="0"/>
      <w:marRight w:val="0"/>
      <w:marTop w:val="0"/>
      <w:marBottom w:val="0"/>
      <w:divBdr>
        <w:top w:val="none" w:sz="0" w:space="0" w:color="auto"/>
        <w:left w:val="none" w:sz="0" w:space="0" w:color="auto"/>
        <w:bottom w:val="none" w:sz="0" w:space="0" w:color="auto"/>
        <w:right w:val="none" w:sz="0" w:space="0" w:color="auto"/>
      </w:divBdr>
    </w:div>
    <w:div w:id="285501404">
      <w:bodyDiv w:val="1"/>
      <w:marLeft w:val="0"/>
      <w:marRight w:val="0"/>
      <w:marTop w:val="0"/>
      <w:marBottom w:val="0"/>
      <w:divBdr>
        <w:top w:val="none" w:sz="0" w:space="0" w:color="auto"/>
        <w:left w:val="none" w:sz="0" w:space="0" w:color="auto"/>
        <w:bottom w:val="none" w:sz="0" w:space="0" w:color="auto"/>
        <w:right w:val="none" w:sz="0" w:space="0" w:color="auto"/>
      </w:divBdr>
    </w:div>
    <w:div w:id="286398314">
      <w:bodyDiv w:val="1"/>
      <w:marLeft w:val="0"/>
      <w:marRight w:val="0"/>
      <w:marTop w:val="0"/>
      <w:marBottom w:val="0"/>
      <w:divBdr>
        <w:top w:val="none" w:sz="0" w:space="0" w:color="auto"/>
        <w:left w:val="none" w:sz="0" w:space="0" w:color="auto"/>
        <w:bottom w:val="none" w:sz="0" w:space="0" w:color="auto"/>
        <w:right w:val="none" w:sz="0" w:space="0" w:color="auto"/>
      </w:divBdr>
    </w:div>
    <w:div w:id="288558299">
      <w:bodyDiv w:val="1"/>
      <w:marLeft w:val="0"/>
      <w:marRight w:val="0"/>
      <w:marTop w:val="0"/>
      <w:marBottom w:val="0"/>
      <w:divBdr>
        <w:top w:val="none" w:sz="0" w:space="0" w:color="auto"/>
        <w:left w:val="none" w:sz="0" w:space="0" w:color="auto"/>
        <w:bottom w:val="none" w:sz="0" w:space="0" w:color="auto"/>
        <w:right w:val="none" w:sz="0" w:space="0" w:color="auto"/>
      </w:divBdr>
    </w:div>
    <w:div w:id="295061476">
      <w:bodyDiv w:val="1"/>
      <w:marLeft w:val="0"/>
      <w:marRight w:val="0"/>
      <w:marTop w:val="0"/>
      <w:marBottom w:val="0"/>
      <w:divBdr>
        <w:top w:val="none" w:sz="0" w:space="0" w:color="auto"/>
        <w:left w:val="none" w:sz="0" w:space="0" w:color="auto"/>
        <w:bottom w:val="none" w:sz="0" w:space="0" w:color="auto"/>
        <w:right w:val="none" w:sz="0" w:space="0" w:color="auto"/>
      </w:divBdr>
    </w:div>
    <w:div w:id="295372956">
      <w:bodyDiv w:val="1"/>
      <w:marLeft w:val="0"/>
      <w:marRight w:val="0"/>
      <w:marTop w:val="0"/>
      <w:marBottom w:val="0"/>
      <w:divBdr>
        <w:top w:val="none" w:sz="0" w:space="0" w:color="auto"/>
        <w:left w:val="none" w:sz="0" w:space="0" w:color="auto"/>
        <w:bottom w:val="none" w:sz="0" w:space="0" w:color="auto"/>
        <w:right w:val="none" w:sz="0" w:space="0" w:color="auto"/>
      </w:divBdr>
    </w:div>
    <w:div w:id="295843625">
      <w:bodyDiv w:val="1"/>
      <w:marLeft w:val="0"/>
      <w:marRight w:val="0"/>
      <w:marTop w:val="0"/>
      <w:marBottom w:val="0"/>
      <w:divBdr>
        <w:top w:val="none" w:sz="0" w:space="0" w:color="auto"/>
        <w:left w:val="none" w:sz="0" w:space="0" w:color="auto"/>
        <w:bottom w:val="none" w:sz="0" w:space="0" w:color="auto"/>
        <w:right w:val="none" w:sz="0" w:space="0" w:color="auto"/>
      </w:divBdr>
    </w:div>
    <w:div w:id="297730066">
      <w:bodyDiv w:val="1"/>
      <w:marLeft w:val="0"/>
      <w:marRight w:val="0"/>
      <w:marTop w:val="0"/>
      <w:marBottom w:val="0"/>
      <w:divBdr>
        <w:top w:val="none" w:sz="0" w:space="0" w:color="auto"/>
        <w:left w:val="none" w:sz="0" w:space="0" w:color="auto"/>
        <w:bottom w:val="none" w:sz="0" w:space="0" w:color="auto"/>
        <w:right w:val="none" w:sz="0" w:space="0" w:color="auto"/>
      </w:divBdr>
    </w:div>
    <w:div w:id="298194305">
      <w:bodyDiv w:val="1"/>
      <w:marLeft w:val="0"/>
      <w:marRight w:val="0"/>
      <w:marTop w:val="0"/>
      <w:marBottom w:val="0"/>
      <w:divBdr>
        <w:top w:val="none" w:sz="0" w:space="0" w:color="auto"/>
        <w:left w:val="none" w:sz="0" w:space="0" w:color="auto"/>
        <w:bottom w:val="none" w:sz="0" w:space="0" w:color="auto"/>
        <w:right w:val="none" w:sz="0" w:space="0" w:color="auto"/>
      </w:divBdr>
    </w:div>
    <w:div w:id="302318985">
      <w:bodyDiv w:val="1"/>
      <w:marLeft w:val="0"/>
      <w:marRight w:val="0"/>
      <w:marTop w:val="0"/>
      <w:marBottom w:val="0"/>
      <w:divBdr>
        <w:top w:val="none" w:sz="0" w:space="0" w:color="auto"/>
        <w:left w:val="none" w:sz="0" w:space="0" w:color="auto"/>
        <w:bottom w:val="none" w:sz="0" w:space="0" w:color="auto"/>
        <w:right w:val="none" w:sz="0" w:space="0" w:color="auto"/>
      </w:divBdr>
    </w:div>
    <w:div w:id="305403374">
      <w:bodyDiv w:val="1"/>
      <w:marLeft w:val="0"/>
      <w:marRight w:val="0"/>
      <w:marTop w:val="0"/>
      <w:marBottom w:val="0"/>
      <w:divBdr>
        <w:top w:val="none" w:sz="0" w:space="0" w:color="auto"/>
        <w:left w:val="none" w:sz="0" w:space="0" w:color="auto"/>
        <w:bottom w:val="none" w:sz="0" w:space="0" w:color="auto"/>
        <w:right w:val="none" w:sz="0" w:space="0" w:color="auto"/>
      </w:divBdr>
    </w:div>
    <w:div w:id="309330355">
      <w:bodyDiv w:val="1"/>
      <w:marLeft w:val="0"/>
      <w:marRight w:val="0"/>
      <w:marTop w:val="0"/>
      <w:marBottom w:val="0"/>
      <w:divBdr>
        <w:top w:val="none" w:sz="0" w:space="0" w:color="auto"/>
        <w:left w:val="none" w:sz="0" w:space="0" w:color="auto"/>
        <w:bottom w:val="none" w:sz="0" w:space="0" w:color="auto"/>
        <w:right w:val="none" w:sz="0" w:space="0" w:color="auto"/>
      </w:divBdr>
    </w:div>
    <w:div w:id="309599539">
      <w:bodyDiv w:val="1"/>
      <w:marLeft w:val="0"/>
      <w:marRight w:val="0"/>
      <w:marTop w:val="0"/>
      <w:marBottom w:val="0"/>
      <w:divBdr>
        <w:top w:val="none" w:sz="0" w:space="0" w:color="auto"/>
        <w:left w:val="none" w:sz="0" w:space="0" w:color="auto"/>
        <w:bottom w:val="none" w:sz="0" w:space="0" w:color="auto"/>
        <w:right w:val="none" w:sz="0" w:space="0" w:color="auto"/>
      </w:divBdr>
    </w:div>
    <w:div w:id="312294871">
      <w:bodyDiv w:val="1"/>
      <w:marLeft w:val="0"/>
      <w:marRight w:val="0"/>
      <w:marTop w:val="0"/>
      <w:marBottom w:val="0"/>
      <w:divBdr>
        <w:top w:val="none" w:sz="0" w:space="0" w:color="auto"/>
        <w:left w:val="none" w:sz="0" w:space="0" w:color="auto"/>
        <w:bottom w:val="none" w:sz="0" w:space="0" w:color="auto"/>
        <w:right w:val="none" w:sz="0" w:space="0" w:color="auto"/>
      </w:divBdr>
    </w:div>
    <w:div w:id="312370179">
      <w:bodyDiv w:val="1"/>
      <w:marLeft w:val="0"/>
      <w:marRight w:val="0"/>
      <w:marTop w:val="0"/>
      <w:marBottom w:val="0"/>
      <w:divBdr>
        <w:top w:val="none" w:sz="0" w:space="0" w:color="auto"/>
        <w:left w:val="none" w:sz="0" w:space="0" w:color="auto"/>
        <w:bottom w:val="none" w:sz="0" w:space="0" w:color="auto"/>
        <w:right w:val="none" w:sz="0" w:space="0" w:color="auto"/>
      </w:divBdr>
    </w:div>
    <w:div w:id="312954579">
      <w:bodyDiv w:val="1"/>
      <w:marLeft w:val="0"/>
      <w:marRight w:val="0"/>
      <w:marTop w:val="0"/>
      <w:marBottom w:val="0"/>
      <w:divBdr>
        <w:top w:val="none" w:sz="0" w:space="0" w:color="auto"/>
        <w:left w:val="none" w:sz="0" w:space="0" w:color="auto"/>
        <w:bottom w:val="none" w:sz="0" w:space="0" w:color="auto"/>
        <w:right w:val="none" w:sz="0" w:space="0" w:color="auto"/>
      </w:divBdr>
    </w:div>
    <w:div w:id="314841934">
      <w:bodyDiv w:val="1"/>
      <w:marLeft w:val="0"/>
      <w:marRight w:val="0"/>
      <w:marTop w:val="0"/>
      <w:marBottom w:val="0"/>
      <w:divBdr>
        <w:top w:val="none" w:sz="0" w:space="0" w:color="auto"/>
        <w:left w:val="none" w:sz="0" w:space="0" w:color="auto"/>
        <w:bottom w:val="none" w:sz="0" w:space="0" w:color="auto"/>
        <w:right w:val="none" w:sz="0" w:space="0" w:color="auto"/>
      </w:divBdr>
    </w:div>
    <w:div w:id="321130632">
      <w:bodyDiv w:val="1"/>
      <w:marLeft w:val="0"/>
      <w:marRight w:val="0"/>
      <w:marTop w:val="0"/>
      <w:marBottom w:val="0"/>
      <w:divBdr>
        <w:top w:val="none" w:sz="0" w:space="0" w:color="auto"/>
        <w:left w:val="none" w:sz="0" w:space="0" w:color="auto"/>
        <w:bottom w:val="none" w:sz="0" w:space="0" w:color="auto"/>
        <w:right w:val="none" w:sz="0" w:space="0" w:color="auto"/>
      </w:divBdr>
    </w:div>
    <w:div w:id="322465025">
      <w:bodyDiv w:val="1"/>
      <w:marLeft w:val="0"/>
      <w:marRight w:val="0"/>
      <w:marTop w:val="0"/>
      <w:marBottom w:val="0"/>
      <w:divBdr>
        <w:top w:val="none" w:sz="0" w:space="0" w:color="auto"/>
        <w:left w:val="none" w:sz="0" w:space="0" w:color="auto"/>
        <w:bottom w:val="none" w:sz="0" w:space="0" w:color="auto"/>
        <w:right w:val="none" w:sz="0" w:space="0" w:color="auto"/>
      </w:divBdr>
    </w:div>
    <w:div w:id="326637758">
      <w:bodyDiv w:val="1"/>
      <w:marLeft w:val="0"/>
      <w:marRight w:val="0"/>
      <w:marTop w:val="0"/>
      <w:marBottom w:val="0"/>
      <w:divBdr>
        <w:top w:val="none" w:sz="0" w:space="0" w:color="auto"/>
        <w:left w:val="none" w:sz="0" w:space="0" w:color="auto"/>
        <w:bottom w:val="none" w:sz="0" w:space="0" w:color="auto"/>
        <w:right w:val="none" w:sz="0" w:space="0" w:color="auto"/>
      </w:divBdr>
    </w:div>
    <w:div w:id="327441755">
      <w:bodyDiv w:val="1"/>
      <w:marLeft w:val="0"/>
      <w:marRight w:val="0"/>
      <w:marTop w:val="0"/>
      <w:marBottom w:val="0"/>
      <w:divBdr>
        <w:top w:val="none" w:sz="0" w:space="0" w:color="auto"/>
        <w:left w:val="none" w:sz="0" w:space="0" w:color="auto"/>
        <w:bottom w:val="none" w:sz="0" w:space="0" w:color="auto"/>
        <w:right w:val="none" w:sz="0" w:space="0" w:color="auto"/>
      </w:divBdr>
      <w:divsChild>
        <w:div w:id="765686250">
          <w:marLeft w:val="979"/>
          <w:marRight w:val="0"/>
          <w:marTop w:val="120"/>
          <w:marBottom w:val="120"/>
          <w:divBdr>
            <w:top w:val="none" w:sz="0" w:space="0" w:color="auto"/>
            <w:left w:val="none" w:sz="0" w:space="0" w:color="auto"/>
            <w:bottom w:val="none" w:sz="0" w:space="0" w:color="auto"/>
            <w:right w:val="none" w:sz="0" w:space="0" w:color="auto"/>
          </w:divBdr>
        </w:div>
        <w:div w:id="2126998278">
          <w:marLeft w:val="979"/>
          <w:marRight w:val="0"/>
          <w:marTop w:val="120"/>
          <w:marBottom w:val="120"/>
          <w:divBdr>
            <w:top w:val="none" w:sz="0" w:space="0" w:color="auto"/>
            <w:left w:val="none" w:sz="0" w:space="0" w:color="auto"/>
            <w:bottom w:val="none" w:sz="0" w:space="0" w:color="auto"/>
            <w:right w:val="none" w:sz="0" w:space="0" w:color="auto"/>
          </w:divBdr>
        </w:div>
        <w:div w:id="737439281">
          <w:marLeft w:val="979"/>
          <w:marRight w:val="0"/>
          <w:marTop w:val="120"/>
          <w:marBottom w:val="120"/>
          <w:divBdr>
            <w:top w:val="none" w:sz="0" w:space="0" w:color="auto"/>
            <w:left w:val="none" w:sz="0" w:space="0" w:color="auto"/>
            <w:bottom w:val="none" w:sz="0" w:space="0" w:color="auto"/>
            <w:right w:val="none" w:sz="0" w:space="0" w:color="auto"/>
          </w:divBdr>
        </w:div>
        <w:div w:id="2144812340">
          <w:marLeft w:val="979"/>
          <w:marRight w:val="0"/>
          <w:marTop w:val="120"/>
          <w:marBottom w:val="120"/>
          <w:divBdr>
            <w:top w:val="none" w:sz="0" w:space="0" w:color="auto"/>
            <w:left w:val="none" w:sz="0" w:space="0" w:color="auto"/>
            <w:bottom w:val="none" w:sz="0" w:space="0" w:color="auto"/>
            <w:right w:val="none" w:sz="0" w:space="0" w:color="auto"/>
          </w:divBdr>
        </w:div>
      </w:divsChild>
    </w:div>
    <w:div w:id="329019604">
      <w:bodyDiv w:val="1"/>
      <w:marLeft w:val="0"/>
      <w:marRight w:val="0"/>
      <w:marTop w:val="0"/>
      <w:marBottom w:val="0"/>
      <w:divBdr>
        <w:top w:val="none" w:sz="0" w:space="0" w:color="auto"/>
        <w:left w:val="none" w:sz="0" w:space="0" w:color="auto"/>
        <w:bottom w:val="none" w:sz="0" w:space="0" w:color="auto"/>
        <w:right w:val="none" w:sz="0" w:space="0" w:color="auto"/>
      </w:divBdr>
    </w:div>
    <w:div w:id="330068230">
      <w:bodyDiv w:val="1"/>
      <w:marLeft w:val="0"/>
      <w:marRight w:val="0"/>
      <w:marTop w:val="0"/>
      <w:marBottom w:val="0"/>
      <w:divBdr>
        <w:top w:val="none" w:sz="0" w:space="0" w:color="auto"/>
        <w:left w:val="none" w:sz="0" w:space="0" w:color="auto"/>
        <w:bottom w:val="none" w:sz="0" w:space="0" w:color="auto"/>
        <w:right w:val="none" w:sz="0" w:space="0" w:color="auto"/>
      </w:divBdr>
    </w:div>
    <w:div w:id="330525935">
      <w:bodyDiv w:val="1"/>
      <w:marLeft w:val="0"/>
      <w:marRight w:val="0"/>
      <w:marTop w:val="0"/>
      <w:marBottom w:val="0"/>
      <w:divBdr>
        <w:top w:val="none" w:sz="0" w:space="0" w:color="auto"/>
        <w:left w:val="none" w:sz="0" w:space="0" w:color="auto"/>
        <w:bottom w:val="none" w:sz="0" w:space="0" w:color="auto"/>
        <w:right w:val="none" w:sz="0" w:space="0" w:color="auto"/>
      </w:divBdr>
    </w:div>
    <w:div w:id="331301480">
      <w:bodyDiv w:val="1"/>
      <w:marLeft w:val="0"/>
      <w:marRight w:val="0"/>
      <w:marTop w:val="0"/>
      <w:marBottom w:val="0"/>
      <w:divBdr>
        <w:top w:val="none" w:sz="0" w:space="0" w:color="auto"/>
        <w:left w:val="none" w:sz="0" w:space="0" w:color="auto"/>
        <w:bottom w:val="none" w:sz="0" w:space="0" w:color="auto"/>
        <w:right w:val="none" w:sz="0" w:space="0" w:color="auto"/>
      </w:divBdr>
    </w:div>
    <w:div w:id="331883514">
      <w:bodyDiv w:val="1"/>
      <w:marLeft w:val="0"/>
      <w:marRight w:val="0"/>
      <w:marTop w:val="0"/>
      <w:marBottom w:val="0"/>
      <w:divBdr>
        <w:top w:val="none" w:sz="0" w:space="0" w:color="auto"/>
        <w:left w:val="none" w:sz="0" w:space="0" w:color="auto"/>
        <w:bottom w:val="none" w:sz="0" w:space="0" w:color="auto"/>
        <w:right w:val="none" w:sz="0" w:space="0" w:color="auto"/>
      </w:divBdr>
    </w:div>
    <w:div w:id="332222549">
      <w:bodyDiv w:val="1"/>
      <w:marLeft w:val="0"/>
      <w:marRight w:val="0"/>
      <w:marTop w:val="0"/>
      <w:marBottom w:val="0"/>
      <w:divBdr>
        <w:top w:val="none" w:sz="0" w:space="0" w:color="auto"/>
        <w:left w:val="none" w:sz="0" w:space="0" w:color="auto"/>
        <w:bottom w:val="none" w:sz="0" w:space="0" w:color="auto"/>
        <w:right w:val="none" w:sz="0" w:space="0" w:color="auto"/>
      </w:divBdr>
    </w:div>
    <w:div w:id="33345767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8428444">
      <w:bodyDiv w:val="1"/>
      <w:marLeft w:val="0"/>
      <w:marRight w:val="0"/>
      <w:marTop w:val="0"/>
      <w:marBottom w:val="0"/>
      <w:divBdr>
        <w:top w:val="none" w:sz="0" w:space="0" w:color="auto"/>
        <w:left w:val="none" w:sz="0" w:space="0" w:color="auto"/>
        <w:bottom w:val="none" w:sz="0" w:space="0" w:color="auto"/>
        <w:right w:val="none" w:sz="0" w:space="0" w:color="auto"/>
      </w:divBdr>
    </w:div>
    <w:div w:id="338696738">
      <w:bodyDiv w:val="1"/>
      <w:marLeft w:val="0"/>
      <w:marRight w:val="0"/>
      <w:marTop w:val="0"/>
      <w:marBottom w:val="0"/>
      <w:divBdr>
        <w:top w:val="none" w:sz="0" w:space="0" w:color="auto"/>
        <w:left w:val="none" w:sz="0" w:space="0" w:color="auto"/>
        <w:bottom w:val="none" w:sz="0" w:space="0" w:color="auto"/>
        <w:right w:val="none" w:sz="0" w:space="0" w:color="auto"/>
      </w:divBdr>
    </w:div>
    <w:div w:id="341055786">
      <w:bodyDiv w:val="1"/>
      <w:marLeft w:val="0"/>
      <w:marRight w:val="0"/>
      <w:marTop w:val="0"/>
      <w:marBottom w:val="0"/>
      <w:divBdr>
        <w:top w:val="none" w:sz="0" w:space="0" w:color="auto"/>
        <w:left w:val="none" w:sz="0" w:space="0" w:color="auto"/>
        <w:bottom w:val="none" w:sz="0" w:space="0" w:color="auto"/>
        <w:right w:val="none" w:sz="0" w:space="0" w:color="auto"/>
      </w:divBdr>
    </w:div>
    <w:div w:id="346980171">
      <w:bodyDiv w:val="1"/>
      <w:marLeft w:val="0"/>
      <w:marRight w:val="0"/>
      <w:marTop w:val="0"/>
      <w:marBottom w:val="0"/>
      <w:divBdr>
        <w:top w:val="none" w:sz="0" w:space="0" w:color="auto"/>
        <w:left w:val="none" w:sz="0" w:space="0" w:color="auto"/>
        <w:bottom w:val="none" w:sz="0" w:space="0" w:color="auto"/>
        <w:right w:val="none" w:sz="0" w:space="0" w:color="auto"/>
      </w:divBdr>
    </w:div>
    <w:div w:id="347217319">
      <w:bodyDiv w:val="1"/>
      <w:marLeft w:val="0"/>
      <w:marRight w:val="0"/>
      <w:marTop w:val="0"/>
      <w:marBottom w:val="0"/>
      <w:divBdr>
        <w:top w:val="none" w:sz="0" w:space="0" w:color="auto"/>
        <w:left w:val="none" w:sz="0" w:space="0" w:color="auto"/>
        <w:bottom w:val="none" w:sz="0" w:space="0" w:color="auto"/>
        <w:right w:val="none" w:sz="0" w:space="0" w:color="auto"/>
      </w:divBdr>
    </w:div>
    <w:div w:id="350956773">
      <w:bodyDiv w:val="1"/>
      <w:marLeft w:val="0"/>
      <w:marRight w:val="0"/>
      <w:marTop w:val="0"/>
      <w:marBottom w:val="0"/>
      <w:divBdr>
        <w:top w:val="none" w:sz="0" w:space="0" w:color="auto"/>
        <w:left w:val="none" w:sz="0" w:space="0" w:color="auto"/>
        <w:bottom w:val="none" w:sz="0" w:space="0" w:color="auto"/>
        <w:right w:val="none" w:sz="0" w:space="0" w:color="auto"/>
      </w:divBdr>
    </w:div>
    <w:div w:id="351416663">
      <w:bodyDiv w:val="1"/>
      <w:marLeft w:val="0"/>
      <w:marRight w:val="0"/>
      <w:marTop w:val="0"/>
      <w:marBottom w:val="0"/>
      <w:divBdr>
        <w:top w:val="none" w:sz="0" w:space="0" w:color="auto"/>
        <w:left w:val="none" w:sz="0" w:space="0" w:color="auto"/>
        <w:bottom w:val="none" w:sz="0" w:space="0" w:color="auto"/>
        <w:right w:val="none" w:sz="0" w:space="0" w:color="auto"/>
      </w:divBdr>
    </w:div>
    <w:div w:id="357855666">
      <w:bodyDiv w:val="1"/>
      <w:marLeft w:val="0"/>
      <w:marRight w:val="0"/>
      <w:marTop w:val="0"/>
      <w:marBottom w:val="0"/>
      <w:divBdr>
        <w:top w:val="none" w:sz="0" w:space="0" w:color="auto"/>
        <w:left w:val="none" w:sz="0" w:space="0" w:color="auto"/>
        <w:bottom w:val="none" w:sz="0" w:space="0" w:color="auto"/>
        <w:right w:val="none" w:sz="0" w:space="0" w:color="auto"/>
      </w:divBdr>
    </w:div>
    <w:div w:id="358506365">
      <w:bodyDiv w:val="1"/>
      <w:marLeft w:val="0"/>
      <w:marRight w:val="0"/>
      <w:marTop w:val="0"/>
      <w:marBottom w:val="0"/>
      <w:divBdr>
        <w:top w:val="none" w:sz="0" w:space="0" w:color="auto"/>
        <w:left w:val="none" w:sz="0" w:space="0" w:color="auto"/>
        <w:bottom w:val="none" w:sz="0" w:space="0" w:color="auto"/>
        <w:right w:val="none" w:sz="0" w:space="0" w:color="auto"/>
      </w:divBdr>
    </w:div>
    <w:div w:id="359816981">
      <w:bodyDiv w:val="1"/>
      <w:marLeft w:val="0"/>
      <w:marRight w:val="0"/>
      <w:marTop w:val="0"/>
      <w:marBottom w:val="0"/>
      <w:divBdr>
        <w:top w:val="none" w:sz="0" w:space="0" w:color="auto"/>
        <w:left w:val="none" w:sz="0" w:space="0" w:color="auto"/>
        <w:bottom w:val="none" w:sz="0" w:space="0" w:color="auto"/>
        <w:right w:val="none" w:sz="0" w:space="0" w:color="auto"/>
      </w:divBdr>
    </w:div>
    <w:div w:id="361053316">
      <w:bodyDiv w:val="1"/>
      <w:marLeft w:val="0"/>
      <w:marRight w:val="0"/>
      <w:marTop w:val="0"/>
      <w:marBottom w:val="0"/>
      <w:divBdr>
        <w:top w:val="none" w:sz="0" w:space="0" w:color="auto"/>
        <w:left w:val="none" w:sz="0" w:space="0" w:color="auto"/>
        <w:bottom w:val="none" w:sz="0" w:space="0" w:color="auto"/>
        <w:right w:val="none" w:sz="0" w:space="0" w:color="auto"/>
      </w:divBdr>
    </w:div>
    <w:div w:id="364720558">
      <w:bodyDiv w:val="1"/>
      <w:marLeft w:val="0"/>
      <w:marRight w:val="0"/>
      <w:marTop w:val="0"/>
      <w:marBottom w:val="0"/>
      <w:divBdr>
        <w:top w:val="none" w:sz="0" w:space="0" w:color="auto"/>
        <w:left w:val="none" w:sz="0" w:space="0" w:color="auto"/>
        <w:bottom w:val="none" w:sz="0" w:space="0" w:color="auto"/>
        <w:right w:val="none" w:sz="0" w:space="0" w:color="auto"/>
      </w:divBdr>
    </w:div>
    <w:div w:id="365181933">
      <w:bodyDiv w:val="1"/>
      <w:marLeft w:val="0"/>
      <w:marRight w:val="0"/>
      <w:marTop w:val="0"/>
      <w:marBottom w:val="0"/>
      <w:divBdr>
        <w:top w:val="none" w:sz="0" w:space="0" w:color="auto"/>
        <w:left w:val="none" w:sz="0" w:space="0" w:color="auto"/>
        <w:bottom w:val="none" w:sz="0" w:space="0" w:color="auto"/>
        <w:right w:val="none" w:sz="0" w:space="0" w:color="auto"/>
      </w:divBdr>
    </w:div>
    <w:div w:id="367148697">
      <w:bodyDiv w:val="1"/>
      <w:marLeft w:val="0"/>
      <w:marRight w:val="0"/>
      <w:marTop w:val="0"/>
      <w:marBottom w:val="0"/>
      <w:divBdr>
        <w:top w:val="none" w:sz="0" w:space="0" w:color="auto"/>
        <w:left w:val="none" w:sz="0" w:space="0" w:color="auto"/>
        <w:bottom w:val="none" w:sz="0" w:space="0" w:color="auto"/>
        <w:right w:val="none" w:sz="0" w:space="0" w:color="auto"/>
      </w:divBdr>
    </w:div>
    <w:div w:id="372536139">
      <w:bodyDiv w:val="1"/>
      <w:marLeft w:val="0"/>
      <w:marRight w:val="0"/>
      <w:marTop w:val="0"/>
      <w:marBottom w:val="0"/>
      <w:divBdr>
        <w:top w:val="none" w:sz="0" w:space="0" w:color="auto"/>
        <w:left w:val="none" w:sz="0" w:space="0" w:color="auto"/>
        <w:bottom w:val="none" w:sz="0" w:space="0" w:color="auto"/>
        <w:right w:val="none" w:sz="0" w:space="0" w:color="auto"/>
      </w:divBdr>
    </w:div>
    <w:div w:id="372652470">
      <w:bodyDiv w:val="1"/>
      <w:marLeft w:val="0"/>
      <w:marRight w:val="0"/>
      <w:marTop w:val="0"/>
      <w:marBottom w:val="0"/>
      <w:divBdr>
        <w:top w:val="none" w:sz="0" w:space="0" w:color="auto"/>
        <w:left w:val="none" w:sz="0" w:space="0" w:color="auto"/>
        <w:bottom w:val="none" w:sz="0" w:space="0" w:color="auto"/>
        <w:right w:val="none" w:sz="0" w:space="0" w:color="auto"/>
      </w:divBdr>
    </w:div>
    <w:div w:id="376972692">
      <w:bodyDiv w:val="1"/>
      <w:marLeft w:val="0"/>
      <w:marRight w:val="0"/>
      <w:marTop w:val="0"/>
      <w:marBottom w:val="0"/>
      <w:divBdr>
        <w:top w:val="none" w:sz="0" w:space="0" w:color="auto"/>
        <w:left w:val="none" w:sz="0" w:space="0" w:color="auto"/>
        <w:bottom w:val="none" w:sz="0" w:space="0" w:color="auto"/>
        <w:right w:val="none" w:sz="0" w:space="0" w:color="auto"/>
      </w:divBdr>
    </w:div>
    <w:div w:id="379212913">
      <w:bodyDiv w:val="1"/>
      <w:marLeft w:val="0"/>
      <w:marRight w:val="0"/>
      <w:marTop w:val="0"/>
      <w:marBottom w:val="0"/>
      <w:divBdr>
        <w:top w:val="none" w:sz="0" w:space="0" w:color="auto"/>
        <w:left w:val="none" w:sz="0" w:space="0" w:color="auto"/>
        <w:bottom w:val="none" w:sz="0" w:space="0" w:color="auto"/>
        <w:right w:val="none" w:sz="0" w:space="0" w:color="auto"/>
      </w:divBdr>
    </w:div>
    <w:div w:id="379325335">
      <w:bodyDiv w:val="1"/>
      <w:marLeft w:val="0"/>
      <w:marRight w:val="0"/>
      <w:marTop w:val="0"/>
      <w:marBottom w:val="0"/>
      <w:divBdr>
        <w:top w:val="none" w:sz="0" w:space="0" w:color="auto"/>
        <w:left w:val="none" w:sz="0" w:space="0" w:color="auto"/>
        <w:bottom w:val="none" w:sz="0" w:space="0" w:color="auto"/>
        <w:right w:val="none" w:sz="0" w:space="0" w:color="auto"/>
      </w:divBdr>
    </w:div>
    <w:div w:id="383215052">
      <w:bodyDiv w:val="1"/>
      <w:marLeft w:val="0"/>
      <w:marRight w:val="0"/>
      <w:marTop w:val="0"/>
      <w:marBottom w:val="0"/>
      <w:divBdr>
        <w:top w:val="none" w:sz="0" w:space="0" w:color="auto"/>
        <w:left w:val="none" w:sz="0" w:space="0" w:color="auto"/>
        <w:bottom w:val="none" w:sz="0" w:space="0" w:color="auto"/>
        <w:right w:val="none" w:sz="0" w:space="0" w:color="auto"/>
      </w:divBdr>
    </w:div>
    <w:div w:id="386538915">
      <w:bodyDiv w:val="1"/>
      <w:marLeft w:val="0"/>
      <w:marRight w:val="0"/>
      <w:marTop w:val="0"/>
      <w:marBottom w:val="0"/>
      <w:divBdr>
        <w:top w:val="none" w:sz="0" w:space="0" w:color="auto"/>
        <w:left w:val="none" w:sz="0" w:space="0" w:color="auto"/>
        <w:bottom w:val="none" w:sz="0" w:space="0" w:color="auto"/>
        <w:right w:val="none" w:sz="0" w:space="0" w:color="auto"/>
      </w:divBdr>
    </w:div>
    <w:div w:id="393629792">
      <w:bodyDiv w:val="1"/>
      <w:marLeft w:val="0"/>
      <w:marRight w:val="0"/>
      <w:marTop w:val="0"/>
      <w:marBottom w:val="0"/>
      <w:divBdr>
        <w:top w:val="none" w:sz="0" w:space="0" w:color="auto"/>
        <w:left w:val="none" w:sz="0" w:space="0" w:color="auto"/>
        <w:bottom w:val="none" w:sz="0" w:space="0" w:color="auto"/>
        <w:right w:val="none" w:sz="0" w:space="0" w:color="auto"/>
      </w:divBdr>
    </w:div>
    <w:div w:id="394205349">
      <w:bodyDiv w:val="1"/>
      <w:marLeft w:val="0"/>
      <w:marRight w:val="0"/>
      <w:marTop w:val="0"/>
      <w:marBottom w:val="0"/>
      <w:divBdr>
        <w:top w:val="none" w:sz="0" w:space="0" w:color="auto"/>
        <w:left w:val="none" w:sz="0" w:space="0" w:color="auto"/>
        <w:bottom w:val="none" w:sz="0" w:space="0" w:color="auto"/>
        <w:right w:val="none" w:sz="0" w:space="0" w:color="auto"/>
      </w:divBdr>
    </w:div>
    <w:div w:id="394208452">
      <w:bodyDiv w:val="1"/>
      <w:marLeft w:val="0"/>
      <w:marRight w:val="0"/>
      <w:marTop w:val="0"/>
      <w:marBottom w:val="0"/>
      <w:divBdr>
        <w:top w:val="none" w:sz="0" w:space="0" w:color="auto"/>
        <w:left w:val="none" w:sz="0" w:space="0" w:color="auto"/>
        <w:bottom w:val="none" w:sz="0" w:space="0" w:color="auto"/>
        <w:right w:val="none" w:sz="0" w:space="0" w:color="auto"/>
      </w:divBdr>
    </w:div>
    <w:div w:id="395711611">
      <w:bodyDiv w:val="1"/>
      <w:marLeft w:val="0"/>
      <w:marRight w:val="0"/>
      <w:marTop w:val="0"/>
      <w:marBottom w:val="0"/>
      <w:divBdr>
        <w:top w:val="none" w:sz="0" w:space="0" w:color="auto"/>
        <w:left w:val="none" w:sz="0" w:space="0" w:color="auto"/>
        <w:bottom w:val="none" w:sz="0" w:space="0" w:color="auto"/>
        <w:right w:val="none" w:sz="0" w:space="0" w:color="auto"/>
      </w:divBdr>
    </w:div>
    <w:div w:id="396170777">
      <w:bodyDiv w:val="1"/>
      <w:marLeft w:val="0"/>
      <w:marRight w:val="0"/>
      <w:marTop w:val="0"/>
      <w:marBottom w:val="0"/>
      <w:divBdr>
        <w:top w:val="none" w:sz="0" w:space="0" w:color="auto"/>
        <w:left w:val="none" w:sz="0" w:space="0" w:color="auto"/>
        <w:bottom w:val="none" w:sz="0" w:space="0" w:color="auto"/>
        <w:right w:val="none" w:sz="0" w:space="0" w:color="auto"/>
      </w:divBdr>
    </w:div>
    <w:div w:id="396633723">
      <w:bodyDiv w:val="1"/>
      <w:marLeft w:val="0"/>
      <w:marRight w:val="0"/>
      <w:marTop w:val="0"/>
      <w:marBottom w:val="0"/>
      <w:divBdr>
        <w:top w:val="none" w:sz="0" w:space="0" w:color="auto"/>
        <w:left w:val="none" w:sz="0" w:space="0" w:color="auto"/>
        <w:bottom w:val="none" w:sz="0" w:space="0" w:color="auto"/>
        <w:right w:val="none" w:sz="0" w:space="0" w:color="auto"/>
      </w:divBdr>
    </w:div>
    <w:div w:id="397098379">
      <w:bodyDiv w:val="1"/>
      <w:marLeft w:val="0"/>
      <w:marRight w:val="0"/>
      <w:marTop w:val="0"/>
      <w:marBottom w:val="0"/>
      <w:divBdr>
        <w:top w:val="none" w:sz="0" w:space="0" w:color="auto"/>
        <w:left w:val="none" w:sz="0" w:space="0" w:color="auto"/>
        <w:bottom w:val="none" w:sz="0" w:space="0" w:color="auto"/>
        <w:right w:val="none" w:sz="0" w:space="0" w:color="auto"/>
      </w:divBdr>
    </w:div>
    <w:div w:id="398748001">
      <w:bodyDiv w:val="1"/>
      <w:marLeft w:val="0"/>
      <w:marRight w:val="0"/>
      <w:marTop w:val="0"/>
      <w:marBottom w:val="0"/>
      <w:divBdr>
        <w:top w:val="none" w:sz="0" w:space="0" w:color="auto"/>
        <w:left w:val="none" w:sz="0" w:space="0" w:color="auto"/>
        <w:bottom w:val="none" w:sz="0" w:space="0" w:color="auto"/>
        <w:right w:val="none" w:sz="0" w:space="0" w:color="auto"/>
      </w:divBdr>
    </w:div>
    <w:div w:id="402794252">
      <w:bodyDiv w:val="1"/>
      <w:marLeft w:val="0"/>
      <w:marRight w:val="0"/>
      <w:marTop w:val="0"/>
      <w:marBottom w:val="0"/>
      <w:divBdr>
        <w:top w:val="none" w:sz="0" w:space="0" w:color="auto"/>
        <w:left w:val="none" w:sz="0" w:space="0" w:color="auto"/>
        <w:bottom w:val="none" w:sz="0" w:space="0" w:color="auto"/>
        <w:right w:val="none" w:sz="0" w:space="0" w:color="auto"/>
      </w:divBdr>
    </w:div>
    <w:div w:id="405686837">
      <w:bodyDiv w:val="1"/>
      <w:marLeft w:val="0"/>
      <w:marRight w:val="0"/>
      <w:marTop w:val="0"/>
      <w:marBottom w:val="0"/>
      <w:divBdr>
        <w:top w:val="none" w:sz="0" w:space="0" w:color="auto"/>
        <w:left w:val="none" w:sz="0" w:space="0" w:color="auto"/>
        <w:bottom w:val="none" w:sz="0" w:space="0" w:color="auto"/>
        <w:right w:val="none" w:sz="0" w:space="0" w:color="auto"/>
      </w:divBdr>
    </w:div>
    <w:div w:id="405761561">
      <w:bodyDiv w:val="1"/>
      <w:marLeft w:val="0"/>
      <w:marRight w:val="0"/>
      <w:marTop w:val="0"/>
      <w:marBottom w:val="0"/>
      <w:divBdr>
        <w:top w:val="none" w:sz="0" w:space="0" w:color="auto"/>
        <w:left w:val="none" w:sz="0" w:space="0" w:color="auto"/>
        <w:bottom w:val="none" w:sz="0" w:space="0" w:color="auto"/>
        <w:right w:val="none" w:sz="0" w:space="0" w:color="auto"/>
      </w:divBdr>
    </w:div>
    <w:div w:id="407267482">
      <w:bodyDiv w:val="1"/>
      <w:marLeft w:val="0"/>
      <w:marRight w:val="0"/>
      <w:marTop w:val="0"/>
      <w:marBottom w:val="0"/>
      <w:divBdr>
        <w:top w:val="none" w:sz="0" w:space="0" w:color="auto"/>
        <w:left w:val="none" w:sz="0" w:space="0" w:color="auto"/>
        <w:bottom w:val="none" w:sz="0" w:space="0" w:color="auto"/>
        <w:right w:val="none" w:sz="0" w:space="0" w:color="auto"/>
      </w:divBdr>
    </w:div>
    <w:div w:id="407965368">
      <w:bodyDiv w:val="1"/>
      <w:marLeft w:val="0"/>
      <w:marRight w:val="0"/>
      <w:marTop w:val="0"/>
      <w:marBottom w:val="0"/>
      <w:divBdr>
        <w:top w:val="none" w:sz="0" w:space="0" w:color="auto"/>
        <w:left w:val="none" w:sz="0" w:space="0" w:color="auto"/>
        <w:bottom w:val="none" w:sz="0" w:space="0" w:color="auto"/>
        <w:right w:val="none" w:sz="0" w:space="0" w:color="auto"/>
      </w:divBdr>
    </w:div>
    <w:div w:id="408701420">
      <w:bodyDiv w:val="1"/>
      <w:marLeft w:val="0"/>
      <w:marRight w:val="0"/>
      <w:marTop w:val="0"/>
      <w:marBottom w:val="0"/>
      <w:divBdr>
        <w:top w:val="none" w:sz="0" w:space="0" w:color="auto"/>
        <w:left w:val="none" w:sz="0" w:space="0" w:color="auto"/>
        <w:bottom w:val="none" w:sz="0" w:space="0" w:color="auto"/>
        <w:right w:val="none" w:sz="0" w:space="0" w:color="auto"/>
      </w:divBdr>
    </w:div>
    <w:div w:id="409546631">
      <w:bodyDiv w:val="1"/>
      <w:marLeft w:val="0"/>
      <w:marRight w:val="0"/>
      <w:marTop w:val="0"/>
      <w:marBottom w:val="0"/>
      <w:divBdr>
        <w:top w:val="none" w:sz="0" w:space="0" w:color="auto"/>
        <w:left w:val="none" w:sz="0" w:space="0" w:color="auto"/>
        <w:bottom w:val="none" w:sz="0" w:space="0" w:color="auto"/>
        <w:right w:val="none" w:sz="0" w:space="0" w:color="auto"/>
      </w:divBdr>
    </w:div>
    <w:div w:id="413816653">
      <w:bodyDiv w:val="1"/>
      <w:marLeft w:val="0"/>
      <w:marRight w:val="0"/>
      <w:marTop w:val="0"/>
      <w:marBottom w:val="0"/>
      <w:divBdr>
        <w:top w:val="none" w:sz="0" w:space="0" w:color="auto"/>
        <w:left w:val="none" w:sz="0" w:space="0" w:color="auto"/>
        <w:bottom w:val="none" w:sz="0" w:space="0" w:color="auto"/>
        <w:right w:val="none" w:sz="0" w:space="0" w:color="auto"/>
      </w:divBdr>
    </w:div>
    <w:div w:id="417992751">
      <w:bodyDiv w:val="1"/>
      <w:marLeft w:val="0"/>
      <w:marRight w:val="0"/>
      <w:marTop w:val="0"/>
      <w:marBottom w:val="0"/>
      <w:divBdr>
        <w:top w:val="none" w:sz="0" w:space="0" w:color="auto"/>
        <w:left w:val="none" w:sz="0" w:space="0" w:color="auto"/>
        <w:bottom w:val="none" w:sz="0" w:space="0" w:color="auto"/>
        <w:right w:val="none" w:sz="0" w:space="0" w:color="auto"/>
      </w:divBdr>
    </w:div>
    <w:div w:id="422187102">
      <w:bodyDiv w:val="1"/>
      <w:marLeft w:val="0"/>
      <w:marRight w:val="0"/>
      <w:marTop w:val="0"/>
      <w:marBottom w:val="0"/>
      <w:divBdr>
        <w:top w:val="none" w:sz="0" w:space="0" w:color="auto"/>
        <w:left w:val="none" w:sz="0" w:space="0" w:color="auto"/>
        <w:bottom w:val="none" w:sz="0" w:space="0" w:color="auto"/>
        <w:right w:val="none" w:sz="0" w:space="0" w:color="auto"/>
      </w:divBdr>
    </w:div>
    <w:div w:id="426923665">
      <w:bodyDiv w:val="1"/>
      <w:marLeft w:val="0"/>
      <w:marRight w:val="0"/>
      <w:marTop w:val="0"/>
      <w:marBottom w:val="0"/>
      <w:divBdr>
        <w:top w:val="none" w:sz="0" w:space="0" w:color="auto"/>
        <w:left w:val="none" w:sz="0" w:space="0" w:color="auto"/>
        <w:bottom w:val="none" w:sz="0" w:space="0" w:color="auto"/>
        <w:right w:val="none" w:sz="0" w:space="0" w:color="auto"/>
      </w:divBdr>
    </w:div>
    <w:div w:id="428816763">
      <w:bodyDiv w:val="1"/>
      <w:marLeft w:val="0"/>
      <w:marRight w:val="0"/>
      <w:marTop w:val="0"/>
      <w:marBottom w:val="0"/>
      <w:divBdr>
        <w:top w:val="none" w:sz="0" w:space="0" w:color="auto"/>
        <w:left w:val="none" w:sz="0" w:space="0" w:color="auto"/>
        <w:bottom w:val="none" w:sz="0" w:space="0" w:color="auto"/>
        <w:right w:val="none" w:sz="0" w:space="0" w:color="auto"/>
      </w:divBdr>
    </w:div>
    <w:div w:id="431704686">
      <w:bodyDiv w:val="1"/>
      <w:marLeft w:val="0"/>
      <w:marRight w:val="0"/>
      <w:marTop w:val="0"/>
      <w:marBottom w:val="0"/>
      <w:divBdr>
        <w:top w:val="none" w:sz="0" w:space="0" w:color="auto"/>
        <w:left w:val="none" w:sz="0" w:space="0" w:color="auto"/>
        <w:bottom w:val="none" w:sz="0" w:space="0" w:color="auto"/>
        <w:right w:val="none" w:sz="0" w:space="0" w:color="auto"/>
      </w:divBdr>
    </w:div>
    <w:div w:id="434982111">
      <w:bodyDiv w:val="1"/>
      <w:marLeft w:val="0"/>
      <w:marRight w:val="0"/>
      <w:marTop w:val="0"/>
      <w:marBottom w:val="0"/>
      <w:divBdr>
        <w:top w:val="none" w:sz="0" w:space="0" w:color="auto"/>
        <w:left w:val="none" w:sz="0" w:space="0" w:color="auto"/>
        <w:bottom w:val="none" w:sz="0" w:space="0" w:color="auto"/>
        <w:right w:val="none" w:sz="0" w:space="0" w:color="auto"/>
      </w:divBdr>
    </w:div>
    <w:div w:id="437140208">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0497415">
      <w:bodyDiv w:val="1"/>
      <w:marLeft w:val="0"/>
      <w:marRight w:val="0"/>
      <w:marTop w:val="0"/>
      <w:marBottom w:val="0"/>
      <w:divBdr>
        <w:top w:val="none" w:sz="0" w:space="0" w:color="auto"/>
        <w:left w:val="none" w:sz="0" w:space="0" w:color="auto"/>
        <w:bottom w:val="none" w:sz="0" w:space="0" w:color="auto"/>
        <w:right w:val="none" w:sz="0" w:space="0" w:color="auto"/>
      </w:divBdr>
    </w:div>
    <w:div w:id="445196881">
      <w:bodyDiv w:val="1"/>
      <w:marLeft w:val="0"/>
      <w:marRight w:val="0"/>
      <w:marTop w:val="0"/>
      <w:marBottom w:val="0"/>
      <w:divBdr>
        <w:top w:val="none" w:sz="0" w:space="0" w:color="auto"/>
        <w:left w:val="none" w:sz="0" w:space="0" w:color="auto"/>
        <w:bottom w:val="none" w:sz="0" w:space="0" w:color="auto"/>
        <w:right w:val="none" w:sz="0" w:space="0" w:color="auto"/>
      </w:divBdr>
    </w:div>
    <w:div w:id="447429128">
      <w:bodyDiv w:val="1"/>
      <w:marLeft w:val="0"/>
      <w:marRight w:val="0"/>
      <w:marTop w:val="0"/>
      <w:marBottom w:val="0"/>
      <w:divBdr>
        <w:top w:val="none" w:sz="0" w:space="0" w:color="auto"/>
        <w:left w:val="none" w:sz="0" w:space="0" w:color="auto"/>
        <w:bottom w:val="none" w:sz="0" w:space="0" w:color="auto"/>
        <w:right w:val="none" w:sz="0" w:space="0" w:color="auto"/>
      </w:divBdr>
    </w:div>
    <w:div w:id="448860510">
      <w:bodyDiv w:val="1"/>
      <w:marLeft w:val="0"/>
      <w:marRight w:val="0"/>
      <w:marTop w:val="0"/>
      <w:marBottom w:val="0"/>
      <w:divBdr>
        <w:top w:val="none" w:sz="0" w:space="0" w:color="auto"/>
        <w:left w:val="none" w:sz="0" w:space="0" w:color="auto"/>
        <w:bottom w:val="none" w:sz="0" w:space="0" w:color="auto"/>
        <w:right w:val="none" w:sz="0" w:space="0" w:color="auto"/>
      </w:divBdr>
    </w:div>
    <w:div w:id="449711093">
      <w:bodyDiv w:val="1"/>
      <w:marLeft w:val="0"/>
      <w:marRight w:val="0"/>
      <w:marTop w:val="0"/>
      <w:marBottom w:val="0"/>
      <w:divBdr>
        <w:top w:val="none" w:sz="0" w:space="0" w:color="auto"/>
        <w:left w:val="none" w:sz="0" w:space="0" w:color="auto"/>
        <w:bottom w:val="none" w:sz="0" w:space="0" w:color="auto"/>
        <w:right w:val="none" w:sz="0" w:space="0" w:color="auto"/>
      </w:divBdr>
    </w:div>
    <w:div w:id="451243155">
      <w:bodyDiv w:val="1"/>
      <w:marLeft w:val="0"/>
      <w:marRight w:val="0"/>
      <w:marTop w:val="0"/>
      <w:marBottom w:val="0"/>
      <w:divBdr>
        <w:top w:val="none" w:sz="0" w:space="0" w:color="auto"/>
        <w:left w:val="none" w:sz="0" w:space="0" w:color="auto"/>
        <w:bottom w:val="none" w:sz="0" w:space="0" w:color="auto"/>
        <w:right w:val="none" w:sz="0" w:space="0" w:color="auto"/>
      </w:divBdr>
    </w:div>
    <w:div w:id="451438037">
      <w:bodyDiv w:val="1"/>
      <w:marLeft w:val="0"/>
      <w:marRight w:val="0"/>
      <w:marTop w:val="0"/>
      <w:marBottom w:val="0"/>
      <w:divBdr>
        <w:top w:val="none" w:sz="0" w:space="0" w:color="auto"/>
        <w:left w:val="none" w:sz="0" w:space="0" w:color="auto"/>
        <w:bottom w:val="none" w:sz="0" w:space="0" w:color="auto"/>
        <w:right w:val="none" w:sz="0" w:space="0" w:color="auto"/>
      </w:divBdr>
    </w:div>
    <w:div w:id="454493264">
      <w:bodyDiv w:val="1"/>
      <w:marLeft w:val="0"/>
      <w:marRight w:val="0"/>
      <w:marTop w:val="0"/>
      <w:marBottom w:val="0"/>
      <w:divBdr>
        <w:top w:val="none" w:sz="0" w:space="0" w:color="auto"/>
        <w:left w:val="none" w:sz="0" w:space="0" w:color="auto"/>
        <w:bottom w:val="none" w:sz="0" w:space="0" w:color="auto"/>
        <w:right w:val="none" w:sz="0" w:space="0" w:color="auto"/>
      </w:divBdr>
    </w:div>
    <w:div w:id="455951833">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382655">
      <w:bodyDiv w:val="1"/>
      <w:marLeft w:val="0"/>
      <w:marRight w:val="0"/>
      <w:marTop w:val="0"/>
      <w:marBottom w:val="0"/>
      <w:divBdr>
        <w:top w:val="none" w:sz="0" w:space="0" w:color="auto"/>
        <w:left w:val="none" w:sz="0" w:space="0" w:color="auto"/>
        <w:bottom w:val="none" w:sz="0" w:space="0" w:color="auto"/>
        <w:right w:val="none" w:sz="0" w:space="0" w:color="auto"/>
      </w:divBdr>
    </w:div>
    <w:div w:id="457723862">
      <w:bodyDiv w:val="1"/>
      <w:marLeft w:val="0"/>
      <w:marRight w:val="0"/>
      <w:marTop w:val="0"/>
      <w:marBottom w:val="0"/>
      <w:divBdr>
        <w:top w:val="none" w:sz="0" w:space="0" w:color="auto"/>
        <w:left w:val="none" w:sz="0" w:space="0" w:color="auto"/>
        <w:bottom w:val="none" w:sz="0" w:space="0" w:color="auto"/>
        <w:right w:val="none" w:sz="0" w:space="0" w:color="auto"/>
      </w:divBdr>
    </w:div>
    <w:div w:id="458766426">
      <w:bodyDiv w:val="1"/>
      <w:marLeft w:val="0"/>
      <w:marRight w:val="0"/>
      <w:marTop w:val="0"/>
      <w:marBottom w:val="0"/>
      <w:divBdr>
        <w:top w:val="none" w:sz="0" w:space="0" w:color="auto"/>
        <w:left w:val="none" w:sz="0" w:space="0" w:color="auto"/>
        <w:bottom w:val="none" w:sz="0" w:space="0" w:color="auto"/>
        <w:right w:val="none" w:sz="0" w:space="0" w:color="auto"/>
      </w:divBdr>
    </w:div>
    <w:div w:id="458886265">
      <w:bodyDiv w:val="1"/>
      <w:marLeft w:val="0"/>
      <w:marRight w:val="0"/>
      <w:marTop w:val="0"/>
      <w:marBottom w:val="0"/>
      <w:divBdr>
        <w:top w:val="none" w:sz="0" w:space="0" w:color="auto"/>
        <w:left w:val="none" w:sz="0" w:space="0" w:color="auto"/>
        <w:bottom w:val="none" w:sz="0" w:space="0" w:color="auto"/>
        <w:right w:val="none" w:sz="0" w:space="0" w:color="auto"/>
      </w:divBdr>
    </w:div>
    <w:div w:id="463931583">
      <w:bodyDiv w:val="1"/>
      <w:marLeft w:val="0"/>
      <w:marRight w:val="0"/>
      <w:marTop w:val="0"/>
      <w:marBottom w:val="0"/>
      <w:divBdr>
        <w:top w:val="none" w:sz="0" w:space="0" w:color="auto"/>
        <w:left w:val="none" w:sz="0" w:space="0" w:color="auto"/>
        <w:bottom w:val="none" w:sz="0" w:space="0" w:color="auto"/>
        <w:right w:val="none" w:sz="0" w:space="0" w:color="auto"/>
      </w:divBdr>
    </w:div>
    <w:div w:id="465508621">
      <w:bodyDiv w:val="1"/>
      <w:marLeft w:val="0"/>
      <w:marRight w:val="0"/>
      <w:marTop w:val="0"/>
      <w:marBottom w:val="0"/>
      <w:divBdr>
        <w:top w:val="none" w:sz="0" w:space="0" w:color="auto"/>
        <w:left w:val="none" w:sz="0" w:space="0" w:color="auto"/>
        <w:bottom w:val="none" w:sz="0" w:space="0" w:color="auto"/>
        <w:right w:val="none" w:sz="0" w:space="0" w:color="auto"/>
      </w:divBdr>
    </w:div>
    <w:div w:id="465975129">
      <w:bodyDiv w:val="1"/>
      <w:marLeft w:val="0"/>
      <w:marRight w:val="0"/>
      <w:marTop w:val="0"/>
      <w:marBottom w:val="0"/>
      <w:divBdr>
        <w:top w:val="none" w:sz="0" w:space="0" w:color="auto"/>
        <w:left w:val="none" w:sz="0" w:space="0" w:color="auto"/>
        <w:bottom w:val="none" w:sz="0" w:space="0" w:color="auto"/>
        <w:right w:val="none" w:sz="0" w:space="0" w:color="auto"/>
      </w:divBdr>
    </w:div>
    <w:div w:id="472869651">
      <w:bodyDiv w:val="1"/>
      <w:marLeft w:val="0"/>
      <w:marRight w:val="0"/>
      <w:marTop w:val="0"/>
      <w:marBottom w:val="0"/>
      <w:divBdr>
        <w:top w:val="none" w:sz="0" w:space="0" w:color="auto"/>
        <w:left w:val="none" w:sz="0" w:space="0" w:color="auto"/>
        <w:bottom w:val="none" w:sz="0" w:space="0" w:color="auto"/>
        <w:right w:val="none" w:sz="0" w:space="0" w:color="auto"/>
      </w:divBdr>
    </w:div>
    <w:div w:id="472870423">
      <w:bodyDiv w:val="1"/>
      <w:marLeft w:val="0"/>
      <w:marRight w:val="0"/>
      <w:marTop w:val="0"/>
      <w:marBottom w:val="0"/>
      <w:divBdr>
        <w:top w:val="none" w:sz="0" w:space="0" w:color="auto"/>
        <w:left w:val="none" w:sz="0" w:space="0" w:color="auto"/>
        <w:bottom w:val="none" w:sz="0" w:space="0" w:color="auto"/>
        <w:right w:val="none" w:sz="0" w:space="0" w:color="auto"/>
      </w:divBdr>
    </w:div>
    <w:div w:id="472991160">
      <w:bodyDiv w:val="1"/>
      <w:marLeft w:val="0"/>
      <w:marRight w:val="0"/>
      <w:marTop w:val="0"/>
      <w:marBottom w:val="0"/>
      <w:divBdr>
        <w:top w:val="none" w:sz="0" w:space="0" w:color="auto"/>
        <w:left w:val="none" w:sz="0" w:space="0" w:color="auto"/>
        <w:bottom w:val="none" w:sz="0" w:space="0" w:color="auto"/>
        <w:right w:val="none" w:sz="0" w:space="0" w:color="auto"/>
      </w:divBdr>
    </w:div>
    <w:div w:id="473641190">
      <w:bodyDiv w:val="1"/>
      <w:marLeft w:val="0"/>
      <w:marRight w:val="0"/>
      <w:marTop w:val="0"/>
      <w:marBottom w:val="0"/>
      <w:divBdr>
        <w:top w:val="none" w:sz="0" w:space="0" w:color="auto"/>
        <w:left w:val="none" w:sz="0" w:space="0" w:color="auto"/>
        <w:bottom w:val="none" w:sz="0" w:space="0" w:color="auto"/>
        <w:right w:val="none" w:sz="0" w:space="0" w:color="auto"/>
      </w:divBdr>
    </w:div>
    <w:div w:id="475221976">
      <w:bodyDiv w:val="1"/>
      <w:marLeft w:val="0"/>
      <w:marRight w:val="0"/>
      <w:marTop w:val="0"/>
      <w:marBottom w:val="0"/>
      <w:divBdr>
        <w:top w:val="none" w:sz="0" w:space="0" w:color="auto"/>
        <w:left w:val="none" w:sz="0" w:space="0" w:color="auto"/>
        <w:bottom w:val="none" w:sz="0" w:space="0" w:color="auto"/>
        <w:right w:val="none" w:sz="0" w:space="0" w:color="auto"/>
      </w:divBdr>
    </w:div>
    <w:div w:id="476536576">
      <w:bodyDiv w:val="1"/>
      <w:marLeft w:val="0"/>
      <w:marRight w:val="0"/>
      <w:marTop w:val="0"/>
      <w:marBottom w:val="0"/>
      <w:divBdr>
        <w:top w:val="none" w:sz="0" w:space="0" w:color="auto"/>
        <w:left w:val="none" w:sz="0" w:space="0" w:color="auto"/>
        <w:bottom w:val="none" w:sz="0" w:space="0" w:color="auto"/>
        <w:right w:val="none" w:sz="0" w:space="0" w:color="auto"/>
      </w:divBdr>
    </w:div>
    <w:div w:id="478619060">
      <w:bodyDiv w:val="1"/>
      <w:marLeft w:val="0"/>
      <w:marRight w:val="0"/>
      <w:marTop w:val="0"/>
      <w:marBottom w:val="0"/>
      <w:divBdr>
        <w:top w:val="none" w:sz="0" w:space="0" w:color="auto"/>
        <w:left w:val="none" w:sz="0" w:space="0" w:color="auto"/>
        <w:bottom w:val="none" w:sz="0" w:space="0" w:color="auto"/>
        <w:right w:val="none" w:sz="0" w:space="0" w:color="auto"/>
      </w:divBdr>
    </w:div>
    <w:div w:id="483083906">
      <w:bodyDiv w:val="1"/>
      <w:marLeft w:val="0"/>
      <w:marRight w:val="0"/>
      <w:marTop w:val="0"/>
      <w:marBottom w:val="0"/>
      <w:divBdr>
        <w:top w:val="none" w:sz="0" w:space="0" w:color="auto"/>
        <w:left w:val="none" w:sz="0" w:space="0" w:color="auto"/>
        <w:bottom w:val="none" w:sz="0" w:space="0" w:color="auto"/>
        <w:right w:val="none" w:sz="0" w:space="0" w:color="auto"/>
      </w:divBdr>
    </w:div>
    <w:div w:id="484669862">
      <w:bodyDiv w:val="1"/>
      <w:marLeft w:val="0"/>
      <w:marRight w:val="0"/>
      <w:marTop w:val="0"/>
      <w:marBottom w:val="0"/>
      <w:divBdr>
        <w:top w:val="none" w:sz="0" w:space="0" w:color="auto"/>
        <w:left w:val="none" w:sz="0" w:space="0" w:color="auto"/>
        <w:bottom w:val="none" w:sz="0" w:space="0" w:color="auto"/>
        <w:right w:val="none" w:sz="0" w:space="0" w:color="auto"/>
      </w:divBdr>
    </w:div>
    <w:div w:id="486626238">
      <w:bodyDiv w:val="1"/>
      <w:marLeft w:val="0"/>
      <w:marRight w:val="0"/>
      <w:marTop w:val="0"/>
      <w:marBottom w:val="0"/>
      <w:divBdr>
        <w:top w:val="none" w:sz="0" w:space="0" w:color="auto"/>
        <w:left w:val="none" w:sz="0" w:space="0" w:color="auto"/>
        <w:bottom w:val="none" w:sz="0" w:space="0" w:color="auto"/>
        <w:right w:val="none" w:sz="0" w:space="0" w:color="auto"/>
      </w:divBdr>
    </w:div>
    <w:div w:id="490604484">
      <w:bodyDiv w:val="1"/>
      <w:marLeft w:val="0"/>
      <w:marRight w:val="0"/>
      <w:marTop w:val="0"/>
      <w:marBottom w:val="0"/>
      <w:divBdr>
        <w:top w:val="none" w:sz="0" w:space="0" w:color="auto"/>
        <w:left w:val="none" w:sz="0" w:space="0" w:color="auto"/>
        <w:bottom w:val="none" w:sz="0" w:space="0" w:color="auto"/>
        <w:right w:val="none" w:sz="0" w:space="0" w:color="auto"/>
      </w:divBdr>
    </w:div>
    <w:div w:id="490871087">
      <w:bodyDiv w:val="1"/>
      <w:marLeft w:val="0"/>
      <w:marRight w:val="0"/>
      <w:marTop w:val="0"/>
      <w:marBottom w:val="0"/>
      <w:divBdr>
        <w:top w:val="none" w:sz="0" w:space="0" w:color="auto"/>
        <w:left w:val="none" w:sz="0" w:space="0" w:color="auto"/>
        <w:bottom w:val="none" w:sz="0" w:space="0" w:color="auto"/>
        <w:right w:val="none" w:sz="0" w:space="0" w:color="auto"/>
      </w:divBdr>
    </w:div>
    <w:div w:id="491870673">
      <w:bodyDiv w:val="1"/>
      <w:marLeft w:val="0"/>
      <w:marRight w:val="0"/>
      <w:marTop w:val="0"/>
      <w:marBottom w:val="0"/>
      <w:divBdr>
        <w:top w:val="none" w:sz="0" w:space="0" w:color="auto"/>
        <w:left w:val="none" w:sz="0" w:space="0" w:color="auto"/>
        <w:bottom w:val="none" w:sz="0" w:space="0" w:color="auto"/>
        <w:right w:val="none" w:sz="0" w:space="0" w:color="auto"/>
      </w:divBdr>
    </w:div>
    <w:div w:id="495413381">
      <w:bodyDiv w:val="1"/>
      <w:marLeft w:val="0"/>
      <w:marRight w:val="0"/>
      <w:marTop w:val="0"/>
      <w:marBottom w:val="0"/>
      <w:divBdr>
        <w:top w:val="none" w:sz="0" w:space="0" w:color="auto"/>
        <w:left w:val="none" w:sz="0" w:space="0" w:color="auto"/>
        <w:bottom w:val="none" w:sz="0" w:space="0" w:color="auto"/>
        <w:right w:val="none" w:sz="0" w:space="0" w:color="auto"/>
      </w:divBdr>
    </w:div>
    <w:div w:id="495458762">
      <w:bodyDiv w:val="1"/>
      <w:marLeft w:val="0"/>
      <w:marRight w:val="0"/>
      <w:marTop w:val="0"/>
      <w:marBottom w:val="0"/>
      <w:divBdr>
        <w:top w:val="none" w:sz="0" w:space="0" w:color="auto"/>
        <w:left w:val="none" w:sz="0" w:space="0" w:color="auto"/>
        <w:bottom w:val="none" w:sz="0" w:space="0" w:color="auto"/>
        <w:right w:val="none" w:sz="0" w:space="0" w:color="auto"/>
      </w:divBdr>
    </w:div>
    <w:div w:id="502818978">
      <w:bodyDiv w:val="1"/>
      <w:marLeft w:val="0"/>
      <w:marRight w:val="0"/>
      <w:marTop w:val="0"/>
      <w:marBottom w:val="0"/>
      <w:divBdr>
        <w:top w:val="none" w:sz="0" w:space="0" w:color="auto"/>
        <w:left w:val="none" w:sz="0" w:space="0" w:color="auto"/>
        <w:bottom w:val="none" w:sz="0" w:space="0" w:color="auto"/>
        <w:right w:val="none" w:sz="0" w:space="0" w:color="auto"/>
      </w:divBdr>
    </w:div>
    <w:div w:id="504172995">
      <w:bodyDiv w:val="1"/>
      <w:marLeft w:val="0"/>
      <w:marRight w:val="0"/>
      <w:marTop w:val="0"/>
      <w:marBottom w:val="0"/>
      <w:divBdr>
        <w:top w:val="none" w:sz="0" w:space="0" w:color="auto"/>
        <w:left w:val="none" w:sz="0" w:space="0" w:color="auto"/>
        <w:bottom w:val="none" w:sz="0" w:space="0" w:color="auto"/>
        <w:right w:val="none" w:sz="0" w:space="0" w:color="auto"/>
      </w:divBdr>
    </w:div>
    <w:div w:id="512261906">
      <w:bodyDiv w:val="1"/>
      <w:marLeft w:val="0"/>
      <w:marRight w:val="0"/>
      <w:marTop w:val="0"/>
      <w:marBottom w:val="0"/>
      <w:divBdr>
        <w:top w:val="none" w:sz="0" w:space="0" w:color="auto"/>
        <w:left w:val="none" w:sz="0" w:space="0" w:color="auto"/>
        <w:bottom w:val="none" w:sz="0" w:space="0" w:color="auto"/>
        <w:right w:val="none" w:sz="0" w:space="0" w:color="auto"/>
      </w:divBdr>
    </w:div>
    <w:div w:id="517811854">
      <w:bodyDiv w:val="1"/>
      <w:marLeft w:val="0"/>
      <w:marRight w:val="0"/>
      <w:marTop w:val="0"/>
      <w:marBottom w:val="0"/>
      <w:divBdr>
        <w:top w:val="none" w:sz="0" w:space="0" w:color="auto"/>
        <w:left w:val="none" w:sz="0" w:space="0" w:color="auto"/>
        <w:bottom w:val="none" w:sz="0" w:space="0" w:color="auto"/>
        <w:right w:val="none" w:sz="0" w:space="0" w:color="auto"/>
      </w:divBdr>
    </w:div>
    <w:div w:id="521208883">
      <w:bodyDiv w:val="1"/>
      <w:marLeft w:val="0"/>
      <w:marRight w:val="0"/>
      <w:marTop w:val="0"/>
      <w:marBottom w:val="0"/>
      <w:divBdr>
        <w:top w:val="none" w:sz="0" w:space="0" w:color="auto"/>
        <w:left w:val="none" w:sz="0" w:space="0" w:color="auto"/>
        <w:bottom w:val="none" w:sz="0" w:space="0" w:color="auto"/>
        <w:right w:val="none" w:sz="0" w:space="0" w:color="auto"/>
      </w:divBdr>
    </w:div>
    <w:div w:id="523833742">
      <w:bodyDiv w:val="1"/>
      <w:marLeft w:val="0"/>
      <w:marRight w:val="0"/>
      <w:marTop w:val="0"/>
      <w:marBottom w:val="0"/>
      <w:divBdr>
        <w:top w:val="none" w:sz="0" w:space="0" w:color="auto"/>
        <w:left w:val="none" w:sz="0" w:space="0" w:color="auto"/>
        <w:bottom w:val="none" w:sz="0" w:space="0" w:color="auto"/>
        <w:right w:val="none" w:sz="0" w:space="0" w:color="auto"/>
      </w:divBdr>
    </w:div>
    <w:div w:id="524902065">
      <w:bodyDiv w:val="1"/>
      <w:marLeft w:val="0"/>
      <w:marRight w:val="0"/>
      <w:marTop w:val="0"/>
      <w:marBottom w:val="0"/>
      <w:divBdr>
        <w:top w:val="none" w:sz="0" w:space="0" w:color="auto"/>
        <w:left w:val="none" w:sz="0" w:space="0" w:color="auto"/>
        <w:bottom w:val="none" w:sz="0" w:space="0" w:color="auto"/>
        <w:right w:val="none" w:sz="0" w:space="0" w:color="auto"/>
      </w:divBdr>
    </w:div>
    <w:div w:id="530144637">
      <w:bodyDiv w:val="1"/>
      <w:marLeft w:val="0"/>
      <w:marRight w:val="0"/>
      <w:marTop w:val="0"/>
      <w:marBottom w:val="0"/>
      <w:divBdr>
        <w:top w:val="none" w:sz="0" w:space="0" w:color="auto"/>
        <w:left w:val="none" w:sz="0" w:space="0" w:color="auto"/>
        <w:bottom w:val="none" w:sz="0" w:space="0" w:color="auto"/>
        <w:right w:val="none" w:sz="0" w:space="0" w:color="auto"/>
      </w:divBdr>
    </w:div>
    <w:div w:id="530648994">
      <w:bodyDiv w:val="1"/>
      <w:marLeft w:val="0"/>
      <w:marRight w:val="0"/>
      <w:marTop w:val="0"/>
      <w:marBottom w:val="0"/>
      <w:divBdr>
        <w:top w:val="none" w:sz="0" w:space="0" w:color="auto"/>
        <w:left w:val="none" w:sz="0" w:space="0" w:color="auto"/>
        <w:bottom w:val="none" w:sz="0" w:space="0" w:color="auto"/>
        <w:right w:val="none" w:sz="0" w:space="0" w:color="auto"/>
      </w:divBdr>
    </w:div>
    <w:div w:id="531043088">
      <w:bodyDiv w:val="1"/>
      <w:marLeft w:val="0"/>
      <w:marRight w:val="0"/>
      <w:marTop w:val="0"/>
      <w:marBottom w:val="0"/>
      <w:divBdr>
        <w:top w:val="none" w:sz="0" w:space="0" w:color="auto"/>
        <w:left w:val="none" w:sz="0" w:space="0" w:color="auto"/>
        <w:bottom w:val="none" w:sz="0" w:space="0" w:color="auto"/>
        <w:right w:val="none" w:sz="0" w:space="0" w:color="auto"/>
      </w:divBdr>
    </w:div>
    <w:div w:id="533226783">
      <w:bodyDiv w:val="1"/>
      <w:marLeft w:val="0"/>
      <w:marRight w:val="0"/>
      <w:marTop w:val="0"/>
      <w:marBottom w:val="0"/>
      <w:divBdr>
        <w:top w:val="none" w:sz="0" w:space="0" w:color="auto"/>
        <w:left w:val="none" w:sz="0" w:space="0" w:color="auto"/>
        <w:bottom w:val="none" w:sz="0" w:space="0" w:color="auto"/>
        <w:right w:val="none" w:sz="0" w:space="0" w:color="auto"/>
      </w:divBdr>
    </w:div>
    <w:div w:id="533464393">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9318725">
      <w:bodyDiv w:val="1"/>
      <w:marLeft w:val="0"/>
      <w:marRight w:val="0"/>
      <w:marTop w:val="0"/>
      <w:marBottom w:val="0"/>
      <w:divBdr>
        <w:top w:val="none" w:sz="0" w:space="0" w:color="auto"/>
        <w:left w:val="none" w:sz="0" w:space="0" w:color="auto"/>
        <w:bottom w:val="none" w:sz="0" w:space="0" w:color="auto"/>
        <w:right w:val="none" w:sz="0" w:space="0" w:color="auto"/>
      </w:divBdr>
    </w:div>
    <w:div w:id="540552206">
      <w:bodyDiv w:val="1"/>
      <w:marLeft w:val="0"/>
      <w:marRight w:val="0"/>
      <w:marTop w:val="0"/>
      <w:marBottom w:val="0"/>
      <w:divBdr>
        <w:top w:val="none" w:sz="0" w:space="0" w:color="auto"/>
        <w:left w:val="none" w:sz="0" w:space="0" w:color="auto"/>
        <w:bottom w:val="none" w:sz="0" w:space="0" w:color="auto"/>
        <w:right w:val="none" w:sz="0" w:space="0" w:color="auto"/>
      </w:divBdr>
    </w:div>
    <w:div w:id="542599035">
      <w:bodyDiv w:val="1"/>
      <w:marLeft w:val="0"/>
      <w:marRight w:val="0"/>
      <w:marTop w:val="0"/>
      <w:marBottom w:val="0"/>
      <w:divBdr>
        <w:top w:val="none" w:sz="0" w:space="0" w:color="auto"/>
        <w:left w:val="none" w:sz="0" w:space="0" w:color="auto"/>
        <w:bottom w:val="none" w:sz="0" w:space="0" w:color="auto"/>
        <w:right w:val="none" w:sz="0" w:space="0" w:color="auto"/>
      </w:divBdr>
    </w:div>
    <w:div w:id="543104615">
      <w:bodyDiv w:val="1"/>
      <w:marLeft w:val="0"/>
      <w:marRight w:val="0"/>
      <w:marTop w:val="0"/>
      <w:marBottom w:val="0"/>
      <w:divBdr>
        <w:top w:val="none" w:sz="0" w:space="0" w:color="auto"/>
        <w:left w:val="none" w:sz="0" w:space="0" w:color="auto"/>
        <w:bottom w:val="none" w:sz="0" w:space="0" w:color="auto"/>
        <w:right w:val="none" w:sz="0" w:space="0" w:color="auto"/>
      </w:divBdr>
    </w:div>
    <w:div w:id="543176468">
      <w:bodyDiv w:val="1"/>
      <w:marLeft w:val="0"/>
      <w:marRight w:val="0"/>
      <w:marTop w:val="0"/>
      <w:marBottom w:val="0"/>
      <w:divBdr>
        <w:top w:val="none" w:sz="0" w:space="0" w:color="auto"/>
        <w:left w:val="none" w:sz="0" w:space="0" w:color="auto"/>
        <w:bottom w:val="none" w:sz="0" w:space="0" w:color="auto"/>
        <w:right w:val="none" w:sz="0" w:space="0" w:color="auto"/>
      </w:divBdr>
    </w:div>
    <w:div w:id="548037658">
      <w:bodyDiv w:val="1"/>
      <w:marLeft w:val="0"/>
      <w:marRight w:val="0"/>
      <w:marTop w:val="0"/>
      <w:marBottom w:val="0"/>
      <w:divBdr>
        <w:top w:val="none" w:sz="0" w:space="0" w:color="auto"/>
        <w:left w:val="none" w:sz="0" w:space="0" w:color="auto"/>
        <w:bottom w:val="none" w:sz="0" w:space="0" w:color="auto"/>
        <w:right w:val="none" w:sz="0" w:space="0" w:color="auto"/>
      </w:divBdr>
    </w:div>
    <w:div w:id="551964935">
      <w:bodyDiv w:val="1"/>
      <w:marLeft w:val="0"/>
      <w:marRight w:val="0"/>
      <w:marTop w:val="0"/>
      <w:marBottom w:val="0"/>
      <w:divBdr>
        <w:top w:val="none" w:sz="0" w:space="0" w:color="auto"/>
        <w:left w:val="none" w:sz="0" w:space="0" w:color="auto"/>
        <w:bottom w:val="none" w:sz="0" w:space="0" w:color="auto"/>
        <w:right w:val="none" w:sz="0" w:space="0" w:color="auto"/>
      </w:divBdr>
    </w:div>
    <w:div w:id="553350411">
      <w:bodyDiv w:val="1"/>
      <w:marLeft w:val="0"/>
      <w:marRight w:val="0"/>
      <w:marTop w:val="0"/>
      <w:marBottom w:val="0"/>
      <w:divBdr>
        <w:top w:val="none" w:sz="0" w:space="0" w:color="auto"/>
        <w:left w:val="none" w:sz="0" w:space="0" w:color="auto"/>
        <w:bottom w:val="none" w:sz="0" w:space="0" w:color="auto"/>
        <w:right w:val="none" w:sz="0" w:space="0" w:color="auto"/>
      </w:divBdr>
    </w:div>
    <w:div w:id="553933862">
      <w:bodyDiv w:val="1"/>
      <w:marLeft w:val="0"/>
      <w:marRight w:val="0"/>
      <w:marTop w:val="0"/>
      <w:marBottom w:val="0"/>
      <w:divBdr>
        <w:top w:val="none" w:sz="0" w:space="0" w:color="auto"/>
        <w:left w:val="none" w:sz="0" w:space="0" w:color="auto"/>
        <w:bottom w:val="none" w:sz="0" w:space="0" w:color="auto"/>
        <w:right w:val="none" w:sz="0" w:space="0" w:color="auto"/>
      </w:divBdr>
    </w:div>
    <w:div w:id="557280322">
      <w:bodyDiv w:val="1"/>
      <w:marLeft w:val="0"/>
      <w:marRight w:val="0"/>
      <w:marTop w:val="0"/>
      <w:marBottom w:val="0"/>
      <w:divBdr>
        <w:top w:val="none" w:sz="0" w:space="0" w:color="auto"/>
        <w:left w:val="none" w:sz="0" w:space="0" w:color="auto"/>
        <w:bottom w:val="none" w:sz="0" w:space="0" w:color="auto"/>
        <w:right w:val="none" w:sz="0" w:space="0" w:color="auto"/>
      </w:divBdr>
    </w:div>
    <w:div w:id="562373951">
      <w:bodyDiv w:val="1"/>
      <w:marLeft w:val="0"/>
      <w:marRight w:val="0"/>
      <w:marTop w:val="0"/>
      <w:marBottom w:val="0"/>
      <w:divBdr>
        <w:top w:val="none" w:sz="0" w:space="0" w:color="auto"/>
        <w:left w:val="none" w:sz="0" w:space="0" w:color="auto"/>
        <w:bottom w:val="none" w:sz="0" w:space="0" w:color="auto"/>
        <w:right w:val="none" w:sz="0" w:space="0" w:color="auto"/>
      </w:divBdr>
    </w:div>
    <w:div w:id="568539122">
      <w:bodyDiv w:val="1"/>
      <w:marLeft w:val="0"/>
      <w:marRight w:val="0"/>
      <w:marTop w:val="0"/>
      <w:marBottom w:val="0"/>
      <w:divBdr>
        <w:top w:val="none" w:sz="0" w:space="0" w:color="auto"/>
        <w:left w:val="none" w:sz="0" w:space="0" w:color="auto"/>
        <w:bottom w:val="none" w:sz="0" w:space="0" w:color="auto"/>
        <w:right w:val="none" w:sz="0" w:space="0" w:color="auto"/>
      </w:divBdr>
    </w:div>
    <w:div w:id="575941645">
      <w:bodyDiv w:val="1"/>
      <w:marLeft w:val="0"/>
      <w:marRight w:val="0"/>
      <w:marTop w:val="0"/>
      <w:marBottom w:val="0"/>
      <w:divBdr>
        <w:top w:val="none" w:sz="0" w:space="0" w:color="auto"/>
        <w:left w:val="none" w:sz="0" w:space="0" w:color="auto"/>
        <w:bottom w:val="none" w:sz="0" w:space="0" w:color="auto"/>
        <w:right w:val="none" w:sz="0" w:space="0" w:color="auto"/>
      </w:divBdr>
    </w:div>
    <w:div w:id="577522756">
      <w:bodyDiv w:val="1"/>
      <w:marLeft w:val="0"/>
      <w:marRight w:val="0"/>
      <w:marTop w:val="0"/>
      <w:marBottom w:val="0"/>
      <w:divBdr>
        <w:top w:val="none" w:sz="0" w:space="0" w:color="auto"/>
        <w:left w:val="none" w:sz="0" w:space="0" w:color="auto"/>
        <w:bottom w:val="none" w:sz="0" w:space="0" w:color="auto"/>
        <w:right w:val="none" w:sz="0" w:space="0" w:color="auto"/>
      </w:divBdr>
    </w:div>
    <w:div w:id="578254602">
      <w:bodyDiv w:val="1"/>
      <w:marLeft w:val="0"/>
      <w:marRight w:val="0"/>
      <w:marTop w:val="0"/>
      <w:marBottom w:val="0"/>
      <w:divBdr>
        <w:top w:val="none" w:sz="0" w:space="0" w:color="auto"/>
        <w:left w:val="none" w:sz="0" w:space="0" w:color="auto"/>
        <w:bottom w:val="none" w:sz="0" w:space="0" w:color="auto"/>
        <w:right w:val="none" w:sz="0" w:space="0" w:color="auto"/>
      </w:divBdr>
    </w:div>
    <w:div w:id="584532203">
      <w:bodyDiv w:val="1"/>
      <w:marLeft w:val="0"/>
      <w:marRight w:val="0"/>
      <w:marTop w:val="0"/>
      <w:marBottom w:val="0"/>
      <w:divBdr>
        <w:top w:val="none" w:sz="0" w:space="0" w:color="auto"/>
        <w:left w:val="none" w:sz="0" w:space="0" w:color="auto"/>
        <w:bottom w:val="none" w:sz="0" w:space="0" w:color="auto"/>
        <w:right w:val="none" w:sz="0" w:space="0" w:color="auto"/>
      </w:divBdr>
    </w:div>
    <w:div w:id="584998828">
      <w:bodyDiv w:val="1"/>
      <w:marLeft w:val="0"/>
      <w:marRight w:val="0"/>
      <w:marTop w:val="0"/>
      <w:marBottom w:val="0"/>
      <w:divBdr>
        <w:top w:val="none" w:sz="0" w:space="0" w:color="auto"/>
        <w:left w:val="none" w:sz="0" w:space="0" w:color="auto"/>
        <w:bottom w:val="none" w:sz="0" w:space="0" w:color="auto"/>
        <w:right w:val="none" w:sz="0" w:space="0" w:color="auto"/>
      </w:divBdr>
    </w:div>
    <w:div w:id="588924291">
      <w:bodyDiv w:val="1"/>
      <w:marLeft w:val="0"/>
      <w:marRight w:val="0"/>
      <w:marTop w:val="0"/>
      <w:marBottom w:val="0"/>
      <w:divBdr>
        <w:top w:val="none" w:sz="0" w:space="0" w:color="auto"/>
        <w:left w:val="none" w:sz="0" w:space="0" w:color="auto"/>
        <w:bottom w:val="none" w:sz="0" w:space="0" w:color="auto"/>
        <w:right w:val="none" w:sz="0" w:space="0" w:color="auto"/>
      </w:divBdr>
    </w:div>
    <w:div w:id="589236441">
      <w:bodyDiv w:val="1"/>
      <w:marLeft w:val="0"/>
      <w:marRight w:val="0"/>
      <w:marTop w:val="0"/>
      <w:marBottom w:val="0"/>
      <w:divBdr>
        <w:top w:val="none" w:sz="0" w:space="0" w:color="auto"/>
        <w:left w:val="none" w:sz="0" w:space="0" w:color="auto"/>
        <w:bottom w:val="none" w:sz="0" w:space="0" w:color="auto"/>
        <w:right w:val="none" w:sz="0" w:space="0" w:color="auto"/>
      </w:divBdr>
    </w:div>
    <w:div w:id="590702415">
      <w:bodyDiv w:val="1"/>
      <w:marLeft w:val="0"/>
      <w:marRight w:val="0"/>
      <w:marTop w:val="0"/>
      <w:marBottom w:val="0"/>
      <w:divBdr>
        <w:top w:val="none" w:sz="0" w:space="0" w:color="auto"/>
        <w:left w:val="none" w:sz="0" w:space="0" w:color="auto"/>
        <w:bottom w:val="none" w:sz="0" w:space="0" w:color="auto"/>
        <w:right w:val="none" w:sz="0" w:space="0" w:color="auto"/>
      </w:divBdr>
    </w:div>
    <w:div w:id="592708052">
      <w:bodyDiv w:val="1"/>
      <w:marLeft w:val="0"/>
      <w:marRight w:val="0"/>
      <w:marTop w:val="0"/>
      <w:marBottom w:val="0"/>
      <w:divBdr>
        <w:top w:val="none" w:sz="0" w:space="0" w:color="auto"/>
        <w:left w:val="none" w:sz="0" w:space="0" w:color="auto"/>
        <w:bottom w:val="none" w:sz="0" w:space="0" w:color="auto"/>
        <w:right w:val="none" w:sz="0" w:space="0" w:color="auto"/>
      </w:divBdr>
    </w:div>
    <w:div w:id="592936641">
      <w:bodyDiv w:val="1"/>
      <w:marLeft w:val="0"/>
      <w:marRight w:val="0"/>
      <w:marTop w:val="0"/>
      <w:marBottom w:val="0"/>
      <w:divBdr>
        <w:top w:val="none" w:sz="0" w:space="0" w:color="auto"/>
        <w:left w:val="none" w:sz="0" w:space="0" w:color="auto"/>
        <w:bottom w:val="none" w:sz="0" w:space="0" w:color="auto"/>
        <w:right w:val="none" w:sz="0" w:space="0" w:color="auto"/>
      </w:divBdr>
    </w:div>
    <w:div w:id="595745537">
      <w:bodyDiv w:val="1"/>
      <w:marLeft w:val="0"/>
      <w:marRight w:val="0"/>
      <w:marTop w:val="0"/>
      <w:marBottom w:val="0"/>
      <w:divBdr>
        <w:top w:val="none" w:sz="0" w:space="0" w:color="auto"/>
        <w:left w:val="none" w:sz="0" w:space="0" w:color="auto"/>
        <w:bottom w:val="none" w:sz="0" w:space="0" w:color="auto"/>
        <w:right w:val="none" w:sz="0" w:space="0" w:color="auto"/>
      </w:divBdr>
    </w:div>
    <w:div w:id="596212013">
      <w:bodyDiv w:val="1"/>
      <w:marLeft w:val="0"/>
      <w:marRight w:val="0"/>
      <w:marTop w:val="0"/>
      <w:marBottom w:val="0"/>
      <w:divBdr>
        <w:top w:val="none" w:sz="0" w:space="0" w:color="auto"/>
        <w:left w:val="none" w:sz="0" w:space="0" w:color="auto"/>
        <w:bottom w:val="none" w:sz="0" w:space="0" w:color="auto"/>
        <w:right w:val="none" w:sz="0" w:space="0" w:color="auto"/>
      </w:divBdr>
    </w:div>
    <w:div w:id="602148070">
      <w:bodyDiv w:val="1"/>
      <w:marLeft w:val="0"/>
      <w:marRight w:val="0"/>
      <w:marTop w:val="0"/>
      <w:marBottom w:val="0"/>
      <w:divBdr>
        <w:top w:val="none" w:sz="0" w:space="0" w:color="auto"/>
        <w:left w:val="none" w:sz="0" w:space="0" w:color="auto"/>
        <w:bottom w:val="none" w:sz="0" w:space="0" w:color="auto"/>
        <w:right w:val="none" w:sz="0" w:space="0" w:color="auto"/>
      </w:divBdr>
    </w:div>
    <w:div w:id="602953365">
      <w:bodyDiv w:val="1"/>
      <w:marLeft w:val="0"/>
      <w:marRight w:val="0"/>
      <w:marTop w:val="0"/>
      <w:marBottom w:val="0"/>
      <w:divBdr>
        <w:top w:val="none" w:sz="0" w:space="0" w:color="auto"/>
        <w:left w:val="none" w:sz="0" w:space="0" w:color="auto"/>
        <w:bottom w:val="none" w:sz="0" w:space="0" w:color="auto"/>
        <w:right w:val="none" w:sz="0" w:space="0" w:color="auto"/>
      </w:divBdr>
    </w:div>
    <w:div w:id="605044026">
      <w:bodyDiv w:val="1"/>
      <w:marLeft w:val="0"/>
      <w:marRight w:val="0"/>
      <w:marTop w:val="0"/>
      <w:marBottom w:val="0"/>
      <w:divBdr>
        <w:top w:val="none" w:sz="0" w:space="0" w:color="auto"/>
        <w:left w:val="none" w:sz="0" w:space="0" w:color="auto"/>
        <w:bottom w:val="none" w:sz="0" w:space="0" w:color="auto"/>
        <w:right w:val="none" w:sz="0" w:space="0" w:color="auto"/>
      </w:divBdr>
    </w:div>
    <w:div w:id="605698128">
      <w:bodyDiv w:val="1"/>
      <w:marLeft w:val="0"/>
      <w:marRight w:val="0"/>
      <w:marTop w:val="0"/>
      <w:marBottom w:val="0"/>
      <w:divBdr>
        <w:top w:val="none" w:sz="0" w:space="0" w:color="auto"/>
        <w:left w:val="none" w:sz="0" w:space="0" w:color="auto"/>
        <w:bottom w:val="none" w:sz="0" w:space="0" w:color="auto"/>
        <w:right w:val="none" w:sz="0" w:space="0" w:color="auto"/>
      </w:divBdr>
    </w:div>
    <w:div w:id="606234381">
      <w:bodyDiv w:val="1"/>
      <w:marLeft w:val="0"/>
      <w:marRight w:val="0"/>
      <w:marTop w:val="0"/>
      <w:marBottom w:val="0"/>
      <w:divBdr>
        <w:top w:val="none" w:sz="0" w:space="0" w:color="auto"/>
        <w:left w:val="none" w:sz="0" w:space="0" w:color="auto"/>
        <w:bottom w:val="none" w:sz="0" w:space="0" w:color="auto"/>
        <w:right w:val="none" w:sz="0" w:space="0" w:color="auto"/>
      </w:divBdr>
    </w:div>
    <w:div w:id="606929593">
      <w:bodyDiv w:val="1"/>
      <w:marLeft w:val="0"/>
      <w:marRight w:val="0"/>
      <w:marTop w:val="0"/>
      <w:marBottom w:val="0"/>
      <w:divBdr>
        <w:top w:val="none" w:sz="0" w:space="0" w:color="auto"/>
        <w:left w:val="none" w:sz="0" w:space="0" w:color="auto"/>
        <w:bottom w:val="none" w:sz="0" w:space="0" w:color="auto"/>
        <w:right w:val="none" w:sz="0" w:space="0" w:color="auto"/>
      </w:divBdr>
    </w:div>
    <w:div w:id="607200676">
      <w:bodyDiv w:val="1"/>
      <w:marLeft w:val="0"/>
      <w:marRight w:val="0"/>
      <w:marTop w:val="0"/>
      <w:marBottom w:val="0"/>
      <w:divBdr>
        <w:top w:val="none" w:sz="0" w:space="0" w:color="auto"/>
        <w:left w:val="none" w:sz="0" w:space="0" w:color="auto"/>
        <w:bottom w:val="none" w:sz="0" w:space="0" w:color="auto"/>
        <w:right w:val="none" w:sz="0" w:space="0" w:color="auto"/>
      </w:divBdr>
    </w:div>
    <w:div w:id="608048058">
      <w:bodyDiv w:val="1"/>
      <w:marLeft w:val="0"/>
      <w:marRight w:val="0"/>
      <w:marTop w:val="0"/>
      <w:marBottom w:val="0"/>
      <w:divBdr>
        <w:top w:val="none" w:sz="0" w:space="0" w:color="auto"/>
        <w:left w:val="none" w:sz="0" w:space="0" w:color="auto"/>
        <w:bottom w:val="none" w:sz="0" w:space="0" w:color="auto"/>
        <w:right w:val="none" w:sz="0" w:space="0" w:color="auto"/>
      </w:divBdr>
    </w:div>
    <w:div w:id="609356716">
      <w:bodyDiv w:val="1"/>
      <w:marLeft w:val="0"/>
      <w:marRight w:val="0"/>
      <w:marTop w:val="0"/>
      <w:marBottom w:val="0"/>
      <w:divBdr>
        <w:top w:val="none" w:sz="0" w:space="0" w:color="auto"/>
        <w:left w:val="none" w:sz="0" w:space="0" w:color="auto"/>
        <w:bottom w:val="none" w:sz="0" w:space="0" w:color="auto"/>
        <w:right w:val="none" w:sz="0" w:space="0" w:color="auto"/>
      </w:divBdr>
    </w:div>
    <w:div w:id="612633262">
      <w:bodyDiv w:val="1"/>
      <w:marLeft w:val="0"/>
      <w:marRight w:val="0"/>
      <w:marTop w:val="0"/>
      <w:marBottom w:val="0"/>
      <w:divBdr>
        <w:top w:val="none" w:sz="0" w:space="0" w:color="auto"/>
        <w:left w:val="none" w:sz="0" w:space="0" w:color="auto"/>
        <w:bottom w:val="none" w:sz="0" w:space="0" w:color="auto"/>
        <w:right w:val="none" w:sz="0" w:space="0" w:color="auto"/>
      </w:divBdr>
    </w:div>
    <w:div w:id="616715500">
      <w:bodyDiv w:val="1"/>
      <w:marLeft w:val="0"/>
      <w:marRight w:val="0"/>
      <w:marTop w:val="0"/>
      <w:marBottom w:val="0"/>
      <w:divBdr>
        <w:top w:val="none" w:sz="0" w:space="0" w:color="auto"/>
        <w:left w:val="none" w:sz="0" w:space="0" w:color="auto"/>
        <w:bottom w:val="none" w:sz="0" w:space="0" w:color="auto"/>
        <w:right w:val="none" w:sz="0" w:space="0" w:color="auto"/>
      </w:divBdr>
    </w:div>
    <w:div w:id="620453946">
      <w:bodyDiv w:val="1"/>
      <w:marLeft w:val="0"/>
      <w:marRight w:val="0"/>
      <w:marTop w:val="0"/>
      <w:marBottom w:val="0"/>
      <w:divBdr>
        <w:top w:val="none" w:sz="0" w:space="0" w:color="auto"/>
        <w:left w:val="none" w:sz="0" w:space="0" w:color="auto"/>
        <w:bottom w:val="none" w:sz="0" w:space="0" w:color="auto"/>
        <w:right w:val="none" w:sz="0" w:space="0" w:color="auto"/>
      </w:divBdr>
    </w:div>
    <w:div w:id="621691966">
      <w:bodyDiv w:val="1"/>
      <w:marLeft w:val="0"/>
      <w:marRight w:val="0"/>
      <w:marTop w:val="0"/>
      <w:marBottom w:val="0"/>
      <w:divBdr>
        <w:top w:val="none" w:sz="0" w:space="0" w:color="auto"/>
        <w:left w:val="none" w:sz="0" w:space="0" w:color="auto"/>
        <w:bottom w:val="none" w:sz="0" w:space="0" w:color="auto"/>
        <w:right w:val="none" w:sz="0" w:space="0" w:color="auto"/>
      </w:divBdr>
    </w:div>
    <w:div w:id="626548470">
      <w:bodyDiv w:val="1"/>
      <w:marLeft w:val="0"/>
      <w:marRight w:val="0"/>
      <w:marTop w:val="0"/>
      <w:marBottom w:val="0"/>
      <w:divBdr>
        <w:top w:val="none" w:sz="0" w:space="0" w:color="auto"/>
        <w:left w:val="none" w:sz="0" w:space="0" w:color="auto"/>
        <w:bottom w:val="none" w:sz="0" w:space="0" w:color="auto"/>
        <w:right w:val="none" w:sz="0" w:space="0" w:color="auto"/>
      </w:divBdr>
    </w:div>
    <w:div w:id="627198382">
      <w:bodyDiv w:val="1"/>
      <w:marLeft w:val="0"/>
      <w:marRight w:val="0"/>
      <w:marTop w:val="0"/>
      <w:marBottom w:val="0"/>
      <w:divBdr>
        <w:top w:val="none" w:sz="0" w:space="0" w:color="auto"/>
        <w:left w:val="none" w:sz="0" w:space="0" w:color="auto"/>
        <w:bottom w:val="none" w:sz="0" w:space="0" w:color="auto"/>
        <w:right w:val="none" w:sz="0" w:space="0" w:color="auto"/>
      </w:divBdr>
    </w:div>
    <w:div w:id="631717061">
      <w:bodyDiv w:val="1"/>
      <w:marLeft w:val="0"/>
      <w:marRight w:val="0"/>
      <w:marTop w:val="0"/>
      <w:marBottom w:val="0"/>
      <w:divBdr>
        <w:top w:val="none" w:sz="0" w:space="0" w:color="auto"/>
        <w:left w:val="none" w:sz="0" w:space="0" w:color="auto"/>
        <w:bottom w:val="none" w:sz="0" w:space="0" w:color="auto"/>
        <w:right w:val="none" w:sz="0" w:space="0" w:color="auto"/>
      </w:divBdr>
    </w:div>
    <w:div w:id="632491327">
      <w:bodyDiv w:val="1"/>
      <w:marLeft w:val="0"/>
      <w:marRight w:val="0"/>
      <w:marTop w:val="0"/>
      <w:marBottom w:val="0"/>
      <w:divBdr>
        <w:top w:val="none" w:sz="0" w:space="0" w:color="auto"/>
        <w:left w:val="none" w:sz="0" w:space="0" w:color="auto"/>
        <w:bottom w:val="none" w:sz="0" w:space="0" w:color="auto"/>
        <w:right w:val="none" w:sz="0" w:space="0" w:color="auto"/>
      </w:divBdr>
    </w:div>
    <w:div w:id="634607134">
      <w:bodyDiv w:val="1"/>
      <w:marLeft w:val="0"/>
      <w:marRight w:val="0"/>
      <w:marTop w:val="0"/>
      <w:marBottom w:val="0"/>
      <w:divBdr>
        <w:top w:val="none" w:sz="0" w:space="0" w:color="auto"/>
        <w:left w:val="none" w:sz="0" w:space="0" w:color="auto"/>
        <w:bottom w:val="none" w:sz="0" w:space="0" w:color="auto"/>
        <w:right w:val="none" w:sz="0" w:space="0" w:color="auto"/>
      </w:divBdr>
    </w:div>
    <w:div w:id="634794879">
      <w:bodyDiv w:val="1"/>
      <w:marLeft w:val="0"/>
      <w:marRight w:val="0"/>
      <w:marTop w:val="0"/>
      <w:marBottom w:val="0"/>
      <w:divBdr>
        <w:top w:val="none" w:sz="0" w:space="0" w:color="auto"/>
        <w:left w:val="none" w:sz="0" w:space="0" w:color="auto"/>
        <w:bottom w:val="none" w:sz="0" w:space="0" w:color="auto"/>
        <w:right w:val="none" w:sz="0" w:space="0" w:color="auto"/>
      </w:divBdr>
    </w:div>
    <w:div w:id="639577906">
      <w:bodyDiv w:val="1"/>
      <w:marLeft w:val="0"/>
      <w:marRight w:val="0"/>
      <w:marTop w:val="0"/>
      <w:marBottom w:val="0"/>
      <w:divBdr>
        <w:top w:val="none" w:sz="0" w:space="0" w:color="auto"/>
        <w:left w:val="none" w:sz="0" w:space="0" w:color="auto"/>
        <w:bottom w:val="none" w:sz="0" w:space="0" w:color="auto"/>
        <w:right w:val="none" w:sz="0" w:space="0" w:color="auto"/>
      </w:divBdr>
    </w:div>
    <w:div w:id="642084205">
      <w:bodyDiv w:val="1"/>
      <w:marLeft w:val="0"/>
      <w:marRight w:val="0"/>
      <w:marTop w:val="0"/>
      <w:marBottom w:val="0"/>
      <w:divBdr>
        <w:top w:val="none" w:sz="0" w:space="0" w:color="auto"/>
        <w:left w:val="none" w:sz="0" w:space="0" w:color="auto"/>
        <w:bottom w:val="none" w:sz="0" w:space="0" w:color="auto"/>
        <w:right w:val="none" w:sz="0" w:space="0" w:color="auto"/>
      </w:divBdr>
    </w:div>
    <w:div w:id="643240334">
      <w:bodyDiv w:val="1"/>
      <w:marLeft w:val="0"/>
      <w:marRight w:val="0"/>
      <w:marTop w:val="0"/>
      <w:marBottom w:val="0"/>
      <w:divBdr>
        <w:top w:val="none" w:sz="0" w:space="0" w:color="auto"/>
        <w:left w:val="none" w:sz="0" w:space="0" w:color="auto"/>
        <w:bottom w:val="none" w:sz="0" w:space="0" w:color="auto"/>
        <w:right w:val="none" w:sz="0" w:space="0" w:color="auto"/>
      </w:divBdr>
    </w:div>
    <w:div w:id="643972395">
      <w:bodyDiv w:val="1"/>
      <w:marLeft w:val="0"/>
      <w:marRight w:val="0"/>
      <w:marTop w:val="0"/>
      <w:marBottom w:val="0"/>
      <w:divBdr>
        <w:top w:val="none" w:sz="0" w:space="0" w:color="auto"/>
        <w:left w:val="none" w:sz="0" w:space="0" w:color="auto"/>
        <w:bottom w:val="none" w:sz="0" w:space="0" w:color="auto"/>
        <w:right w:val="none" w:sz="0" w:space="0" w:color="auto"/>
      </w:divBdr>
    </w:div>
    <w:div w:id="646281323">
      <w:bodyDiv w:val="1"/>
      <w:marLeft w:val="0"/>
      <w:marRight w:val="0"/>
      <w:marTop w:val="0"/>
      <w:marBottom w:val="0"/>
      <w:divBdr>
        <w:top w:val="none" w:sz="0" w:space="0" w:color="auto"/>
        <w:left w:val="none" w:sz="0" w:space="0" w:color="auto"/>
        <w:bottom w:val="none" w:sz="0" w:space="0" w:color="auto"/>
        <w:right w:val="none" w:sz="0" w:space="0" w:color="auto"/>
      </w:divBdr>
    </w:div>
    <w:div w:id="649138961">
      <w:bodyDiv w:val="1"/>
      <w:marLeft w:val="0"/>
      <w:marRight w:val="0"/>
      <w:marTop w:val="0"/>
      <w:marBottom w:val="0"/>
      <w:divBdr>
        <w:top w:val="none" w:sz="0" w:space="0" w:color="auto"/>
        <w:left w:val="none" w:sz="0" w:space="0" w:color="auto"/>
        <w:bottom w:val="none" w:sz="0" w:space="0" w:color="auto"/>
        <w:right w:val="none" w:sz="0" w:space="0" w:color="auto"/>
      </w:divBdr>
    </w:div>
    <w:div w:id="654141059">
      <w:bodyDiv w:val="1"/>
      <w:marLeft w:val="0"/>
      <w:marRight w:val="0"/>
      <w:marTop w:val="0"/>
      <w:marBottom w:val="0"/>
      <w:divBdr>
        <w:top w:val="none" w:sz="0" w:space="0" w:color="auto"/>
        <w:left w:val="none" w:sz="0" w:space="0" w:color="auto"/>
        <w:bottom w:val="none" w:sz="0" w:space="0" w:color="auto"/>
        <w:right w:val="none" w:sz="0" w:space="0" w:color="auto"/>
      </w:divBdr>
    </w:div>
    <w:div w:id="656108416">
      <w:bodyDiv w:val="1"/>
      <w:marLeft w:val="0"/>
      <w:marRight w:val="0"/>
      <w:marTop w:val="0"/>
      <w:marBottom w:val="0"/>
      <w:divBdr>
        <w:top w:val="none" w:sz="0" w:space="0" w:color="auto"/>
        <w:left w:val="none" w:sz="0" w:space="0" w:color="auto"/>
        <w:bottom w:val="none" w:sz="0" w:space="0" w:color="auto"/>
        <w:right w:val="none" w:sz="0" w:space="0" w:color="auto"/>
      </w:divBdr>
    </w:div>
    <w:div w:id="656614534">
      <w:bodyDiv w:val="1"/>
      <w:marLeft w:val="0"/>
      <w:marRight w:val="0"/>
      <w:marTop w:val="0"/>
      <w:marBottom w:val="0"/>
      <w:divBdr>
        <w:top w:val="none" w:sz="0" w:space="0" w:color="auto"/>
        <w:left w:val="none" w:sz="0" w:space="0" w:color="auto"/>
        <w:bottom w:val="none" w:sz="0" w:space="0" w:color="auto"/>
        <w:right w:val="none" w:sz="0" w:space="0" w:color="auto"/>
      </w:divBdr>
    </w:div>
    <w:div w:id="657613748">
      <w:bodyDiv w:val="1"/>
      <w:marLeft w:val="0"/>
      <w:marRight w:val="0"/>
      <w:marTop w:val="0"/>
      <w:marBottom w:val="0"/>
      <w:divBdr>
        <w:top w:val="none" w:sz="0" w:space="0" w:color="auto"/>
        <w:left w:val="none" w:sz="0" w:space="0" w:color="auto"/>
        <w:bottom w:val="none" w:sz="0" w:space="0" w:color="auto"/>
        <w:right w:val="none" w:sz="0" w:space="0" w:color="auto"/>
      </w:divBdr>
    </w:div>
    <w:div w:id="659649916">
      <w:bodyDiv w:val="1"/>
      <w:marLeft w:val="0"/>
      <w:marRight w:val="0"/>
      <w:marTop w:val="0"/>
      <w:marBottom w:val="0"/>
      <w:divBdr>
        <w:top w:val="none" w:sz="0" w:space="0" w:color="auto"/>
        <w:left w:val="none" w:sz="0" w:space="0" w:color="auto"/>
        <w:bottom w:val="none" w:sz="0" w:space="0" w:color="auto"/>
        <w:right w:val="none" w:sz="0" w:space="0" w:color="auto"/>
      </w:divBdr>
    </w:div>
    <w:div w:id="660160804">
      <w:bodyDiv w:val="1"/>
      <w:marLeft w:val="0"/>
      <w:marRight w:val="0"/>
      <w:marTop w:val="0"/>
      <w:marBottom w:val="0"/>
      <w:divBdr>
        <w:top w:val="none" w:sz="0" w:space="0" w:color="auto"/>
        <w:left w:val="none" w:sz="0" w:space="0" w:color="auto"/>
        <w:bottom w:val="none" w:sz="0" w:space="0" w:color="auto"/>
        <w:right w:val="none" w:sz="0" w:space="0" w:color="auto"/>
      </w:divBdr>
    </w:div>
    <w:div w:id="665860751">
      <w:bodyDiv w:val="1"/>
      <w:marLeft w:val="0"/>
      <w:marRight w:val="0"/>
      <w:marTop w:val="0"/>
      <w:marBottom w:val="0"/>
      <w:divBdr>
        <w:top w:val="none" w:sz="0" w:space="0" w:color="auto"/>
        <w:left w:val="none" w:sz="0" w:space="0" w:color="auto"/>
        <w:bottom w:val="none" w:sz="0" w:space="0" w:color="auto"/>
        <w:right w:val="none" w:sz="0" w:space="0" w:color="auto"/>
      </w:divBdr>
    </w:div>
    <w:div w:id="666130491">
      <w:bodyDiv w:val="1"/>
      <w:marLeft w:val="0"/>
      <w:marRight w:val="0"/>
      <w:marTop w:val="0"/>
      <w:marBottom w:val="0"/>
      <w:divBdr>
        <w:top w:val="none" w:sz="0" w:space="0" w:color="auto"/>
        <w:left w:val="none" w:sz="0" w:space="0" w:color="auto"/>
        <w:bottom w:val="none" w:sz="0" w:space="0" w:color="auto"/>
        <w:right w:val="none" w:sz="0" w:space="0" w:color="auto"/>
      </w:divBdr>
    </w:div>
    <w:div w:id="668290347">
      <w:bodyDiv w:val="1"/>
      <w:marLeft w:val="0"/>
      <w:marRight w:val="0"/>
      <w:marTop w:val="0"/>
      <w:marBottom w:val="0"/>
      <w:divBdr>
        <w:top w:val="none" w:sz="0" w:space="0" w:color="auto"/>
        <w:left w:val="none" w:sz="0" w:space="0" w:color="auto"/>
        <w:bottom w:val="none" w:sz="0" w:space="0" w:color="auto"/>
        <w:right w:val="none" w:sz="0" w:space="0" w:color="auto"/>
      </w:divBdr>
    </w:div>
    <w:div w:id="672024960">
      <w:bodyDiv w:val="1"/>
      <w:marLeft w:val="0"/>
      <w:marRight w:val="0"/>
      <w:marTop w:val="0"/>
      <w:marBottom w:val="0"/>
      <w:divBdr>
        <w:top w:val="none" w:sz="0" w:space="0" w:color="auto"/>
        <w:left w:val="none" w:sz="0" w:space="0" w:color="auto"/>
        <w:bottom w:val="none" w:sz="0" w:space="0" w:color="auto"/>
        <w:right w:val="none" w:sz="0" w:space="0" w:color="auto"/>
      </w:divBdr>
    </w:div>
    <w:div w:id="675033300">
      <w:bodyDiv w:val="1"/>
      <w:marLeft w:val="0"/>
      <w:marRight w:val="0"/>
      <w:marTop w:val="0"/>
      <w:marBottom w:val="0"/>
      <w:divBdr>
        <w:top w:val="none" w:sz="0" w:space="0" w:color="auto"/>
        <w:left w:val="none" w:sz="0" w:space="0" w:color="auto"/>
        <w:bottom w:val="none" w:sz="0" w:space="0" w:color="auto"/>
        <w:right w:val="none" w:sz="0" w:space="0" w:color="auto"/>
      </w:divBdr>
    </w:div>
    <w:div w:id="682974062">
      <w:bodyDiv w:val="1"/>
      <w:marLeft w:val="0"/>
      <w:marRight w:val="0"/>
      <w:marTop w:val="0"/>
      <w:marBottom w:val="0"/>
      <w:divBdr>
        <w:top w:val="none" w:sz="0" w:space="0" w:color="auto"/>
        <w:left w:val="none" w:sz="0" w:space="0" w:color="auto"/>
        <w:bottom w:val="none" w:sz="0" w:space="0" w:color="auto"/>
        <w:right w:val="none" w:sz="0" w:space="0" w:color="auto"/>
      </w:divBdr>
    </w:div>
    <w:div w:id="683897893">
      <w:bodyDiv w:val="1"/>
      <w:marLeft w:val="0"/>
      <w:marRight w:val="0"/>
      <w:marTop w:val="0"/>
      <w:marBottom w:val="0"/>
      <w:divBdr>
        <w:top w:val="none" w:sz="0" w:space="0" w:color="auto"/>
        <w:left w:val="none" w:sz="0" w:space="0" w:color="auto"/>
        <w:bottom w:val="none" w:sz="0" w:space="0" w:color="auto"/>
        <w:right w:val="none" w:sz="0" w:space="0" w:color="auto"/>
      </w:divBdr>
    </w:div>
    <w:div w:id="689332952">
      <w:bodyDiv w:val="1"/>
      <w:marLeft w:val="0"/>
      <w:marRight w:val="0"/>
      <w:marTop w:val="0"/>
      <w:marBottom w:val="0"/>
      <w:divBdr>
        <w:top w:val="none" w:sz="0" w:space="0" w:color="auto"/>
        <w:left w:val="none" w:sz="0" w:space="0" w:color="auto"/>
        <w:bottom w:val="none" w:sz="0" w:space="0" w:color="auto"/>
        <w:right w:val="none" w:sz="0" w:space="0" w:color="auto"/>
      </w:divBdr>
    </w:div>
    <w:div w:id="695814361">
      <w:bodyDiv w:val="1"/>
      <w:marLeft w:val="0"/>
      <w:marRight w:val="0"/>
      <w:marTop w:val="0"/>
      <w:marBottom w:val="0"/>
      <w:divBdr>
        <w:top w:val="none" w:sz="0" w:space="0" w:color="auto"/>
        <w:left w:val="none" w:sz="0" w:space="0" w:color="auto"/>
        <w:bottom w:val="none" w:sz="0" w:space="0" w:color="auto"/>
        <w:right w:val="none" w:sz="0" w:space="0" w:color="auto"/>
      </w:divBdr>
    </w:div>
    <w:div w:id="696808496">
      <w:bodyDiv w:val="1"/>
      <w:marLeft w:val="0"/>
      <w:marRight w:val="0"/>
      <w:marTop w:val="0"/>
      <w:marBottom w:val="0"/>
      <w:divBdr>
        <w:top w:val="none" w:sz="0" w:space="0" w:color="auto"/>
        <w:left w:val="none" w:sz="0" w:space="0" w:color="auto"/>
        <w:bottom w:val="none" w:sz="0" w:space="0" w:color="auto"/>
        <w:right w:val="none" w:sz="0" w:space="0" w:color="auto"/>
      </w:divBdr>
    </w:div>
    <w:div w:id="704406135">
      <w:bodyDiv w:val="1"/>
      <w:marLeft w:val="0"/>
      <w:marRight w:val="0"/>
      <w:marTop w:val="0"/>
      <w:marBottom w:val="0"/>
      <w:divBdr>
        <w:top w:val="none" w:sz="0" w:space="0" w:color="auto"/>
        <w:left w:val="none" w:sz="0" w:space="0" w:color="auto"/>
        <w:bottom w:val="none" w:sz="0" w:space="0" w:color="auto"/>
        <w:right w:val="none" w:sz="0" w:space="0" w:color="auto"/>
      </w:divBdr>
    </w:div>
    <w:div w:id="705329083">
      <w:bodyDiv w:val="1"/>
      <w:marLeft w:val="0"/>
      <w:marRight w:val="0"/>
      <w:marTop w:val="0"/>
      <w:marBottom w:val="0"/>
      <w:divBdr>
        <w:top w:val="none" w:sz="0" w:space="0" w:color="auto"/>
        <w:left w:val="none" w:sz="0" w:space="0" w:color="auto"/>
        <w:bottom w:val="none" w:sz="0" w:space="0" w:color="auto"/>
        <w:right w:val="none" w:sz="0" w:space="0" w:color="auto"/>
      </w:divBdr>
    </w:div>
    <w:div w:id="706492371">
      <w:bodyDiv w:val="1"/>
      <w:marLeft w:val="0"/>
      <w:marRight w:val="0"/>
      <w:marTop w:val="0"/>
      <w:marBottom w:val="0"/>
      <w:divBdr>
        <w:top w:val="none" w:sz="0" w:space="0" w:color="auto"/>
        <w:left w:val="none" w:sz="0" w:space="0" w:color="auto"/>
        <w:bottom w:val="none" w:sz="0" w:space="0" w:color="auto"/>
        <w:right w:val="none" w:sz="0" w:space="0" w:color="auto"/>
      </w:divBdr>
    </w:div>
    <w:div w:id="708191210">
      <w:bodyDiv w:val="1"/>
      <w:marLeft w:val="0"/>
      <w:marRight w:val="0"/>
      <w:marTop w:val="0"/>
      <w:marBottom w:val="0"/>
      <w:divBdr>
        <w:top w:val="none" w:sz="0" w:space="0" w:color="auto"/>
        <w:left w:val="none" w:sz="0" w:space="0" w:color="auto"/>
        <w:bottom w:val="none" w:sz="0" w:space="0" w:color="auto"/>
        <w:right w:val="none" w:sz="0" w:space="0" w:color="auto"/>
      </w:divBdr>
    </w:div>
    <w:div w:id="708385090">
      <w:bodyDiv w:val="1"/>
      <w:marLeft w:val="0"/>
      <w:marRight w:val="0"/>
      <w:marTop w:val="0"/>
      <w:marBottom w:val="0"/>
      <w:divBdr>
        <w:top w:val="none" w:sz="0" w:space="0" w:color="auto"/>
        <w:left w:val="none" w:sz="0" w:space="0" w:color="auto"/>
        <w:bottom w:val="none" w:sz="0" w:space="0" w:color="auto"/>
        <w:right w:val="none" w:sz="0" w:space="0" w:color="auto"/>
      </w:divBdr>
    </w:div>
    <w:div w:id="708452528">
      <w:bodyDiv w:val="1"/>
      <w:marLeft w:val="0"/>
      <w:marRight w:val="0"/>
      <w:marTop w:val="0"/>
      <w:marBottom w:val="0"/>
      <w:divBdr>
        <w:top w:val="none" w:sz="0" w:space="0" w:color="auto"/>
        <w:left w:val="none" w:sz="0" w:space="0" w:color="auto"/>
        <w:bottom w:val="none" w:sz="0" w:space="0" w:color="auto"/>
        <w:right w:val="none" w:sz="0" w:space="0" w:color="auto"/>
      </w:divBdr>
    </w:div>
    <w:div w:id="712652629">
      <w:bodyDiv w:val="1"/>
      <w:marLeft w:val="0"/>
      <w:marRight w:val="0"/>
      <w:marTop w:val="0"/>
      <w:marBottom w:val="0"/>
      <w:divBdr>
        <w:top w:val="none" w:sz="0" w:space="0" w:color="auto"/>
        <w:left w:val="none" w:sz="0" w:space="0" w:color="auto"/>
        <w:bottom w:val="none" w:sz="0" w:space="0" w:color="auto"/>
        <w:right w:val="none" w:sz="0" w:space="0" w:color="auto"/>
      </w:divBdr>
    </w:div>
    <w:div w:id="712736164">
      <w:bodyDiv w:val="1"/>
      <w:marLeft w:val="0"/>
      <w:marRight w:val="0"/>
      <w:marTop w:val="0"/>
      <w:marBottom w:val="0"/>
      <w:divBdr>
        <w:top w:val="none" w:sz="0" w:space="0" w:color="auto"/>
        <w:left w:val="none" w:sz="0" w:space="0" w:color="auto"/>
        <w:bottom w:val="none" w:sz="0" w:space="0" w:color="auto"/>
        <w:right w:val="none" w:sz="0" w:space="0" w:color="auto"/>
      </w:divBdr>
    </w:div>
    <w:div w:id="714427045">
      <w:bodyDiv w:val="1"/>
      <w:marLeft w:val="0"/>
      <w:marRight w:val="0"/>
      <w:marTop w:val="0"/>
      <w:marBottom w:val="0"/>
      <w:divBdr>
        <w:top w:val="none" w:sz="0" w:space="0" w:color="auto"/>
        <w:left w:val="none" w:sz="0" w:space="0" w:color="auto"/>
        <w:bottom w:val="none" w:sz="0" w:space="0" w:color="auto"/>
        <w:right w:val="none" w:sz="0" w:space="0" w:color="auto"/>
      </w:divBdr>
    </w:div>
    <w:div w:id="723912499">
      <w:bodyDiv w:val="1"/>
      <w:marLeft w:val="0"/>
      <w:marRight w:val="0"/>
      <w:marTop w:val="0"/>
      <w:marBottom w:val="0"/>
      <w:divBdr>
        <w:top w:val="none" w:sz="0" w:space="0" w:color="auto"/>
        <w:left w:val="none" w:sz="0" w:space="0" w:color="auto"/>
        <w:bottom w:val="none" w:sz="0" w:space="0" w:color="auto"/>
        <w:right w:val="none" w:sz="0" w:space="0" w:color="auto"/>
      </w:divBdr>
    </w:div>
    <w:div w:id="723991181">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8843842">
      <w:bodyDiv w:val="1"/>
      <w:marLeft w:val="0"/>
      <w:marRight w:val="0"/>
      <w:marTop w:val="0"/>
      <w:marBottom w:val="0"/>
      <w:divBdr>
        <w:top w:val="none" w:sz="0" w:space="0" w:color="auto"/>
        <w:left w:val="none" w:sz="0" w:space="0" w:color="auto"/>
        <w:bottom w:val="none" w:sz="0" w:space="0" w:color="auto"/>
        <w:right w:val="none" w:sz="0" w:space="0" w:color="auto"/>
      </w:divBdr>
    </w:div>
    <w:div w:id="732776421">
      <w:bodyDiv w:val="1"/>
      <w:marLeft w:val="0"/>
      <w:marRight w:val="0"/>
      <w:marTop w:val="0"/>
      <w:marBottom w:val="0"/>
      <w:divBdr>
        <w:top w:val="none" w:sz="0" w:space="0" w:color="auto"/>
        <w:left w:val="none" w:sz="0" w:space="0" w:color="auto"/>
        <w:bottom w:val="none" w:sz="0" w:space="0" w:color="auto"/>
        <w:right w:val="none" w:sz="0" w:space="0" w:color="auto"/>
      </w:divBdr>
    </w:div>
    <w:div w:id="732777799">
      <w:bodyDiv w:val="1"/>
      <w:marLeft w:val="0"/>
      <w:marRight w:val="0"/>
      <w:marTop w:val="0"/>
      <w:marBottom w:val="0"/>
      <w:divBdr>
        <w:top w:val="none" w:sz="0" w:space="0" w:color="auto"/>
        <w:left w:val="none" w:sz="0" w:space="0" w:color="auto"/>
        <w:bottom w:val="none" w:sz="0" w:space="0" w:color="auto"/>
        <w:right w:val="none" w:sz="0" w:space="0" w:color="auto"/>
      </w:divBdr>
    </w:div>
    <w:div w:id="734741871">
      <w:bodyDiv w:val="1"/>
      <w:marLeft w:val="0"/>
      <w:marRight w:val="0"/>
      <w:marTop w:val="0"/>
      <w:marBottom w:val="0"/>
      <w:divBdr>
        <w:top w:val="none" w:sz="0" w:space="0" w:color="auto"/>
        <w:left w:val="none" w:sz="0" w:space="0" w:color="auto"/>
        <w:bottom w:val="none" w:sz="0" w:space="0" w:color="auto"/>
        <w:right w:val="none" w:sz="0" w:space="0" w:color="auto"/>
      </w:divBdr>
    </w:div>
    <w:div w:id="736394177">
      <w:bodyDiv w:val="1"/>
      <w:marLeft w:val="0"/>
      <w:marRight w:val="0"/>
      <w:marTop w:val="0"/>
      <w:marBottom w:val="0"/>
      <w:divBdr>
        <w:top w:val="none" w:sz="0" w:space="0" w:color="auto"/>
        <w:left w:val="none" w:sz="0" w:space="0" w:color="auto"/>
        <w:bottom w:val="none" w:sz="0" w:space="0" w:color="auto"/>
        <w:right w:val="none" w:sz="0" w:space="0" w:color="auto"/>
      </w:divBdr>
    </w:div>
    <w:div w:id="739795613">
      <w:bodyDiv w:val="1"/>
      <w:marLeft w:val="0"/>
      <w:marRight w:val="0"/>
      <w:marTop w:val="0"/>
      <w:marBottom w:val="0"/>
      <w:divBdr>
        <w:top w:val="none" w:sz="0" w:space="0" w:color="auto"/>
        <w:left w:val="none" w:sz="0" w:space="0" w:color="auto"/>
        <w:bottom w:val="none" w:sz="0" w:space="0" w:color="auto"/>
        <w:right w:val="none" w:sz="0" w:space="0" w:color="auto"/>
      </w:divBdr>
    </w:div>
    <w:div w:id="744378591">
      <w:bodyDiv w:val="1"/>
      <w:marLeft w:val="0"/>
      <w:marRight w:val="0"/>
      <w:marTop w:val="0"/>
      <w:marBottom w:val="0"/>
      <w:divBdr>
        <w:top w:val="none" w:sz="0" w:space="0" w:color="auto"/>
        <w:left w:val="none" w:sz="0" w:space="0" w:color="auto"/>
        <w:bottom w:val="none" w:sz="0" w:space="0" w:color="auto"/>
        <w:right w:val="none" w:sz="0" w:space="0" w:color="auto"/>
      </w:divBdr>
    </w:div>
    <w:div w:id="748036289">
      <w:bodyDiv w:val="1"/>
      <w:marLeft w:val="0"/>
      <w:marRight w:val="0"/>
      <w:marTop w:val="0"/>
      <w:marBottom w:val="0"/>
      <w:divBdr>
        <w:top w:val="none" w:sz="0" w:space="0" w:color="auto"/>
        <w:left w:val="none" w:sz="0" w:space="0" w:color="auto"/>
        <w:bottom w:val="none" w:sz="0" w:space="0" w:color="auto"/>
        <w:right w:val="none" w:sz="0" w:space="0" w:color="auto"/>
      </w:divBdr>
    </w:div>
    <w:div w:id="759254197">
      <w:bodyDiv w:val="1"/>
      <w:marLeft w:val="0"/>
      <w:marRight w:val="0"/>
      <w:marTop w:val="0"/>
      <w:marBottom w:val="0"/>
      <w:divBdr>
        <w:top w:val="none" w:sz="0" w:space="0" w:color="auto"/>
        <w:left w:val="none" w:sz="0" w:space="0" w:color="auto"/>
        <w:bottom w:val="none" w:sz="0" w:space="0" w:color="auto"/>
        <w:right w:val="none" w:sz="0" w:space="0" w:color="auto"/>
      </w:divBdr>
    </w:div>
    <w:div w:id="760495538">
      <w:bodyDiv w:val="1"/>
      <w:marLeft w:val="0"/>
      <w:marRight w:val="0"/>
      <w:marTop w:val="0"/>
      <w:marBottom w:val="0"/>
      <w:divBdr>
        <w:top w:val="none" w:sz="0" w:space="0" w:color="auto"/>
        <w:left w:val="none" w:sz="0" w:space="0" w:color="auto"/>
        <w:bottom w:val="none" w:sz="0" w:space="0" w:color="auto"/>
        <w:right w:val="none" w:sz="0" w:space="0" w:color="auto"/>
      </w:divBdr>
    </w:div>
    <w:div w:id="761608273">
      <w:bodyDiv w:val="1"/>
      <w:marLeft w:val="0"/>
      <w:marRight w:val="0"/>
      <w:marTop w:val="0"/>
      <w:marBottom w:val="0"/>
      <w:divBdr>
        <w:top w:val="none" w:sz="0" w:space="0" w:color="auto"/>
        <w:left w:val="none" w:sz="0" w:space="0" w:color="auto"/>
        <w:bottom w:val="none" w:sz="0" w:space="0" w:color="auto"/>
        <w:right w:val="none" w:sz="0" w:space="0" w:color="auto"/>
      </w:divBdr>
    </w:div>
    <w:div w:id="763575309">
      <w:bodyDiv w:val="1"/>
      <w:marLeft w:val="0"/>
      <w:marRight w:val="0"/>
      <w:marTop w:val="0"/>
      <w:marBottom w:val="0"/>
      <w:divBdr>
        <w:top w:val="none" w:sz="0" w:space="0" w:color="auto"/>
        <w:left w:val="none" w:sz="0" w:space="0" w:color="auto"/>
        <w:bottom w:val="none" w:sz="0" w:space="0" w:color="auto"/>
        <w:right w:val="none" w:sz="0" w:space="0" w:color="auto"/>
      </w:divBdr>
    </w:div>
    <w:div w:id="763769229">
      <w:bodyDiv w:val="1"/>
      <w:marLeft w:val="0"/>
      <w:marRight w:val="0"/>
      <w:marTop w:val="0"/>
      <w:marBottom w:val="0"/>
      <w:divBdr>
        <w:top w:val="none" w:sz="0" w:space="0" w:color="auto"/>
        <w:left w:val="none" w:sz="0" w:space="0" w:color="auto"/>
        <w:bottom w:val="none" w:sz="0" w:space="0" w:color="auto"/>
        <w:right w:val="none" w:sz="0" w:space="0" w:color="auto"/>
      </w:divBdr>
    </w:div>
    <w:div w:id="767313212">
      <w:bodyDiv w:val="1"/>
      <w:marLeft w:val="0"/>
      <w:marRight w:val="0"/>
      <w:marTop w:val="0"/>
      <w:marBottom w:val="0"/>
      <w:divBdr>
        <w:top w:val="none" w:sz="0" w:space="0" w:color="auto"/>
        <w:left w:val="none" w:sz="0" w:space="0" w:color="auto"/>
        <w:bottom w:val="none" w:sz="0" w:space="0" w:color="auto"/>
        <w:right w:val="none" w:sz="0" w:space="0" w:color="auto"/>
      </w:divBdr>
    </w:div>
    <w:div w:id="767896778">
      <w:bodyDiv w:val="1"/>
      <w:marLeft w:val="0"/>
      <w:marRight w:val="0"/>
      <w:marTop w:val="0"/>
      <w:marBottom w:val="0"/>
      <w:divBdr>
        <w:top w:val="none" w:sz="0" w:space="0" w:color="auto"/>
        <w:left w:val="none" w:sz="0" w:space="0" w:color="auto"/>
        <w:bottom w:val="none" w:sz="0" w:space="0" w:color="auto"/>
        <w:right w:val="none" w:sz="0" w:space="0" w:color="auto"/>
      </w:divBdr>
    </w:div>
    <w:div w:id="769156755">
      <w:bodyDiv w:val="1"/>
      <w:marLeft w:val="0"/>
      <w:marRight w:val="0"/>
      <w:marTop w:val="0"/>
      <w:marBottom w:val="0"/>
      <w:divBdr>
        <w:top w:val="none" w:sz="0" w:space="0" w:color="auto"/>
        <w:left w:val="none" w:sz="0" w:space="0" w:color="auto"/>
        <w:bottom w:val="none" w:sz="0" w:space="0" w:color="auto"/>
        <w:right w:val="none" w:sz="0" w:space="0" w:color="auto"/>
      </w:divBdr>
    </w:div>
    <w:div w:id="771441831">
      <w:bodyDiv w:val="1"/>
      <w:marLeft w:val="0"/>
      <w:marRight w:val="0"/>
      <w:marTop w:val="0"/>
      <w:marBottom w:val="0"/>
      <w:divBdr>
        <w:top w:val="none" w:sz="0" w:space="0" w:color="auto"/>
        <w:left w:val="none" w:sz="0" w:space="0" w:color="auto"/>
        <w:bottom w:val="none" w:sz="0" w:space="0" w:color="auto"/>
        <w:right w:val="none" w:sz="0" w:space="0" w:color="auto"/>
      </w:divBdr>
    </w:div>
    <w:div w:id="771896606">
      <w:bodyDiv w:val="1"/>
      <w:marLeft w:val="0"/>
      <w:marRight w:val="0"/>
      <w:marTop w:val="0"/>
      <w:marBottom w:val="0"/>
      <w:divBdr>
        <w:top w:val="none" w:sz="0" w:space="0" w:color="auto"/>
        <w:left w:val="none" w:sz="0" w:space="0" w:color="auto"/>
        <w:bottom w:val="none" w:sz="0" w:space="0" w:color="auto"/>
        <w:right w:val="none" w:sz="0" w:space="0" w:color="auto"/>
      </w:divBdr>
    </w:div>
    <w:div w:id="774445850">
      <w:bodyDiv w:val="1"/>
      <w:marLeft w:val="0"/>
      <w:marRight w:val="0"/>
      <w:marTop w:val="0"/>
      <w:marBottom w:val="0"/>
      <w:divBdr>
        <w:top w:val="none" w:sz="0" w:space="0" w:color="auto"/>
        <w:left w:val="none" w:sz="0" w:space="0" w:color="auto"/>
        <w:bottom w:val="none" w:sz="0" w:space="0" w:color="auto"/>
        <w:right w:val="none" w:sz="0" w:space="0" w:color="auto"/>
      </w:divBdr>
    </w:div>
    <w:div w:id="776483242">
      <w:bodyDiv w:val="1"/>
      <w:marLeft w:val="0"/>
      <w:marRight w:val="0"/>
      <w:marTop w:val="0"/>
      <w:marBottom w:val="0"/>
      <w:divBdr>
        <w:top w:val="none" w:sz="0" w:space="0" w:color="auto"/>
        <w:left w:val="none" w:sz="0" w:space="0" w:color="auto"/>
        <w:bottom w:val="none" w:sz="0" w:space="0" w:color="auto"/>
        <w:right w:val="none" w:sz="0" w:space="0" w:color="auto"/>
      </w:divBdr>
    </w:div>
    <w:div w:id="776682529">
      <w:bodyDiv w:val="1"/>
      <w:marLeft w:val="0"/>
      <w:marRight w:val="0"/>
      <w:marTop w:val="0"/>
      <w:marBottom w:val="0"/>
      <w:divBdr>
        <w:top w:val="none" w:sz="0" w:space="0" w:color="auto"/>
        <w:left w:val="none" w:sz="0" w:space="0" w:color="auto"/>
        <w:bottom w:val="none" w:sz="0" w:space="0" w:color="auto"/>
        <w:right w:val="none" w:sz="0" w:space="0" w:color="auto"/>
      </w:divBdr>
    </w:div>
    <w:div w:id="778060871">
      <w:bodyDiv w:val="1"/>
      <w:marLeft w:val="0"/>
      <w:marRight w:val="0"/>
      <w:marTop w:val="0"/>
      <w:marBottom w:val="0"/>
      <w:divBdr>
        <w:top w:val="none" w:sz="0" w:space="0" w:color="auto"/>
        <w:left w:val="none" w:sz="0" w:space="0" w:color="auto"/>
        <w:bottom w:val="none" w:sz="0" w:space="0" w:color="auto"/>
        <w:right w:val="none" w:sz="0" w:space="0" w:color="auto"/>
      </w:divBdr>
    </w:div>
    <w:div w:id="779373602">
      <w:bodyDiv w:val="1"/>
      <w:marLeft w:val="0"/>
      <w:marRight w:val="0"/>
      <w:marTop w:val="0"/>
      <w:marBottom w:val="0"/>
      <w:divBdr>
        <w:top w:val="none" w:sz="0" w:space="0" w:color="auto"/>
        <w:left w:val="none" w:sz="0" w:space="0" w:color="auto"/>
        <w:bottom w:val="none" w:sz="0" w:space="0" w:color="auto"/>
        <w:right w:val="none" w:sz="0" w:space="0" w:color="auto"/>
      </w:divBdr>
    </w:div>
    <w:div w:id="781533106">
      <w:bodyDiv w:val="1"/>
      <w:marLeft w:val="0"/>
      <w:marRight w:val="0"/>
      <w:marTop w:val="0"/>
      <w:marBottom w:val="0"/>
      <w:divBdr>
        <w:top w:val="none" w:sz="0" w:space="0" w:color="auto"/>
        <w:left w:val="none" w:sz="0" w:space="0" w:color="auto"/>
        <w:bottom w:val="none" w:sz="0" w:space="0" w:color="auto"/>
        <w:right w:val="none" w:sz="0" w:space="0" w:color="auto"/>
      </w:divBdr>
    </w:div>
    <w:div w:id="784272848">
      <w:bodyDiv w:val="1"/>
      <w:marLeft w:val="0"/>
      <w:marRight w:val="0"/>
      <w:marTop w:val="0"/>
      <w:marBottom w:val="0"/>
      <w:divBdr>
        <w:top w:val="none" w:sz="0" w:space="0" w:color="auto"/>
        <w:left w:val="none" w:sz="0" w:space="0" w:color="auto"/>
        <w:bottom w:val="none" w:sz="0" w:space="0" w:color="auto"/>
        <w:right w:val="none" w:sz="0" w:space="0" w:color="auto"/>
      </w:divBdr>
    </w:div>
    <w:div w:id="784885757">
      <w:bodyDiv w:val="1"/>
      <w:marLeft w:val="0"/>
      <w:marRight w:val="0"/>
      <w:marTop w:val="0"/>
      <w:marBottom w:val="0"/>
      <w:divBdr>
        <w:top w:val="none" w:sz="0" w:space="0" w:color="auto"/>
        <w:left w:val="none" w:sz="0" w:space="0" w:color="auto"/>
        <w:bottom w:val="none" w:sz="0" w:space="0" w:color="auto"/>
        <w:right w:val="none" w:sz="0" w:space="0" w:color="auto"/>
      </w:divBdr>
    </w:div>
    <w:div w:id="791871952">
      <w:bodyDiv w:val="1"/>
      <w:marLeft w:val="0"/>
      <w:marRight w:val="0"/>
      <w:marTop w:val="0"/>
      <w:marBottom w:val="0"/>
      <w:divBdr>
        <w:top w:val="none" w:sz="0" w:space="0" w:color="auto"/>
        <w:left w:val="none" w:sz="0" w:space="0" w:color="auto"/>
        <w:bottom w:val="none" w:sz="0" w:space="0" w:color="auto"/>
        <w:right w:val="none" w:sz="0" w:space="0" w:color="auto"/>
      </w:divBdr>
    </w:div>
    <w:div w:id="792209056">
      <w:bodyDiv w:val="1"/>
      <w:marLeft w:val="0"/>
      <w:marRight w:val="0"/>
      <w:marTop w:val="0"/>
      <w:marBottom w:val="0"/>
      <w:divBdr>
        <w:top w:val="none" w:sz="0" w:space="0" w:color="auto"/>
        <w:left w:val="none" w:sz="0" w:space="0" w:color="auto"/>
        <w:bottom w:val="none" w:sz="0" w:space="0" w:color="auto"/>
        <w:right w:val="none" w:sz="0" w:space="0" w:color="auto"/>
      </w:divBdr>
    </w:div>
    <w:div w:id="797452127">
      <w:bodyDiv w:val="1"/>
      <w:marLeft w:val="0"/>
      <w:marRight w:val="0"/>
      <w:marTop w:val="0"/>
      <w:marBottom w:val="0"/>
      <w:divBdr>
        <w:top w:val="none" w:sz="0" w:space="0" w:color="auto"/>
        <w:left w:val="none" w:sz="0" w:space="0" w:color="auto"/>
        <w:bottom w:val="none" w:sz="0" w:space="0" w:color="auto"/>
        <w:right w:val="none" w:sz="0" w:space="0" w:color="auto"/>
      </w:divBdr>
    </w:div>
    <w:div w:id="801002438">
      <w:bodyDiv w:val="1"/>
      <w:marLeft w:val="0"/>
      <w:marRight w:val="0"/>
      <w:marTop w:val="0"/>
      <w:marBottom w:val="0"/>
      <w:divBdr>
        <w:top w:val="none" w:sz="0" w:space="0" w:color="auto"/>
        <w:left w:val="none" w:sz="0" w:space="0" w:color="auto"/>
        <w:bottom w:val="none" w:sz="0" w:space="0" w:color="auto"/>
        <w:right w:val="none" w:sz="0" w:space="0" w:color="auto"/>
      </w:divBdr>
    </w:div>
    <w:div w:id="803042868">
      <w:bodyDiv w:val="1"/>
      <w:marLeft w:val="0"/>
      <w:marRight w:val="0"/>
      <w:marTop w:val="0"/>
      <w:marBottom w:val="0"/>
      <w:divBdr>
        <w:top w:val="none" w:sz="0" w:space="0" w:color="auto"/>
        <w:left w:val="none" w:sz="0" w:space="0" w:color="auto"/>
        <w:bottom w:val="none" w:sz="0" w:space="0" w:color="auto"/>
        <w:right w:val="none" w:sz="0" w:space="0" w:color="auto"/>
      </w:divBdr>
    </w:div>
    <w:div w:id="805272297">
      <w:bodyDiv w:val="1"/>
      <w:marLeft w:val="0"/>
      <w:marRight w:val="0"/>
      <w:marTop w:val="0"/>
      <w:marBottom w:val="0"/>
      <w:divBdr>
        <w:top w:val="none" w:sz="0" w:space="0" w:color="auto"/>
        <w:left w:val="none" w:sz="0" w:space="0" w:color="auto"/>
        <w:bottom w:val="none" w:sz="0" w:space="0" w:color="auto"/>
        <w:right w:val="none" w:sz="0" w:space="0" w:color="auto"/>
      </w:divBdr>
    </w:div>
    <w:div w:id="807090906">
      <w:bodyDiv w:val="1"/>
      <w:marLeft w:val="0"/>
      <w:marRight w:val="0"/>
      <w:marTop w:val="0"/>
      <w:marBottom w:val="0"/>
      <w:divBdr>
        <w:top w:val="none" w:sz="0" w:space="0" w:color="auto"/>
        <w:left w:val="none" w:sz="0" w:space="0" w:color="auto"/>
        <w:bottom w:val="none" w:sz="0" w:space="0" w:color="auto"/>
        <w:right w:val="none" w:sz="0" w:space="0" w:color="auto"/>
      </w:divBdr>
    </w:div>
    <w:div w:id="808479251">
      <w:bodyDiv w:val="1"/>
      <w:marLeft w:val="0"/>
      <w:marRight w:val="0"/>
      <w:marTop w:val="0"/>
      <w:marBottom w:val="0"/>
      <w:divBdr>
        <w:top w:val="none" w:sz="0" w:space="0" w:color="auto"/>
        <w:left w:val="none" w:sz="0" w:space="0" w:color="auto"/>
        <w:bottom w:val="none" w:sz="0" w:space="0" w:color="auto"/>
        <w:right w:val="none" w:sz="0" w:space="0" w:color="auto"/>
      </w:divBdr>
    </w:div>
    <w:div w:id="808597599">
      <w:bodyDiv w:val="1"/>
      <w:marLeft w:val="0"/>
      <w:marRight w:val="0"/>
      <w:marTop w:val="0"/>
      <w:marBottom w:val="0"/>
      <w:divBdr>
        <w:top w:val="none" w:sz="0" w:space="0" w:color="auto"/>
        <w:left w:val="none" w:sz="0" w:space="0" w:color="auto"/>
        <w:bottom w:val="none" w:sz="0" w:space="0" w:color="auto"/>
        <w:right w:val="none" w:sz="0" w:space="0" w:color="auto"/>
      </w:divBdr>
    </w:div>
    <w:div w:id="809401015">
      <w:bodyDiv w:val="1"/>
      <w:marLeft w:val="0"/>
      <w:marRight w:val="0"/>
      <w:marTop w:val="0"/>
      <w:marBottom w:val="0"/>
      <w:divBdr>
        <w:top w:val="none" w:sz="0" w:space="0" w:color="auto"/>
        <w:left w:val="none" w:sz="0" w:space="0" w:color="auto"/>
        <w:bottom w:val="none" w:sz="0" w:space="0" w:color="auto"/>
        <w:right w:val="none" w:sz="0" w:space="0" w:color="auto"/>
      </w:divBdr>
    </w:div>
    <w:div w:id="809598004">
      <w:bodyDiv w:val="1"/>
      <w:marLeft w:val="0"/>
      <w:marRight w:val="0"/>
      <w:marTop w:val="0"/>
      <w:marBottom w:val="0"/>
      <w:divBdr>
        <w:top w:val="none" w:sz="0" w:space="0" w:color="auto"/>
        <w:left w:val="none" w:sz="0" w:space="0" w:color="auto"/>
        <w:bottom w:val="none" w:sz="0" w:space="0" w:color="auto"/>
        <w:right w:val="none" w:sz="0" w:space="0" w:color="auto"/>
      </w:divBdr>
    </w:div>
    <w:div w:id="813373655">
      <w:bodyDiv w:val="1"/>
      <w:marLeft w:val="0"/>
      <w:marRight w:val="0"/>
      <w:marTop w:val="0"/>
      <w:marBottom w:val="0"/>
      <w:divBdr>
        <w:top w:val="none" w:sz="0" w:space="0" w:color="auto"/>
        <w:left w:val="none" w:sz="0" w:space="0" w:color="auto"/>
        <w:bottom w:val="none" w:sz="0" w:space="0" w:color="auto"/>
        <w:right w:val="none" w:sz="0" w:space="0" w:color="auto"/>
      </w:divBdr>
    </w:div>
    <w:div w:id="813563951">
      <w:bodyDiv w:val="1"/>
      <w:marLeft w:val="0"/>
      <w:marRight w:val="0"/>
      <w:marTop w:val="0"/>
      <w:marBottom w:val="0"/>
      <w:divBdr>
        <w:top w:val="none" w:sz="0" w:space="0" w:color="auto"/>
        <w:left w:val="none" w:sz="0" w:space="0" w:color="auto"/>
        <w:bottom w:val="none" w:sz="0" w:space="0" w:color="auto"/>
        <w:right w:val="none" w:sz="0" w:space="0" w:color="auto"/>
      </w:divBdr>
    </w:div>
    <w:div w:id="815877272">
      <w:bodyDiv w:val="1"/>
      <w:marLeft w:val="0"/>
      <w:marRight w:val="0"/>
      <w:marTop w:val="0"/>
      <w:marBottom w:val="0"/>
      <w:divBdr>
        <w:top w:val="none" w:sz="0" w:space="0" w:color="auto"/>
        <w:left w:val="none" w:sz="0" w:space="0" w:color="auto"/>
        <w:bottom w:val="none" w:sz="0" w:space="0" w:color="auto"/>
        <w:right w:val="none" w:sz="0" w:space="0" w:color="auto"/>
      </w:divBdr>
    </w:div>
    <w:div w:id="816075362">
      <w:bodyDiv w:val="1"/>
      <w:marLeft w:val="0"/>
      <w:marRight w:val="0"/>
      <w:marTop w:val="0"/>
      <w:marBottom w:val="0"/>
      <w:divBdr>
        <w:top w:val="none" w:sz="0" w:space="0" w:color="auto"/>
        <w:left w:val="none" w:sz="0" w:space="0" w:color="auto"/>
        <w:bottom w:val="none" w:sz="0" w:space="0" w:color="auto"/>
        <w:right w:val="none" w:sz="0" w:space="0" w:color="auto"/>
      </w:divBdr>
    </w:div>
    <w:div w:id="817379497">
      <w:bodyDiv w:val="1"/>
      <w:marLeft w:val="0"/>
      <w:marRight w:val="0"/>
      <w:marTop w:val="0"/>
      <w:marBottom w:val="0"/>
      <w:divBdr>
        <w:top w:val="none" w:sz="0" w:space="0" w:color="auto"/>
        <w:left w:val="none" w:sz="0" w:space="0" w:color="auto"/>
        <w:bottom w:val="none" w:sz="0" w:space="0" w:color="auto"/>
        <w:right w:val="none" w:sz="0" w:space="0" w:color="auto"/>
      </w:divBdr>
    </w:div>
    <w:div w:id="821699354">
      <w:bodyDiv w:val="1"/>
      <w:marLeft w:val="0"/>
      <w:marRight w:val="0"/>
      <w:marTop w:val="0"/>
      <w:marBottom w:val="0"/>
      <w:divBdr>
        <w:top w:val="none" w:sz="0" w:space="0" w:color="auto"/>
        <w:left w:val="none" w:sz="0" w:space="0" w:color="auto"/>
        <w:bottom w:val="none" w:sz="0" w:space="0" w:color="auto"/>
        <w:right w:val="none" w:sz="0" w:space="0" w:color="auto"/>
      </w:divBdr>
    </w:div>
    <w:div w:id="826021278">
      <w:bodyDiv w:val="1"/>
      <w:marLeft w:val="0"/>
      <w:marRight w:val="0"/>
      <w:marTop w:val="0"/>
      <w:marBottom w:val="0"/>
      <w:divBdr>
        <w:top w:val="none" w:sz="0" w:space="0" w:color="auto"/>
        <w:left w:val="none" w:sz="0" w:space="0" w:color="auto"/>
        <w:bottom w:val="none" w:sz="0" w:space="0" w:color="auto"/>
        <w:right w:val="none" w:sz="0" w:space="0" w:color="auto"/>
      </w:divBdr>
    </w:div>
    <w:div w:id="826550386">
      <w:bodyDiv w:val="1"/>
      <w:marLeft w:val="0"/>
      <w:marRight w:val="0"/>
      <w:marTop w:val="0"/>
      <w:marBottom w:val="0"/>
      <w:divBdr>
        <w:top w:val="none" w:sz="0" w:space="0" w:color="auto"/>
        <w:left w:val="none" w:sz="0" w:space="0" w:color="auto"/>
        <w:bottom w:val="none" w:sz="0" w:space="0" w:color="auto"/>
        <w:right w:val="none" w:sz="0" w:space="0" w:color="auto"/>
      </w:divBdr>
    </w:div>
    <w:div w:id="826631927">
      <w:bodyDiv w:val="1"/>
      <w:marLeft w:val="0"/>
      <w:marRight w:val="0"/>
      <w:marTop w:val="0"/>
      <w:marBottom w:val="0"/>
      <w:divBdr>
        <w:top w:val="none" w:sz="0" w:space="0" w:color="auto"/>
        <w:left w:val="none" w:sz="0" w:space="0" w:color="auto"/>
        <w:bottom w:val="none" w:sz="0" w:space="0" w:color="auto"/>
        <w:right w:val="none" w:sz="0" w:space="0" w:color="auto"/>
      </w:divBdr>
    </w:div>
    <w:div w:id="827524821">
      <w:bodyDiv w:val="1"/>
      <w:marLeft w:val="0"/>
      <w:marRight w:val="0"/>
      <w:marTop w:val="0"/>
      <w:marBottom w:val="0"/>
      <w:divBdr>
        <w:top w:val="none" w:sz="0" w:space="0" w:color="auto"/>
        <w:left w:val="none" w:sz="0" w:space="0" w:color="auto"/>
        <w:bottom w:val="none" w:sz="0" w:space="0" w:color="auto"/>
        <w:right w:val="none" w:sz="0" w:space="0" w:color="auto"/>
      </w:divBdr>
    </w:div>
    <w:div w:id="828252596">
      <w:bodyDiv w:val="1"/>
      <w:marLeft w:val="0"/>
      <w:marRight w:val="0"/>
      <w:marTop w:val="0"/>
      <w:marBottom w:val="0"/>
      <w:divBdr>
        <w:top w:val="none" w:sz="0" w:space="0" w:color="auto"/>
        <w:left w:val="none" w:sz="0" w:space="0" w:color="auto"/>
        <w:bottom w:val="none" w:sz="0" w:space="0" w:color="auto"/>
        <w:right w:val="none" w:sz="0" w:space="0" w:color="auto"/>
      </w:divBdr>
    </w:div>
    <w:div w:id="828790704">
      <w:bodyDiv w:val="1"/>
      <w:marLeft w:val="0"/>
      <w:marRight w:val="0"/>
      <w:marTop w:val="0"/>
      <w:marBottom w:val="0"/>
      <w:divBdr>
        <w:top w:val="none" w:sz="0" w:space="0" w:color="auto"/>
        <w:left w:val="none" w:sz="0" w:space="0" w:color="auto"/>
        <w:bottom w:val="none" w:sz="0" w:space="0" w:color="auto"/>
        <w:right w:val="none" w:sz="0" w:space="0" w:color="auto"/>
      </w:divBdr>
    </w:div>
    <w:div w:id="830023162">
      <w:bodyDiv w:val="1"/>
      <w:marLeft w:val="0"/>
      <w:marRight w:val="0"/>
      <w:marTop w:val="0"/>
      <w:marBottom w:val="0"/>
      <w:divBdr>
        <w:top w:val="none" w:sz="0" w:space="0" w:color="auto"/>
        <w:left w:val="none" w:sz="0" w:space="0" w:color="auto"/>
        <w:bottom w:val="none" w:sz="0" w:space="0" w:color="auto"/>
        <w:right w:val="none" w:sz="0" w:space="0" w:color="auto"/>
      </w:divBdr>
    </w:div>
    <w:div w:id="835413390">
      <w:bodyDiv w:val="1"/>
      <w:marLeft w:val="0"/>
      <w:marRight w:val="0"/>
      <w:marTop w:val="0"/>
      <w:marBottom w:val="0"/>
      <w:divBdr>
        <w:top w:val="none" w:sz="0" w:space="0" w:color="auto"/>
        <w:left w:val="none" w:sz="0" w:space="0" w:color="auto"/>
        <w:bottom w:val="none" w:sz="0" w:space="0" w:color="auto"/>
        <w:right w:val="none" w:sz="0" w:space="0" w:color="auto"/>
      </w:divBdr>
    </w:div>
    <w:div w:id="836188648">
      <w:bodyDiv w:val="1"/>
      <w:marLeft w:val="0"/>
      <w:marRight w:val="0"/>
      <w:marTop w:val="0"/>
      <w:marBottom w:val="0"/>
      <w:divBdr>
        <w:top w:val="none" w:sz="0" w:space="0" w:color="auto"/>
        <w:left w:val="none" w:sz="0" w:space="0" w:color="auto"/>
        <w:bottom w:val="none" w:sz="0" w:space="0" w:color="auto"/>
        <w:right w:val="none" w:sz="0" w:space="0" w:color="auto"/>
      </w:divBdr>
    </w:div>
    <w:div w:id="838039015">
      <w:bodyDiv w:val="1"/>
      <w:marLeft w:val="0"/>
      <w:marRight w:val="0"/>
      <w:marTop w:val="0"/>
      <w:marBottom w:val="0"/>
      <w:divBdr>
        <w:top w:val="none" w:sz="0" w:space="0" w:color="auto"/>
        <w:left w:val="none" w:sz="0" w:space="0" w:color="auto"/>
        <w:bottom w:val="none" w:sz="0" w:space="0" w:color="auto"/>
        <w:right w:val="none" w:sz="0" w:space="0" w:color="auto"/>
      </w:divBdr>
    </w:div>
    <w:div w:id="841893309">
      <w:bodyDiv w:val="1"/>
      <w:marLeft w:val="0"/>
      <w:marRight w:val="0"/>
      <w:marTop w:val="0"/>
      <w:marBottom w:val="0"/>
      <w:divBdr>
        <w:top w:val="none" w:sz="0" w:space="0" w:color="auto"/>
        <w:left w:val="none" w:sz="0" w:space="0" w:color="auto"/>
        <w:bottom w:val="none" w:sz="0" w:space="0" w:color="auto"/>
        <w:right w:val="none" w:sz="0" w:space="0" w:color="auto"/>
      </w:divBdr>
    </w:div>
    <w:div w:id="842470904">
      <w:bodyDiv w:val="1"/>
      <w:marLeft w:val="0"/>
      <w:marRight w:val="0"/>
      <w:marTop w:val="0"/>
      <w:marBottom w:val="0"/>
      <w:divBdr>
        <w:top w:val="none" w:sz="0" w:space="0" w:color="auto"/>
        <w:left w:val="none" w:sz="0" w:space="0" w:color="auto"/>
        <w:bottom w:val="none" w:sz="0" w:space="0" w:color="auto"/>
        <w:right w:val="none" w:sz="0" w:space="0" w:color="auto"/>
      </w:divBdr>
    </w:div>
    <w:div w:id="843596377">
      <w:bodyDiv w:val="1"/>
      <w:marLeft w:val="0"/>
      <w:marRight w:val="0"/>
      <w:marTop w:val="0"/>
      <w:marBottom w:val="0"/>
      <w:divBdr>
        <w:top w:val="none" w:sz="0" w:space="0" w:color="auto"/>
        <w:left w:val="none" w:sz="0" w:space="0" w:color="auto"/>
        <w:bottom w:val="none" w:sz="0" w:space="0" w:color="auto"/>
        <w:right w:val="none" w:sz="0" w:space="0" w:color="auto"/>
      </w:divBdr>
    </w:div>
    <w:div w:id="851184994">
      <w:bodyDiv w:val="1"/>
      <w:marLeft w:val="0"/>
      <w:marRight w:val="0"/>
      <w:marTop w:val="0"/>
      <w:marBottom w:val="0"/>
      <w:divBdr>
        <w:top w:val="none" w:sz="0" w:space="0" w:color="auto"/>
        <w:left w:val="none" w:sz="0" w:space="0" w:color="auto"/>
        <w:bottom w:val="none" w:sz="0" w:space="0" w:color="auto"/>
        <w:right w:val="none" w:sz="0" w:space="0" w:color="auto"/>
      </w:divBdr>
    </w:div>
    <w:div w:id="858854688">
      <w:bodyDiv w:val="1"/>
      <w:marLeft w:val="0"/>
      <w:marRight w:val="0"/>
      <w:marTop w:val="0"/>
      <w:marBottom w:val="0"/>
      <w:divBdr>
        <w:top w:val="none" w:sz="0" w:space="0" w:color="auto"/>
        <w:left w:val="none" w:sz="0" w:space="0" w:color="auto"/>
        <w:bottom w:val="none" w:sz="0" w:space="0" w:color="auto"/>
        <w:right w:val="none" w:sz="0" w:space="0" w:color="auto"/>
      </w:divBdr>
    </w:div>
    <w:div w:id="867107736">
      <w:bodyDiv w:val="1"/>
      <w:marLeft w:val="0"/>
      <w:marRight w:val="0"/>
      <w:marTop w:val="0"/>
      <w:marBottom w:val="0"/>
      <w:divBdr>
        <w:top w:val="none" w:sz="0" w:space="0" w:color="auto"/>
        <w:left w:val="none" w:sz="0" w:space="0" w:color="auto"/>
        <w:bottom w:val="none" w:sz="0" w:space="0" w:color="auto"/>
        <w:right w:val="none" w:sz="0" w:space="0" w:color="auto"/>
      </w:divBdr>
    </w:div>
    <w:div w:id="868253177">
      <w:bodyDiv w:val="1"/>
      <w:marLeft w:val="0"/>
      <w:marRight w:val="0"/>
      <w:marTop w:val="0"/>
      <w:marBottom w:val="0"/>
      <w:divBdr>
        <w:top w:val="none" w:sz="0" w:space="0" w:color="auto"/>
        <w:left w:val="none" w:sz="0" w:space="0" w:color="auto"/>
        <w:bottom w:val="none" w:sz="0" w:space="0" w:color="auto"/>
        <w:right w:val="none" w:sz="0" w:space="0" w:color="auto"/>
      </w:divBdr>
    </w:div>
    <w:div w:id="868757061">
      <w:bodyDiv w:val="1"/>
      <w:marLeft w:val="0"/>
      <w:marRight w:val="0"/>
      <w:marTop w:val="0"/>
      <w:marBottom w:val="0"/>
      <w:divBdr>
        <w:top w:val="none" w:sz="0" w:space="0" w:color="auto"/>
        <w:left w:val="none" w:sz="0" w:space="0" w:color="auto"/>
        <w:bottom w:val="none" w:sz="0" w:space="0" w:color="auto"/>
        <w:right w:val="none" w:sz="0" w:space="0" w:color="auto"/>
      </w:divBdr>
    </w:div>
    <w:div w:id="869076741">
      <w:bodyDiv w:val="1"/>
      <w:marLeft w:val="0"/>
      <w:marRight w:val="0"/>
      <w:marTop w:val="0"/>
      <w:marBottom w:val="0"/>
      <w:divBdr>
        <w:top w:val="none" w:sz="0" w:space="0" w:color="auto"/>
        <w:left w:val="none" w:sz="0" w:space="0" w:color="auto"/>
        <w:bottom w:val="none" w:sz="0" w:space="0" w:color="auto"/>
        <w:right w:val="none" w:sz="0" w:space="0" w:color="auto"/>
      </w:divBdr>
    </w:div>
    <w:div w:id="869342933">
      <w:bodyDiv w:val="1"/>
      <w:marLeft w:val="0"/>
      <w:marRight w:val="0"/>
      <w:marTop w:val="0"/>
      <w:marBottom w:val="0"/>
      <w:divBdr>
        <w:top w:val="none" w:sz="0" w:space="0" w:color="auto"/>
        <w:left w:val="none" w:sz="0" w:space="0" w:color="auto"/>
        <w:bottom w:val="none" w:sz="0" w:space="0" w:color="auto"/>
        <w:right w:val="none" w:sz="0" w:space="0" w:color="auto"/>
      </w:divBdr>
    </w:div>
    <w:div w:id="870190244">
      <w:bodyDiv w:val="1"/>
      <w:marLeft w:val="0"/>
      <w:marRight w:val="0"/>
      <w:marTop w:val="0"/>
      <w:marBottom w:val="0"/>
      <w:divBdr>
        <w:top w:val="none" w:sz="0" w:space="0" w:color="auto"/>
        <w:left w:val="none" w:sz="0" w:space="0" w:color="auto"/>
        <w:bottom w:val="none" w:sz="0" w:space="0" w:color="auto"/>
        <w:right w:val="none" w:sz="0" w:space="0" w:color="auto"/>
      </w:divBdr>
    </w:div>
    <w:div w:id="872959866">
      <w:bodyDiv w:val="1"/>
      <w:marLeft w:val="0"/>
      <w:marRight w:val="0"/>
      <w:marTop w:val="0"/>
      <w:marBottom w:val="0"/>
      <w:divBdr>
        <w:top w:val="none" w:sz="0" w:space="0" w:color="auto"/>
        <w:left w:val="none" w:sz="0" w:space="0" w:color="auto"/>
        <w:bottom w:val="none" w:sz="0" w:space="0" w:color="auto"/>
        <w:right w:val="none" w:sz="0" w:space="0" w:color="auto"/>
      </w:divBdr>
    </w:div>
    <w:div w:id="875579275">
      <w:bodyDiv w:val="1"/>
      <w:marLeft w:val="0"/>
      <w:marRight w:val="0"/>
      <w:marTop w:val="0"/>
      <w:marBottom w:val="0"/>
      <w:divBdr>
        <w:top w:val="none" w:sz="0" w:space="0" w:color="auto"/>
        <w:left w:val="none" w:sz="0" w:space="0" w:color="auto"/>
        <w:bottom w:val="none" w:sz="0" w:space="0" w:color="auto"/>
        <w:right w:val="none" w:sz="0" w:space="0" w:color="auto"/>
      </w:divBdr>
    </w:div>
    <w:div w:id="877157242">
      <w:bodyDiv w:val="1"/>
      <w:marLeft w:val="0"/>
      <w:marRight w:val="0"/>
      <w:marTop w:val="0"/>
      <w:marBottom w:val="0"/>
      <w:divBdr>
        <w:top w:val="none" w:sz="0" w:space="0" w:color="auto"/>
        <w:left w:val="none" w:sz="0" w:space="0" w:color="auto"/>
        <w:bottom w:val="none" w:sz="0" w:space="0" w:color="auto"/>
        <w:right w:val="none" w:sz="0" w:space="0" w:color="auto"/>
      </w:divBdr>
    </w:div>
    <w:div w:id="877208794">
      <w:bodyDiv w:val="1"/>
      <w:marLeft w:val="0"/>
      <w:marRight w:val="0"/>
      <w:marTop w:val="0"/>
      <w:marBottom w:val="0"/>
      <w:divBdr>
        <w:top w:val="none" w:sz="0" w:space="0" w:color="auto"/>
        <w:left w:val="none" w:sz="0" w:space="0" w:color="auto"/>
        <w:bottom w:val="none" w:sz="0" w:space="0" w:color="auto"/>
        <w:right w:val="none" w:sz="0" w:space="0" w:color="auto"/>
      </w:divBdr>
    </w:div>
    <w:div w:id="877745844">
      <w:bodyDiv w:val="1"/>
      <w:marLeft w:val="0"/>
      <w:marRight w:val="0"/>
      <w:marTop w:val="0"/>
      <w:marBottom w:val="0"/>
      <w:divBdr>
        <w:top w:val="none" w:sz="0" w:space="0" w:color="auto"/>
        <w:left w:val="none" w:sz="0" w:space="0" w:color="auto"/>
        <w:bottom w:val="none" w:sz="0" w:space="0" w:color="auto"/>
        <w:right w:val="none" w:sz="0" w:space="0" w:color="auto"/>
      </w:divBdr>
    </w:div>
    <w:div w:id="882640510">
      <w:bodyDiv w:val="1"/>
      <w:marLeft w:val="0"/>
      <w:marRight w:val="0"/>
      <w:marTop w:val="0"/>
      <w:marBottom w:val="0"/>
      <w:divBdr>
        <w:top w:val="none" w:sz="0" w:space="0" w:color="auto"/>
        <w:left w:val="none" w:sz="0" w:space="0" w:color="auto"/>
        <w:bottom w:val="none" w:sz="0" w:space="0" w:color="auto"/>
        <w:right w:val="none" w:sz="0" w:space="0" w:color="auto"/>
      </w:divBdr>
    </w:div>
    <w:div w:id="889535580">
      <w:bodyDiv w:val="1"/>
      <w:marLeft w:val="0"/>
      <w:marRight w:val="0"/>
      <w:marTop w:val="0"/>
      <w:marBottom w:val="0"/>
      <w:divBdr>
        <w:top w:val="none" w:sz="0" w:space="0" w:color="auto"/>
        <w:left w:val="none" w:sz="0" w:space="0" w:color="auto"/>
        <w:bottom w:val="none" w:sz="0" w:space="0" w:color="auto"/>
        <w:right w:val="none" w:sz="0" w:space="0" w:color="auto"/>
      </w:divBdr>
    </w:div>
    <w:div w:id="892499567">
      <w:bodyDiv w:val="1"/>
      <w:marLeft w:val="0"/>
      <w:marRight w:val="0"/>
      <w:marTop w:val="0"/>
      <w:marBottom w:val="0"/>
      <w:divBdr>
        <w:top w:val="none" w:sz="0" w:space="0" w:color="auto"/>
        <w:left w:val="none" w:sz="0" w:space="0" w:color="auto"/>
        <w:bottom w:val="none" w:sz="0" w:space="0" w:color="auto"/>
        <w:right w:val="none" w:sz="0" w:space="0" w:color="auto"/>
      </w:divBdr>
    </w:div>
    <w:div w:id="893388124">
      <w:bodyDiv w:val="1"/>
      <w:marLeft w:val="0"/>
      <w:marRight w:val="0"/>
      <w:marTop w:val="0"/>
      <w:marBottom w:val="0"/>
      <w:divBdr>
        <w:top w:val="none" w:sz="0" w:space="0" w:color="auto"/>
        <w:left w:val="none" w:sz="0" w:space="0" w:color="auto"/>
        <w:bottom w:val="none" w:sz="0" w:space="0" w:color="auto"/>
        <w:right w:val="none" w:sz="0" w:space="0" w:color="auto"/>
      </w:divBdr>
    </w:div>
    <w:div w:id="895242965">
      <w:bodyDiv w:val="1"/>
      <w:marLeft w:val="0"/>
      <w:marRight w:val="0"/>
      <w:marTop w:val="0"/>
      <w:marBottom w:val="0"/>
      <w:divBdr>
        <w:top w:val="none" w:sz="0" w:space="0" w:color="auto"/>
        <w:left w:val="none" w:sz="0" w:space="0" w:color="auto"/>
        <w:bottom w:val="none" w:sz="0" w:space="0" w:color="auto"/>
        <w:right w:val="none" w:sz="0" w:space="0" w:color="auto"/>
      </w:divBdr>
    </w:div>
    <w:div w:id="895507219">
      <w:bodyDiv w:val="1"/>
      <w:marLeft w:val="0"/>
      <w:marRight w:val="0"/>
      <w:marTop w:val="0"/>
      <w:marBottom w:val="0"/>
      <w:divBdr>
        <w:top w:val="none" w:sz="0" w:space="0" w:color="auto"/>
        <w:left w:val="none" w:sz="0" w:space="0" w:color="auto"/>
        <w:bottom w:val="none" w:sz="0" w:space="0" w:color="auto"/>
        <w:right w:val="none" w:sz="0" w:space="0" w:color="auto"/>
      </w:divBdr>
    </w:div>
    <w:div w:id="895513680">
      <w:bodyDiv w:val="1"/>
      <w:marLeft w:val="0"/>
      <w:marRight w:val="0"/>
      <w:marTop w:val="0"/>
      <w:marBottom w:val="0"/>
      <w:divBdr>
        <w:top w:val="none" w:sz="0" w:space="0" w:color="auto"/>
        <w:left w:val="none" w:sz="0" w:space="0" w:color="auto"/>
        <w:bottom w:val="none" w:sz="0" w:space="0" w:color="auto"/>
        <w:right w:val="none" w:sz="0" w:space="0" w:color="auto"/>
      </w:divBdr>
    </w:div>
    <w:div w:id="897978302">
      <w:bodyDiv w:val="1"/>
      <w:marLeft w:val="0"/>
      <w:marRight w:val="0"/>
      <w:marTop w:val="0"/>
      <w:marBottom w:val="0"/>
      <w:divBdr>
        <w:top w:val="none" w:sz="0" w:space="0" w:color="auto"/>
        <w:left w:val="none" w:sz="0" w:space="0" w:color="auto"/>
        <w:bottom w:val="none" w:sz="0" w:space="0" w:color="auto"/>
        <w:right w:val="none" w:sz="0" w:space="0" w:color="auto"/>
      </w:divBdr>
    </w:div>
    <w:div w:id="899174046">
      <w:bodyDiv w:val="1"/>
      <w:marLeft w:val="0"/>
      <w:marRight w:val="0"/>
      <w:marTop w:val="0"/>
      <w:marBottom w:val="0"/>
      <w:divBdr>
        <w:top w:val="none" w:sz="0" w:space="0" w:color="auto"/>
        <w:left w:val="none" w:sz="0" w:space="0" w:color="auto"/>
        <w:bottom w:val="none" w:sz="0" w:space="0" w:color="auto"/>
        <w:right w:val="none" w:sz="0" w:space="0" w:color="auto"/>
      </w:divBdr>
    </w:div>
    <w:div w:id="900866965">
      <w:bodyDiv w:val="1"/>
      <w:marLeft w:val="0"/>
      <w:marRight w:val="0"/>
      <w:marTop w:val="0"/>
      <w:marBottom w:val="0"/>
      <w:divBdr>
        <w:top w:val="none" w:sz="0" w:space="0" w:color="auto"/>
        <w:left w:val="none" w:sz="0" w:space="0" w:color="auto"/>
        <w:bottom w:val="none" w:sz="0" w:space="0" w:color="auto"/>
        <w:right w:val="none" w:sz="0" w:space="0" w:color="auto"/>
      </w:divBdr>
    </w:div>
    <w:div w:id="901259257">
      <w:bodyDiv w:val="1"/>
      <w:marLeft w:val="0"/>
      <w:marRight w:val="0"/>
      <w:marTop w:val="0"/>
      <w:marBottom w:val="0"/>
      <w:divBdr>
        <w:top w:val="none" w:sz="0" w:space="0" w:color="auto"/>
        <w:left w:val="none" w:sz="0" w:space="0" w:color="auto"/>
        <w:bottom w:val="none" w:sz="0" w:space="0" w:color="auto"/>
        <w:right w:val="none" w:sz="0" w:space="0" w:color="auto"/>
      </w:divBdr>
    </w:div>
    <w:div w:id="901866438">
      <w:bodyDiv w:val="1"/>
      <w:marLeft w:val="0"/>
      <w:marRight w:val="0"/>
      <w:marTop w:val="0"/>
      <w:marBottom w:val="0"/>
      <w:divBdr>
        <w:top w:val="none" w:sz="0" w:space="0" w:color="auto"/>
        <w:left w:val="none" w:sz="0" w:space="0" w:color="auto"/>
        <w:bottom w:val="none" w:sz="0" w:space="0" w:color="auto"/>
        <w:right w:val="none" w:sz="0" w:space="0" w:color="auto"/>
      </w:divBdr>
    </w:div>
    <w:div w:id="906232083">
      <w:bodyDiv w:val="1"/>
      <w:marLeft w:val="0"/>
      <w:marRight w:val="0"/>
      <w:marTop w:val="0"/>
      <w:marBottom w:val="0"/>
      <w:divBdr>
        <w:top w:val="none" w:sz="0" w:space="0" w:color="auto"/>
        <w:left w:val="none" w:sz="0" w:space="0" w:color="auto"/>
        <w:bottom w:val="none" w:sz="0" w:space="0" w:color="auto"/>
        <w:right w:val="none" w:sz="0" w:space="0" w:color="auto"/>
      </w:divBdr>
    </w:div>
    <w:div w:id="906692503">
      <w:bodyDiv w:val="1"/>
      <w:marLeft w:val="0"/>
      <w:marRight w:val="0"/>
      <w:marTop w:val="0"/>
      <w:marBottom w:val="0"/>
      <w:divBdr>
        <w:top w:val="none" w:sz="0" w:space="0" w:color="auto"/>
        <w:left w:val="none" w:sz="0" w:space="0" w:color="auto"/>
        <w:bottom w:val="none" w:sz="0" w:space="0" w:color="auto"/>
        <w:right w:val="none" w:sz="0" w:space="0" w:color="auto"/>
      </w:divBdr>
    </w:div>
    <w:div w:id="906844101">
      <w:bodyDiv w:val="1"/>
      <w:marLeft w:val="0"/>
      <w:marRight w:val="0"/>
      <w:marTop w:val="0"/>
      <w:marBottom w:val="0"/>
      <w:divBdr>
        <w:top w:val="none" w:sz="0" w:space="0" w:color="auto"/>
        <w:left w:val="none" w:sz="0" w:space="0" w:color="auto"/>
        <w:bottom w:val="none" w:sz="0" w:space="0" w:color="auto"/>
        <w:right w:val="none" w:sz="0" w:space="0" w:color="auto"/>
      </w:divBdr>
    </w:div>
    <w:div w:id="909656140">
      <w:bodyDiv w:val="1"/>
      <w:marLeft w:val="0"/>
      <w:marRight w:val="0"/>
      <w:marTop w:val="0"/>
      <w:marBottom w:val="0"/>
      <w:divBdr>
        <w:top w:val="none" w:sz="0" w:space="0" w:color="auto"/>
        <w:left w:val="none" w:sz="0" w:space="0" w:color="auto"/>
        <w:bottom w:val="none" w:sz="0" w:space="0" w:color="auto"/>
        <w:right w:val="none" w:sz="0" w:space="0" w:color="auto"/>
      </w:divBdr>
    </w:div>
    <w:div w:id="916551617">
      <w:bodyDiv w:val="1"/>
      <w:marLeft w:val="0"/>
      <w:marRight w:val="0"/>
      <w:marTop w:val="0"/>
      <w:marBottom w:val="0"/>
      <w:divBdr>
        <w:top w:val="none" w:sz="0" w:space="0" w:color="auto"/>
        <w:left w:val="none" w:sz="0" w:space="0" w:color="auto"/>
        <w:bottom w:val="none" w:sz="0" w:space="0" w:color="auto"/>
        <w:right w:val="none" w:sz="0" w:space="0" w:color="auto"/>
      </w:divBdr>
    </w:div>
    <w:div w:id="923413803">
      <w:bodyDiv w:val="1"/>
      <w:marLeft w:val="0"/>
      <w:marRight w:val="0"/>
      <w:marTop w:val="0"/>
      <w:marBottom w:val="0"/>
      <w:divBdr>
        <w:top w:val="none" w:sz="0" w:space="0" w:color="auto"/>
        <w:left w:val="none" w:sz="0" w:space="0" w:color="auto"/>
        <w:bottom w:val="none" w:sz="0" w:space="0" w:color="auto"/>
        <w:right w:val="none" w:sz="0" w:space="0" w:color="auto"/>
      </w:divBdr>
    </w:div>
    <w:div w:id="923684944">
      <w:bodyDiv w:val="1"/>
      <w:marLeft w:val="0"/>
      <w:marRight w:val="0"/>
      <w:marTop w:val="0"/>
      <w:marBottom w:val="0"/>
      <w:divBdr>
        <w:top w:val="none" w:sz="0" w:space="0" w:color="auto"/>
        <w:left w:val="none" w:sz="0" w:space="0" w:color="auto"/>
        <w:bottom w:val="none" w:sz="0" w:space="0" w:color="auto"/>
        <w:right w:val="none" w:sz="0" w:space="0" w:color="auto"/>
      </w:divBdr>
    </w:div>
    <w:div w:id="925530072">
      <w:bodyDiv w:val="1"/>
      <w:marLeft w:val="0"/>
      <w:marRight w:val="0"/>
      <w:marTop w:val="0"/>
      <w:marBottom w:val="0"/>
      <w:divBdr>
        <w:top w:val="none" w:sz="0" w:space="0" w:color="auto"/>
        <w:left w:val="none" w:sz="0" w:space="0" w:color="auto"/>
        <w:bottom w:val="none" w:sz="0" w:space="0" w:color="auto"/>
        <w:right w:val="none" w:sz="0" w:space="0" w:color="auto"/>
      </w:divBdr>
    </w:div>
    <w:div w:id="925655536">
      <w:bodyDiv w:val="1"/>
      <w:marLeft w:val="0"/>
      <w:marRight w:val="0"/>
      <w:marTop w:val="0"/>
      <w:marBottom w:val="0"/>
      <w:divBdr>
        <w:top w:val="none" w:sz="0" w:space="0" w:color="auto"/>
        <w:left w:val="none" w:sz="0" w:space="0" w:color="auto"/>
        <w:bottom w:val="none" w:sz="0" w:space="0" w:color="auto"/>
        <w:right w:val="none" w:sz="0" w:space="0" w:color="auto"/>
      </w:divBdr>
    </w:div>
    <w:div w:id="927956793">
      <w:bodyDiv w:val="1"/>
      <w:marLeft w:val="0"/>
      <w:marRight w:val="0"/>
      <w:marTop w:val="0"/>
      <w:marBottom w:val="0"/>
      <w:divBdr>
        <w:top w:val="none" w:sz="0" w:space="0" w:color="auto"/>
        <w:left w:val="none" w:sz="0" w:space="0" w:color="auto"/>
        <w:bottom w:val="none" w:sz="0" w:space="0" w:color="auto"/>
        <w:right w:val="none" w:sz="0" w:space="0" w:color="auto"/>
      </w:divBdr>
    </w:div>
    <w:div w:id="928393796">
      <w:bodyDiv w:val="1"/>
      <w:marLeft w:val="0"/>
      <w:marRight w:val="0"/>
      <w:marTop w:val="0"/>
      <w:marBottom w:val="0"/>
      <w:divBdr>
        <w:top w:val="none" w:sz="0" w:space="0" w:color="auto"/>
        <w:left w:val="none" w:sz="0" w:space="0" w:color="auto"/>
        <w:bottom w:val="none" w:sz="0" w:space="0" w:color="auto"/>
        <w:right w:val="none" w:sz="0" w:space="0" w:color="auto"/>
      </w:divBdr>
    </w:div>
    <w:div w:id="928974652">
      <w:bodyDiv w:val="1"/>
      <w:marLeft w:val="0"/>
      <w:marRight w:val="0"/>
      <w:marTop w:val="0"/>
      <w:marBottom w:val="0"/>
      <w:divBdr>
        <w:top w:val="none" w:sz="0" w:space="0" w:color="auto"/>
        <w:left w:val="none" w:sz="0" w:space="0" w:color="auto"/>
        <w:bottom w:val="none" w:sz="0" w:space="0" w:color="auto"/>
        <w:right w:val="none" w:sz="0" w:space="0" w:color="auto"/>
      </w:divBdr>
    </w:div>
    <w:div w:id="929200892">
      <w:bodyDiv w:val="1"/>
      <w:marLeft w:val="0"/>
      <w:marRight w:val="0"/>
      <w:marTop w:val="0"/>
      <w:marBottom w:val="0"/>
      <w:divBdr>
        <w:top w:val="none" w:sz="0" w:space="0" w:color="auto"/>
        <w:left w:val="none" w:sz="0" w:space="0" w:color="auto"/>
        <w:bottom w:val="none" w:sz="0" w:space="0" w:color="auto"/>
        <w:right w:val="none" w:sz="0" w:space="0" w:color="auto"/>
      </w:divBdr>
    </w:div>
    <w:div w:id="931933558">
      <w:bodyDiv w:val="1"/>
      <w:marLeft w:val="0"/>
      <w:marRight w:val="0"/>
      <w:marTop w:val="0"/>
      <w:marBottom w:val="0"/>
      <w:divBdr>
        <w:top w:val="none" w:sz="0" w:space="0" w:color="auto"/>
        <w:left w:val="none" w:sz="0" w:space="0" w:color="auto"/>
        <w:bottom w:val="none" w:sz="0" w:space="0" w:color="auto"/>
        <w:right w:val="none" w:sz="0" w:space="0" w:color="auto"/>
      </w:divBdr>
    </w:div>
    <w:div w:id="934098237">
      <w:bodyDiv w:val="1"/>
      <w:marLeft w:val="0"/>
      <w:marRight w:val="0"/>
      <w:marTop w:val="0"/>
      <w:marBottom w:val="0"/>
      <w:divBdr>
        <w:top w:val="none" w:sz="0" w:space="0" w:color="auto"/>
        <w:left w:val="none" w:sz="0" w:space="0" w:color="auto"/>
        <w:bottom w:val="none" w:sz="0" w:space="0" w:color="auto"/>
        <w:right w:val="none" w:sz="0" w:space="0" w:color="auto"/>
      </w:divBdr>
    </w:div>
    <w:div w:id="938217848">
      <w:bodyDiv w:val="1"/>
      <w:marLeft w:val="0"/>
      <w:marRight w:val="0"/>
      <w:marTop w:val="0"/>
      <w:marBottom w:val="0"/>
      <w:divBdr>
        <w:top w:val="none" w:sz="0" w:space="0" w:color="auto"/>
        <w:left w:val="none" w:sz="0" w:space="0" w:color="auto"/>
        <w:bottom w:val="none" w:sz="0" w:space="0" w:color="auto"/>
        <w:right w:val="none" w:sz="0" w:space="0" w:color="auto"/>
      </w:divBdr>
    </w:div>
    <w:div w:id="938873650">
      <w:bodyDiv w:val="1"/>
      <w:marLeft w:val="0"/>
      <w:marRight w:val="0"/>
      <w:marTop w:val="0"/>
      <w:marBottom w:val="0"/>
      <w:divBdr>
        <w:top w:val="none" w:sz="0" w:space="0" w:color="auto"/>
        <w:left w:val="none" w:sz="0" w:space="0" w:color="auto"/>
        <w:bottom w:val="none" w:sz="0" w:space="0" w:color="auto"/>
        <w:right w:val="none" w:sz="0" w:space="0" w:color="auto"/>
      </w:divBdr>
    </w:div>
    <w:div w:id="939415277">
      <w:bodyDiv w:val="1"/>
      <w:marLeft w:val="0"/>
      <w:marRight w:val="0"/>
      <w:marTop w:val="0"/>
      <w:marBottom w:val="0"/>
      <w:divBdr>
        <w:top w:val="none" w:sz="0" w:space="0" w:color="auto"/>
        <w:left w:val="none" w:sz="0" w:space="0" w:color="auto"/>
        <w:bottom w:val="none" w:sz="0" w:space="0" w:color="auto"/>
        <w:right w:val="none" w:sz="0" w:space="0" w:color="auto"/>
      </w:divBdr>
    </w:div>
    <w:div w:id="941646479">
      <w:bodyDiv w:val="1"/>
      <w:marLeft w:val="0"/>
      <w:marRight w:val="0"/>
      <w:marTop w:val="0"/>
      <w:marBottom w:val="0"/>
      <w:divBdr>
        <w:top w:val="none" w:sz="0" w:space="0" w:color="auto"/>
        <w:left w:val="none" w:sz="0" w:space="0" w:color="auto"/>
        <w:bottom w:val="none" w:sz="0" w:space="0" w:color="auto"/>
        <w:right w:val="none" w:sz="0" w:space="0" w:color="auto"/>
      </w:divBdr>
    </w:div>
    <w:div w:id="945847925">
      <w:bodyDiv w:val="1"/>
      <w:marLeft w:val="0"/>
      <w:marRight w:val="0"/>
      <w:marTop w:val="0"/>
      <w:marBottom w:val="0"/>
      <w:divBdr>
        <w:top w:val="none" w:sz="0" w:space="0" w:color="auto"/>
        <w:left w:val="none" w:sz="0" w:space="0" w:color="auto"/>
        <w:bottom w:val="none" w:sz="0" w:space="0" w:color="auto"/>
        <w:right w:val="none" w:sz="0" w:space="0" w:color="auto"/>
      </w:divBdr>
    </w:div>
    <w:div w:id="948855211">
      <w:bodyDiv w:val="1"/>
      <w:marLeft w:val="0"/>
      <w:marRight w:val="0"/>
      <w:marTop w:val="0"/>
      <w:marBottom w:val="0"/>
      <w:divBdr>
        <w:top w:val="none" w:sz="0" w:space="0" w:color="auto"/>
        <w:left w:val="none" w:sz="0" w:space="0" w:color="auto"/>
        <w:bottom w:val="none" w:sz="0" w:space="0" w:color="auto"/>
        <w:right w:val="none" w:sz="0" w:space="0" w:color="auto"/>
      </w:divBdr>
    </w:div>
    <w:div w:id="948969982">
      <w:bodyDiv w:val="1"/>
      <w:marLeft w:val="0"/>
      <w:marRight w:val="0"/>
      <w:marTop w:val="0"/>
      <w:marBottom w:val="0"/>
      <w:divBdr>
        <w:top w:val="none" w:sz="0" w:space="0" w:color="auto"/>
        <w:left w:val="none" w:sz="0" w:space="0" w:color="auto"/>
        <w:bottom w:val="none" w:sz="0" w:space="0" w:color="auto"/>
        <w:right w:val="none" w:sz="0" w:space="0" w:color="auto"/>
      </w:divBdr>
    </w:div>
    <w:div w:id="951320843">
      <w:bodyDiv w:val="1"/>
      <w:marLeft w:val="0"/>
      <w:marRight w:val="0"/>
      <w:marTop w:val="0"/>
      <w:marBottom w:val="0"/>
      <w:divBdr>
        <w:top w:val="none" w:sz="0" w:space="0" w:color="auto"/>
        <w:left w:val="none" w:sz="0" w:space="0" w:color="auto"/>
        <w:bottom w:val="none" w:sz="0" w:space="0" w:color="auto"/>
        <w:right w:val="none" w:sz="0" w:space="0" w:color="auto"/>
      </w:divBdr>
    </w:div>
    <w:div w:id="953177160">
      <w:bodyDiv w:val="1"/>
      <w:marLeft w:val="0"/>
      <w:marRight w:val="0"/>
      <w:marTop w:val="0"/>
      <w:marBottom w:val="0"/>
      <w:divBdr>
        <w:top w:val="none" w:sz="0" w:space="0" w:color="auto"/>
        <w:left w:val="none" w:sz="0" w:space="0" w:color="auto"/>
        <w:bottom w:val="none" w:sz="0" w:space="0" w:color="auto"/>
        <w:right w:val="none" w:sz="0" w:space="0" w:color="auto"/>
      </w:divBdr>
    </w:div>
    <w:div w:id="954822681">
      <w:bodyDiv w:val="1"/>
      <w:marLeft w:val="0"/>
      <w:marRight w:val="0"/>
      <w:marTop w:val="0"/>
      <w:marBottom w:val="0"/>
      <w:divBdr>
        <w:top w:val="none" w:sz="0" w:space="0" w:color="auto"/>
        <w:left w:val="none" w:sz="0" w:space="0" w:color="auto"/>
        <w:bottom w:val="none" w:sz="0" w:space="0" w:color="auto"/>
        <w:right w:val="none" w:sz="0" w:space="0" w:color="auto"/>
      </w:divBdr>
    </w:div>
    <w:div w:id="958992893">
      <w:bodyDiv w:val="1"/>
      <w:marLeft w:val="0"/>
      <w:marRight w:val="0"/>
      <w:marTop w:val="0"/>
      <w:marBottom w:val="0"/>
      <w:divBdr>
        <w:top w:val="none" w:sz="0" w:space="0" w:color="auto"/>
        <w:left w:val="none" w:sz="0" w:space="0" w:color="auto"/>
        <w:bottom w:val="none" w:sz="0" w:space="0" w:color="auto"/>
        <w:right w:val="none" w:sz="0" w:space="0" w:color="auto"/>
      </w:divBdr>
    </w:div>
    <w:div w:id="959262581">
      <w:bodyDiv w:val="1"/>
      <w:marLeft w:val="0"/>
      <w:marRight w:val="0"/>
      <w:marTop w:val="0"/>
      <w:marBottom w:val="0"/>
      <w:divBdr>
        <w:top w:val="none" w:sz="0" w:space="0" w:color="auto"/>
        <w:left w:val="none" w:sz="0" w:space="0" w:color="auto"/>
        <w:bottom w:val="none" w:sz="0" w:space="0" w:color="auto"/>
        <w:right w:val="none" w:sz="0" w:space="0" w:color="auto"/>
      </w:divBdr>
    </w:div>
    <w:div w:id="960569947">
      <w:bodyDiv w:val="1"/>
      <w:marLeft w:val="0"/>
      <w:marRight w:val="0"/>
      <w:marTop w:val="0"/>
      <w:marBottom w:val="0"/>
      <w:divBdr>
        <w:top w:val="none" w:sz="0" w:space="0" w:color="auto"/>
        <w:left w:val="none" w:sz="0" w:space="0" w:color="auto"/>
        <w:bottom w:val="none" w:sz="0" w:space="0" w:color="auto"/>
        <w:right w:val="none" w:sz="0" w:space="0" w:color="auto"/>
      </w:divBdr>
    </w:div>
    <w:div w:id="963344318">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6956950">
      <w:bodyDiv w:val="1"/>
      <w:marLeft w:val="0"/>
      <w:marRight w:val="0"/>
      <w:marTop w:val="0"/>
      <w:marBottom w:val="0"/>
      <w:divBdr>
        <w:top w:val="none" w:sz="0" w:space="0" w:color="auto"/>
        <w:left w:val="none" w:sz="0" w:space="0" w:color="auto"/>
        <w:bottom w:val="none" w:sz="0" w:space="0" w:color="auto"/>
        <w:right w:val="none" w:sz="0" w:space="0" w:color="auto"/>
      </w:divBdr>
    </w:div>
    <w:div w:id="981496345">
      <w:bodyDiv w:val="1"/>
      <w:marLeft w:val="0"/>
      <w:marRight w:val="0"/>
      <w:marTop w:val="0"/>
      <w:marBottom w:val="0"/>
      <w:divBdr>
        <w:top w:val="none" w:sz="0" w:space="0" w:color="auto"/>
        <w:left w:val="none" w:sz="0" w:space="0" w:color="auto"/>
        <w:bottom w:val="none" w:sz="0" w:space="0" w:color="auto"/>
        <w:right w:val="none" w:sz="0" w:space="0" w:color="auto"/>
      </w:divBdr>
    </w:div>
    <w:div w:id="984621652">
      <w:bodyDiv w:val="1"/>
      <w:marLeft w:val="0"/>
      <w:marRight w:val="0"/>
      <w:marTop w:val="0"/>
      <w:marBottom w:val="0"/>
      <w:divBdr>
        <w:top w:val="none" w:sz="0" w:space="0" w:color="auto"/>
        <w:left w:val="none" w:sz="0" w:space="0" w:color="auto"/>
        <w:bottom w:val="none" w:sz="0" w:space="0" w:color="auto"/>
        <w:right w:val="none" w:sz="0" w:space="0" w:color="auto"/>
      </w:divBdr>
    </w:div>
    <w:div w:id="986400530">
      <w:bodyDiv w:val="1"/>
      <w:marLeft w:val="0"/>
      <w:marRight w:val="0"/>
      <w:marTop w:val="0"/>
      <w:marBottom w:val="0"/>
      <w:divBdr>
        <w:top w:val="none" w:sz="0" w:space="0" w:color="auto"/>
        <w:left w:val="none" w:sz="0" w:space="0" w:color="auto"/>
        <w:bottom w:val="none" w:sz="0" w:space="0" w:color="auto"/>
        <w:right w:val="none" w:sz="0" w:space="0" w:color="auto"/>
      </w:divBdr>
    </w:div>
    <w:div w:id="989214665">
      <w:bodyDiv w:val="1"/>
      <w:marLeft w:val="0"/>
      <w:marRight w:val="0"/>
      <w:marTop w:val="0"/>
      <w:marBottom w:val="0"/>
      <w:divBdr>
        <w:top w:val="none" w:sz="0" w:space="0" w:color="auto"/>
        <w:left w:val="none" w:sz="0" w:space="0" w:color="auto"/>
        <w:bottom w:val="none" w:sz="0" w:space="0" w:color="auto"/>
        <w:right w:val="none" w:sz="0" w:space="0" w:color="auto"/>
      </w:divBdr>
    </w:div>
    <w:div w:id="990132579">
      <w:bodyDiv w:val="1"/>
      <w:marLeft w:val="0"/>
      <w:marRight w:val="0"/>
      <w:marTop w:val="0"/>
      <w:marBottom w:val="0"/>
      <w:divBdr>
        <w:top w:val="none" w:sz="0" w:space="0" w:color="auto"/>
        <w:left w:val="none" w:sz="0" w:space="0" w:color="auto"/>
        <w:bottom w:val="none" w:sz="0" w:space="0" w:color="auto"/>
        <w:right w:val="none" w:sz="0" w:space="0" w:color="auto"/>
      </w:divBdr>
    </w:div>
    <w:div w:id="990405427">
      <w:bodyDiv w:val="1"/>
      <w:marLeft w:val="0"/>
      <w:marRight w:val="0"/>
      <w:marTop w:val="0"/>
      <w:marBottom w:val="0"/>
      <w:divBdr>
        <w:top w:val="none" w:sz="0" w:space="0" w:color="auto"/>
        <w:left w:val="none" w:sz="0" w:space="0" w:color="auto"/>
        <w:bottom w:val="none" w:sz="0" w:space="0" w:color="auto"/>
        <w:right w:val="none" w:sz="0" w:space="0" w:color="auto"/>
      </w:divBdr>
    </w:div>
    <w:div w:id="995036659">
      <w:bodyDiv w:val="1"/>
      <w:marLeft w:val="0"/>
      <w:marRight w:val="0"/>
      <w:marTop w:val="0"/>
      <w:marBottom w:val="0"/>
      <w:divBdr>
        <w:top w:val="none" w:sz="0" w:space="0" w:color="auto"/>
        <w:left w:val="none" w:sz="0" w:space="0" w:color="auto"/>
        <w:bottom w:val="none" w:sz="0" w:space="0" w:color="auto"/>
        <w:right w:val="none" w:sz="0" w:space="0" w:color="auto"/>
      </w:divBdr>
    </w:div>
    <w:div w:id="999693411">
      <w:bodyDiv w:val="1"/>
      <w:marLeft w:val="0"/>
      <w:marRight w:val="0"/>
      <w:marTop w:val="0"/>
      <w:marBottom w:val="0"/>
      <w:divBdr>
        <w:top w:val="none" w:sz="0" w:space="0" w:color="auto"/>
        <w:left w:val="none" w:sz="0" w:space="0" w:color="auto"/>
        <w:bottom w:val="none" w:sz="0" w:space="0" w:color="auto"/>
        <w:right w:val="none" w:sz="0" w:space="0" w:color="auto"/>
      </w:divBdr>
    </w:div>
    <w:div w:id="1000161827">
      <w:bodyDiv w:val="1"/>
      <w:marLeft w:val="0"/>
      <w:marRight w:val="0"/>
      <w:marTop w:val="0"/>
      <w:marBottom w:val="0"/>
      <w:divBdr>
        <w:top w:val="none" w:sz="0" w:space="0" w:color="auto"/>
        <w:left w:val="none" w:sz="0" w:space="0" w:color="auto"/>
        <w:bottom w:val="none" w:sz="0" w:space="0" w:color="auto"/>
        <w:right w:val="none" w:sz="0" w:space="0" w:color="auto"/>
      </w:divBdr>
    </w:div>
    <w:div w:id="1001347073">
      <w:bodyDiv w:val="1"/>
      <w:marLeft w:val="0"/>
      <w:marRight w:val="0"/>
      <w:marTop w:val="0"/>
      <w:marBottom w:val="0"/>
      <w:divBdr>
        <w:top w:val="none" w:sz="0" w:space="0" w:color="auto"/>
        <w:left w:val="none" w:sz="0" w:space="0" w:color="auto"/>
        <w:bottom w:val="none" w:sz="0" w:space="0" w:color="auto"/>
        <w:right w:val="none" w:sz="0" w:space="0" w:color="auto"/>
      </w:divBdr>
    </w:div>
    <w:div w:id="1002198373">
      <w:bodyDiv w:val="1"/>
      <w:marLeft w:val="0"/>
      <w:marRight w:val="0"/>
      <w:marTop w:val="0"/>
      <w:marBottom w:val="0"/>
      <w:divBdr>
        <w:top w:val="none" w:sz="0" w:space="0" w:color="auto"/>
        <w:left w:val="none" w:sz="0" w:space="0" w:color="auto"/>
        <w:bottom w:val="none" w:sz="0" w:space="0" w:color="auto"/>
        <w:right w:val="none" w:sz="0" w:space="0" w:color="auto"/>
      </w:divBdr>
    </w:div>
    <w:div w:id="1003892215">
      <w:bodyDiv w:val="1"/>
      <w:marLeft w:val="0"/>
      <w:marRight w:val="0"/>
      <w:marTop w:val="0"/>
      <w:marBottom w:val="0"/>
      <w:divBdr>
        <w:top w:val="none" w:sz="0" w:space="0" w:color="auto"/>
        <w:left w:val="none" w:sz="0" w:space="0" w:color="auto"/>
        <w:bottom w:val="none" w:sz="0" w:space="0" w:color="auto"/>
        <w:right w:val="none" w:sz="0" w:space="0" w:color="auto"/>
      </w:divBdr>
    </w:div>
    <w:div w:id="1008409934">
      <w:bodyDiv w:val="1"/>
      <w:marLeft w:val="0"/>
      <w:marRight w:val="0"/>
      <w:marTop w:val="0"/>
      <w:marBottom w:val="0"/>
      <w:divBdr>
        <w:top w:val="none" w:sz="0" w:space="0" w:color="auto"/>
        <w:left w:val="none" w:sz="0" w:space="0" w:color="auto"/>
        <w:bottom w:val="none" w:sz="0" w:space="0" w:color="auto"/>
        <w:right w:val="none" w:sz="0" w:space="0" w:color="auto"/>
      </w:divBdr>
    </w:div>
    <w:div w:id="1010722313">
      <w:bodyDiv w:val="1"/>
      <w:marLeft w:val="0"/>
      <w:marRight w:val="0"/>
      <w:marTop w:val="0"/>
      <w:marBottom w:val="0"/>
      <w:divBdr>
        <w:top w:val="none" w:sz="0" w:space="0" w:color="auto"/>
        <w:left w:val="none" w:sz="0" w:space="0" w:color="auto"/>
        <w:bottom w:val="none" w:sz="0" w:space="0" w:color="auto"/>
        <w:right w:val="none" w:sz="0" w:space="0" w:color="auto"/>
      </w:divBdr>
    </w:div>
    <w:div w:id="1013460768">
      <w:bodyDiv w:val="1"/>
      <w:marLeft w:val="0"/>
      <w:marRight w:val="0"/>
      <w:marTop w:val="0"/>
      <w:marBottom w:val="0"/>
      <w:divBdr>
        <w:top w:val="none" w:sz="0" w:space="0" w:color="auto"/>
        <w:left w:val="none" w:sz="0" w:space="0" w:color="auto"/>
        <w:bottom w:val="none" w:sz="0" w:space="0" w:color="auto"/>
        <w:right w:val="none" w:sz="0" w:space="0" w:color="auto"/>
      </w:divBdr>
    </w:div>
    <w:div w:id="1021856972">
      <w:bodyDiv w:val="1"/>
      <w:marLeft w:val="0"/>
      <w:marRight w:val="0"/>
      <w:marTop w:val="0"/>
      <w:marBottom w:val="0"/>
      <w:divBdr>
        <w:top w:val="none" w:sz="0" w:space="0" w:color="auto"/>
        <w:left w:val="none" w:sz="0" w:space="0" w:color="auto"/>
        <w:bottom w:val="none" w:sz="0" w:space="0" w:color="auto"/>
        <w:right w:val="none" w:sz="0" w:space="0" w:color="auto"/>
      </w:divBdr>
    </w:div>
    <w:div w:id="1022240878">
      <w:bodyDiv w:val="1"/>
      <w:marLeft w:val="0"/>
      <w:marRight w:val="0"/>
      <w:marTop w:val="0"/>
      <w:marBottom w:val="0"/>
      <w:divBdr>
        <w:top w:val="none" w:sz="0" w:space="0" w:color="auto"/>
        <w:left w:val="none" w:sz="0" w:space="0" w:color="auto"/>
        <w:bottom w:val="none" w:sz="0" w:space="0" w:color="auto"/>
        <w:right w:val="none" w:sz="0" w:space="0" w:color="auto"/>
      </w:divBdr>
    </w:div>
    <w:div w:id="1023552819">
      <w:bodyDiv w:val="1"/>
      <w:marLeft w:val="0"/>
      <w:marRight w:val="0"/>
      <w:marTop w:val="0"/>
      <w:marBottom w:val="0"/>
      <w:divBdr>
        <w:top w:val="none" w:sz="0" w:space="0" w:color="auto"/>
        <w:left w:val="none" w:sz="0" w:space="0" w:color="auto"/>
        <w:bottom w:val="none" w:sz="0" w:space="0" w:color="auto"/>
        <w:right w:val="none" w:sz="0" w:space="0" w:color="auto"/>
      </w:divBdr>
    </w:div>
    <w:div w:id="1024013513">
      <w:bodyDiv w:val="1"/>
      <w:marLeft w:val="0"/>
      <w:marRight w:val="0"/>
      <w:marTop w:val="0"/>
      <w:marBottom w:val="0"/>
      <w:divBdr>
        <w:top w:val="none" w:sz="0" w:space="0" w:color="auto"/>
        <w:left w:val="none" w:sz="0" w:space="0" w:color="auto"/>
        <w:bottom w:val="none" w:sz="0" w:space="0" w:color="auto"/>
        <w:right w:val="none" w:sz="0" w:space="0" w:color="auto"/>
      </w:divBdr>
    </w:div>
    <w:div w:id="1030956022">
      <w:bodyDiv w:val="1"/>
      <w:marLeft w:val="0"/>
      <w:marRight w:val="0"/>
      <w:marTop w:val="0"/>
      <w:marBottom w:val="0"/>
      <w:divBdr>
        <w:top w:val="none" w:sz="0" w:space="0" w:color="auto"/>
        <w:left w:val="none" w:sz="0" w:space="0" w:color="auto"/>
        <w:bottom w:val="none" w:sz="0" w:space="0" w:color="auto"/>
        <w:right w:val="none" w:sz="0" w:space="0" w:color="auto"/>
      </w:divBdr>
    </w:div>
    <w:div w:id="1031079173">
      <w:bodyDiv w:val="1"/>
      <w:marLeft w:val="0"/>
      <w:marRight w:val="0"/>
      <w:marTop w:val="0"/>
      <w:marBottom w:val="0"/>
      <w:divBdr>
        <w:top w:val="none" w:sz="0" w:space="0" w:color="auto"/>
        <w:left w:val="none" w:sz="0" w:space="0" w:color="auto"/>
        <w:bottom w:val="none" w:sz="0" w:space="0" w:color="auto"/>
        <w:right w:val="none" w:sz="0" w:space="0" w:color="auto"/>
      </w:divBdr>
    </w:div>
    <w:div w:id="1032421127">
      <w:bodyDiv w:val="1"/>
      <w:marLeft w:val="0"/>
      <w:marRight w:val="0"/>
      <w:marTop w:val="0"/>
      <w:marBottom w:val="0"/>
      <w:divBdr>
        <w:top w:val="none" w:sz="0" w:space="0" w:color="auto"/>
        <w:left w:val="none" w:sz="0" w:space="0" w:color="auto"/>
        <w:bottom w:val="none" w:sz="0" w:space="0" w:color="auto"/>
        <w:right w:val="none" w:sz="0" w:space="0" w:color="auto"/>
      </w:divBdr>
    </w:div>
    <w:div w:id="1036277161">
      <w:bodyDiv w:val="1"/>
      <w:marLeft w:val="0"/>
      <w:marRight w:val="0"/>
      <w:marTop w:val="0"/>
      <w:marBottom w:val="0"/>
      <w:divBdr>
        <w:top w:val="none" w:sz="0" w:space="0" w:color="auto"/>
        <w:left w:val="none" w:sz="0" w:space="0" w:color="auto"/>
        <w:bottom w:val="none" w:sz="0" w:space="0" w:color="auto"/>
        <w:right w:val="none" w:sz="0" w:space="0" w:color="auto"/>
      </w:divBdr>
    </w:div>
    <w:div w:id="1036545456">
      <w:bodyDiv w:val="1"/>
      <w:marLeft w:val="0"/>
      <w:marRight w:val="0"/>
      <w:marTop w:val="0"/>
      <w:marBottom w:val="0"/>
      <w:divBdr>
        <w:top w:val="none" w:sz="0" w:space="0" w:color="auto"/>
        <w:left w:val="none" w:sz="0" w:space="0" w:color="auto"/>
        <w:bottom w:val="none" w:sz="0" w:space="0" w:color="auto"/>
        <w:right w:val="none" w:sz="0" w:space="0" w:color="auto"/>
      </w:divBdr>
    </w:div>
    <w:div w:id="1038814746">
      <w:bodyDiv w:val="1"/>
      <w:marLeft w:val="0"/>
      <w:marRight w:val="0"/>
      <w:marTop w:val="0"/>
      <w:marBottom w:val="0"/>
      <w:divBdr>
        <w:top w:val="none" w:sz="0" w:space="0" w:color="auto"/>
        <w:left w:val="none" w:sz="0" w:space="0" w:color="auto"/>
        <w:bottom w:val="none" w:sz="0" w:space="0" w:color="auto"/>
        <w:right w:val="none" w:sz="0" w:space="0" w:color="auto"/>
      </w:divBdr>
    </w:div>
    <w:div w:id="1040931633">
      <w:bodyDiv w:val="1"/>
      <w:marLeft w:val="0"/>
      <w:marRight w:val="0"/>
      <w:marTop w:val="0"/>
      <w:marBottom w:val="0"/>
      <w:divBdr>
        <w:top w:val="none" w:sz="0" w:space="0" w:color="auto"/>
        <w:left w:val="none" w:sz="0" w:space="0" w:color="auto"/>
        <w:bottom w:val="none" w:sz="0" w:space="0" w:color="auto"/>
        <w:right w:val="none" w:sz="0" w:space="0" w:color="auto"/>
      </w:divBdr>
    </w:div>
    <w:div w:id="1040981283">
      <w:bodyDiv w:val="1"/>
      <w:marLeft w:val="0"/>
      <w:marRight w:val="0"/>
      <w:marTop w:val="0"/>
      <w:marBottom w:val="0"/>
      <w:divBdr>
        <w:top w:val="none" w:sz="0" w:space="0" w:color="auto"/>
        <w:left w:val="none" w:sz="0" w:space="0" w:color="auto"/>
        <w:bottom w:val="none" w:sz="0" w:space="0" w:color="auto"/>
        <w:right w:val="none" w:sz="0" w:space="0" w:color="auto"/>
      </w:divBdr>
    </w:div>
    <w:div w:id="1045567188">
      <w:bodyDiv w:val="1"/>
      <w:marLeft w:val="0"/>
      <w:marRight w:val="0"/>
      <w:marTop w:val="0"/>
      <w:marBottom w:val="0"/>
      <w:divBdr>
        <w:top w:val="none" w:sz="0" w:space="0" w:color="auto"/>
        <w:left w:val="none" w:sz="0" w:space="0" w:color="auto"/>
        <w:bottom w:val="none" w:sz="0" w:space="0" w:color="auto"/>
        <w:right w:val="none" w:sz="0" w:space="0" w:color="auto"/>
      </w:divBdr>
    </w:div>
    <w:div w:id="1051079836">
      <w:bodyDiv w:val="1"/>
      <w:marLeft w:val="0"/>
      <w:marRight w:val="0"/>
      <w:marTop w:val="0"/>
      <w:marBottom w:val="0"/>
      <w:divBdr>
        <w:top w:val="none" w:sz="0" w:space="0" w:color="auto"/>
        <w:left w:val="none" w:sz="0" w:space="0" w:color="auto"/>
        <w:bottom w:val="none" w:sz="0" w:space="0" w:color="auto"/>
        <w:right w:val="none" w:sz="0" w:space="0" w:color="auto"/>
      </w:divBdr>
    </w:div>
    <w:div w:id="1056854353">
      <w:bodyDiv w:val="1"/>
      <w:marLeft w:val="0"/>
      <w:marRight w:val="0"/>
      <w:marTop w:val="0"/>
      <w:marBottom w:val="0"/>
      <w:divBdr>
        <w:top w:val="none" w:sz="0" w:space="0" w:color="auto"/>
        <w:left w:val="none" w:sz="0" w:space="0" w:color="auto"/>
        <w:bottom w:val="none" w:sz="0" w:space="0" w:color="auto"/>
        <w:right w:val="none" w:sz="0" w:space="0" w:color="auto"/>
      </w:divBdr>
    </w:div>
    <w:div w:id="1058289131">
      <w:bodyDiv w:val="1"/>
      <w:marLeft w:val="0"/>
      <w:marRight w:val="0"/>
      <w:marTop w:val="0"/>
      <w:marBottom w:val="0"/>
      <w:divBdr>
        <w:top w:val="none" w:sz="0" w:space="0" w:color="auto"/>
        <w:left w:val="none" w:sz="0" w:space="0" w:color="auto"/>
        <w:bottom w:val="none" w:sz="0" w:space="0" w:color="auto"/>
        <w:right w:val="none" w:sz="0" w:space="0" w:color="auto"/>
      </w:divBdr>
    </w:div>
    <w:div w:id="1061321738">
      <w:bodyDiv w:val="1"/>
      <w:marLeft w:val="0"/>
      <w:marRight w:val="0"/>
      <w:marTop w:val="0"/>
      <w:marBottom w:val="0"/>
      <w:divBdr>
        <w:top w:val="none" w:sz="0" w:space="0" w:color="auto"/>
        <w:left w:val="none" w:sz="0" w:space="0" w:color="auto"/>
        <w:bottom w:val="none" w:sz="0" w:space="0" w:color="auto"/>
        <w:right w:val="none" w:sz="0" w:space="0" w:color="auto"/>
      </w:divBdr>
    </w:div>
    <w:div w:id="1065178894">
      <w:bodyDiv w:val="1"/>
      <w:marLeft w:val="0"/>
      <w:marRight w:val="0"/>
      <w:marTop w:val="0"/>
      <w:marBottom w:val="0"/>
      <w:divBdr>
        <w:top w:val="none" w:sz="0" w:space="0" w:color="auto"/>
        <w:left w:val="none" w:sz="0" w:space="0" w:color="auto"/>
        <w:bottom w:val="none" w:sz="0" w:space="0" w:color="auto"/>
        <w:right w:val="none" w:sz="0" w:space="0" w:color="auto"/>
      </w:divBdr>
    </w:div>
    <w:div w:id="1068459982">
      <w:bodyDiv w:val="1"/>
      <w:marLeft w:val="0"/>
      <w:marRight w:val="0"/>
      <w:marTop w:val="0"/>
      <w:marBottom w:val="0"/>
      <w:divBdr>
        <w:top w:val="none" w:sz="0" w:space="0" w:color="auto"/>
        <w:left w:val="none" w:sz="0" w:space="0" w:color="auto"/>
        <w:bottom w:val="none" w:sz="0" w:space="0" w:color="auto"/>
        <w:right w:val="none" w:sz="0" w:space="0" w:color="auto"/>
      </w:divBdr>
    </w:div>
    <w:div w:id="1068649989">
      <w:bodyDiv w:val="1"/>
      <w:marLeft w:val="0"/>
      <w:marRight w:val="0"/>
      <w:marTop w:val="0"/>
      <w:marBottom w:val="0"/>
      <w:divBdr>
        <w:top w:val="none" w:sz="0" w:space="0" w:color="auto"/>
        <w:left w:val="none" w:sz="0" w:space="0" w:color="auto"/>
        <w:bottom w:val="none" w:sz="0" w:space="0" w:color="auto"/>
        <w:right w:val="none" w:sz="0" w:space="0" w:color="auto"/>
      </w:divBdr>
    </w:div>
    <w:div w:id="1075202335">
      <w:bodyDiv w:val="1"/>
      <w:marLeft w:val="0"/>
      <w:marRight w:val="0"/>
      <w:marTop w:val="0"/>
      <w:marBottom w:val="0"/>
      <w:divBdr>
        <w:top w:val="none" w:sz="0" w:space="0" w:color="auto"/>
        <w:left w:val="none" w:sz="0" w:space="0" w:color="auto"/>
        <w:bottom w:val="none" w:sz="0" w:space="0" w:color="auto"/>
        <w:right w:val="none" w:sz="0" w:space="0" w:color="auto"/>
      </w:divBdr>
    </w:div>
    <w:div w:id="1075929591">
      <w:bodyDiv w:val="1"/>
      <w:marLeft w:val="0"/>
      <w:marRight w:val="0"/>
      <w:marTop w:val="0"/>
      <w:marBottom w:val="0"/>
      <w:divBdr>
        <w:top w:val="none" w:sz="0" w:space="0" w:color="auto"/>
        <w:left w:val="none" w:sz="0" w:space="0" w:color="auto"/>
        <w:bottom w:val="none" w:sz="0" w:space="0" w:color="auto"/>
        <w:right w:val="none" w:sz="0" w:space="0" w:color="auto"/>
      </w:divBdr>
    </w:div>
    <w:div w:id="1077090068">
      <w:bodyDiv w:val="1"/>
      <w:marLeft w:val="0"/>
      <w:marRight w:val="0"/>
      <w:marTop w:val="0"/>
      <w:marBottom w:val="0"/>
      <w:divBdr>
        <w:top w:val="none" w:sz="0" w:space="0" w:color="auto"/>
        <w:left w:val="none" w:sz="0" w:space="0" w:color="auto"/>
        <w:bottom w:val="none" w:sz="0" w:space="0" w:color="auto"/>
        <w:right w:val="none" w:sz="0" w:space="0" w:color="auto"/>
      </w:divBdr>
    </w:div>
    <w:div w:id="1077946379">
      <w:bodyDiv w:val="1"/>
      <w:marLeft w:val="0"/>
      <w:marRight w:val="0"/>
      <w:marTop w:val="0"/>
      <w:marBottom w:val="0"/>
      <w:divBdr>
        <w:top w:val="none" w:sz="0" w:space="0" w:color="auto"/>
        <w:left w:val="none" w:sz="0" w:space="0" w:color="auto"/>
        <w:bottom w:val="none" w:sz="0" w:space="0" w:color="auto"/>
        <w:right w:val="none" w:sz="0" w:space="0" w:color="auto"/>
      </w:divBdr>
    </w:div>
    <w:div w:id="1078017533">
      <w:bodyDiv w:val="1"/>
      <w:marLeft w:val="0"/>
      <w:marRight w:val="0"/>
      <w:marTop w:val="0"/>
      <w:marBottom w:val="0"/>
      <w:divBdr>
        <w:top w:val="none" w:sz="0" w:space="0" w:color="auto"/>
        <w:left w:val="none" w:sz="0" w:space="0" w:color="auto"/>
        <w:bottom w:val="none" w:sz="0" w:space="0" w:color="auto"/>
        <w:right w:val="none" w:sz="0" w:space="0" w:color="auto"/>
      </w:divBdr>
    </w:div>
    <w:div w:id="1079910187">
      <w:bodyDiv w:val="1"/>
      <w:marLeft w:val="0"/>
      <w:marRight w:val="0"/>
      <w:marTop w:val="0"/>
      <w:marBottom w:val="0"/>
      <w:divBdr>
        <w:top w:val="none" w:sz="0" w:space="0" w:color="auto"/>
        <w:left w:val="none" w:sz="0" w:space="0" w:color="auto"/>
        <w:bottom w:val="none" w:sz="0" w:space="0" w:color="auto"/>
        <w:right w:val="none" w:sz="0" w:space="0" w:color="auto"/>
      </w:divBdr>
    </w:div>
    <w:div w:id="1080255998">
      <w:bodyDiv w:val="1"/>
      <w:marLeft w:val="0"/>
      <w:marRight w:val="0"/>
      <w:marTop w:val="0"/>
      <w:marBottom w:val="0"/>
      <w:divBdr>
        <w:top w:val="none" w:sz="0" w:space="0" w:color="auto"/>
        <w:left w:val="none" w:sz="0" w:space="0" w:color="auto"/>
        <w:bottom w:val="none" w:sz="0" w:space="0" w:color="auto"/>
        <w:right w:val="none" w:sz="0" w:space="0" w:color="auto"/>
      </w:divBdr>
    </w:div>
    <w:div w:id="1084257890">
      <w:bodyDiv w:val="1"/>
      <w:marLeft w:val="0"/>
      <w:marRight w:val="0"/>
      <w:marTop w:val="0"/>
      <w:marBottom w:val="0"/>
      <w:divBdr>
        <w:top w:val="none" w:sz="0" w:space="0" w:color="auto"/>
        <w:left w:val="none" w:sz="0" w:space="0" w:color="auto"/>
        <w:bottom w:val="none" w:sz="0" w:space="0" w:color="auto"/>
        <w:right w:val="none" w:sz="0" w:space="0" w:color="auto"/>
      </w:divBdr>
    </w:div>
    <w:div w:id="1087119464">
      <w:bodyDiv w:val="1"/>
      <w:marLeft w:val="0"/>
      <w:marRight w:val="0"/>
      <w:marTop w:val="0"/>
      <w:marBottom w:val="0"/>
      <w:divBdr>
        <w:top w:val="none" w:sz="0" w:space="0" w:color="auto"/>
        <w:left w:val="none" w:sz="0" w:space="0" w:color="auto"/>
        <w:bottom w:val="none" w:sz="0" w:space="0" w:color="auto"/>
        <w:right w:val="none" w:sz="0" w:space="0" w:color="auto"/>
      </w:divBdr>
    </w:div>
    <w:div w:id="1093282710">
      <w:bodyDiv w:val="1"/>
      <w:marLeft w:val="0"/>
      <w:marRight w:val="0"/>
      <w:marTop w:val="0"/>
      <w:marBottom w:val="0"/>
      <w:divBdr>
        <w:top w:val="none" w:sz="0" w:space="0" w:color="auto"/>
        <w:left w:val="none" w:sz="0" w:space="0" w:color="auto"/>
        <w:bottom w:val="none" w:sz="0" w:space="0" w:color="auto"/>
        <w:right w:val="none" w:sz="0" w:space="0" w:color="auto"/>
      </w:divBdr>
    </w:div>
    <w:div w:id="1096292590">
      <w:bodyDiv w:val="1"/>
      <w:marLeft w:val="0"/>
      <w:marRight w:val="0"/>
      <w:marTop w:val="0"/>
      <w:marBottom w:val="0"/>
      <w:divBdr>
        <w:top w:val="none" w:sz="0" w:space="0" w:color="auto"/>
        <w:left w:val="none" w:sz="0" w:space="0" w:color="auto"/>
        <w:bottom w:val="none" w:sz="0" w:space="0" w:color="auto"/>
        <w:right w:val="none" w:sz="0" w:space="0" w:color="auto"/>
      </w:divBdr>
    </w:div>
    <w:div w:id="1098719473">
      <w:bodyDiv w:val="1"/>
      <w:marLeft w:val="0"/>
      <w:marRight w:val="0"/>
      <w:marTop w:val="0"/>
      <w:marBottom w:val="0"/>
      <w:divBdr>
        <w:top w:val="none" w:sz="0" w:space="0" w:color="auto"/>
        <w:left w:val="none" w:sz="0" w:space="0" w:color="auto"/>
        <w:bottom w:val="none" w:sz="0" w:space="0" w:color="auto"/>
        <w:right w:val="none" w:sz="0" w:space="0" w:color="auto"/>
      </w:divBdr>
    </w:div>
    <w:div w:id="1100681166">
      <w:bodyDiv w:val="1"/>
      <w:marLeft w:val="0"/>
      <w:marRight w:val="0"/>
      <w:marTop w:val="0"/>
      <w:marBottom w:val="0"/>
      <w:divBdr>
        <w:top w:val="none" w:sz="0" w:space="0" w:color="auto"/>
        <w:left w:val="none" w:sz="0" w:space="0" w:color="auto"/>
        <w:bottom w:val="none" w:sz="0" w:space="0" w:color="auto"/>
        <w:right w:val="none" w:sz="0" w:space="0" w:color="auto"/>
      </w:divBdr>
    </w:div>
    <w:div w:id="1100758457">
      <w:bodyDiv w:val="1"/>
      <w:marLeft w:val="0"/>
      <w:marRight w:val="0"/>
      <w:marTop w:val="0"/>
      <w:marBottom w:val="0"/>
      <w:divBdr>
        <w:top w:val="none" w:sz="0" w:space="0" w:color="auto"/>
        <w:left w:val="none" w:sz="0" w:space="0" w:color="auto"/>
        <w:bottom w:val="none" w:sz="0" w:space="0" w:color="auto"/>
        <w:right w:val="none" w:sz="0" w:space="0" w:color="auto"/>
      </w:divBdr>
    </w:div>
    <w:div w:id="1106733508">
      <w:bodyDiv w:val="1"/>
      <w:marLeft w:val="0"/>
      <w:marRight w:val="0"/>
      <w:marTop w:val="0"/>
      <w:marBottom w:val="0"/>
      <w:divBdr>
        <w:top w:val="none" w:sz="0" w:space="0" w:color="auto"/>
        <w:left w:val="none" w:sz="0" w:space="0" w:color="auto"/>
        <w:bottom w:val="none" w:sz="0" w:space="0" w:color="auto"/>
        <w:right w:val="none" w:sz="0" w:space="0" w:color="auto"/>
      </w:divBdr>
    </w:div>
    <w:div w:id="1106851897">
      <w:bodyDiv w:val="1"/>
      <w:marLeft w:val="0"/>
      <w:marRight w:val="0"/>
      <w:marTop w:val="0"/>
      <w:marBottom w:val="0"/>
      <w:divBdr>
        <w:top w:val="none" w:sz="0" w:space="0" w:color="auto"/>
        <w:left w:val="none" w:sz="0" w:space="0" w:color="auto"/>
        <w:bottom w:val="none" w:sz="0" w:space="0" w:color="auto"/>
        <w:right w:val="none" w:sz="0" w:space="0" w:color="auto"/>
      </w:divBdr>
    </w:div>
    <w:div w:id="1108743654">
      <w:bodyDiv w:val="1"/>
      <w:marLeft w:val="0"/>
      <w:marRight w:val="0"/>
      <w:marTop w:val="0"/>
      <w:marBottom w:val="0"/>
      <w:divBdr>
        <w:top w:val="none" w:sz="0" w:space="0" w:color="auto"/>
        <w:left w:val="none" w:sz="0" w:space="0" w:color="auto"/>
        <w:bottom w:val="none" w:sz="0" w:space="0" w:color="auto"/>
        <w:right w:val="none" w:sz="0" w:space="0" w:color="auto"/>
      </w:divBdr>
    </w:div>
    <w:div w:id="1110515376">
      <w:bodyDiv w:val="1"/>
      <w:marLeft w:val="0"/>
      <w:marRight w:val="0"/>
      <w:marTop w:val="0"/>
      <w:marBottom w:val="0"/>
      <w:divBdr>
        <w:top w:val="none" w:sz="0" w:space="0" w:color="auto"/>
        <w:left w:val="none" w:sz="0" w:space="0" w:color="auto"/>
        <w:bottom w:val="none" w:sz="0" w:space="0" w:color="auto"/>
        <w:right w:val="none" w:sz="0" w:space="0" w:color="auto"/>
      </w:divBdr>
    </w:div>
    <w:div w:id="1110705694">
      <w:bodyDiv w:val="1"/>
      <w:marLeft w:val="0"/>
      <w:marRight w:val="0"/>
      <w:marTop w:val="0"/>
      <w:marBottom w:val="0"/>
      <w:divBdr>
        <w:top w:val="none" w:sz="0" w:space="0" w:color="auto"/>
        <w:left w:val="none" w:sz="0" w:space="0" w:color="auto"/>
        <w:bottom w:val="none" w:sz="0" w:space="0" w:color="auto"/>
        <w:right w:val="none" w:sz="0" w:space="0" w:color="auto"/>
      </w:divBdr>
    </w:div>
    <w:div w:id="1111432887">
      <w:bodyDiv w:val="1"/>
      <w:marLeft w:val="0"/>
      <w:marRight w:val="0"/>
      <w:marTop w:val="0"/>
      <w:marBottom w:val="0"/>
      <w:divBdr>
        <w:top w:val="none" w:sz="0" w:space="0" w:color="auto"/>
        <w:left w:val="none" w:sz="0" w:space="0" w:color="auto"/>
        <w:bottom w:val="none" w:sz="0" w:space="0" w:color="auto"/>
        <w:right w:val="none" w:sz="0" w:space="0" w:color="auto"/>
      </w:divBdr>
    </w:div>
    <w:div w:id="1114785698">
      <w:bodyDiv w:val="1"/>
      <w:marLeft w:val="0"/>
      <w:marRight w:val="0"/>
      <w:marTop w:val="0"/>
      <w:marBottom w:val="0"/>
      <w:divBdr>
        <w:top w:val="none" w:sz="0" w:space="0" w:color="auto"/>
        <w:left w:val="none" w:sz="0" w:space="0" w:color="auto"/>
        <w:bottom w:val="none" w:sz="0" w:space="0" w:color="auto"/>
        <w:right w:val="none" w:sz="0" w:space="0" w:color="auto"/>
      </w:divBdr>
    </w:div>
    <w:div w:id="1120996685">
      <w:bodyDiv w:val="1"/>
      <w:marLeft w:val="0"/>
      <w:marRight w:val="0"/>
      <w:marTop w:val="0"/>
      <w:marBottom w:val="0"/>
      <w:divBdr>
        <w:top w:val="none" w:sz="0" w:space="0" w:color="auto"/>
        <w:left w:val="none" w:sz="0" w:space="0" w:color="auto"/>
        <w:bottom w:val="none" w:sz="0" w:space="0" w:color="auto"/>
        <w:right w:val="none" w:sz="0" w:space="0" w:color="auto"/>
      </w:divBdr>
    </w:div>
    <w:div w:id="1122382617">
      <w:bodyDiv w:val="1"/>
      <w:marLeft w:val="0"/>
      <w:marRight w:val="0"/>
      <w:marTop w:val="0"/>
      <w:marBottom w:val="0"/>
      <w:divBdr>
        <w:top w:val="none" w:sz="0" w:space="0" w:color="auto"/>
        <w:left w:val="none" w:sz="0" w:space="0" w:color="auto"/>
        <w:bottom w:val="none" w:sz="0" w:space="0" w:color="auto"/>
        <w:right w:val="none" w:sz="0" w:space="0" w:color="auto"/>
      </w:divBdr>
    </w:div>
    <w:div w:id="1125200650">
      <w:bodyDiv w:val="1"/>
      <w:marLeft w:val="0"/>
      <w:marRight w:val="0"/>
      <w:marTop w:val="0"/>
      <w:marBottom w:val="0"/>
      <w:divBdr>
        <w:top w:val="none" w:sz="0" w:space="0" w:color="auto"/>
        <w:left w:val="none" w:sz="0" w:space="0" w:color="auto"/>
        <w:bottom w:val="none" w:sz="0" w:space="0" w:color="auto"/>
        <w:right w:val="none" w:sz="0" w:space="0" w:color="auto"/>
      </w:divBdr>
    </w:div>
    <w:div w:id="1126774363">
      <w:bodyDiv w:val="1"/>
      <w:marLeft w:val="0"/>
      <w:marRight w:val="0"/>
      <w:marTop w:val="0"/>
      <w:marBottom w:val="0"/>
      <w:divBdr>
        <w:top w:val="none" w:sz="0" w:space="0" w:color="auto"/>
        <w:left w:val="none" w:sz="0" w:space="0" w:color="auto"/>
        <w:bottom w:val="none" w:sz="0" w:space="0" w:color="auto"/>
        <w:right w:val="none" w:sz="0" w:space="0" w:color="auto"/>
      </w:divBdr>
    </w:div>
    <w:div w:id="1129009107">
      <w:bodyDiv w:val="1"/>
      <w:marLeft w:val="0"/>
      <w:marRight w:val="0"/>
      <w:marTop w:val="0"/>
      <w:marBottom w:val="0"/>
      <w:divBdr>
        <w:top w:val="none" w:sz="0" w:space="0" w:color="auto"/>
        <w:left w:val="none" w:sz="0" w:space="0" w:color="auto"/>
        <w:bottom w:val="none" w:sz="0" w:space="0" w:color="auto"/>
        <w:right w:val="none" w:sz="0" w:space="0" w:color="auto"/>
      </w:divBdr>
    </w:div>
    <w:div w:id="1131170042">
      <w:bodyDiv w:val="1"/>
      <w:marLeft w:val="0"/>
      <w:marRight w:val="0"/>
      <w:marTop w:val="0"/>
      <w:marBottom w:val="0"/>
      <w:divBdr>
        <w:top w:val="none" w:sz="0" w:space="0" w:color="auto"/>
        <w:left w:val="none" w:sz="0" w:space="0" w:color="auto"/>
        <w:bottom w:val="none" w:sz="0" w:space="0" w:color="auto"/>
        <w:right w:val="none" w:sz="0" w:space="0" w:color="auto"/>
      </w:divBdr>
    </w:div>
    <w:div w:id="113298796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646234">
      <w:bodyDiv w:val="1"/>
      <w:marLeft w:val="0"/>
      <w:marRight w:val="0"/>
      <w:marTop w:val="0"/>
      <w:marBottom w:val="0"/>
      <w:divBdr>
        <w:top w:val="none" w:sz="0" w:space="0" w:color="auto"/>
        <w:left w:val="none" w:sz="0" w:space="0" w:color="auto"/>
        <w:bottom w:val="none" w:sz="0" w:space="0" w:color="auto"/>
        <w:right w:val="none" w:sz="0" w:space="0" w:color="auto"/>
      </w:divBdr>
    </w:div>
    <w:div w:id="1143086414">
      <w:bodyDiv w:val="1"/>
      <w:marLeft w:val="0"/>
      <w:marRight w:val="0"/>
      <w:marTop w:val="0"/>
      <w:marBottom w:val="0"/>
      <w:divBdr>
        <w:top w:val="none" w:sz="0" w:space="0" w:color="auto"/>
        <w:left w:val="none" w:sz="0" w:space="0" w:color="auto"/>
        <w:bottom w:val="none" w:sz="0" w:space="0" w:color="auto"/>
        <w:right w:val="none" w:sz="0" w:space="0" w:color="auto"/>
      </w:divBdr>
    </w:div>
    <w:div w:id="1143766350">
      <w:bodyDiv w:val="1"/>
      <w:marLeft w:val="0"/>
      <w:marRight w:val="0"/>
      <w:marTop w:val="0"/>
      <w:marBottom w:val="0"/>
      <w:divBdr>
        <w:top w:val="none" w:sz="0" w:space="0" w:color="auto"/>
        <w:left w:val="none" w:sz="0" w:space="0" w:color="auto"/>
        <w:bottom w:val="none" w:sz="0" w:space="0" w:color="auto"/>
        <w:right w:val="none" w:sz="0" w:space="0" w:color="auto"/>
      </w:divBdr>
    </w:div>
    <w:div w:id="1145202434">
      <w:bodyDiv w:val="1"/>
      <w:marLeft w:val="0"/>
      <w:marRight w:val="0"/>
      <w:marTop w:val="0"/>
      <w:marBottom w:val="0"/>
      <w:divBdr>
        <w:top w:val="none" w:sz="0" w:space="0" w:color="auto"/>
        <w:left w:val="none" w:sz="0" w:space="0" w:color="auto"/>
        <w:bottom w:val="none" w:sz="0" w:space="0" w:color="auto"/>
        <w:right w:val="none" w:sz="0" w:space="0" w:color="auto"/>
      </w:divBdr>
    </w:div>
    <w:div w:id="1149051201">
      <w:bodyDiv w:val="1"/>
      <w:marLeft w:val="0"/>
      <w:marRight w:val="0"/>
      <w:marTop w:val="0"/>
      <w:marBottom w:val="0"/>
      <w:divBdr>
        <w:top w:val="none" w:sz="0" w:space="0" w:color="auto"/>
        <w:left w:val="none" w:sz="0" w:space="0" w:color="auto"/>
        <w:bottom w:val="none" w:sz="0" w:space="0" w:color="auto"/>
        <w:right w:val="none" w:sz="0" w:space="0" w:color="auto"/>
      </w:divBdr>
    </w:div>
    <w:div w:id="1149320109">
      <w:bodyDiv w:val="1"/>
      <w:marLeft w:val="0"/>
      <w:marRight w:val="0"/>
      <w:marTop w:val="0"/>
      <w:marBottom w:val="0"/>
      <w:divBdr>
        <w:top w:val="none" w:sz="0" w:space="0" w:color="auto"/>
        <w:left w:val="none" w:sz="0" w:space="0" w:color="auto"/>
        <w:bottom w:val="none" w:sz="0" w:space="0" w:color="auto"/>
        <w:right w:val="none" w:sz="0" w:space="0" w:color="auto"/>
      </w:divBdr>
    </w:div>
    <w:div w:id="1150052565">
      <w:bodyDiv w:val="1"/>
      <w:marLeft w:val="0"/>
      <w:marRight w:val="0"/>
      <w:marTop w:val="0"/>
      <w:marBottom w:val="0"/>
      <w:divBdr>
        <w:top w:val="none" w:sz="0" w:space="0" w:color="auto"/>
        <w:left w:val="none" w:sz="0" w:space="0" w:color="auto"/>
        <w:bottom w:val="none" w:sz="0" w:space="0" w:color="auto"/>
        <w:right w:val="none" w:sz="0" w:space="0" w:color="auto"/>
      </w:divBdr>
    </w:div>
    <w:div w:id="1150557818">
      <w:bodyDiv w:val="1"/>
      <w:marLeft w:val="0"/>
      <w:marRight w:val="0"/>
      <w:marTop w:val="0"/>
      <w:marBottom w:val="0"/>
      <w:divBdr>
        <w:top w:val="none" w:sz="0" w:space="0" w:color="auto"/>
        <w:left w:val="none" w:sz="0" w:space="0" w:color="auto"/>
        <w:bottom w:val="none" w:sz="0" w:space="0" w:color="auto"/>
        <w:right w:val="none" w:sz="0" w:space="0" w:color="auto"/>
      </w:divBdr>
    </w:div>
    <w:div w:id="1151210898">
      <w:bodyDiv w:val="1"/>
      <w:marLeft w:val="0"/>
      <w:marRight w:val="0"/>
      <w:marTop w:val="0"/>
      <w:marBottom w:val="0"/>
      <w:divBdr>
        <w:top w:val="none" w:sz="0" w:space="0" w:color="auto"/>
        <w:left w:val="none" w:sz="0" w:space="0" w:color="auto"/>
        <w:bottom w:val="none" w:sz="0" w:space="0" w:color="auto"/>
        <w:right w:val="none" w:sz="0" w:space="0" w:color="auto"/>
      </w:divBdr>
    </w:div>
    <w:div w:id="1152402510">
      <w:bodyDiv w:val="1"/>
      <w:marLeft w:val="0"/>
      <w:marRight w:val="0"/>
      <w:marTop w:val="0"/>
      <w:marBottom w:val="0"/>
      <w:divBdr>
        <w:top w:val="none" w:sz="0" w:space="0" w:color="auto"/>
        <w:left w:val="none" w:sz="0" w:space="0" w:color="auto"/>
        <w:bottom w:val="none" w:sz="0" w:space="0" w:color="auto"/>
        <w:right w:val="none" w:sz="0" w:space="0" w:color="auto"/>
      </w:divBdr>
    </w:div>
    <w:div w:id="1154763115">
      <w:bodyDiv w:val="1"/>
      <w:marLeft w:val="0"/>
      <w:marRight w:val="0"/>
      <w:marTop w:val="0"/>
      <w:marBottom w:val="0"/>
      <w:divBdr>
        <w:top w:val="none" w:sz="0" w:space="0" w:color="auto"/>
        <w:left w:val="none" w:sz="0" w:space="0" w:color="auto"/>
        <w:bottom w:val="none" w:sz="0" w:space="0" w:color="auto"/>
        <w:right w:val="none" w:sz="0" w:space="0" w:color="auto"/>
      </w:divBdr>
    </w:div>
    <w:div w:id="1161114572">
      <w:bodyDiv w:val="1"/>
      <w:marLeft w:val="0"/>
      <w:marRight w:val="0"/>
      <w:marTop w:val="0"/>
      <w:marBottom w:val="0"/>
      <w:divBdr>
        <w:top w:val="none" w:sz="0" w:space="0" w:color="auto"/>
        <w:left w:val="none" w:sz="0" w:space="0" w:color="auto"/>
        <w:bottom w:val="none" w:sz="0" w:space="0" w:color="auto"/>
        <w:right w:val="none" w:sz="0" w:space="0" w:color="auto"/>
      </w:divBdr>
    </w:div>
    <w:div w:id="1161695514">
      <w:bodyDiv w:val="1"/>
      <w:marLeft w:val="0"/>
      <w:marRight w:val="0"/>
      <w:marTop w:val="0"/>
      <w:marBottom w:val="0"/>
      <w:divBdr>
        <w:top w:val="none" w:sz="0" w:space="0" w:color="auto"/>
        <w:left w:val="none" w:sz="0" w:space="0" w:color="auto"/>
        <w:bottom w:val="none" w:sz="0" w:space="0" w:color="auto"/>
        <w:right w:val="none" w:sz="0" w:space="0" w:color="auto"/>
      </w:divBdr>
    </w:div>
    <w:div w:id="1176118118">
      <w:bodyDiv w:val="1"/>
      <w:marLeft w:val="0"/>
      <w:marRight w:val="0"/>
      <w:marTop w:val="0"/>
      <w:marBottom w:val="0"/>
      <w:divBdr>
        <w:top w:val="none" w:sz="0" w:space="0" w:color="auto"/>
        <w:left w:val="none" w:sz="0" w:space="0" w:color="auto"/>
        <w:bottom w:val="none" w:sz="0" w:space="0" w:color="auto"/>
        <w:right w:val="none" w:sz="0" w:space="0" w:color="auto"/>
      </w:divBdr>
    </w:div>
    <w:div w:id="1179394936">
      <w:bodyDiv w:val="1"/>
      <w:marLeft w:val="0"/>
      <w:marRight w:val="0"/>
      <w:marTop w:val="0"/>
      <w:marBottom w:val="0"/>
      <w:divBdr>
        <w:top w:val="none" w:sz="0" w:space="0" w:color="auto"/>
        <w:left w:val="none" w:sz="0" w:space="0" w:color="auto"/>
        <w:bottom w:val="none" w:sz="0" w:space="0" w:color="auto"/>
        <w:right w:val="none" w:sz="0" w:space="0" w:color="auto"/>
      </w:divBdr>
    </w:div>
    <w:div w:id="1184783101">
      <w:bodyDiv w:val="1"/>
      <w:marLeft w:val="0"/>
      <w:marRight w:val="0"/>
      <w:marTop w:val="0"/>
      <w:marBottom w:val="0"/>
      <w:divBdr>
        <w:top w:val="none" w:sz="0" w:space="0" w:color="auto"/>
        <w:left w:val="none" w:sz="0" w:space="0" w:color="auto"/>
        <w:bottom w:val="none" w:sz="0" w:space="0" w:color="auto"/>
        <w:right w:val="none" w:sz="0" w:space="0" w:color="auto"/>
      </w:divBdr>
    </w:div>
    <w:div w:id="1189178874">
      <w:bodyDiv w:val="1"/>
      <w:marLeft w:val="0"/>
      <w:marRight w:val="0"/>
      <w:marTop w:val="0"/>
      <w:marBottom w:val="0"/>
      <w:divBdr>
        <w:top w:val="none" w:sz="0" w:space="0" w:color="auto"/>
        <w:left w:val="none" w:sz="0" w:space="0" w:color="auto"/>
        <w:bottom w:val="none" w:sz="0" w:space="0" w:color="auto"/>
        <w:right w:val="none" w:sz="0" w:space="0" w:color="auto"/>
      </w:divBdr>
    </w:div>
    <w:div w:id="1189829792">
      <w:bodyDiv w:val="1"/>
      <w:marLeft w:val="0"/>
      <w:marRight w:val="0"/>
      <w:marTop w:val="0"/>
      <w:marBottom w:val="0"/>
      <w:divBdr>
        <w:top w:val="none" w:sz="0" w:space="0" w:color="auto"/>
        <w:left w:val="none" w:sz="0" w:space="0" w:color="auto"/>
        <w:bottom w:val="none" w:sz="0" w:space="0" w:color="auto"/>
        <w:right w:val="none" w:sz="0" w:space="0" w:color="auto"/>
      </w:divBdr>
    </w:div>
    <w:div w:id="1190100549">
      <w:bodyDiv w:val="1"/>
      <w:marLeft w:val="0"/>
      <w:marRight w:val="0"/>
      <w:marTop w:val="0"/>
      <w:marBottom w:val="0"/>
      <w:divBdr>
        <w:top w:val="none" w:sz="0" w:space="0" w:color="auto"/>
        <w:left w:val="none" w:sz="0" w:space="0" w:color="auto"/>
        <w:bottom w:val="none" w:sz="0" w:space="0" w:color="auto"/>
        <w:right w:val="none" w:sz="0" w:space="0" w:color="auto"/>
      </w:divBdr>
    </w:div>
    <w:div w:id="1190147841">
      <w:bodyDiv w:val="1"/>
      <w:marLeft w:val="0"/>
      <w:marRight w:val="0"/>
      <w:marTop w:val="0"/>
      <w:marBottom w:val="0"/>
      <w:divBdr>
        <w:top w:val="none" w:sz="0" w:space="0" w:color="auto"/>
        <w:left w:val="none" w:sz="0" w:space="0" w:color="auto"/>
        <w:bottom w:val="none" w:sz="0" w:space="0" w:color="auto"/>
        <w:right w:val="none" w:sz="0" w:space="0" w:color="auto"/>
      </w:divBdr>
    </w:div>
    <w:div w:id="1190870489">
      <w:bodyDiv w:val="1"/>
      <w:marLeft w:val="0"/>
      <w:marRight w:val="0"/>
      <w:marTop w:val="0"/>
      <w:marBottom w:val="0"/>
      <w:divBdr>
        <w:top w:val="none" w:sz="0" w:space="0" w:color="auto"/>
        <w:left w:val="none" w:sz="0" w:space="0" w:color="auto"/>
        <w:bottom w:val="none" w:sz="0" w:space="0" w:color="auto"/>
        <w:right w:val="none" w:sz="0" w:space="0" w:color="auto"/>
      </w:divBdr>
    </w:div>
    <w:div w:id="1191265243">
      <w:bodyDiv w:val="1"/>
      <w:marLeft w:val="0"/>
      <w:marRight w:val="0"/>
      <w:marTop w:val="0"/>
      <w:marBottom w:val="0"/>
      <w:divBdr>
        <w:top w:val="none" w:sz="0" w:space="0" w:color="auto"/>
        <w:left w:val="none" w:sz="0" w:space="0" w:color="auto"/>
        <w:bottom w:val="none" w:sz="0" w:space="0" w:color="auto"/>
        <w:right w:val="none" w:sz="0" w:space="0" w:color="auto"/>
      </w:divBdr>
    </w:div>
    <w:div w:id="1192304113">
      <w:bodyDiv w:val="1"/>
      <w:marLeft w:val="0"/>
      <w:marRight w:val="0"/>
      <w:marTop w:val="0"/>
      <w:marBottom w:val="0"/>
      <w:divBdr>
        <w:top w:val="none" w:sz="0" w:space="0" w:color="auto"/>
        <w:left w:val="none" w:sz="0" w:space="0" w:color="auto"/>
        <w:bottom w:val="none" w:sz="0" w:space="0" w:color="auto"/>
        <w:right w:val="none" w:sz="0" w:space="0" w:color="auto"/>
      </w:divBdr>
    </w:div>
    <w:div w:id="1192836371">
      <w:bodyDiv w:val="1"/>
      <w:marLeft w:val="0"/>
      <w:marRight w:val="0"/>
      <w:marTop w:val="0"/>
      <w:marBottom w:val="0"/>
      <w:divBdr>
        <w:top w:val="none" w:sz="0" w:space="0" w:color="auto"/>
        <w:left w:val="none" w:sz="0" w:space="0" w:color="auto"/>
        <w:bottom w:val="none" w:sz="0" w:space="0" w:color="auto"/>
        <w:right w:val="none" w:sz="0" w:space="0" w:color="auto"/>
      </w:divBdr>
    </w:div>
    <w:div w:id="1195576204">
      <w:bodyDiv w:val="1"/>
      <w:marLeft w:val="0"/>
      <w:marRight w:val="0"/>
      <w:marTop w:val="0"/>
      <w:marBottom w:val="0"/>
      <w:divBdr>
        <w:top w:val="none" w:sz="0" w:space="0" w:color="auto"/>
        <w:left w:val="none" w:sz="0" w:space="0" w:color="auto"/>
        <w:bottom w:val="none" w:sz="0" w:space="0" w:color="auto"/>
        <w:right w:val="none" w:sz="0" w:space="0" w:color="auto"/>
      </w:divBdr>
    </w:div>
    <w:div w:id="1200975262">
      <w:bodyDiv w:val="1"/>
      <w:marLeft w:val="0"/>
      <w:marRight w:val="0"/>
      <w:marTop w:val="0"/>
      <w:marBottom w:val="0"/>
      <w:divBdr>
        <w:top w:val="none" w:sz="0" w:space="0" w:color="auto"/>
        <w:left w:val="none" w:sz="0" w:space="0" w:color="auto"/>
        <w:bottom w:val="none" w:sz="0" w:space="0" w:color="auto"/>
        <w:right w:val="none" w:sz="0" w:space="0" w:color="auto"/>
      </w:divBdr>
    </w:div>
    <w:div w:id="1205410064">
      <w:bodyDiv w:val="1"/>
      <w:marLeft w:val="0"/>
      <w:marRight w:val="0"/>
      <w:marTop w:val="0"/>
      <w:marBottom w:val="0"/>
      <w:divBdr>
        <w:top w:val="none" w:sz="0" w:space="0" w:color="auto"/>
        <w:left w:val="none" w:sz="0" w:space="0" w:color="auto"/>
        <w:bottom w:val="none" w:sz="0" w:space="0" w:color="auto"/>
        <w:right w:val="none" w:sz="0" w:space="0" w:color="auto"/>
      </w:divBdr>
    </w:div>
    <w:div w:id="1206062997">
      <w:bodyDiv w:val="1"/>
      <w:marLeft w:val="0"/>
      <w:marRight w:val="0"/>
      <w:marTop w:val="0"/>
      <w:marBottom w:val="0"/>
      <w:divBdr>
        <w:top w:val="none" w:sz="0" w:space="0" w:color="auto"/>
        <w:left w:val="none" w:sz="0" w:space="0" w:color="auto"/>
        <w:bottom w:val="none" w:sz="0" w:space="0" w:color="auto"/>
        <w:right w:val="none" w:sz="0" w:space="0" w:color="auto"/>
      </w:divBdr>
    </w:div>
    <w:div w:id="1206137925">
      <w:bodyDiv w:val="1"/>
      <w:marLeft w:val="0"/>
      <w:marRight w:val="0"/>
      <w:marTop w:val="0"/>
      <w:marBottom w:val="0"/>
      <w:divBdr>
        <w:top w:val="none" w:sz="0" w:space="0" w:color="auto"/>
        <w:left w:val="none" w:sz="0" w:space="0" w:color="auto"/>
        <w:bottom w:val="none" w:sz="0" w:space="0" w:color="auto"/>
        <w:right w:val="none" w:sz="0" w:space="0" w:color="auto"/>
      </w:divBdr>
    </w:div>
    <w:div w:id="1207717716">
      <w:bodyDiv w:val="1"/>
      <w:marLeft w:val="0"/>
      <w:marRight w:val="0"/>
      <w:marTop w:val="0"/>
      <w:marBottom w:val="0"/>
      <w:divBdr>
        <w:top w:val="none" w:sz="0" w:space="0" w:color="auto"/>
        <w:left w:val="none" w:sz="0" w:space="0" w:color="auto"/>
        <w:bottom w:val="none" w:sz="0" w:space="0" w:color="auto"/>
        <w:right w:val="none" w:sz="0" w:space="0" w:color="auto"/>
      </w:divBdr>
    </w:div>
    <w:div w:id="1218853202">
      <w:bodyDiv w:val="1"/>
      <w:marLeft w:val="0"/>
      <w:marRight w:val="0"/>
      <w:marTop w:val="0"/>
      <w:marBottom w:val="0"/>
      <w:divBdr>
        <w:top w:val="none" w:sz="0" w:space="0" w:color="auto"/>
        <w:left w:val="none" w:sz="0" w:space="0" w:color="auto"/>
        <w:bottom w:val="none" w:sz="0" w:space="0" w:color="auto"/>
        <w:right w:val="none" w:sz="0" w:space="0" w:color="auto"/>
      </w:divBdr>
    </w:div>
    <w:div w:id="1219318986">
      <w:bodyDiv w:val="1"/>
      <w:marLeft w:val="0"/>
      <w:marRight w:val="0"/>
      <w:marTop w:val="0"/>
      <w:marBottom w:val="0"/>
      <w:divBdr>
        <w:top w:val="none" w:sz="0" w:space="0" w:color="auto"/>
        <w:left w:val="none" w:sz="0" w:space="0" w:color="auto"/>
        <w:bottom w:val="none" w:sz="0" w:space="0" w:color="auto"/>
        <w:right w:val="none" w:sz="0" w:space="0" w:color="auto"/>
      </w:divBdr>
    </w:div>
    <w:div w:id="1221095078">
      <w:bodyDiv w:val="1"/>
      <w:marLeft w:val="0"/>
      <w:marRight w:val="0"/>
      <w:marTop w:val="0"/>
      <w:marBottom w:val="0"/>
      <w:divBdr>
        <w:top w:val="none" w:sz="0" w:space="0" w:color="auto"/>
        <w:left w:val="none" w:sz="0" w:space="0" w:color="auto"/>
        <w:bottom w:val="none" w:sz="0" w:space="0" w:color="auto"/>
        <w:right w:val="none" w:sz="0" w:space="0" w:color="auto"/>
      </w:divBdr>
    </w:div>
    <w:div w:id="1222793795">
      <w:bodyDiv w:val="1"/>
      <w:marLeft w:val="0"/>
      <w:marRight w:val="0"/>
      <w:marTop w:val="0"/>
      <w:marBottom w:val="0"/>
      <w:divBdr>
        <w:top w:val="none" w:sz="0" w:space="0" w:color="auto"/>
        <w:left w:val="none" w:sz="0" w:space="0" w:color="auto"/>
        <w:bottom w:val="none" w:sz="0" w:space="0" w:color="auto"/>
        <w:right w:val="none" w:sz="0" w:space="0" w:color="auto"/>
      </w:divBdr>
    </w:div>
    <w:div w:id="1225523886">
      <w:bodyDiv w:val="1"/>
      <w:marLeft w:val="0"/>
      <w:marRight w:val="0"/>
      <w:marTop w:val="0"/>
      <w:marBottom w:val="0"/>
      <w:divBdr>
        <w:top w:val="none" w:sz="0" w:space="0" w:color="auto"/>
        <w:left w:val="none" w:sz="0" w:space="0" w:color="auto"/>
        <w:bottom w:val="none" w:sz="0" w:space="0" w:color="auto"/>
        <w:right w:val="none" w:sz="0" w:space="0" w:color="auto"/>
      </w:divBdr>
    </w:div>
    <w:div w:id="1226573912">
      <w:bodyDiv w:val="1"/>
      <w:marLeft w:val="0"/>
      <w:marRight w:val="0"/>
      <w:marTop w:val="0"/>
      <w:marBottom w:val="0"/>
      <w:divBdr>
        <w:top w:val="none" w:sz="0" w:space="0" w:color="auto"/>
        <w:left w:val="none" w:sz="0" w:space="0" w:color="auto"/>
        <w:bottom w:val="none" w:sz="0" w:space="0" w:color="auto"/>
        <w:right w:val="none" w:sz="0" w:space="0" w:color="auto"/>
      </w:divBdr>
    </w:div>
    <w:div w:id="1228564530">
      <w:bodyDiv w:val="1"/>
      <w:marLeft w:val="0"/>
      <w:marRight w:val="0"/>
      <w:marTop w:val="0"/>
      <w:marBottom w:val="0"/>
      <w:divBdr>
        <w:top w:val="none" w:sz="0" w:space="0" w:color="auto"/>
        <w:left w:val="none" w:sz="0" w:space="0" w:color="auto"/>
        <w:bottom w:val="none" w:sz="0" w:space="0" w:color="auto"/>
        <w:right w:val="none" w:sz="0" w:space="0" w:color="auto"/>
      </w:divBdr>
    </w:div>
    <w:div w:id="1232933878">
      <w:bodyDiv w:val="1"/>
      <w:marLeft w:val="0"/>
      <w:marRight w:val="0"/>
      <w:marTop w:val="0"/>
      <w:marBottom w:val="0"/>
      <w:divBdr>
        <w:top w:val="none" w:sz="0" w:space="0" w:color="auto"/>
        <w:left w:val="none" w:sz="0" w:space="0" w:color="auto"/>
        <w:bottom w:val="none" w:sz="0" w:space="0" w:color="auto"/>
        <w:right w:val="none" w:sz="0" w:space="0" w:color="auto"/>
      </w:divBdr>
    </w:div>
    <w:div w:id="1234780559">
      <w:bodyDiv w:val="1"/>
      <w:marLeft w:val="0"/>
      <w:marRight w:val="0"/>
      <w:marTop w:val="0"/>
      <w:marBottom w:val="0"/>
      <w:divBdr>
        <w:top w:val="none" w:sz="0" w:space="0" w:color="auto"/>
        <w:left w:val="none" w:sz="0" w:space="0" w:color="auto"/>
        <w:bottom w:val="none" w:sz="0" w:space="0" w:color="auto"/>
        <w:right w:val="none" w:sz="0" w:space="0" w:color="auto"/>
      </w:divBdr>
    </w:div>
    <w:div w:id="1238127077">
      <w:bodyDiv w:val="1"/>
      <w:marLeft w:val="0"/>
      <w:marRight w:val="0"/>
      <w:marTop w:val="0"/>
      <w:marBottom w:val="0"/>
      <w:divBdr>
        <w:top w:val="none" w:sz="0" w:space="0" w:color="auto"/>
        <w:left w:val="none" w:sz="0" w:space="0" w:color="auto"/>
        <w:bottom w:val="none" w:sz="0" w:space="0" w:color="auto"/>
        <w:right w:val="none" w:sz="0" w:space="0" w:color="auto"/>
      </w:divBdr>
    </w:div>
    <w:div w:id="1239679334">
      <w:bodyDiv w:val="1"/>
      <w:marLeft w:val="0"/>
      <w:marRight w:val="0"/>
      <w:marTop w:val="0"/>
      <w:marBottom w:val="0"/>
      <w:divBdr>
        <w:top w:val="none" w:sz="0" w:space="0" w:color="auto"/>
        <w:left w:val="none" w:sz="0" w:space="0" w:color="auto"/>
        <w:bottom w:val="none" w:sz="0" w:space="0" w:color="auto"/>
        <w:right w:val="none" w:sz="0" w:space="0" w:color="auto"/>
      </w:divBdr>
    </w:div>
    <w:div w:id="1240871136">
      <w:bodyDiv w:val="1"/>
      <w:marLeft w:val="0"/>
      <w:marRight w:val="0"/>
      <w:marTop w:val="0"/>
      <w:marBottom w:val="0"/>
      <w:divBdr>
        <w:top w:val="none" w:sz="0" w:space="0" w:color="auto"/>
        <w:left w:val="none" w:sz="0" w:space="0" w:color="auto"/>
        <w:bottom w:val="none" w:sz="0" w:space="0" w:color="auto"/>
        <w:right w:val="none" w:sz="0" w:space="0" w:color="auto"/>
      </w:divBdr>
    </w:div>
    <w:div w:id="1241523034">
      <w:bodyDiv w:val="1"/>
      <w:marLeft w:val="0"/>
      <w:marRight w:val="0"/>
      <w:marTop w:val="0"/>
      <w:marBottom w:val="0"/>
      <w:divBdr>
        <w:top w:val="none" w:sz="0" w:space="0" w:color="auto"/>
        <w:left w:val="none" w:sz="0" w:space="0" w:color="auto"/>
        <w:bottom w:val="none" w:sz="0" w:space="0" w:color="auto"/>
        <w:right w:val="none" w:sz="0" w:space="0" w:color="auto"/>
      </w:divBdr>
    </w:div>
    <w:div w:id="1245065396">
      <w:bodyDiv w:val="1"/>
      <w:marLeft w:val="0"/>
      <w:marRight w:val="0"/>
      <w:marTop w:val="0"/>
      <w:marBottom w:val="0"/>
      <w:divBdr>
        <w:top w:val="none" w:sz="0" w:space="0" w:color="auto"/>
        <w:left w:val="none" w:sz="0" w:space="0" w:color="auto"/>
        <w:bottom w:val="none" w:sz="0" w:space="0" w:color="auto"/>
        <w:right w:val="none" w:sz="0" w:space="0" w:color="auto"/>
      </w:divBdr>
    </w:div>
    <w:div w:id="1245603031">
      <w:bodyDiv w:val="1"/>
      <w:marLeft w:val="0"/>
      <w:marRight w:val="0"/>
      <w:marTop w:val="0"/>
      <w:marBottom w:val="0"/>
      <w:divBdr>
        <w:top w:val="none" w:sz="0" w:space="0" w:color="auto"/>
        <w:left w:val="none" w:sz="0" w:space="0" w:color="auto"/>
        <w:bottom w:val="none" w:sz="0" w:space="0" w:color="auto"/>
        <w:right w:val="none" w:sz="0" w:space="0" w:color="auto"/>
      </w:divBdr>
    </w:div>
    <w:div w:id="1245869946">
      <w:bodyDiv w:val="1"/>
      <w:marLeft w:val="0"/>
      <w:marRight w:val="0"/>
      <w:marTop w:val="0"/>
      <w:marBottom w:val="0"/>
      <w:divBdr>
        <w:top w:val="none" w:sz="0" w:space="0" w:color="auto"/>
        <w:left w:val="none" w:sz="0" w:space="0" w:color="auto"/>
        <w:bottom w:val="none" w:sz="0" w:space="0" w:color="auto"/>
        <w:right w:val="none" w:sz="0" w:space="0" w:color="auto"/>
      </w:divBdr>
    </w:div>
    <w:div w:id="1246961072">
      <w:bodyDiv w:val="1"/>
      <w:marLeft w:val="0"/>
      <w:marRight w:val="0"/>
      <w:marTop w:val="0"/>
      <w:marBottom w:val="0"/>
      <w:divBdr>
        <w:top w:val="none" w:sz="0" w:space="0" w:color="auto"/>
        <w:left w:val="none" w:sz="0" w:space="0" w:color="auto"/>
        <w:bottom w:val="none" w:sz="0" w:space="0" w:color="auto"/>
        <w:right w:val="none" w:sz="0" w:space="0" w:color="auto"/>
      </w:divBdr>
    </w:div>
    <w:div w:id="1248343572">
      <w:bodyDiv w:val="1"/>
      <w:marLeft w:val="0"/>
      <w:marRight w:val="0"/>
      <w:marTop w:val="0"/>
      <w:marBottom w:val="0"/>
      <w:divBdr>
        <w:top w:val="none" w:sz="0" w:space="0" w:color="auto"/>
        <w:left w:val="none" w:sz="0" w:space="0" w:color="auto"/>
        <w:bottom w:val="none" w:sz="0" w:space="0" w:color="auto"/>
        <w:right w:val="none" w:sz="0" w:space="0" w:color="auto"/>
      </w:divBdr>
    </w:div>
    <w:div w:id="1249657458">
      <w:bodyDiv w:val="1"/>
      <w:marLeft w:val="0"/>
      <w:marRight w:val="0"/>
      <w:marTop w:val="0"/>
      <w:marBottom w:val="0"/>
      <w:divBdr>
        <w:top w:val="none" w:sz="0" w:space="0" w:color="auto"/>
        <w:left w:val="none" w:sz="0" w:space="0" w:color="auto"/>
        <w:bottom w:val="none" w:sz="0" w:space="0" w:color="auto"/>
        <w:right w:val="none" w:sz="0" w:space="0" w:color="auto"/>
      </w:divBdr>
    </w:div>
    <w:div w:id="1250115020">
      <w:bodyDiv w:val="1"/>
      <w:marLeft w:val="0"/>
      <w:marRight w:val="0"/>
      <w:marTop w:val="0"/>
      <w:marBottom w:val="0"/>
      <w:divBdr>
        <w:top w:val="none" w:sz="0" w:space="0" w:color="auto"/>
        <w:left w:val="none" w:sz="0" w:space="0" w:color="auto"/>
        <w:bottom w:val="none" w:sz="0" w:space="0" w:color="auto"/>
        <w:right w:val="none" w:sz="0" w:space="0" w:color="auto"/>
      </w:divBdr>
    </w:div>
    <w:div w:id="1251622068">
      <w:bodyDiv w:val="1"/>
      <w:marLeft w:val="0"/>
      <w:marRight w:val="0"/>
      <w:marTop w:val="0"/>
      <w:marBottom w:val="0"/>
      <w:divBdr>
        <w:top w:val="none" w:sz="0" w:space="0" w:color="auto"/>
        <w:left w:val="none" w:sz="0" w:space="0" w:color="auto"/>
        <w:bottom w:val="none" w:sz="0" w:space="0" w:color="auto"/>
        <w:right w:val="none" w:sz="0" w:space="0" w:color="auto"/>
      </w:divBdr>
    </w:div>
    <w:div w:id="1252469950">
      <w:bodyDiv w:val="1"/>
      <w:marLeft w:val="0"/>
      <w:marRight w:val="0"/>
      <w:marTop w:val="0"/>
      <w:marBottom w:val="0"/>
      <w:divBdr>
        <w:top w:val="none" w:sz="0" w:space="0" w:color="auto"/>
        <w:left w:val="none" w:sz="0" w:space="0" w:color="auto"/>
        <w:bottom w:val="none" w:sz="0" w:space="0" w:color="auto"/>
        <w:right w:val="none" w:sz="0" w:space="0" w:color="auto"/>
      </w:divBdr>
    </w:div>
    <w:div w:id="1253583645">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57639077">
      <w:bodyDiv w:val="1"/>
      <w:marLeft w:val="0"/>
      <w:marRight w:val="0"/>
      <w:marTop w:val="0"/>
      <w:marBottom w:val="0"/>
      <w:divBdr>
        <w:top w:val="none" w:sz="0" w:space="0" w:color="auto"/>
        <w:left w:val="none" w:sz="0" w:space="0" w:color="auto"/>
        <w:bottom w:val="none" w:sz="0" w:space="0" w:color="auto"/>
        <w:right w:val="none" w:sz="0" w:space="0" w:color="auto"/>
      </w:divBdr>
    </w:div>
    <w:div w:id="1260411586">
      <w:bodyDiv w:val="1"/>
      <w:marLeft w:val="0"/>
      <w:marRight w:val="0"/>
      <w:marTop w:val="0"/>
      <w:marBottom w:val="0"/>
      <w:divBdr>
        <w:top w:val="none" w:sz="0" w:space="0" w:color="auto"/>
        <w:left w:val="none" w:sz="0" w:space="0" w:color="auto"/>
        <w:bottom w:val="none" w:sz="0" w:space="0" w:color="auto"/>
        <w:right w:val="none" w:sz="0" w:space="0" w:color="auto"/>
      </w:divBdr>
    </w:div>
    <w:div w:id="1260482139">
      <w:bodyDiv w:val="1"/>
      <w:marLeft w:val="0"/>
      <w:marRight w:val="0"/>
      <w:marTop w:val="0"/>
      <w:marBottom w:val="0"/>
      <w:divBdr>
        <w:top w:val="none" w:sz="0" w:space="0" w:color="auto"/>
        <w:left w:val="none" w:sz="0" w:space="0" w:color="auto"/>
        <w:bottom w:val="none" w:sz="0" w:space="0" w:color="auto"/>
        <w:right w:val="none" w:sz="0" w:space="0" w:color="auto"/>
      </w:divBdr>
    </w:div>
    <w:div w:id="1264606823">
      <w:bodyDiv w:val="1"/>
      <w:marLeft w:val="0"/>
      <w:marRight w:val="0"/>
      <w:marTop w:val="0"/>
      <w:marBottom w:val="0"/>
      <w:divBdr>
        <w:top w:val="none" w:sz="0" w:space="0" w:color="auto"/>
        <w:left w:val="none" w:sz="0" w:space="0" w:color="auto"/>
        <w:bottom w:val="none" w:sz="0" w:space="0" w:color="auto"/>
        <w:right w:val="none" w:sz="0" w:space="0" w:color="auto"/>
      </w:divBdr>
    </w:div>
    <w:div w:id="1269312065">
      <w:bodyDiv w:val="1"/>
      <w:marLeft w:val="0"/>
      <w:marRight w:val="0"/>
      <w:marTop w:val="0"/>
      <w:marBottom w:val="0"/>
      <w:divBdr>
        <w:top w:val="none" w:sz="0" w:space="0" w:color="auto"/>
        <w:left w:val="none" w:sz="0" w:space="0" w:color="auto"/>
        <w:bottom w:val="none" w:sz="0" w:space="0" w:color="auto"/>
        <w:right w:val="none" w:sz="0" w:space="0" w:color="auto"/>
      </w:divBdr>
    </w:div>
    <w:div w:id="1269852527">
      <w:bodyDiv w:val="1"/>
      <w:marLeft w:val="0"/>
      <w:marRight w:val="0"/>
      <w:marTop w:val="0"/>
      <w:marBottom w:val="0"/>
      <w:divBdr>
        <w:top w:val="none" w:sz="0" w:space="0" w:color="auto"/>
        <w:left w:val="none" w:sz="0" w:space="0" w:color="auto"/>
        <w:bottom w:val="none" w:sz="0" w:space="0" w:color="auto"/>
        <w:right w:val="none" w:sz="0" w:space="0" w:color="auto"/>
      </w:divBdr>
    </w:div>
    <w:div w:id="1270309842">
      <w:bodyDiv w:val="1"/>
      <w:marLeft w:val="0"/>
      <w:marRight w:val="0"/>
      <w:marTop w:val="0"/>
      <w:marBottom w:val="0"/>
      <w:divBdr>
        <w:top w:val="none" w:sz="0" w:space="0" w:color="auto"/>
        <w:left w:val="none" w:sz="0" w:space="0" w:color="auto"/>
        <w:bottom w:val="none" w:sz="0" w:space="0" w:color="auto"/>
        <w:right w:val="none" w:sz="0" w:space="0" w:color="auto"/>
      </w:divBdr>
    </w:div>
    <w:div w:id="1271090684">
      <w:bodyDiv w:val="1"/>
      <w:marLeft w:val="0"/>
      <w:marRight w:val="0"/>
      <w:marTop w:val="0"/>
      <w:marBottom w:val="0"/>
      <w:divBdr>
        <w:top w:val="none" w:sz="0" w:space="0" w:color="auto"/>
        <w:left w:val="none" w:sz="0" w:space="0" w:color="auto"/>
        <w:bottom w:val="none" w:sz="0" w:space="0" w:color="auto"/>
        <w:right w:val="none" w:sz="0" w:space="0" w:color="auto"/>
      </w:divBdr>
    </w:div>
    <w:div w:id="1278415925">
      <w:bodyDiv w:val="1"/>
      <w:marLeft w:val="0"/>
      <w:marRight w:val="0"/>
      <w:marTop w:val="0"/>
      <w:marBottom w:val="0"/>
      <w:divBdr>
        <w:top w:val="none" w:sz="0" w:space="0" w:color="auto"/>
        <w:left w:val="none" w:sz="0" w:space="0" w:color="auto"/>
        <w:bottom w:val="none" w:sz="0" w:space="0" w:color="auto"/>
        <w:right w:val="none" w:sz="0" w:space="0" w:color="auto"/>
      </w:divBdr>
    </w:div>
    <w:div w:id="1283073857">
      <w:bodyDiv w:val="1"/>
      <w:marLeft w:val="0"/>
      <w:marRight w:val="0"/>
      <w:marTop w:val="0"/>
      <w:marBottom w:val="0"/>
      <w:divBdr>
        <w:top w:val="none" w:sz="0" w:space="0" w:color="auto"/>
        <w:left w:val="none" w:sz="0" w:space="0" w:color="auto"/>
        <w:bottom w:val="none" w:sz="0" w:space="0" w:color="auto"/>
        <w:right w:val="none" w:sz="0" w:space="0" w:color="auto"/>
      </w:divBdr>
    </w:div>
    <w:div w:id="1288048107">
      <w:bodyDiv w:val="1"/>
      <w:marLeft w:val="0"/>
      <w:marRight w:val="0"/>
      <w:marTop w:val="0"/>
      <w:marBottom w:val="0"/>
      <w:divBdr>
        <w:top w:val="none" w:sz="0" w:space="0" w:color="auto"/>
        <w:left w:val="none" w:sz="0" w:space="0" w:color="auto"/>
        <w:bottom w:val="none" w:sz="0" w:space="0" w:color="auto"/>
        <w:right w:val="none" w:sz="0" w:space="0" w:color="auto"/>
      </w:divBdr>
    </w:div>
    <w:div w:id="1293906689">
      <w:bodyDiv w:val="1"/>
      <w:marLeft w:val="0"/>
      <w:marRight w:val="0"/>
      <w:marTop w:val="0"/>
      <w:marBottom w:val="0"/>
      <w:divBdr>
        <w:top w:val="none" w:sz="0" w:space="0" w:color="auto"/>
        <w:left w:val="none" w:sz="0" w:space="0" w:color="auto"/>
        <w:bottom w:val="none" w:sz="0" w:space="0" w:color="auto"/>
        <w:right w:val="none" w:sz="0" w:space="0" w:color="auto"/>
      </w:divBdr>
    </w:div>
    <w:div w:id="1295209598">
      <w:bodyDiv w:val="1"/>
      <w:marLeft w:val="0"/>
      <w:marRight w:val="0"/>
      <w:marTop w:val="0"/>
      <w:marBottom w:val="0"/>
      <w:divBdr>
        <w:top w:val="none" w:sz="0" w:space="0" w:color="auto"/>
        <w:left w:val="none" w:sz="0" w:space="0" w:color="auto"/>
        <w:bottom w:val="none" w:sz="0" w:space="0" w:color="auto"/>
        <w:right w:val="none" w:sz="0" w:space="0" w:color="auto"/>
      </w:divBdr>
    </w:div>
    <w:div w:id="1295716188">
      <w:bodyDiv w:val="1"/>
      <w:marLeft w:val="0"/>
      <w:marRight w:val="0"/>
      <w:marTop w:val="0"/>
      <w:marBottom w:val="0"/>
      <w:divBdr>
        <w:top w:val="none" w:sz="0" w:space="0" w:color="auto"/>
        <w:left w:val="none" w:sz="0" w:space="0" w:color="auto"/>
        <w:bottom w:val="none" w:sz="0" w:space="0" w:color="auto"/>
        <w:right w:val="none" w:sz="0" w:space="0" w:color="auto"/>
      </w:divBdr>
    </w:div>
    <w:div w:id="1297223263">
      <w:bodyDiv w:val="1"/>
      <w:marLeft w:val="0"/>
      <w:marRight w:val="0"/>
      <w:marTop w:val="0"/>
      <w:marBottom w:val="0"/>
      <w:divBdr>
        <w:top w:val="none" w:sz="0" w:space="0" w:color="auto"/>
        <w:left w:val="none" w:sz="0" w:space="0" w:color="auto"/>
        <w:bottom w:val="none" w:sz="0" w:space="0" w:color="auto"/>
        <w:right w:val="none" w:sz="0" w:space="0" w:color="auto"/>
      </w:divBdr>
    </w:div>
    <w:div w:id="1298680783">
      <w:bodyDiv w:val="1"/>
      <w:marLeft w:val="0"/>
      <w:marRight w:val="0"/>
      <w:marTop w:val="0"/>
      <w:marBottom w:val="0"/>
      <w:divBdr>
        <w:top w:val="none" w:sz="0" w:space="0" w:color="auto"/>
        <w:left w:val="none" w:sz="0" w:space="0" w:color="auto"/>
        <w:bottom w:val="none" w:sz="0" w:space="0" w:color="auto"/>
        <w:right w:val="none" w:sz="0" w:space="0" w:color="auto"/>
      </w:divBdr>
    </w:div>
    <w:div w:id="1299527019">
      <w:bodyDiv w:val="1"/>
      <w:marLeft w:val="0"/>
      <w:marRight w:val="0"/>
      <w:marTop w:val="0"/>
      <w:marBottom w:val="0"/>
      <w:divBdr>
        <w:top w:val="none" w:sz="0" w:space="0" w:color="auto"/>
        <w:left w:val="none" w:sz="0" w:space="0" w:color="auto"/>
        <w:bottom w:val="none" w:sz="0" w:space="0" w:color="auto"/>
        <w:right w:val="none" w:sz="0" w:space="0" w:color="auto"/>
      </w:divBdr>
    </w:div>
    <w:div w:id="1303732915">
      <w:bodyDiv w:val="1"/>
      <w:marLeft w:val="0"/>
      <w:marRight w:val="0"/>
      <w:marTop w:val="0"/>
      <w:marBottom w:val="0"/>
      <w:divBdr>
        <w:top w:val="none" w:sz="0" w:space="0" w:color="auto"/>
        <w:left w:val="none" w:sz="0" w:space="0" w:color="auto"/>
        <w:bottom w:val="none" w:sz="0" w:space="0" w:color="auto"/>
        <w:right w:val="none" w:sz="0" w:space="0" w:color="auto"/>
      </w:divBdr>
    </w:div>
    <w:div w:id="1303733086">
      <w:bodyDiv w:val="1"/>
      <w:marLeft w:val="0"/>
      <w:marRight w:val="0"/>
      <w:marTop w:val="0"/>
      <w:marBottom w:val="0"/>
      <w:divBdr>
        <w:top w:val="none" w:sz="0" w:space="0" w:color="auto"/>
        <w:left w:val="none" w:sz="0" w:space="0" w:color="auto"/>
        <w:bottom w:val="none" w:sz="0" w:space="0" w:color="auto"/>
        <w:right w:val="none" w:sz="0" w:space="0" w:color="auto"/>
      </w:divBdr>
    </w:div>
    <w:div w:id="1305503656">
      <w:bodyDiv w:val="1"/>
      <w:marLeft w:val="0"/>
      <w:marRight w:val="0"/>
      <w:marTop w:val="0"/>
      <w:marBottom w:val="0"/>
      <w:divBdr>
        <w:top w:val="none" w:sz="0" w:space="0" w:color="auto"/>
        <w:left w:val="none" w:sz="0" w:space="0" w:color="auto"/>
        <w:bottom w:val="none" w:sz="0" w:space="0" w:color="auto"/>
        <w:right w:val="none" w:sz="0" w:space="0" w:color="auto"/>
      </w:divBdr>
    </w:div>
    <w:div w:id="1305545737">
      <w:bodyDiv w:val="1"/>
      <w:marLeft w:val="0"/>
      <w:marRight w:val="0"/>
      <w:marTop w:val="0"/>
      <w:marBottom w:val="0"/>
      <w:divBdr>
        <w:top w:val="none" w:sz="0" w:space="0" w:color="auto"/>
        <w:left w:val="none" w:sz="0" w:space="0" w:color="auto"/>
        <w:bottom w:val="none" w:sz="0" w:space="0" w:color="auto"/>
        <w:right w:val="none" w:sz="0" w:space="0" w:color="auto"/>
      </w:divBdr>
    </w:div>
    <w:div w:id="1308559352">
      <w:bodyDiv w:val="1"/>
      <w:marLeft w:val="0"/>
      <w:marRight w:val="0"/>
      <w:marTop w:val="0"/>
      <w:marBottom w:val="0"/>
      <w:divBdr>
        <w:top w:val="none" w:sz="0" w:space="0" w:color="auto"/>
        <w:left w:val="none" w:sz="0" w:space="0" w:color="auto"/>
        <w:bottom w:val="none" w:sz="0" w:space="0" w:color="auto"/>
        <w:right w:val="none" w:sz="0" w:space="0" w:color="auto"/>
      </w:divBdr>
    </w:div>
    <w:div w:id="1312439975">
      <w:bodyDiv w:val="1"/>
      <w:marLeft w:val="0"/>
      <w:marRight w:val="0"/>
      <w:marTop w:val="0"/>
      <w:marBottom w:val="0"/>
      <w:divBdr>
        <w:top w:val="none" w:sz="0" w:space="0" w:color="auto"/>
        <w:left w:val="none" w:sz="0" w:space="0" w:color="auto"/>
        <w:bottom w:val="none" w:sz="0" w:space="0" w:color="auto"/>
        <w:right w:val="none" w:sz="0" w:space="0" w:color="auto"/>
      </w:divBdr>
    </w:div>
    <w:div w:id="1316254360">
      <w:bodyDiv w:val="1"/>
      <w:marLeft w:val="0"/>
      <w:marRight w:val="0"/>
      <w:marTop w:val="0"/>
      <w:marBottom w:val="0"/>
      <w:divBdr>
        <w:top w:val="none" w:sz="0" w:space="0" w:color="auto"/>
        <w:left w:val="none" w:sz="0" w:space="0" w:color="auto"/>
        <w:bottom w:val="none" w:sz="0" w:space="0" w:color="auto"/>
        <w:right w:val="none" w:sz="0" w:space="0" w:color="auto"/>
      </w:divBdr>
    </w:div>
    <w:div w:id="1317951408">
      <w:bodyDiv w:val="1"/>
      <w:marLeft w:val="0"/>
      <w:marRight w:val="0"/>
      <w:marTop w:val="0"/>
      <w:marBottom w:val="0"/>
      <w:divBdr>
        <w:top w:val="none" w:sz="0" w:space="0" w:color="auto"/>
        <w:left w:val="none" w:sz="0" w:space="0" w:color="auto"/>
        <w:bottom w:val="none" w:sz="0" w:space="0" w:color="auto"/>
        <w:right w:val="none" w:sz="0" w:space="0" w:color="auto"/>
      </w:divBdr>
    </w:div>
    <w:div w:id="1318337697">
      <w:bodyDiv w:val="1"/>
      <w:marLeft w:val="0"/>
      <w:marRight w:val="0"/>
      <w:marTop w:val="0"/>
      <w:marBottom w:val="0"/>
      <w:divBdr>
        <w:top w:val="none" w:sz="0" w:space="0" w:color="auto"/>
        <w:left w:val="none" w:sz="0" w:space="0" w:color="auto"/>
        <w:bottom w:val="none" w:sz="0" w:space="0" w:color="auto"/>
        <w:right w:val="none" w:sz="0" w:space="0" w:color="auto"/>
      </w:divBdr>
    </w:div>
    <w:div w:id="1318343137">
      <w:bodyDiv w:val="1"/>
      <w:marLeft w:val="0"/>
      <w:marRight w:val="0"/>
      <w:marTop w:val="0"/>
      <w:marBottom w:val="0"/>
      <w:divBdr>
        <w:top w:val="none" w:sz="0" w:space="0" w:color="auto"/>
        <w:left w:val="none" w:sz="0" w:space="0" w:color="auto"/>
        <w:bottom w:val="none" w:sz="0" w:space="0" w:color="auto"/>
        <w:right w:val="none" w:sz="0" w:space="0" w:color="auto"/>
      </w:divBdr>
    </w:div>
    <w:div w:id="1318417529">
      <w:bodyDiv w:val="1"/>
      <w:marLeft w:val="0"/>
      <w:marRight w:val="0"/>
      <w:marTop w:val="0"/>
      <w:marBottom w:val="0"/>
      <w:divBdr>
        <w:top w:val="none" w:sz="0" w:space="0" w:color="auto"/>
        <w:left w:val="none" w:sz="0" w:space="0" w:color="auto"/>
        <w:bottom w:val="none" w:sz="0" w:space="0" w:color="auto"/>
        <w:right w:val="none" w:sz="0" w:space="0" w:color="auto"/>
      </w:divBdr>
    </w:div>
    <w:div w:id="1318878635">
      <w:bodyDiv w:val="1"/>
      <w:marLeft w:val="0"/>
      <w:marRight w:val="0"/>
      <w:marTop w:val="0"/>
      <w:marBottom w:val="0"/>
      <w:divBdr>
        <w:top w:val="none" w:sz="0" w:space="0" w:color="auto"/>
        <w:left w:val="none" w:sz="0" w:space="0" w:color="auto"/>
        <w:bottom w:val="none" w:sz="0" w:space="0" w:color="auto"/>
        <w:right w:val="none" w:sz="0" w:space="0" w:color="auto"/>
      </w:divBdr>
    </w:div>
    <w:div w:id="1323697322">
      <w:bodyDiv w:val="1"/>
      <w:marLeft w:val="0"/>
      <w:marRight w:val="0"/>
      <w:marTop w:val="0"/>
      <w:marBottom w:val="0"/>
      <w:divBdr>
        <w:top w:val="none" w:sz="0" w:space="0" w:color="auto"/>
        <w:left w:val="none" w:sz="0" w:space="0" w:color="auto"/>
        <w:bottom w:val="none" w:sz="0" w:space="0" w:color="auto"/>
        <w:right w:val="none" w:sz="0" w:space="0" w:color="auto"/>
      </w:divBdr>
    </w:div>
    <w:div w:id="1331522270">
      <w:bodyDiv w:val="1"/>
      <w:marLeft w:val="0"/>
      <w:marRight w:val="0"/>
      <w:marTop w:val="0"/>
      <w:marBottom w:val="0"/>
      <w:divBdr>
        <w:top w:val="none" w:sz="0" w:space="0" w:color="auto"/>
        <w:left w:val="none" w:sz="0" w:space="0" w:color="auto"/>
        <w:bottom w:val="none" w:sz="0" w:space="0" w:color="auto"/>
        <w:right w:val="none" w:sz="0" w:space="0" w:color="auto"/>
      </w:divBdr>
    </w:div>
    <w:div w:id="1332641063">
      <w:bodyDiv w:val="1"/>
      <w:marLeft w:val="0"/>
      <w:marRight w:val="0"/>
      <w:marTop w:val="0"/>
      <w:marBottom w:val="0"/>
      <w:divBdr>
        <w:top w:val="none" w:sz="0" w:space="0" w:color="auto"/>
        <w:left w:val="none" w:sz="0" w:space="0" w:color="auto"/>
        <w:bottom w:val="none" w:sz="0" w:space="0" w:color="auto"/>
        <w:right w:val="none" w:sz="0" w:space="0" w:color="auto"/>
      </w:divBdr>
    </w:div>
    <w:div w:id="1336761492">
      <w:bodyDiv w:val="1"/>
      <w:marLeft w:val="0"/>
      <w:marRight w:val="0"/>
      <w:marTop w:val="0"/>
      <w:marBottom w:val="0"/>
      <w:divBdr>
        <w:top w:val="none" w:sz="0" w:space="0" w:color="auto"/>
        <w:left w:val="none" w:sz="0" w:space="0" w:color="auto"/>
        <w:bottom w:val="none" w:sz="0" w:space="0" w:color="auto"/>
        <w:right w:val="none" w:sz="0" w:space="0" w:color="auto"/>
      </w:divBdr>
    </w:div>
    <w:div w:id="1336878120">
      <w:bodyDiv w:val="1"/>
      <w:marLeft w:val="0"/>
      <w:marRight w:val="0"/>
      <w:marTop w:val="0"/>
      <w:marBottom w:val="0"/>
      <w:divBdr>
        <w:top w:val="none" w:sz="0" w:space="0" w:color="auto"/>
        <w:left w:val="none" w:sz="0" w:space="0" w:color="auto"/>
        <w:bottom w:val="none" w:sz="0" w:space="0" w:color="auto"/>
        <w:right w:val="none" w:sz="0" w:space="0" w:color="auto"/>
      </w:divBdr>
    </w:div>
    <w:div w:id="1337726696">
      <w:bodyDiv w:val="1"/>
      <w:marLeft w:val="0"/>
      <w:marRight w:val="0"/>
      <w:marTop w:val="0"/>
      <w:marBottom w:val="0"/>
      <w:divBdr>
        <w:top w:val="none" w:sz="0" w:space="0" w:color="auto"/>
        <w:left w:val="none" w:sz="0" w:space="0" w:color="auto"/>
        <w:bottom w:val="none" w:sz="0" w:space="0" w:color="auto"/>
        <w:right w:val="none" w:sz="0" w:space="0" w:color="auto"/>
      </w:divBdr>
    </w:div>
    <w:div w:id="1339191655">
      <w:bodyDiv w:val="1"/>
      <w:marLeft w:val="0"/>
      <w:marRight w:val="0"/>
      <w:marTop w:val="0"/>
      <w:marBottom w:val="0"/>
      <w:divBdr>
        <w:top w:val="none" w:sz="0" w:space="0" w:color="auto"/>
        <w:left w:val="none" w:sz="0" w:space="0" w:color="auto"/>
        <w:bottom w:val="none" w:sz="0" w:space="0" w:color="auto"/>
        <w:right w:val="none" w:sz="0" w:space="0" w:color="auto"/>
      </w:divBdr>
    </w:div>
    <w:div w:id="1339581027">
      <w:bodyDiv w:val="1"/>
      <w:marLeft w:val="0"/>
      <w:marRight w:val="0"/>
      <w:marTop w:val="0"/>
      <w:marBottom w:val="0"/>
      <w:divBdr>
        <w:top w:val="none" w:sz="0" w:space="0" w:color="auto"/>
        <w:left w:val="none" w:sz="0" w:space="0" w:color="auto"/>
        <w:bottom w:val="none" w:sz="0" w:space="0" w:color="auto"/>
        <w:right w:val="none" w:sz="0" w:space="0" w:color="auto"/>
      </w:divBdr>
    </w:div>
    <w:div w:id="1342782499">
      <w:bodyDiv w:val="1"/>
      <w:marLeft w:val="0"/>
      <w:marRight w:val="0"/>
      <w:marTop w:val="0"/>
      <w:marBottom w:val="0"/>
      <w:divBdr>
        <w:top w:val="none" w:sz="0" w:space="0" w:color="auto"/>
        <w:left w:val="none" w:sz="0" w:space="0" w:color="auto"/>
        <w:bottom w:val="none" w:sz="0" w:space="0" w:color="auto"/>
        <w:right w:val="none" w:sz="0" w:space="0" w:color="auto"/>
      </w:divBdr>
    </w:div>
    <w:div w:id="1343357018">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8288612">
      <w:bodyDiv w:val="1"/>
      <w:marLeft w:val="0"/>
      <w:marRight w:val="0"/>
      <w:marTop w:val="0"/>
      <w:marBottom w:val="0"/>
      <w:divBdr>
        <w:top w:val="none" w:sz="0" w:space="0" w:color="auto"/>
        <w:left w:val="none" w:sz="0" w:space="0" w:color="auto"/>
        <w:bottom w:val="none" w:sz="0" w:space="0" w:color="auto"/>
        <w:right w:val="none" w:sz="0" w:space="0" w:color="auto"/>
      </w:divBdr>
    </w:div>
    <w:div w:id="1348798948">
      <w:bodyDiv w:val="1"/>
      <w:marLeft w:val="0"/>
      <w:marRight w:val="0"/>
      <w:marTop w:val="0"/>
      <w:marBottom w:val="0"/>
      <w:divBdr>
        <w:top w:val="none" w:sz="0" w:space="0" w:color="auto"/>
        <w:left w:val="none" w:sz="0" w:space="0" w:color="auto"/>
        <w:bottom w:val="none" w:sz="0" w:space="0" w:color="auto"/>
        <w:right w:val="none" w:sz="0" w:space="0" w:color="auto"/>
      </w:divBdr>
    </w:div>
    <w:div w:id="1349136573">
      <w:bodyDiv w:val="1"/>
      <w:marLeft w:val="0"/>
      <w:marRight w:val="0"/>
      <w:marTop w:val="0"/>
      <w:marBottom w:val="0"/>
      <w:divBdr>
        <w:top w:val="none" w:sz="0" w:space="0" w:color="auto"/>
        <w:left w:val="none" w:sz="0" w:space="0" w:color="auto"/>
        <w:bottom w:val="none" w:sz="0" w:space="0" w:color="auto"/>
        <w:right w:val="none" w:sz="0" w:space="0" w:color="auto"/>
      </w:divBdr>
    </w:div>
    <w:div w:id="1351956276">
      <w:bodyDiv w:val="1"/>
      <w:marLeft w:val="0"/>
      <w:marRight w:val="0"/>
      <w:marTop w:val="0"/>
      <w:marBottom w:val="0"/>
      <w:divBdr>
        <w:top w:val="none" w:sz="0" w:space="0" w:color="auto"/>
        <w:left w:val="none" w:sz="0" w:space="0" w:color="auto"/>
        <w:bottom w:val="none" w:sz="0" w:space="0" w:color="auto"/>
        <w:right w:val="none" w:sz="0" w:space="0" w:color="auto"/>
      </w:divBdr>
    </w:div>
    <w:div w:id="1352874797">
      <w:bodyDiv w:val="1"/>
      <w:marLeft w:val="0"/>
      <w:marRight w:val="0"/>
      <w:marTop w:val="0"/>
      <w:marBottom w:val="0"/>
      <w:divBdr>
        <w:top w:val="none" w:sz="0" w:space="0" w:color="auto"/>
        <w:left w:val="none" w:sz="0" w:space="0" w:color="auto"/>
        <w:bottom w:val="none" w:sz="0" w:space="0" w:color="auto"/>
        <w:right w:val="none" w:sz="0" w:space="0" w:color="auto"/>
      </w:divBdr>
    </w:div>
    <w:div w:id="1353611176">
      <w:bodyDiv w:val="1"/>
      <w:marLeft w:val="0"/>
      <w:marRight w:val="0"/>
      <w:marTop w:val="0"/>
      <w:marBottom w:val="0"/>
      <w:divBdr>
        <w:top w:val="none" w:sz="0" w:space="0" w:color="auto"/>
        <w:left w:val="none" w:sz="0" w:space="0" w:color="auto"/>
        <w:bottom w:val="none" w:sz="0" w:space="0" w:color="auto"/>
        <w:right w:val="none" w:sz="0" w:space="0" w:color="auto"/>
      </w:divBdr>
    </w:div>
    <w:div w:id="1354111359">
      <w:bodyDiv w:val="1"/>
      <w:marLeft w:val="0"/>
      <w:marRight w:val="0"/>
      <w:marTop w:val="0"/>
      <w:marBottom w:val="0"/>
      <w:divBdr>
        <w:top w:val="none" w:sz="0" w:space="0" w:color="auto"/>
        <w:left w:val="none" w:sz="0" w:space="0" w:color="auto"/>
        <w:bottom w:val="none" w:sz="0" w:space="0" w:color="auto"/>
        <w:right w:val="none" w:sz="0" w:space="0" w:color="auto"/>
      </w:divBdr>
    </w:div>
    <w:div w:id="1355575365">
      <w:bodyDiv w:val="1"/>
      <w:marLeft w:val="0"/>
      <w:marRight w:val="0"/>
      <w:marTop w:val="0"/>
      <w:marBottom w:val="0"/>
      <w:divBdr>
        <w:top w:val="none" w:sz="0" w:space="0" w:color="auto"/>
        <w:left w:val="none" w:sz="0" w:space="0" w:color="auto"/>
        <w:bottom w:val="none" w:sz="0" w:space="0" w:color="auto"/>
        <w:right w:val="none" w:sz="0" w:space="0" w:color="auto"/>
      </w:divBdr>
    </w:div>
    <w:div w:id="1358316215">
      <w:bodyDiv w:val="1"/>
      <w:marLeft w:val="0"/>
      <w:marRight w:val="0"/>
      <w:marTop w:val="0"/>
      <w:marBottom w:val="0"/>
      <w:divBdr>
        <w:top w:val="none" w:sz="0" w:space="0" w:color="auto"/>
        <w:left w:val="none" w:sz="0" w:space="0" w:color="auto"/>
        <w:bottom w:val="none" w:sz="0" w:space="0" w:color="auto"/>
        <w:right w:val="none" w:sz="0" w:space="0" w:color="auto"/>
      </w:divBdr>
    </w:div>
    <w:div w:id="1362583192">
      <w:bodyDiv w:val="1"/>
      <w:marLeft w:val="0"/>
      <w:marRight w:val="0"/>
      <w:marTop w:val="0"/>
      <w:marBottom w:val="0"/>
      <w:divBdr>
        <w:top w:val="none" w:sz="0" w:space="0" w:color="auto"/>
        <w:left w:val="none" w:sz="0" w:space="0" w:color="auto"/>
        <w:bottom w:val="none" w:sz="0" w:space="0" w:color="auto"/>
        <w:right w:val="none" w:sz="0" w:space="0" w:color="auto"/>
      </w:divBdr>
    </w:div>
    <w:div w:id="1362590323">
      <w:bodyDiv w:val="1"/>
      <w:marLeft w:val="0"/>
      <w:marRight w:val="0"/>
      <w:marTop w:val="0"/>
      <w:marBottom w:val="0"/>
      <w:divBdr>
        <w:top w:val="none" w:sz="0" w:space="0" w:color="auto"/>
        <w:left w:val="none" w:sz="0" w:space="0" w:color="auto"/>
        <w:bottom w:val="none" w:sz="0" w:space="0" w:color="auto"/>
        <w:right w:val="none" w:sz="0" w:space="0" w:color="auto"/>
      </w:divBdr>
    </w:div>
    <w:div w:id="1362710691">
      <w:bodyDiv w:val="1"/>
      <w:marLeft w:val="0"/>
      <w:marRight w:val="0"/>
      <w:marTop w:val="0"/>
      <w:marBottom w:val="0"/>
      <w:divBdr>
        <w:top w:val="none" w:sz="0" w:space="0" w:color="auto"/>
        <w:left w:val="none" w:sz="0" w:space="0" w:color="auto"/>
        <w:bottom w:val="none" w:sz="0" w:space="0" w:color="auto"/>
        <w:right w:val="none" w:sz="0" w:space="0" w:color="auto"/>
      </w:divBdr>
    </w:div>
    <w:div w:id="1367869542">
      <w:bodyDiv w:val="1"/>
      <w:marLeft w:val="0"/>
      <w:marRight w:val="0"/>
      <w:marTop w:val="0"/>
      <w:marBottom w:val="0"/>
      <w:divBdr>
        <w:top w:val="none" w:sz="0" w:space="0" w:color="auto"/>
        <w:left w:val="none" w:sz="0" w:space="0" w:color="auto"/>
        <w:bottom w:val="none" w:sz="0" w:space="0" w:color="auto"/>
        <w:right w:val="none" w:sz="0" w:space="0" w:color="auto"/>
      </w:divBdr>
    </w:div>
    <w:div w:id="1370839375">
      <w:bodyDiv w:val="1"/>
      <w:marLeft w:val="0"/>
      <w:marRight w:val="0"/>
      <w:marTop w:val="0"/>
      <w:marBottom w:val="0"/>
      <w:divBdr>
        <w:top w:val="none" w:sz="0" w:space="0" w:color="auto"/>
        <w:left w:val="none" w:sz="0" w:space="0" w:color="auto"/>
        <w:bottom w:val="none" w:sz="0" w:space="0" w:color="auto"/>
        <w:right w:val="none" w:sz="0" w:space="0" w:color="auto"/>
      </w:divBdr>
    </w:div>
    <w:div w:id="1372026031">
      <w:bodyDiv w:val="1"/>
      <w:marLeft w:val="0"/>
      <w:marRight w:val="0"/>
      <w:marTop w:val="0"/>
      <w:marBottom w:val="0"/>
      <w:divBdr>
        <w:top w:val="none" w:sz="0" w:space="0" w:color="auto"/>
        <w:left w:val="none" w:sz="0" w:space="0" w:color="auto"/>
        <w:bottom w:val="none" w:sz="0" w:space="0" w:color="auto"/>
        <w:right w:val="none" w:sz="0" w:space="0" w:color="auto"/>
      </w:divBdr>
    </w:div>
    <w:div w:id="1376007591">
      <w:bodyDiv w:val="1"/>
      <w:marLeft w:val="0"/>
      <w:marRight w:val="0"/>
      <w:marTop w:val="0"/>
      <w:marBottom w:val="0"/>
      <w:divBdr>
        <w:top w:val="none" w:sz="0" w:space="0" w:color="auto"/>
        <w:left w:val="none" w:sz="0" w:space="0" w:color="auto"/>
        <w:bottom w:val="none" w:sz="0" w:space="0" w:color="auto"/>
        <w:right w:val="none" w:sz="0" w:space="0" w:color="auto"/>
      </w:divBdr>
    </w:div>
    <w:div w:id="1383402910">
      <w:bodyDiv w:val="1"/>
      <w:marLeft w:val="0"/>
      <w:marRight w:val="0"/>
      <w:marTop w:val="0"/>
      <w:marBottom w:val="0"/>
      <w:divBdr>
        <w:top w:val="none" w:sz="0" w:space="0" w:color="auto"/>
        <w:left w:val="none" w:sz="0" w:space="0" w:color="auto"/>
        <w:bottom w:val="none" w:sz="0" w:space="0" w:color="auto"/>
        <w:right w:val="none" w:sz="0" w:space="0" w:color="auto"/>
      </w:divBdr>
    </w:div>
    <w:div w:id="1383747200">
      <w:bodyDiv w:val="1"/>
      <w:marLeft w:val="0"/>
      <w:marRight w:val="0"/>
      <w:marTop w:val="0"/>
      <w:marBottom w:val="0"/>
      <w:divBdr>
        <w:top w:val="none" w:sz="0" w:space="0" w:color="auto"/>
        <w:left w:val="none" w:sz="0" w:space="0" w:color="auto"/>
        <w:bottom w:val="none" w:sz="0" w:space="0" w:color="auto"/>
        <w:right w:val="none" w:sz="0" w:space="0" w:color="auto"/>
      </w:divBdr>
    </w:div>
    <w:div w:id="1389576445">
      <w:bodyDiv w:val="1"/>
      <w:marLeft w:val="0"/>
      <w:marRight w:val="0"/>
      <w:marTop w:val="0"/>
      <w:marBottom w:val="0"/>
      <w:divBdr>
        <w:top w:val="none" w:sz="0" w:space="0" w:color="auto"/>
        <w:left w:val="none" w:sz="0" w:space="0" w:color="auto"/>
        <w:bottom w:val="none" w:sz="0" w:space="0" w:color="auto"/>
        <w:right w:val="none" w:sz="0" w:space="0" w:color="auto"/>
      </w:divBdr>
    </w:div>
    <w:div w:id="1390230148">
      <w:bodyDiv w:val="1"/>
      <w:marLeft w:val="0"/>
      <w:marRight w:val="0"/>
      <w:marTop w:val="0"/>
      <w:marBottom w:val="0"/>
      <w:divBdr>
        <w:top w:val="none" w:sz="0" w:space="0" w:color="auto"/>
        <w:left w:val="none" w:sz="0" w:space="0" w:color="auto"/>
        <w:bottom w:val="none" w:sz="0" w:space="0" w:color="auto"/>
        <w:right w:val="none" w:sz="0" w:space="0" w:color="auto"/>
      </w:divBdr>
    </w:div>
    <w:div w:id="1394353341">
      <w:bodyDiv w:val="1"/>
      <w:marLeft w:val="0"/>
      <w:marRight w:val="0"/>
      <w:marTop w:val="0"/>
      <w:marBottom w:val="0"/>
      <w:divBdr>
        <w:top w:val="none" w:sz="0" w:space="0" w:color="auto"/>
        <w:left w:val="none" w:sz="0" w:space="0" w:color="auto"/>
        <w:bottom w:val="none" w:sz="0" w:space="0" w:color="auto"/>
        <w:right w:val="none" w:sz="0" w:space="0" w:color="auto"/>
      </w:divBdr>
    </w:div>
    <w:div w:id="1402748107">
      <w:bodyDiv w:val="1"/>
      <w:marLeft w:val="0"/>
      <w:marRight w:val="0"/>
      <w:marTop w:val="0"/>
      <w:marBottom w:val="0"/>
      <w:divBdr>
        <w:top w:val="none" w:sz="0" w:space="0" w:color="auto"/>
        <w:left w:val="none" w:sz="0" w:space="0" w:color="auto"/>
        <w:bottom w:val="none" w:sz="0" w:space="0" w:color="auto"/>
        <w:right w:val="none" w:sz="0" w:space="0" w:color="auto"/>
      </w:divBdr>
    </w:div>
    <w:div w:id="1404647219">
      <w:bodyDiv w:val="1"/>
      <w:marLeft w:val="0"/>
      <w:marRight w:val="0"/>
      <w:marTop w:val="0"/>
      <w:marBottom w:val="0"/>
      <w:divBdr>
        <w:top w:val="none" w:sz="0" w:space="0" w:color="auto"/>
        <w:left w:val="none" w:sz="0" w:space="0" w:color="auto"/>
        <w:bottom w:val="none" w:sz="0" w:space="0" w:color="auto"/>
        <w:right w:val="none" w:sz="0" w:space="0" w:color="auto"/>
      </w:divBdr>
    </w:div>
    <w:div w:id="1405374769">
      <w:bodyDiv w:val="1"/>
      <w:marLeft w:val="0"/>
      <w:marRight w:val="0"/>
      <w:marTop w:val="0"/>
      <w:marBottom w:val="0"/>
      <w:divBdr>
        <w:top w:val="none" w:sz="0" w:space="0" w:color="auto"/>
        <w:left w:val="none" w:sz="0" w:space="0" w:color="auto"/>
        <w:bottom w:val="none" w:sz="0" w:space="0" w:color="auto"/>
        <w:right w:val="none" w:sz="0" w:space="0" w:color="auto"/>
      </w:divBdr>
    </w:div>
    <w:div w:id="1406563082">
      <w:bodyDiv w:val="1"/>
      <w:marLeft w:val="0"/>
      <w:marRight w:val="0"/>
      <w:marTop w:val="0"/>
      <w:marBottom w:val="0"/>
      <w:divBdr>
        <w:top w:val="none" w:sz="0" w:space="0" w:color="auto"/>
        <w:left w:val="none" w:sz="0" w:space="0" w:color="auto"/>
        <w:bottom w:val="none" w:sz="0" w:space="0" w:color="auto"/>
        <w:right w:val="none" w:sz="0" w:space="0" w:color="auto"/>
      </w:divBdr>
    </w:div>
    <w:div w:id="1406880793">
      <w:bodyDiv w:val="1"/>
      <w:marLeft w:val="0"/>
      <w:marRight w:val="0"/>
      <w:marTop w:val="0"/>
      <w:marBottom w:val="0"/>
      <w:divBdr>
        <w:top w:val="none" w:sz="0" w:space="0" w:color="auto"/>
        <w:left w:val="none" w:sz="0" w:space="0" w:color="auto"/>
        <w:bottom w:val="none" w:sz="0" w:space="0" w:color="auto"/>
        <w:right w:val="none" w:sz="0" w:space="0" w:color="auto"/>
      </w:divBdr>
    </w:div>
    <w:div w:id="1408650679">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1081524">
      <w:bodyDiv w:val="1"/>
      <w:marLeft w:val="0"/>
      <w:marRight w:val="0"/>
      <w:marTop w:val="0"/>
      <w:marBottom w:val="0"/>
      <w:divBdr>
        <w:top w:val="none" w:sz="0" w:space="0" w:color="auto"/>
        <w:left w:val="none" w:sz="0" w:space="0" w:color="auto"/>
        <w:bottom w:val="none" w:sz="0" w:space="0" w:color="auto"/>
        <w:right w:val="none" w:sz="0" w:space="0" w:color="auto"/>
      </w:divBdr>
    </w:div>
    <w:div w:id="1411349715">
      <w:bodyDiv w:val="1"/>
      <w:marLeft w:val="0"/>
      <w:marRight w:val="0"/>
      <w:marTop w:val="0"/>
      <w:marBottom w:val="0"/>
      <w:divBdr>
        <w:top w:val="none" w:sz="0" w:space="0" w:color="auto"/>
        <w:left w:val="none" w:sz="0" w:space="0" w:color="auto"/>
        <w:bottom w:val="none" w:sz="0" w:space="0" w:color="auto"/>
        <w:right w:val="none" w:sz="0" w:space="0" w:color="auto"/>
      </w:divBdr>
    </w:div>
    <w:div w:id="1413576265">
      <w:bodyDiv w:val="1"/>
      <w:marLeft w:val="0"/>
      <w:marRight w:val="0"/>
      <w:marTop w:val="0"/>
      <w:marBottom w:val="0"/>
      <w:divBdr>
        <w:top w:val="none" w:sz="0" w:space="0" w:color="auto"/>
        <w:left w:val="none" w:sz="0" w:space="0" w:color="auto"/>
        <w:bottom w:val="none" w:sz="0" w:space="0" w:color="auto"/>
        <w:right w:val="none" w:sz="0" w:space="0" w:color="auto"/>
      </w:divBdr>
    </w:div>
    <w:div w:id="1414860064">
      <w:bodyDiv w:val="1"/>
      <w:marLeft w:val="0"/>
      <w:marRight w:val="0"/>
      <w:marTop w:val="0"/>
      <w:marBottom w:val="0"/>
      <w:divBdr>
        <w:top w:val="none" w:sz="0" w:space="0" w:color="auto"/>
        <w:left w:val="none" w:sz="0" w:space="0" w:color="auto"/>
        <w:bottom w:val="none" w:sz="0" w:space="0" w:color="auto"/>
        <w:right w:val="none" w:sz="0" w:space="0" w:color="auto"/>
      </w:divBdr>
    </w:div>
    <w:div w:id="1415319683">
      <w:bodyDiv w:val="1"/>
      <w:marLeft w:val="0"/>
      <w:marRight w:val="0"/>
      <w:marTop w:val="0"/>
      <w:marBottom w:val="0"/>
      <w:divBdr>
        <w:top w:val="none" w:sz="0" w:space="0" w:color="auto"/>
        <w:left w:val="none" w:sz="0" w:space="0" w:color="auto"/>
        <w:bottom w:val="none" w:sz="0" w:space="0" w:color="auto"/>
        <w:right w:val="none" w:sz="0" w:space="0" w:color="auto"/>
      </w:divBdr>
    </w:div>
    <w:div w:id="1416053182">
      <w:bodyDiv w:val="1"/>
      <w:marLeft w:val="0"/>
      <w:marRight w:val="0"/>
      <w:marTop w:val="0"/>
      <w:marBottom w:val="0"/>
      <w:divBdr>
        <w:top w:val="none" w:sz="0" w:space="0" w:color="auto"/>
        <w:left w:val="none" w:sz="0" w:space="0" w:color="auto"/>
        <w:bottom w:val="none" w:sz="0" w:space="0" w:color="auto"/>
        <w:right w:val="none" w:sz="0" w:space="0" w:color="auto"/>
      </w:divBdr>
    </w:div>
    <w:div w:id="1421490747">
      <w:bodyDiv w:val="1"/>
      <w:marLeft w:val="0"/>
      <w:marRight w:val="0"/>
      <w:marTop w:val="0"/>
      <w:marBottom w:val="0"/>
      <w:divBdr>
        <w:top w:val="none" w:sz="0" w:space="0" w:color="auto"/>
        <w:left w:val="none" w:sz="0" w:space="0" w:color="auto"/>
        <w:bottom w:val="none" w:sz="0" w:space="0" w:color="auto"/>
        <w:right w:val="none" w:sz="0" w:space="0" w:color="auto"/>
      </w:divBdr>
    </w:div>
    <w:div w:id="1422798997">
      <w:bodyDiv w:val="1"/>
      <w:marLeft w:val="0"/>
      <w:marRight w:val="0"/>
      <w:marTop w:val="0"/>
      <w:marBottom w:val="0"/>
      <w:divBdr>
        <w:top w:val="none" w:sz="0" w:space="0" w:color="auto"/>
        <w:left w:val="none" w:sz="0" w:space="0" w:color="auto"/>
        <w:bottom w:val="none" w:sz="0" w:space="0" w:color="auto"/>
        <w:right w:val="none" w:sz="0" w:space="0" w:color="auto"/>
      </w:divBdr>
    </w:div>
    <w:div w:id="1426413823">
      <w:bodyDiv w:val="1"/>
      <w:marLeft w:val="0"/>
      <w:marRight w:val="0"/>
      <w:marTop w:val="0"/>
      <w:marBottom w:val="0"/>
      <w:divBdr>
        <w:top w:val="none" w:sz="0" w:space="0" w:color="auto"/>
        <w:left w:val="none" w:sz="0" w:space="0" w:color="auto"/>
        <w:bottom w:val="none" w:sz="0" w:space="0" w:color="auto"/>
        <w:right w:val="none" w:sz="0" w:space="0" w:color="auto"/>
      </w:divBdr>
    </w:div>
    <w:div w:id="1430278882">
      <w:bodyDiv w:val="1"/>
      <w:marLeft w:val="0"/>
      <w:marRight w:val="0"/>
      <w:marTop w:val="0"/>
      <w:marBottom w:val="0"/>
      <w:divBdr>
        <w:top w:val="none" w:sz="0" w:space="0" w:color="auto"/>
        <w:left w:val="none" w:sz="0" w:space="0" w:color="auto"/>
        <w:bottom w:val="none" w:sz="0" w:space="0" w:color="auto"/>
        <w:right w:val="none" w:sz="0" w:space="0" w:color="auto"/>
      </w:divBdr>
    </w:div>
    <w:div w:id="1433823075">
      <w:bodyDiv w:val="1"/>
      <w:marLeft w:val="0"/>
      <w:marRight w:val="0"/>
      <w:marTop w:val="0"/>
      <w:marBottom w:val="0"/>
      <w:divBdr>
        <w:top w:val="none" w:sz="0" w:space="0" w:color="auto"/>
        <w:left w:val="none" w:sz="0" w:space="0" w:color="auto"/>
        <w:bottom w:val="none" w:sz="0" w:space="0" w:color="auto"/>
        <w:right w:val="none" w:sz="0" w:space="0" w:color="auto"/>
      </w:divBdr>
    </w:div>
    <w:div w:id="1434058767">
      <w:bodyDiv w:val="1"/>
      <w:marLeft w:val="0"/>
      <w:marRight w:val="0"/>
      <w:marTop w:val="0"/>
      <w:marBottom w:val="0"/>
      <w:divBdr>
        <w:top w:val="none" w:sz="0" w:space="0" w:color="auto"/>
        <w:left w:val="none" w:sz="0" w:space="0" w:color="auto"/>
        <w:bottom w:val="none" w:sz="0" w:space="0" w:color="auto"/>
        <w:right w:val="none" w:sz="0" w:space="0" w:color="auto"/>
      </w:divBdr>
    </w:div>
    <w:div w:id="1435444478">
      <w:bodyDiv w:val="1"/>
      <w:marLeft w:val="0"/>
      <w:marRight w:val="0"/>
      <w:marTop w:val="0"/>
      <w:marBottom w:val="0"/>
      <w:divBdr>
        <w:top w:val="none" w:sz="0" w:space="0" w:color="auto"/>
        <w:left w:val="none" w:sz="0" w:space="0" w:color="auto"/>
        <w:bottom w:val="none" w:sz="0" w:space="0" w:color="auto"/>
        <w:right w:val="none" w:sz="0" w:space="0" w:color="auto"/>
      </w:divBdr>
    </w:div>
    <w:div w:id="1436635541">
      <w:bodyDiv w:val="1"/>
      <w:marLeft w:val="0"/>
      <w:marRight w:val="0"/>
      <w:marTop w:val="0"/>
      <w:marBottom w:val="0"/>
      <w:divBdr>
        <w:top w:val="none" w:sz="0" w:space="0" w:color="auto"/>
        <w:left w:val="none" w:sz="0" w:space="0" w:color="auto"/>
        <w:bottom w:val="none" w:sz="0" w:space="0" w:color="auto"/>
        <w:right w:val="none" w:sz="0" w:space="0" w:color="auto"/>
      </w:divBdr>
    </w:div>
    <w:div w:id="1437284136">
      <w:bodyDiv w:val="1"/>
      <w:marLeft w:val="0"/>
      <w:marRight w:val="0"/>
      <w:marTop w:val="0"/>
      <w:marBottom w:val="0"/>
      <w:divBdr>
        <w:top w:val="none" w:sz="0" w:space="0" w:color="auto"/>
        <w:left w:val="none" w:sz="0" w:space="0" w:color="auto"/>
        <w:bottom w:val="none" w:sz="0" w:space="0" w:color="auto"/>
        <w:right w:val="none" w:sz="0" w:space="0" w:color="auto"/>
      </w:divBdr>
    </w:div>
    <w:div w:id="143952001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3457418">
      <w:bodyDiv w:val="1"/>
      <w:marLeft w:val="0"/>
      <w:marRight w:val="0"/>
      <w:marTop w:val="0"/>
      <w:marBottom w:val="0"/>
      <w:divBdr>
        <w:top w:val="none" w:sz="0" w:space="0" w:color="auto"/>
        <w:left w:val="none" w:sz="0" w:space="0" w:color="auto"/>
        <w:bottom w:val="none" w:sz="0" w:space="0" w:color="auto"/>
        <w:right w:val="none" w:sz="0" w:space="0" w:color="auto"/>
      </w:divBdr>
    </w:div>
    <w:div w:id="1445727208">
      <w:bodyDiv w:val="1"/>
      <w:marLeft w:val="0"/>
      <w:marRight w:val="0"/>
      <w:marTop w:val="0"/>
      <w:marBottom w:val="0"/>
      <w:divBdr>
        <w:top w:val="none" w:sz="0" w:space="0" w:color="auto"/>
        <w:left w:val="none" w:sz="0" w:space="0" w:color="auto"/>
        <w:bottom w:val="none" w:sz="0" w:space="0" w:color="auto"/>
        <w:right w:val="none" w:sz="0" w:space="0" w:color="auto"/>
      </w:divBdr>
    </w:div>
    <w:div w:id="1445809108">
      <w:bodyDiv w:val="1"/>
      <w:marLeft w:val="0"/>
      <w:marRight w:val="0"/>
      <w:marTop w:val="0"/>
      <w:marBottom w:val="0"/>
      <w:divBdr>
        <w:top w:val="none" w:sz="0" w:space="0" w:color="auto"/>
        <w:left w:val="none" w:sz="0" w:space="0" w:color="auto"/>
        <w:bottom w:val="none" w:sz="0" w:space="0" w:color="auto"/>
        <w:right w:val="none" w:sz="0" w:space="0" w:color="auto"/>
      </w:divBdr>
    </w:div>
    <w:div w:id="1448281301">
      <w:bodyDiv w:val="1"/>
      <w:marLeft w:val="0"/>
      <w:marRight w:val="0"/>
      <w:marTop w:val="0"/>
      <w:marBottom w:val="0"/>
      <w:divBdr>
        <w:top w:val="none" w:sz="0" w:space="0" w:color="auto"/>
        <w:left w:val="none" w:sz="0" w:space="0" w:color="auto"/>
        <w:bottom w:val="none" w:sz="0" w:space="0" w:color="auto"/>
        <w:right w:val="none" w:sz="0" w:space="0" w:color="auto"/>
      </w:divBdr>
    </w:div>
    <w:div w:id="1451781483">
      <w:bodyDiv w:val="1"/>
      <w:marLeft w:val="0"/>
      <w:marRight w:val="0"/>
      <w:marTop w:val="0"/>
      <w:marBottom w:val="0"/>
      <w:divBdr>
        <w:top w:val="none" w:sz="0" w:space="0" w:color="auto"/>
        <w:left w:val="none" w:sz="0" w:space="0" w:color="auto"/>
        <w:bottom w:val="none" w:sz="0" w:space="0" w:color="auto"/>
        <w:right w:val="none" w:sz="0" w:space="0" w:color="auto"/>
      </w:divBdr>
    </w:div>
    <w:div w:id="1453789042">
      <w:bodyDiv w:val="1"/>
      <w:marLeft w:val="0"/>
      <w:marRight w:val="0"/>
      <w:marTop w:val="0"/>
      <w:marBottom w:val="0"/>
      <w:divBdr>
        <w:top w:val="none" w:sz="0" w:space="0" w:color="auto"/>
        <w:left w:val="none" w:sz="0" w:space="0" w:color="auto"/>
        <w:bottom w:val="none" w:sz="0" w:space="0" w:color="auto"/>
        <w:right w:val="none" w:sz="0" w:space="0" w:color="auto"/>
      </w:divBdr>
    </w:div>
    <w:div w:id="1457790577">
      <w:bodyDiv w:val="1"/>
      <w:marLeft w:val="0"/>
      <w:marRight w:val="0"/>
      <w:marTop w:val="0"/>
      <w:marBottom w:val="0"/>
      <w:divBdr>
        <w:top w:val="none" w:sz="0" w:space="0" w:color="auto"/>
        <w:left w:val="none" w:sz="0" w:space="0" w:color="auto"/>
        <w:bottom w:val="none" w:sz="0" w:space="0" w:color="auto"/>
        <w:right w:val="none" w:sz="0" w:space="0" w:color="auto"/>
      </w:divBdr>
    </w:div>
    <w:div w:id="1458525011">
      <w:bodyDiv w:val="1"/>
      <w:marLeft w:val="0"/>
      <w:marRight w:val="0"/>
      <w:marTop w:val="0"/>
      <w:marBottom w:val="0"/>
      <w:divBdr>
        <w:top w:val="none" w:sz="0" w:space="0" w:color="auto"/>
        <w:left w:val="none" w:sz="0" w:space="0" w:color="auto"/>
        <w:bottom w:val="none" w:sz="0" w:space="0" w:color="auto"/>
        <w:right w:val="none" w:sz="0" w:space="0" w:color="auto"/>
      </w:divBdr>
    </w:div>
    <w:div w:id="1458840497">
      <w:bodyDiv w:val="1"/>
      <w:marLeft w:val="0"/>
      <w:marRight w:val="0"/>
      <w:marTop w:val="0"/>
      <w:marBottom w:val="0"/>
      <w:divBdr>
        <w:top w:val="none" w:sz="0" w:space="0" w:color="auto"/>
        <w:left w:val="none" w:sz="0" w:space="0" w:color="auto"/>
        <w:bottom w:val="none" w:sz="0" w:space="0" w:color="auto"/>
        <w:right w:val="none" w:sz="0" w:space="0" w:color="auto"/>
      </w:divBdr>
    </w:div>
    <w:div w:id="1460759344">
      <w:bodyDiv w:val="1"/>
      <w:marLeft w:val="0"/>
      <w:marRight w:val="0"/>
      <w:marTop w:val="0"/>
      <w:marBottom w:val="0"/>
      <w:divBdr>
        <w:top w:val="none" w:sz="0" w:space="0" w:color="auto"/>
        <w:left w:val="none" w:sz="0" w:space="0" w:color="auto"/>
        <w:bottom w:val="none" w:sz="0" w:space="0" w:color="auto"/>
        <w:right w:val="none" w:sz="0" w:space="0" w:color="auto"/>
      </w:divBdr>
    </w:div>
    <w:div w:id="1462115927">
      <w:bodyDiv w:val="1"/>
      <w:marLeft w:val="0"/>
      <w:marRight w:val="0"/>
      <w:marTop w:val="0"/>
      <w:marBottom w:val="0"/>
      <w:divBdr>
        <w:top w:val="none" w:sz="0" w:space="0" w:color="auto"/>
        <w:left w:val="none" w:sz="0" w:space="0" w:color="auto"/>
        <w:bottom w:val="none" w:sz="0" w:space="0" w:color="auto"/>
        <w:right w:val="none" w:sz="0" w:space="0" w:color="auto"/>
      </w:divBdr>
    </w:div>
    <w:div w:id="1462918558">
      <w:bodyDiv w:val="1"/>
      <w:marLeft w:val="0"/>
      <w:marRight w:val="0"/>
      <w:marTop w:val="0"/>
      <w:marBottom w:val="0"/>
      <w:divBdr>
        <w:top w:val="none" w:sz="0" w:space="0" w:color="auto"/>
        <w:left w:val="none" w:sz="0" w:space="0" w:color="auto"/>
        <w:bottom w:val="none" w:sz="0" w:space="0" w:color="auto"/>
        <w:right w:val="none" w:sz="0" w:space="0" w:color="auto"/>
      </w:divBdr>
    </w:div>
    <w:div w:id="1465345656">
      <w:bodyDiv w:val="1"/>
      <w:marLeft w:val="0"/>
      <w:marRight w:val="0"/>
      <w:marTop w:val="0"/>
      <w:marBottom w:val="0"/>
      <w:divBdr>
        <w:top w:val="none" w:sz="0" w:space="0" w:color="auto"/>
        <w:left w:val="none" w:sz="0" w:space="0" w:color="auto"/>
        <w:bottom w:val="none" w:sz="0" w:space="0" w:color="auto"/>
        <w:right w:val="none" w:sz="0" w:space="0" w:color="auto"/>
      </w:divBdr>
    </w:div>
    <w:div w:id="1466311806">
      <w:bodyDiv w:val="1"/>
      <w:marLeft w:val="0"/>
      <w:marRight w:val="0"/>
      <w:marTop w:val="0"/>
      <w:marBottom w:val="0"/>
      <w:divBdr>
        <w:top w:val="none" w:sz="0" w:space="0" w:color="auto"/>
        <w:left w:val="none" w:sz="0" w:space="0" w:color="auto"/>
        <w:bottom w:val="none" w:sz="0" w:space="0" w:color="auto"/>
        <w:right w:val="none" w:sz="0" w:space="0" w:color="auto"/>
      </w:divBdr>
    </w:div>
    <w:div w:id="1467115881">
      <w:bodyDiv w:val="1"/>
      <w:marLeft w:val="0"/>
      <w:marRight w:val="0"/>
      <w:marTop w:val="0"/>
      <w:marBottom w:val="0"/>
      <w:divBdr>
        <w:top w:val="none" w:sz="0" w:space="0" w:color="auto"/>
        <w:left w:val="none" w:sz="0" w:space="0" w:color="auto"/>
        <w:bottom w:val="none" w:sz="0" w:space="0" w:color="auto"/>
        <w:right w:val="none" w:sz="0" w:space="0" w:color="auto"/>
      </w:divBdr>
    </w:div>
    <w:div w:id="1468888625">
      <w:bodyDiv w:val="1"/>
      <w:marLeft w:val="0"/>
      <w:marRight w:val="0"/>
      <w:marTop w:val="0"/>
      <w:marBottom w:val="0"/>
      <w:divBdr>
        <w:top w:val="none" w:sz="0" w:space="0" w:color="auto"/>
        <w:left w:val="none" w:sz="0" w:space="0" w:color="auto"/>
        <w:bottom w:val="none" w:sz="0" w:space="0" w:color="auto"/>
        <w:right w:val="none" w:sz="0" w:space="0" w:color="auto"/>
      </w:divBdr>
    </w:div>
    <w:div w:id="1474372634">
      <w:bodyDiv w:val="1"/>
      <w:marLeft w:val="0"/>
      <w:marRight w:val="0"/>
      <w:marTop w:val="0"/>
      <w:marBottom w:val="0"/>
      <w:divBdr>
        <w:top w:val="none" w:sz="0" w:space="0" w:color="auto"/>
        <w:left w:val="none" w:sz="0" w:space="0" w:color="auto"/>
        <w:bottom w:val="none" w:sz="0" w:space="0" w:color="auto"/>
        <w:right w:val="none" w:sz="0" w:space="0" w:color="auto"/>
      </w:divBdr>
    </w:div>
    <w:div w:id="1478453811">
      <w:bodyDiv w:val="1"/>
      <w:marLeft w:val="0"/>
      <w:marRight w:val="0"/>
      <w:marTop w:val="0"/>
      <w:marBottom w:val="0"/>
      <w:divBdr>
        <w:top w:val="none" w:sz="0" w:space="0" w:color="auto"/>
        <w:left w:val="none" w:sz="0" w:space="0" w:color="auto"/>
        <w:bottom w:val="none" w:sz="0" w:space="0" w:color="auto"/>
        <w:right w:val="none" w:sz="0" w:space="0" w:color="auto"/>
      </w:divBdr>
    </w:div>
    <w:div w:id="1480461912">
      <w:bodyDiv w:val="1"/>
      <w:marLeft w:val="0"/>
      <w:marRight w:val="0"/>
      <w:marTop w:val="0"/>
      <w:marBottom w:val="0"/>
      <w:divBdr>
        <w:top w:val="none" w:sz="0" w:space="0" w:color="auto"/>
        <w:left w:val="none" w:sz="0" w:space="0" w:color="auto"/>
        <w:bottom w:val="none" w:sz="0" w:space="0" w:color="auto"/>
        <w:right w:val="none" w:sz="0" w:space="0" w:color="auto"/>
      </w:divBdr>
    </w:div>
    <w:div w:id="1482387610">
      <w:bodyDiv w:val="1"/>
      <w:marLeft w:val="0"/>
      <w:marRight w:val="0"/>
      <w:marTop w:val="0"/>
      <w:marBottom w:val="0"/>
      <w:divBdr>
        <w:top w:val="none" w:sz="0" w:space="0" w:color="auto"/>
        <w:left w:val="none" w:sz="0" w:space="0" w:color="auto"/>
        <w:bottom w:val="none" w:sz="0" w:space="0" w:color="auto"/>
        <w:right w:val="none" w:sz="0" w:space="0" w:color="auto"/>
      </w:divBdr>
    </w:div>
    <w:div w:id="1483354066">
      <w:bodyDiv w:val="1"/>
      <w:marLeft w:val="0"/>
      <w:marRight w:val="0"/>
      <w:marTop w:val="0"/>
      <w:marBottom w:val="0"/>
      <w:divBdr>
        <w:top w:val="none" w:sz="0" w:space="0" w:color="auto"/>
        <w:left w:val="none" w:sz="0" w:space="0" w:color="auto"/>
        <w:bottom w:val="none" w:sz="0" w:space="0" w:color="auto"/>
        <w:right w:val="none" w:sz="0" w:space="0" w:color="auto"/>
      </w:divBdr>
    </w:div>
    <w:div w:id="1488399234">
      <w:bodyDiv w:val="1"/>
      <w:marLeft w:val="0"/>
      <w:marRight w:val="0"/>
      <w:marTop w:val="0"/>
      <w:marBottom w:val="0"/>
      <w:divBdr>
        <w:top w:val="none" w:sz="0" w:space="0" w:color="auto"/>
        <w:left w:val="none" w:sz="0" w:space="0" w:color="auto"/>
        <w:bottom w:val="none" w:sz="0" w:space="0" w:color="auto"/>
        <w:right w:val="none" w:sz="0" w:space="0" w:color="auto"/>
      </w:divBdr>
    </w:div>
    <w:div w:id="1490710661">
      <w:bodyDiv w:val="1"/>
      <w:marLeft w:val="0"/>
      <w:marRight w:val="0"/>
      <w:marTop w:val="0"/>
      <w:marBottom w:val="0"/>
      <w:divBdr>
        <w:top w:val="none" w:sz="0" w:space="0" w:color="auto"/>
        <w:left w:val="none" w:sz="0" w:space="0" w:color="auto"/>
        <w:bottom w:val="none" w:sz="0" w:space="0" w:color="auto"/>
        <w:right w:val="none" w:sz="0" w:space="0" w:color="auto"/>
      </w:divBdr>
    </w:div>
    <w:div w:id="1495955686">
      <w:bodyDiv w:val="1"/>
      <w:marLeft w:val="0"/>
      <w:marRight w:val="0"/>
      <w:marTop w:val="0"/>
      <w:marBottom w:val="0"/>
      <w:divBdr>
        <w:top w:val="none" w:sz="0" w:space="0" w:color="auto"/>
        <w:left w:val="none" w:sz="0" w:space="0" w:color="auto"/>
        <w:bottom w:val="none" w:sz="0" w:space="0" w:color="auto"/>
        <w:right w:val="none" w:sz="0" w:space="0" w:color="auto"/>
      </w:divBdr>
    </w:div>
    <w:div w:id="1498770451">
      <w:bodyDiv w:val="1"/>
      <w:marLeft w:val="0"/>
      <w:marRight w:val="0"/>
      <w:marTop w:val="0"/>
      <w:marBottom w:val="0"/>
      <w:divBdr>
        <w:top w:val="none" w:sz="0" w:space="0" w:color="auto"/>
        <w:left w:val="none" w:sz="0" w:space="0" w:color="auto"/>
        <w:bottom w:val="none" w:sz="0" w:space="0" w:color="auto"/>
        <w:right w:val="none" w:sz="0" w:space="0" w:color="auto"/>
      </w:divBdr>
    </w:div>
    <w:div w:id="1500777403">
      <w:bodyDiv w:val="1"/>
      <w:marLeft w:val="0"/>
      <w:marRight w:val="0"/>
      <w:marTop w:val="0"/>
      <w:marBottom w:val="0"/>
      <w:divBdr>
        <w:top w:val="none" w:sz="0" w:space="0" w:color="auto"/>
        <w:left w:val="none" w:sz="0" w:space="0" w:color="auto"/>
        <w:bottom w:val="none" w:sz="0" w:space="0" w:color="auto"/>
        <w:right w:val="none" w:sz="0" w:space="0" w:color="auto"/>
      </w:divBdr>
    </w:div>
    <w:div w:id="1501698324">
      <w:bodyDiv w:val="1"/>
      <w:marLeft w:val="0"/>
      <w:marRight w:val="0"/>
      <w:marTop w:val="0"/>
      <w:marBottom w:val="0"/>
      <w:divBdr>
        <w:top w:val="none" w:sz="0" w:space="0" w:color="auto"/>
        <w:left w:val="none" w:sz="0" w:space="0" w:color="auto"/>
        <w:bottom w:val="none" w:sz="0" w:space="0" w:color="auto"/>
        <w:right w:val="none" w:sz="0" w:space="0" w:color="auto"/>
      </w:divBdr>
    </w:div>
    <w:div w:id="1503204750">
      <w:bodyDiv w:val="1"/>
      <w:marLeft w:val="0"/>
      <w:marRight w:val="0"/>
      <w:marTop w:val="0"/>
      <w:marBottom w:val="0"/>
      <w:divBdr>
        <w:top w:val="none" w:sz="0" w:space="0" w:color="auto"/>
        <w:left w:val="none" w:sz="0" w:space="0" w:color="auto"/>
        <w:bottom w:val="none" w:sz="0" w:space="0" w:color="auto"/>
        <w:right w:val="none" w:sz="0" w:space="0" w:color="auto"/>
      </w:divBdr>
    </w:div>
    <w:div w:id="1509712141">
      <w:bodyDiv w:val="1"/>
      <w:marLeft w:val="0"/>
      <w:marRight w:val="0"/>
      <w:marTop w:val="0"/>
      <w:marBottom w:val="0"/>
      <w:divBdr>
        <w:top w:val="none" w:sz="0" w:space="0" w:color="auto"/>
        <w:left w:val="none" w:sz="0" w:space="0" w:color="auto"/>
        <w:bottom w:val="none" w:sz="0" w:space="0" w:color="auto"/>
        <w:right w:val="none" w:sz="0" w:space="0" w:color="auto"/>
      </w:divBdr>
    </w:div>
    <w:div w:id="1513496258">
      <w:bodyDiv w:val="1"/>
      <w:marLeft w:val="0"/>
      <w:marRight w:val="0"/>
      <w:marTop w:val="0"/>
      <w:marBottom w:val="0"/>
      <w:divBdr>
        <w:top w:val="none" w:sz="0" w:space="0" w:color="auto"/>
        <w:left w:val="none" w:sz="0" w:space="0" w:color="auto"/>
        <w:bottom w:val="none" w:sz="0" w:space="0" w:color="auto"/>
        <w:right w:val="none" w:sz="0" w:space="0" w:color="auto"/>
      </w:divBdr>
    </w:div>
    <w:div w:id="1519273812">
      <w:bodyDiv w:val="1"/>
      <w:marLeft w:val="0"/>
      <w:marRight w:val="0"/>
      <w:marTop w:val="0"/>
      <w:marBottom w:val="0"/>
      <w:divBdr>
        <w:top w:val="none" w:sz="0" w:space="0" w:color="auto"/>
        <w:left w:val="none" w:sz="0" w:space="0" w:color="auto"/>
        <w:bottom w:val="none" w:sz="0" w:space="0" w:color="auto"/>
        <w:right w:val="none" w:sz="0" w:space="0" w:color="auto"/>
      </w:divBdr>
    </w:div>
    <w:div w:id="1523081977">
      <w:bodyDiv w:val="1"/>
      <w:marLeft w:val="0"/>
      <w:marRight w:val="0"/>
      <w:marTop w:val="0"/>
      <w:marBottom w:val="0"/>
      <w:divBdr>
        <w:top w:val="none" w:sz="0" w:space="0" w:color="auto"/>
        <w:left w:val="none" w:sz="0" w:space="0" w:color="auto"/>
        <w:bottom w:val="none" w:sz="0" w:space="0" w:color="auto"/>
        <w:right w:val="none" w:sz="0" w:space="0" w:color="auto"/>
      </w:divBdr>
    </w:div>
    <w:div w:id="1524200200">
      <w:bodyDiv w:val="1"/>
      <w:marLeft w:val="0"/>
      <w:marRight w:val="0"/>
      <w:marTop w:val="0"/>
      <w:marBottom w:val="0"/>
      <w:divBdr>
        <w:top w:val="none" w:sz="0" w:space="0" w:color="auto"/>
        <w:left w:val="none" w:sz="0" w:space="0" w:color="auto"/>
        <w:bottom w:val="none" w:sz="0" w:space="0" w:color="auto"/>
        <w:right w:val="none" w:sz="0" w:space="0" w:color="auto"/>
      </w:divBdr>
    </w:div>
    <w:div w:id="1526990027">
      <w:bodyDiv w:val="1"/>
      <w:marLeft w:val="0"/>
      <w:marRight w:val="0"/>
      <w:marTop w:val="0"/>
      <w:marBottom w:val="0"/>
      <w:divBdr>
        <w:top w:val="none" w:sz="0" w:space="0" w:color="auto"/>
        <w:left w:val="none" w:sz="0" w:space="0" w:color="auto"/>
        <w:bottom w:val="none" w:sz="0" w:space="0" w:color="auto"/>
        <w:right w:val="none" w:sz="0" w:space="0" w:color="auto"/>
      </w:divBdr>
    </w:div>
    <w:div w:id="1527527243">
      <w:bodyDiv w:val="1"/>
      <w:marLeft w:val="0"/>
      <w:marRight w:val="0"/>
      <w:marTop w:val="0"/>
      <w:marBottom w:val="0"/>
      <w:divBdr>
        <w:top w:val="none" w:sz="0" w:space="0" w:color="auto"/>
        <w:left w:val="none" w:sz="0" w:space="0" w:color="auto"/>
        <w:bottom w:val="none" w:sz="0" w:space="0" w:color="auto"/>
        <w:right w:val="none" w:sz="0" w:space="0" w:color="auto"/>
      </w:divBdr>
    </w:div>
    <w:div w:id="1528370197">
      <w:bodyDiv w:val="1"/>
      <w:marLeft w:val="0"/>
      <w:marRight w:val="0"/>
      <w:marTop w:val="0"/>
      <w:marBottom w:val="0"/>
      <w:divBdr>
        <w:top w:val="none" w:sz="0" w:space="0" w:color="auto"/>
        <w:left w:val="none" w:sz="0" w:space="0" w:color="auto"/>
        <w:bottom w:val="none" w:sz="0" w:space="0" w:color="auto"/>
        <w:right w:val="none" w:sz="0" w:space="0" w:color="auto"/>
      </w:divBdr>
    </w:div>
    <w:div w:id="1528441909">
      <w:bodyDiv w:val="1"/>
      <w:marLeft w:val="0"/>
      <w:marRight w:val="0"/>
      <w:marTop w:val="0"/>
      <w:marBottom w:val="0"/>
      <w:divBdr>
        <w:top w:val="none" w:sz="0" w:space="0" w:color="auto"/>
        <w:left w:val="none" w:sz="0" w:space="0" w:color="auto"/>
        <w:bottom w:val="none" w:sz="0" w:space="0" w:color="auto"/>
        <w:right w:val="none" w:sz="0" w:space="0" w:color="auto"/>
      </w:divBdr>
    </w:div>
    <w:div w:id="1528641462">
      <w:bodyDiv w:val="1"/>
      <w:marLeft w:val="0"/>
      <w:marRight w:val="0"/>
      <w:marTop w:val="0"/>
      <w:marBottom w:val="0"/>
      <w:divBdr>
        <w:top w:val="none" w:sz="0" w:space="0" w:color="auto"/>
        <w:left w:val="none" w:sz="0" w:space="0" w:color="auto"/>
        <w:bottom w:val="none" w:sz="0" w:space="0" w:color="auto"/>
        <w:right w:val="none" w:sz="0" w:space="0" w:color="auto"/>
      </w:divBdr>
    </w:div>
    <w:div w:id="1530072930">
      <w:bodyDiv w:val="1"/>
      <w:marLeft w:val="0"/>
      <w:marRight w:val="0"/>
      <w:marTop w:val="0"/>
      <w:marBottom w:val="0"/>
      <w:divBdr>
        <w:top w:val="none" w:sz="0" w:space="0" w:color="auto"/>
        <w:left w:val="none" w:sz="0" w:space="0" w:color="auto"/>
        <w:bottom w:val="none" w:sz="0" w:space="0" w:color="auto"/>
        <w:right w:val="none" w:sz="0" w:space="0" w:color="auto"/>
      </w:divBdr>
    </w:div>
    <w:div w:id="1531141690">
      <w:bodyDiv w:val="1"/>
      <w:marLeft w:val="0"/>
      <w:marRight w:val="0"/>
      <w:marTop w:val="0"/>
      <w:marBottom w:val="0"/>
      <w:divBdr>
        <w:top w:val="none" w:sz="0" w:space="0" w:color="auto"/>
        <w:left w:val="none" w:sz="0" w:space="0" w:color="auto"/>
        <w:bottom w:val="none" w:sz="0" w:space="0" w:color="auto"/>
        <w:right w:val="none" w:sz="0" w:space="0" w:color="auto"/>
      </w:divBdr>
    </w:div>
    <w:div w:id="1534490637">
      <w:bodyDiv w:val="1"/>
      <w:marLeft w:val="0"/>
      <w:marRight w:val="0"/>
      <w:marTop w:val="0"/>
      <w:marBottom w:val="0"/>
      <w:divBdr>
        <w:top w:val="none" w:sz="0" w:space="0" w:color="auto"/>
        <w:left w:val="none" w:sz="0" w:space="0" w:color="auto"/>
        <w:bottom w:val="none" w:sz="0" w:space="0" w:color="auto"/>
        <w:right w:val="none" w:sz="0" w:space="0" w:color="auto"/>
      </w:divBdr>
    </w:div>
    <w:div w:id="1534926623">
      <w:bodyDiv w:val="1"/>
      <w:marLeft w:val="0"/>
      <w:marRight w:val="0"/>
      <w:marTop w:val="0"/>
      <w:marBottom w:val="0"/>
      <w:divBdr>
        <w:top w:val="none" w:sz="0" w:space="0" w:color="auto"/>
        <w:left w:val="none" w:sz="0" w:space="0" w:color="auto"/>
        <w:bottom w:val="none" w:sz="0" w:space="0" w:color="auto"/>
        <w:right w:val="none" w:sz="0" w:space="0" w:color="auto"/>
      </w:divBdr>
    </w:div>
    <w:div w:id="1538927715">
      <w:bodyDiv w:val="1"/>
      <w:marLeft w:val="0"/>
      <w:marRight w:val="0"/>
      <w:marTop w:val="0"/>
      <w:marBottom w:val="0"/>
      <w:divBdr>
        <w:top w:val="none" w:sz="0" w:space="0" w:color="auto"/>
        <w:left w:val="none" w:sz="0" w:space="0" w:color="auto"/>
        <w:bottom w:val="none" w:sz="0" w:space="0" w:color="auto"/>
        <w:right w:val="none" w:sz="0" w:space="0" w:color="auto"/>
      </w:divBdr>
    </w:div>
    <w:div w:id="1543977828">
      <w:bodyDiv w:val="1"/>
      <w:marLeft w:val="0"/>
      <w:marRight w:val="0"/>
      <w:marTop w:val="0"/>
      <w:marBottom w:val="0"/>
      <w:divBdr>
        <w:top w:val="none" w:sz="0" w:space="0" w:color="auto"/>
        <w:left w:val="none" w:sz="0" w:space="0" w:color="auto"/>
        <w:bottom w:val="none" w:sz="0" w:space="0" w:color="auto"/>
        <w:right w:val="none" w:sz="0" w:space="0" w:color="auto"/>
      </w:divBdr>
    </w:div>
    <w:div w:id="1546407514">
      <w:bodyDiv w:val="1"/>
      <w:marLeft w:val="0"/>
      <w:marRight w:val="0"/>
      <w:marTop w:val="0"/>
      <w:marBottom w:val="0"/>
      <w:divBdr>
        <w:top w:val="none" w:sz="0" w:space="0" w:color="auto"/>
        <w:left w:val="none" w:sz="0" w:space="0" w:color="auto"/>
        <w:bottom w:val="none" w:sz="0" w:space="0" w:color="auto"/>
        <w:right w:val="none" w:sz="0" w:space="0" w:color="auto"/>
      </w:divBdr>
    </w:div>
    <w:div w:id="1553038357">
      <w:bodyDiv w:val="1"/>
      <w:marLeft w:val="0"/>
      <w:marRight w:val="0"/>
      <w:marTop w:val="0"/>
      <w:marBottom w:val="0"/>
      <w:divBdr>
        <w:top w:val="none" w:sz="0" w:space="0" w:color="auto"/>
        <w:left w:val="none" w:sz="0" w:space="0" w:color="auto"/>
        <w:bottom w:val="none" w:sz="0" w:space="0" w:color="auto"/>
        <w:right w:val="none" w:sz="0" w:space="0" w:color="auto"/>
      </w:divBdr>
    </w:div>
    <w:div w:id="1556040899">
      <w:bodyDiv w:val="1"/>
      <w:marLeft w:val="0"/>
      <w:marRight w:val="0"/>
      <w:marTop w:val="0"/>
      <w:marBottom w:val="0"/>
      <w:divBdr>
        <w:top w:val="none" w:sz="0" w:space="0" w:color="auto"/>
        <w:left w:val="none" w:sz="0" w:space="0" w:color="auto"/>
        <w:bottom w:val="none" w:sz="0" w:space="0" w:color="auto"/>
        <w:right w:val="none" w:sz="0" w:space="0" w:color="auto"/>
      </w:divBdr>
    </w:div>
    <w:div w:id="1557934607">
      <w:bodyDiv w:val="1"/>
      <w:marLeft w:val="0"/>
      <w:marRight w:val="0"/>
      <w:marTop w:val="0"/>
      <w:marBottom w:val="0"/>
      <w:divBdr>
        <w:top w:val="none" w:sz="0" w:space="0" w:color="auto"/>
        <w:left w:val="none" w:sz="0" w:space="0" w:color="auto"/>
        <w:bottom w:val="none" w:sz="0" w:space="0" w:color="auto"/>
        <w:right w:val="none" w:sz="0" w:space="0" w:color="auto"/>
      </w:divBdr>
    </w:div>
    <w:div w:id="1561476485">
      <w:bodyDiv w:val="1"/>
      <w:marLeft w:val="0"/>
      <w:marRight w:val="0"/>
      <w:marTop w:val="0"/>
      <w:marBottom w:val="0"/>
      <w:divBdr>
        <w:top w:val="none" w:sz="0" w:space="0" w:color="auto"/>
        <w:left w:val="none" w:sz="0" w:space="0" w:color="auto"/>
        <w:bottom w:val="none" w:sz="0" w:space="0" w:color="auto"/>
        <w:right w:val="none" w:sz="0" w:space="0" w:color="auto"/>
      </w:divBdr>
    </w:div>
    <w:div w:id="1563254609">
      <w:bodyDiv w:val="1"/>
      <w:marLeft w:val="0"/>
      <w:marRight w:val="0"/>
      <w:marTop w:val="0"/>
      <w:marBottom w:val="0"/>
      <w:divBdr>
        <w:top w:val="none" w:sz="0" w:space="0" w:color="auto"/>
        <w:left w:val="none" w:sz="0" w:space="0" w:color="auto"/>
        <w:bottom w:val="none" w:sz="0" w:space="0" w:color="auto"/>
        <w:right w:val="none" w:sz="0" w:space="0" w:color="auto"/>
      </w:divBdr>
    </w:div>
    <w:div w:id="1563524196">
      <w:bodyDiv w:val="1"/>
      <w:marLeft w:val="0"/>
      <w:marRight w:val="0"/>
      <w:marTop w:val="0"/>
      <w:marBottom w:val="0"/>
      <w:divBdr>
        <w:top w:val="none" w:sz="0" w:space="0" w:color="auto"/>
        <w:left w:val="none" w:sz="0" w:space="0" w:color="auto"/>
        <w:bottom w:val="none" w:sz="0" w:space="0" w:color="auto"/>
        <w:right w:val="none" w:sz="0" w:space="0" w:color="auto"/>
      </w:divBdr>
    </w:div>
    <w:div w:id="1563708345">
      <w:bodyDiv w:val="1"/>
      <w:marLeft w:val="0"/>
      <w:marRight w:val="0"/>
      <w:marTop w:val="0"/>
      <w:marBottom w:val="0"/>
      <w:divBdr>
        <w:top w:val="none" w:sz="0" w:space="0" w:color="auto"/>
        <w:left w:val="none" w:sz="0" w:space="0" w:color="auto"/>
        <w:bottom w:val="none" w:sz="0" w:space="0" w:color="auto"/>
        <w:right w:val="none" w:sz="0" w:space="0" w:color="auto"/>
      </w:divBdr>
    </w:div>
    <w:div w:id="1570921744">
      <w:bodyDiv w:val="1"/>
      <w:marLeft w:val="0"/>
      <w:marRight w:val="0"/>
      <w:marTop w:val="0"/>
      <w:marBottom w:val="0"/>
      <w:divBdr>
        <w:top w:val="none" w:sz="0" w:space="0" w:color="auto"/>
        <w:left w:val="none" w:sz="0" w:space="0" w:color="auto"/>
        <w:bottom w:val="none" w:sz="0" w:space="0" w:color="auto"/>
        <w:right w:val="none" w:sz="0" w:space="0" w:color="auto"/>
      </w:divBdr>
    </w:div>
    <w:div w:id="1573856236">
      <w:bodyDiv w:val="1"/>
      <w:marLeft w:val="0"/>
      <w:marRight w:val="0"/>
      <w:marTop w:val="0"/>
      <w:marBottom w:val="0"/>
      <w:divBdr>
        <w:top w:val="none" w:sz="0" w:space="0" w:color="auto"/>
        <w:left w:val="none" w:sz="0" w:space="0" w:color="auto"/>
        <w:bottom w:val="none" w:sz="0" w:space="0" w:color="auto"/>
        <w:right w:val="none" w:sz="0" w:space="0" w:color="auto"/>
      </w:divBdr>
    </w:div>
    <w:div w:id="1576285144">
      <w:bodyDiv w:val="1"/>
      <w:marLeft w:val="0"/>
      <w:marRight w:val="0"/>
      <w:marTop w:val="0"/>
      <w:marBottom w:val="0"/>
      <w:divBdr>
        <w:top w:val="none" w:sz="0" w:space="0" w:color="auto"/>
        <w:left w:val="none" w:sz="0" w:space="0" w:color="auto"/>
        <w:bottom w:val="none" w:sz="0" w:space="0" w:color="auto"/>
        <w:right w:val="none" w:sz="0" w:space="0" w:color="auto"/>
      </w:divBdr>
    </w:div>
    <w:div w:id="1581674419">
      <w:bodyDiv w:val="1"/>
      <w:marLeft w:val="0"/>
      <w:marRight w:val="0"/>
      <w:marTop w:val="0"/>
      <w:marBottom w:val="0"/>
      <w:divBdr>
        <w:top w:val="none" w:sz="0" w:space="0" w:color="auto"/>
        <w:left w:val="none" w:sz="0" w:space="0" w:color="auto"/>
        <w:bottom w:val="none" w:sz="0" w:space="0" w:color="auto"/>
        <w:right w:val="none" w:sz="0" w:space="0" w:color="auto"/>
      </w:divBdr>
    </w:div>
    <w:div w:id="1583030741">
      <w:bodyDiv w:val="1"/>
      <w:marLeft w:val="0"/>
      <w:marRight w:val="0"/>
      <w:marTop w:val="0"/>
      <w:marBottom w:val="0"/>
      <w:divBdr>
        <w:top w:val="none" w:sz="0" w:space="0" w:color="auto"/>
        <w:left w:val="none" w:sz="0" w:space="0" w:color="auto"/>
        <w:bottom w:val="none" w:sz="0" w:space="0" w:color="auto"/>
        <w:right w:val="none" w:sz="0" w:space="0" w:color="auto"/>
      </w:divBdr>
    </w:div>
    <w:div w:id="1583488859">
      <w:bodyDiv w:val="1"/>
      <w:marLeft w:val="0"/>
      <w:marRight w:val="0"/>
      <w:marTop w:val="0"/>
      <w:marBottom w:val="0"/>
      <w:divBdr>
        <w:top w:val="none" w:sz="0" w:space="0" w:color="auto"/>
        <w:left w:val="none" w:sz="0" w:space="0" w:color="auto"/>
        <w:bottom w:val="none" w:sz="0" w:space="0" w:color="auto"/>
        <w:right w:val="none" w:sz="0" w:space="0" w:color="auto"/>
      </w:divBdr>
    </w:div>
    <w:div w:id="1593125080">
      <w:bodyDiv w:val="1"/>
      <w:marLeft w:val="0"/>
      <w:marRight w:val="0"/>
      <w:marTop w:val="0"/>
      <w:marBottom w:val="0"/>
      <w:divBdr>
        <w:top w:val="none" w:sz="0" w:space="0" w:color="auto"/>
        <w:left w:val="none" w:sz="0" w:space="0" w:color="auto"/>
        <w:bottom w:val="none" w:sz="0" w:space="0" w:color="auto"/>
        <w:right w:val="none" w:sz="0" w:space="0" w:color="auto"/>
      </w:divBdr>
    </w:div>
    <w:div w:id="1593388644">
      <w:bodyDiv w:val="1"/>
      <w:marLeft w:val="0"/>
      <w:marRight w:val="0"/>
      <w:marTop w:val="0"/>
      <w:marBottom w:val="0"/>
      <w:divBdr>
        <w:top w:val="none" w:sz="0" w:space="0" w:color="auto"/>
        <w:left w:val="none" w:sz="0" w:space="0" w:color="auto"/>
        <w:bottom w:val="none" w:sz="0" w:space="0" w:color="auto"/>
        <w:right w:val="none" w:sz="0" w:space="0" w:color="auto"/>
      </w:divBdr>
    </w:div>
    <w:div w:id="1593588860">
      <w:bodyDiv w:val="1"/>
      <w:marLeft w:val="0"/>
      <w:marRight w:val="0"/>
      <w:marTop w:val="0"/>
      <w:marBottom w:val="0"/>
      <w:divBdr>
        <w:top w:val="none" w:sz="0" w:space="0" w:color="auto"/>
        <w:left w:val="none" w:sz="0" w:space="0" w:color="auto"/>
        <w:bottom w:val="none" w:sz="0" w:space="0" w:color="auto"/>
        <w:right w:val="none" w:sz="0" w:space="0" w:color="auto"/>
      </w:divBdr>
    </w:div>
    <w:div w:id="1595020077">
      <w:bodyDiv w:val="1"/>
      <w:marLeft w:val="0"/>
      <w:marRight w:val="0"/>
      <w:marTop w:val="0"/>
      <w:marBottom w:val="0"/>
      <w:divBdr>
        <w:top w:val="none" w:sz="0" w:space="0" w:color="auto"/>
        <w:left w:val="none" w:sz="0" w:space="0" w:color="auto"/>
        <w:bottom w:val="none" w:sz="0" w:space="0" w:color="auto"/>
        <w:right w:val="none" w:sz="0" w:space="0" w:color="auto"/>
      </w:divBdr>
    </w:div>
    <w:div w:id="1595087150">
      <w:bodyDiv w:val="1"/>
      <w:marLeft w:val="0"/>
      <w:marRight w:val="0"/>
      <w:marTop w:val="0"/>
      <w:marBottom w:val="0"/>
      <w:divBdr>
        <w:top w:val="none" w:sz="0" w:space="0" w:color="auto"/>
        <w:left w:val="none" w:sz="0" w:space="0" w:color="auto"/>
        <w:bottom w:val="none" w:sz="0" w:space="0" w:color="auto"/>
        <w:right w:val="none" w:sz="0" w:space="0" w:color="auto"/>
      </w:divBdr>
    </w:div>
    <w:div w:id="1603995064">
      <w:bodyDiv w:val="1"/>
      <w:marLeft w:val="0"/>
      <w:marRight w:val="0"/>
      <w:marTop w:val="0"/>
      <w:marBottom w:val="0"/>
      <w:divBdr>
        <w:top w:val="none" w:sz="0" w:space="0" w:color="auto"/>
        <w:left w:val="none" w:sz="0" w:space="0" w:color="auto"/>
        <w:bottom w:val="none" w:sz="0" w:space="0" w:color="auto"/>
        <w:right w:val="none" w:sz="0" w:space="0" w:color="auto"/>
      </w:divBdr>
    </w:div>
    <w:div w:id="1604218777">
      <w:bodyDiv w:val="1"/>
      <w:marLeft w:val="0"/>
      <w:marRight w:val="0"/>
      <w:marTop w:val="0"/>
      <w:marBottom w:val="0"/>
      <w:divBdr>
        <w:top w:val="none" w:sz="0" w:space="0" w:color="auto"/>
        <w:left w:val="none" w:sz="0" w:space="0" w:color="auto"/>
        <w:bottom w:val="none" w:sz="0" w:space="0" w:color="auto"/>
        <w:right w:val="none" w:sz="0" w:space="0" w:color="auto"/>
      </w:divBdr>
    </w:div>
    <w:div w:id="1605502253">
      <w:bodyDiv w:val="1"/>
      <w:marLeft w:val="0"/>
      <w:marRight w:val="0"/>
      <w:marTop w:val="0"/>
      <w:marBottom w:val="0"/>
      <w:divBdr>
        <w:top w:val="none" w:sz="0" w:space="0" w:color="auto"/>
        <w:left w:val="none" w:sz="0" w:space="0" w:color="auto"/>
        <w:bottom w:val="none" w:sz="0" w:space="0" w:color="auto"/>
        <w:right w:val="none" w:sz="0" w:space="0" w:color="auto"/>
      </w:divBdr>
    </w:div>
    <w:div w:id="1608200291">
      <w:bodyDiv w:val="1"/>
      <w:marLeft w:val="0"/>
      <w:marRight w:val="0"/>
      <w:marTop w:val="0"/>
      <w:marBottom w:val="0"/>
      <w:divBdr>
        <w:top w:val="none" w:sz="0" w:space="0" w:color="auto"/>
        <w:left w:val="none" w:sz="0" w:space="0" w:color="auto"/>
        <w:bottom w:val="none" w:sz="0" w:space="0" w:color="auto"/>
        <w:right w:val="none" w:sz="0" w:space="0" w:color="auto"/>
      </w:divBdr>
    </w:div>
    <w:div w:id="1609316108">
      <w:bodyDiv w:val="1"/>
      <w:marLeft w:val="0"/>
      <w:marRight w:val="0"/>
      <w:marTop w:val="0"/>
      <w:marBottom w:val="0"/>
      <w:divBdr>
        <w:top w:val="none" w:sz="0" w:space="0" w:color="auto"/>
        <w:left w:val="none" w:sz="0" w:space="0" w:color="auto"/>
        <w:bottom w:val="none" w:sz="0" w:space="0" w:color="auto"/>
        <w:right w:val="none" w:sz="0" w:space="0" w:color="auto"/>
      </w:divBdr>
    </w:div>
    <w:div w:id="1609702106">
      <w:bodyDiv w:val="1"/>
      <w:marLeft w:val="0"/>
      <w:marRight w:val="0"/>
      <w:marTop w:val="0"/>
      <w:marBottom w:val="0"/>
      <w:divBdr>
        <w:top w:val="none" w:sz="0" w:space="0" w:color="auto"/>
        <w:left w:val="none" w:sz="0" w:space="0" w:color="auto"/>
        <w:bottom w:val="none" w:sz="0" w:space="0" w:color="auto"/>
        <w:right w:val="none" w:sz="0" w:space="0" w:color="auto"/>
      </w:divBdr>
    </w:div>
    <w:div w:id="1614747205">
      <w:bodyDiv w:val="1"/>
      <w:marLeft w:val="0"/>
      <w:marRight w:val="0"/>
      <w:marTop w:val="0"/>
      <w:marBottom w:val="0"/>
      <w:divBdr>
        <w:top w:val="none" w:sz="0" w:space="0" w:color="auto"/>
        <w:left w:val="none" w:sz="0" w:space="0" w:color="auto"/>
        <w:bottom w:val="none" w:sz="0" w:space="0" w:color="auto"/>
        <w:right w:val="none" w:sz="0" w:space="0" w:color="auto"/>
      </w:divBdr>
    </w:div>
    <w:div w:id="1619338293">
      <w:bodyDiv w:val="1"/>
      <w:marLeft w:val="0"/>
      <w:marRight w:val="0"/>
      <w:marTop w:val="0"/>
      <w:marBottom w:val="0"/>
      <w:divBdr>
        <w:top w:val="none" w:sz="0" w:space="0" w:color="auto"/>
        <w:left w:val="none" w:sz="0" w:space="0" w:color="auto"/>
        <w:bottom w:val="none" w:sz="0" w:space="0" w:color="auto"/>
        <w:right w:val="none" w:sz="0" w:space="0" w:color="auto"/>
      </w:divBdr>
    </w:div>
    <w:div w:id="1619483304">
      <w:bodyDiv w:val="1"/>
      <w:marLeft w:val="0"/>
      <w:marRight w:val="0"/>
      <w:marTop w:val="0"/>
      <w:marBottom w:val="0"/>
      <w:divBdr>
        <w:top w:val="none" w:sz="0" w:space="0" w:color="auto"/>
        <w:left w:val="none" w:sz="0" w:space="0" w:color="auto"/>
        <w:bottom w:val="none" w:sz="0" w:space="0" w:color="auto"/>
        <w:right w:val="none" w:sz="0" w:space="0" w:color="auto"/>
      </w:divBdr>
    </w:div>
    <w:div w:id="1620409009">
      <w:bodyDiv w:val="1"/>
      <w:marLeft w:val="0"/>
      <w:marRight w:val="0"/>
      <w:marTop w:val="0"/>
      <w:marBottom w:val="0"/>
      <w:divBdr>
        <w:top w:val="none" w:sz="0" w:space="0" w:color="auto"/>
        <w:left w:val="none" w:sz="0" w:space="0" w:color="auto"/>
        <w:bottom w:val="none" w:sz="0" w:space="0" w:color="auto"/>
        <w:right w:val="none" w:sz="0" w:space="0" w:color="auto"/>
      </w:divBdr>
    </w:div>
    <w:div w:id="1621112357">
      <w:bodyDiv w:val="1"/>
      <w:marLeft w:val="0"/>
      <w:marRight w:val="0"/>
      <w:marTop w:val="0"/>
      <w:marBottom w:val="0"/>
      <w:divBdr>
        <w:top w:val="none" w:sz="0" w:space="0" w:color="auto"/>
        <w:left w:val="none" w:sz="0" w:space="0" w:color="auto"/>
        <w:bottom w:val="none" w:sz="0" w:space="0" w:color="auto"/>
        <w:right w:val="none" w:sz="0" w:space="0" w:color="auto"/>
      </w:divBdr>
    </w:div>
    <w:div w:id="1621301569">
      <w:bodyDiv w:val="1"/>
      <w:marLeft w:val="0"/>
      <w:marRight w:val="0"/>
      <w:marTop w:val="0"/>
      <w:marBottom w:val="0"/>
      <w:divBdr>
        <w:top w:val="none" w:sz="0" w:space="0" w:color="auto"/>
        <w:left w:val="none" w:sz="0" w:space="0" w:color="auto"/>
        <w:bottom w:val="none" w:sz="0" w:space="0" w:color="auto"/>
        <w:right w:val="none" w:sz="0" w:space="0" w:color="auto"/>
      </w:divBdr>
    </w:div>
    <w:div w:id="1622418137">
      <w:bodyDiv w:val="1"/>
      <w:marLeft w:val="0"/>
      <w:marRight w:val="0"/>
      <w:marTop w:val="0"/>
      <w:marBottom w:val="0"/>
      <w:divBdr>
        <w:top w:val="none" w:sz="0" w:space="0" w:color="auto"/>
        <w:left w:val="none" w:sz="0" w:space="0" w:color="auto"/>
        <w:bottom w:val="none" w:sz="0" w:space="0" w:color="auto"/>
        <w:right w:val="none" w:sz="0" w:space="0" w:color="auto"/>
      </w:divBdr>
    </w:div>
    <w:div w:id="1623421918">
      <w:bodyDiv w:val="1"/>
      <w:marLeft w:val="0"/>
      <w:marRight w:val="0"/>
      <w:marTop w:val="0"/>
      <w:marBottom w:val="0"/>
      <w:divBdr>
        <w:top w:val="none" w:sz="0" w:space="0" w:color="auto"/>
        <w:left w:val="none" w:sz="0" w:space="0" w:color="auto"/>
        <w:bottom w:val="none" w:sz="0" w:space="0" w:color="auto"/>
        <w:right w:val="none" w:sz="0" w:space="0" w:color="auto"/>
      </w:divBdr>
    </w:div>
    <w:div w:id="162380271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3510762">
      <w:bodyDiv w:val="1"/>
      <w:marLeft w:val="0"/>
      <w:marRight w:val="0"/>
      <w:marTop w:val="0"/>
      <w:marBottom w:val="0"/>
      <w:divBdr>
        <w:top w:val="none" w:sz="0" w:space="0" w:color="auto"/>
        <w:left w:val="none" w:sz="0" w:space="0" w:color="auto"/>
        <w:bottom w:val="none" w:sz="0" w:space="0" w:color="auto"/>
        <w:right w:val="none" w:sz="0" w:space="0" w:color="auto"/>
      </w:divBdr>
    </w:div>
    <w:div w:id="1634096752">
      <w:bodyDiv w:val="1"/>
      <w:marLeft w:val="0"/>
      <w:marRight w:val="0"/>
      <w:marTop w:val="0"/>
      <w:marBottom w:val="0"/>
      <w:divBdr>
        <w:top w:val="none" w:sz="0" w:space="0" w:color="auto"/>
        <w:left w:val="none" w:sz="0" w:space="0" w:color="auto"/>
        <w:bottom w:val="none" w:sz="0" w:space="0" w:color="auto"/>
        <w:right w:val="none" w:sz="0" w:space="0" w:color="auto"/>
      </w:divBdr>
    </w:div>
    <w:div w:id="1635981464">
      <w:bodyDiv w:val="1"/>
      <w:marLeft w:val="0"/>
      <w:marRight w:val="0"/>
      <w:marTop w:val="0"/>
      <w:marBottom w:val="0"/>
      <w:divBdr>
        <w:top w:val="none" w:sz="0" w:space="0" w:color="auto"/>
        <w:left w:val="none" w:sz="0" w:space="0" w:color="auto"/>
        <w:bottom w:val="none" w:sz="0" w:space="0" w:color="auto"/>
        <w:right w:val="none" w:sz="0" w:space="0" w:color="auto"/>
      </w:divBdr>
    </w:div>
    <w:div w:id="1636136084">
      <w:bodyDiv w:val="1"/>
      <w:marLeft w:val="0"/>
      <w:marRight w:val="0"/>
      <w:marTop w:val="0"/>
      <w:marBottom w:val="0"/>
      <w:divBdr>
        <w:top w:val="none" w:sz="0" w:space="0" w:color="auto"/>
        <w:left w:val="none" w:sz="0" w:space="0" w:color="auto"/>
        <w:bottom w:val="none" w:sz="0" w:space="0" w:color="auto"/>
        <w:right w:val="none" w:sz="0" w:space="0" w:color="auto"/>
      </w:divBdr>
    </w:div>
    <w:div w:id="1636794008">
      <w:bodyDiv w:val="1"/>
      <w:marLeft w:val="0"/>
      <w:marRight w:val="0"/>
      <w:marTop w:val="0"/>
      <w:marBottom w:val="0"/>
      <w:divBdr>
        <w:top w:val="none" w:sz="0" w:space="0" w:color="auto"/>
        <w:left w:val="none" w:sz="0" w:space="0" w:color="auto"/>
        <w:bottom w:val="none" w:sz="0" w:space="0" w:color="auto"/>
        <w:right w:val="none" w:sz="0" w:space="0" w:color="auto"/>
      </w:divBdr>
    </w:div>
    <w:div w:id="1641307363">
      <w:bodyDiv w:val="1"/>
      <w:marLeft w:val="0"/>
      <w:marRight w:val="0"/>
      <w:marTop w:val="0"/>
      <w:marBottom w:val="0"/>
      <w:divBdr>
        <w:top w:val="none" w:sz="0" w:space="0" w:color="auto"/>
        <w:left w:val="none" w:sz="0" w:space="0" w:color="auto"/>
        <w:bottom w:val="none" w:sz="0" w:space="0" w:color="auto"/>
        <w:right w:val="none" w:sz="0" w:space="0" w:color="auto"/>
      </w:divBdr>
    </w:div>
    <w:div w:id="1642464216">
      <w:bodyDiv w:val="1"/>
      <w:marLeft w:val="0"/>
      <w:marRight w:val="0"/>
      <w:marTop w:val="0"/>
      <w:marBottom w:val="0"/>
      <w:divBdr>
        <w:top w:val="none" w:sz="0" w:space="0" w:color="auto"/>
        <w:left w:val="none" w:sz="0" w:space="0" w:color="auto"/>
        <w:bottom w:val="none" w:sz="0" w:space="0" w:color="auto"/>
        <w:right w:val="none" w:sz="0" w:space="0" w:color="auto"/>
      </w:divBdr>
    </w:div>
    <w:div w:id="1649019372">
      <w:bodyDiv w:val="1"/>
      <w:marLeft w:val="0"/>
      <w:marRight w:val="0"/>
      <w:marTop w:val="0"/>
      <w:marBottom w:val="0"/>
      <w:divBdr>
        <w:top w:val="none" w:sz="0" w:space="0" w:color="auto"/>
        <w:left w:val="none" w:sz="0" w:space="0" w:color="auto"/>
        <w:bottom w:val="none" w:sz="0" w:space="0" w:color="auto"/>
        <w:right w:val="none" w:sz="0" w:space="0" w:color="auto"/>
      </w:divBdr>
    </w:div>
    <w:div w:id="1652178982">
      <w:bodyDiv w:val="1"/>
      <w:marLeft w:val="0"/>
      <w:marRight w:val="0"/>
      <w:marTop w:val="0"/>
      <w:marBottom w:val="0"/>
      <w:divBdr>
        <w:top w:val="none" w:sz="0" w:space="0" w:color="auto"/>
        <w:left w:val="none" w:sz="0" w:space="0" w:color="auto"/>
        <w:bottom w:val="none" w:sz="0" w:space="0" w:color="auto"/>
        <w:right w:val="none" w:sz="0" w:space="0" w:color="auto"/>
      </w:divBdr>
    </w:div>
    <w:div w:id="1652295632">
      <w:bodyDiv w:val="1"/>
      <w:marLeft w:val="0"/>
      <w:marRight w:val="0"/>
      <w:marTop w:val="0"/>
      <w:marBottom w:val="0"/>
      <w:divBdr>
        <w:top w:val="none" w:sz="0" w:space="0" w:color="auto"/>
        <w:left w:val="none" w:sz="0" w:space="0" w:color="auto"/>
        <w:bottom w:val="none" w:sz="0" w:space="0" w:color="auto"/>
        <w:right w:val="none" w:sz="0" w:space="0" w:color="auto"/>
      </w:divBdr>
    </w:div>
    <w:div w:id="1653825063">
      <w:bodyDiv w:val="1"/>
      <w:marLeft w:val="0"/>
      <w:marRight w:val="0"/>
      <w:marTop w:val="0"/>
      <w:marBottom w:val="0"/>
      <w:divBdr>
        <w:top w:val="none" w:sz="0" w:space="0" w:color="auto"/>
        <w:left w:val="none" w:sz="0" w:space="0" w:color="auto"/>
        <w:bottom w:val="none" w:sz="0" w:space="0" w:color="auto"/>
        <w:right w:val="none" w:sz="0" w:space="0" w:color="auto"/>
      </w:divBdr>
    </w:div>
    <w:div w:id="1656029735">
      <w:bodyDiv w:val="1"/>
      <w:marLeft w:val="0"/>
      <w:marRight w:val="0"/>
      <w:marTop w:val="0"/>
      <w:marBottom w:val="0"/>
      <w:divBdr>
        <w:top w:val="none" w:sz="0" w:space="0" w:color="auto"/>
        <w:left w:val="none" w:sz="0" w:space="0" w:color="auto"/>
        <w:bottom w:val="none" w:sz="0" w:space="0" w:color="auto"/>
        <w:right w:val="none" w:sz="0" w:space="0" w:color="auto"/>
      </w:divBdr>
    </w:div>
    <w:div w:id="1657687108">
      <w:bodyDiv w:val="1"/>
      <w:marLeft w:val="0"/>
      <w:marRight w:val="0"/>
      <w:marTop w:val="0"/>
      <w:marBottom w:val="0"/>
      <w:divBdr>
        <w:top w:val="none" w:sz="0" w:space="0" w:color="auto"/>
        <w:left w:val="none" w:sz="0" w:space="0" w:color="auto"/>
        <w:bottom w:val="none" w:sz="0" w:space="0" w:color="auto"/>
        <w:right w:val="none" w:sz="0" w:space="0" w:color="auto"/>
      </w:divBdr>
    </w:div>
    <w:div w:id="1658150616">
      <w:bodyDiv w:val="1"/>
      <w:marLeft w:val="0"/>
      <w:marRight w:val="0"/>
      <w:marTop w:val="0"/>
      <w:marBottom w:val="0"/>
      <w:divBdr>
        <w:top w:val="none" w:sz="0" w:space="0" w:color="auto"/>
        <w:left w:val="none" w:sz="0" w:space="0" w:color="auto"/>
        <w:bottom w:val="none" w:sz="0" w:space="0" w:color="auto"/>
        <w:right w:val="none" w:sz="0" w:space="0" w:color="auto"/>
      </w:divBdr>
    </w:div>
    <w:div w:id="1659267161">
      <w:bodyDiv w:val="1"/>
      <w:marLeft w:val="0"/>
      <w:marRight w:val="0"/>
      <w:marTop w:val="0"/>
      <w:marBottom w:val="0"/>
      <w:divBdr>
        <w:top w:val="none" w:sz="0" w:space="0" w:color="auto"/>
        <w:left w:val="none" w:sz="0" w:space="0" w:color="auto"/>
        <w:bottom w:val="none" w:sz="0" w:space="0" w:color="auto"/>
        <w:right w:val="none" w:sz="0" w:space="0" w:color="auto"/>
      </w:divBdr>
    </w:div>
    <w:div w:id="1660386249">
      <w:bodyDiv w:val="1"/>
      <w:marLeft w:val="0"/>
      <w:marRight w:val="0"/>
      <w:marTop w:val="0"/>
      <w:marBottom w:val="0"/>
      <w:divBdr>
        <w:top w:val="none" w:sz="0" w:space="0" w:color="auto"/>
        <w:left w:val="none" w:sz="0" w:space="0" w:color="auto"/>
        <w:bottom w:val="none" w:sz="0" w:space="0" w:color="auto"/>
        <w:right w:val="none" w:sz="0" w:space="0" w:color="auto"/>
      </w:divBdr>
    </w:div>
    <w:div w:id="1661537602">
      <w:bodyDiv w:val="1"/>
      <w:marLeft w:val="0"/>
      <w:marRight w:val="0"/>
      <w:marTop w:val="0"/>
      <w:marBottom w:val="0"/>
      <w:divBdr>
        <w:top w:val="none" w:sz="0" w:space="0" w:color="auto"/>
        <w:left w:val="none" w:sz="0" w:space="0" w:color="auto"/>
        <w:bottom w:val="none" w:sz="0" w:space="0" w:color="auto"/>
        <w:right w:val="none" w:sz="0" w:space="0" w:color="auto"/>
      </w:divBdr>
    </w:div>
    <w:div w:id="1662537007">
      <w:bodyDiv w:val="1"/>
      <w:marLeft w:val="0"/>
      <w:marRight w:val="0"/>
      <w:marTop w:val="0"/>
      <w:marBottom w:val="0"/>
      <w:divBdr>
        <w:top w:val="none" w:sz="0" w:space="0" w:color="auto"/>
        <w:left w:val="none" w:sz="0" w:space="0" w:color="auto"/>
        <w:bottom w:val="none" w:sz="0" w:space="0" w:color="auto"/>
        <w:right w:val="none" w:sz="0" w:space="0" w:color="auto"/>
      </w:divBdr>
    </w:div>
    <w:div w:id="1663579593">
      <w:bodyDiv w:val="1"/>
      <w:marLeft w:val="0"/>
      <w:marRight w:val="0"/>
      <w:marTop w:val="0"/>
      <w:marBottom w:val="0"/>
      <w:divBdr>
        <w:top w:val="none" w:sz="0" w:space="0" w:color="auto"/>
        <w:left w:val="none" w:sz="0" w:space="0" w:color="auto"/>
        <w:bottom w:val="none" w:sz="0" w:space="0" w:color="auto"/>
        <w:right w:val="none" w:sz="0" w:space="0" w:color="auto"/>
      </w:divBdr>
    </w:div>
    <w:div w:id="1665665119">
      <w:bodyDiv w:val="1"/>
      <w:marLeft w:val="0"/>
      <w:marRight w:val="0"/>
      <w:marTop w:val="0"/>
      <w:marBottom w:val="0"/>
      <w:divBdr>
        <w:top w:val="none" w:sz="0" w:space="0" w:color="auto"/>
        <w:left w:val="none" w:sz="0" w:space="0" w:color="auto"/>
        <w:bottom w:val="none" w:sz="0" w:space="0" w:color="auto"/>
        <w:right w:val="none" w:sz="0" w:space="0" w:color="auto"/>
      </w:divBdr>
    </w:div>
    <w:div w:id="1666400772">
      <w:bodyDiv w:val="1"/>
      <w:marLeft w:val="0"/>
      <w:marRight w:val="0"/>
      <w:marTop w:val="0"/>
      <w:marBottom w:val="0"/>
      <w:divBdr>
        <w:top w:val="none" w:sz="0" w:space="0" w:color="auto"/>
        <w:left w:val="none" w:sz="0" w:space="0" w:color="auto"/>
        <w:bottom w:val="none" w:sz="0" w:space="0" w:color="auto"/>
        <w:right w:val="none" w:sz="0" w:space="0" w:color="auto"/>
      </w:divBdr>
    </w:div>
    <w:div w:id="1671517461">
      <w:bodyDiv w:val="1"/>
      <w:marLeft w:val="0"/>
      <w:marRight w:val="0"/>
      <w:marTop w:val="0"/>
      <w:marBottom w:val="0"/>
      <w:divBdr>
        <w:top w:val="none" w:sz="0" w:space="0" w:color="auto"/>
        <w:left w:val="none" w:sz="0" w:space="0" w:color="auto"/>
        <w:bottom w:val="none" w:sz="0" w:space="0" w:color="auto"/>
        <w:right w:val="none" w:sz="0" w:space="0" w:color="auto"/>
      </w:divBdr>
    </w:div>
    <w:div w:id="1671834479">
      <w:bodyDiv w:val="1"/>
      <w:marLeft w:val="0"/>
      <w:marRight w:val="0"/>
      <w:marTop w:val="0"/>
      <w:marBottom w:val="0"/>
      <w:divBdr>
        <w:top w:val="none" w:sz="0" w:space="0" w:color="auto"/>
        <w:left w:val="none" w:sz="0" w:space="0" w:color="auto"/>
        <w:bottom w:val="none" w:sz="0" w:space="0" w:color="auto"/>
        <w:right w:val="none" w:sz="0" w:space="0" w:color="auto"/>
      </w:divBdr>
    </w:div>
    <w:div w:id="1675525270">
      <w:bodyDiv w:val="1"/>
      <w:marLeft w:val="0"/>
      <w:marRight w:val="0"/>
      <w:marTop w:val="0"/>
      <w:marBottom w:val="0"/>
      <w:divBdr>
        <w:top w:val="none" w:sz="0" w:space="0" w:color="auto"/>
        <w:left w:val="none" w:sz="0" w:space="0" w:color="auto"/>
        <w:bottom w:val="none" w:sz="0" w:space="0" w:color="auto"/>
        <w:right w:val="none" w:sz="0" w:space="0" w:color="auto"/>
      </w:divBdr>
    </w:div>
    <w:div w:id="1675886843">
      <w:bodyDiv w:val="1"/>
      <w:marLeft w:val="0"/>
      <w:marRight w:val="0"/>
      <w:marTop w:val="0"/>
      <w:marBottom w:val="0"/>
      <w:divBdr>
        <w:top w:val="none" w:sz="0" w:space="0" w:color="auto"/>
        <w:left w:val="none" w:sz="0" w:space="0" w:color="auto"/>
        <w:bottom w:val="none" w:sz="0" w:space="0" w:color="auto"/>
        <w:right w:val="none" w:sz="0" w:space="0" w:color="auto"/>
      </w:divBdr>
    </w:div>
    <w:div w:id="1682661582">
      <w:bodyDiv w:val="1"/>
      <w:marLeft w:val="0"/>
      <w:marRight w:val="0"/>
      <w:marTop w:val="0"/>
      <w:marBottom w:val="0"/>
      <w:divBdr>
        <w:top w:val="none" w:sz="0" w:space="0" w:color="auto"/>
        <w:left w:val="none" w:sz="0" w:space="0" w:color="auto"/>
        <w:bottom w:val="none" w:sz="0" w:space="0" w:color="auto"/>
        <w:right w:val="none" w:sz="0" w:space="0" w:color="auto"/>
      </w:divBdr>
    </w:div>
    <w:div w:id="1684236263">
      <w:bodyDiv w:val="1"/>
      <w:marLeft w:val="0"/>
      <w:marRight w:val="0"/>
      <w:marTop w:val="0"/>
      <w:marBottom w:val="0"/>
      <w:divBdr>
        <w:top w:val="none" w:sz="0" w:space="0" w:color="auto"/>
        <w:left w:val="none" w:sz="0" w:space="0" w:color="auto"/>
        <w:bottom w:val="none" w:sz="0" w:space="0" w:color="auto"/>
        <w:right w:val="none" w:sz="0" w:space="0" w:color="auto"/>
      </w:divBdr>
    </w:div>
    <w:div w:id="1686589584">
      <w:bodyDiv w:val="1"/>
      <w:marLeft w:val="0"/>
      <w:marRight w:val="0"/>
      <w:marTop w:val="0"/>
      <w:marBottom w:val="0"/>
      <w:divBdr>
        <w:top w:val="none" w:sz="0" w:space="0" w:color="auto"/>
        <w:left w:val="none" w:sz="0" w:space="0" w:color="auto"/>
        <w:bottom w:val="none" w:sz="0" w:space="0" w:color="auto"/>
        <w:right w:val="none" w:sz="0" w:space="0" w:color="auto"/>
      </w:divBdr>
    </w:div>
    <w:div w:id="1687050750">
      <w:bodyDiv w:val="1"/>
      <w:marLeft w:val="0"/>
      <w:marRight w:val="0"/>
      <w:marTop w:val="0"/>
      <w:marBottom w:val="0"/>
      <w:divBdr>
        <w:top w:val="none" w:sz="0" w:space="0" w:color="auto"/>
        <w:left w:val="none" w:sz="0" w:space="0" w:color="auto"/>
        <w:bottom w:val="none" w:sz="0" w:space="0" w:color="auto"/>
        <w:right w:val="none" w:sz="0" w:space="0" w:color="auto"/>
      </w:divBdr>
    </w:div>
    <w:div w:id="1689478965">
      <w:bodyDiv w:val="1"/>
      <w:marLeft w:val="0"/>
      <w:marRight w:val="0"/>
      <w:marTop w:val="0"/>
      <w:marBottom w:val="0"/>
      <w:divBdr>
        <w:top w:val="none" w:sz="0" w:space="0" w:color="auto"/>
        <w:left w:val="none" w:sz="0" w:space="0" w:color="auto"/>
        <w:bottom w:val="none" w:sz="0" w:space="0" w:color="auto"/>
        <w:right w:val="none" w:sz="0" w:space="0" w:color="auto"/>
      </w:divBdr>
    </w:div>
    <w:div w:id="1689864974">
      <w:bodyDiv w:val="1"/>
      <w:marLeft w:val="0"/>
      <w:marRight w:val="0"/>
      <w:marTop w:val="0"/>
      <w:marBottom w:val="0"/>
      <w:divBdr>
        <w:top w:val="none" w:sz="0" w:space="0" w:color="auto"/>
        <w:left w:val="none" w:sz="0" w:space="0" w:color="auto"/>
        <w:bottom w:val="none" w:sz="0" w:space="0" w:color="auto"/>
        <w:right w:val="none" w:sz="0" w:space="0" w:color="auto"/>
      </w:divBdr>
    </w:div>
    <w:div w:id="1691956490">
      <w:bodyDiv w:val="1"/>
      <w:marLeft w:val="0"/>
      <w:marRight w:val="0"/>
      <w:marTop w:val="0"/>
      <w:marBottom w:val="0"/>
      <w:divBdr>
        <w:top w:val="none" w:sz="0" w:space="0" w:color="auto"/>
        <w:left w:val="none" w:sz="0" w:space="0" w:color="auto"/>
        <w:bottom w:val="none" w:sz="0" w:space="0" w:color="auto"/>
        <w:right w:val="none" w:sz="0" w:space="0" w:color="auto"/>
      </w:divBdr>
    </w:div>
    <w:div w:id="1692800748">
      <w:bodyDiv w:val="1"/>
      <w:marLeft w:val="0"/>
      <w:marRight w:val="0"/>
      <w:marTop w:val="0"/>
      <w:marBottom w:val="0"/>
      <w:divBdr>
        <w:top w:val="none" w:sz="0" w:space="0" w:color="auto"/>
        <w:left w:val="none" w:sz="0" w:space="0" w:color="auto"/>
        <w:bottom w:val="none" w:sz="0" w:space="0" w:color="auto"/>
        <w:right w:val="none" w:sz="0" w:space="0" w:color="auto"/>
      </w:divBdr>
    </w:div>
    <w:div w:id="1697542544">
      <w:bodyDiv w:val="1"/>
      <w:marLeft w:val="0"/>
      <w:marRight w:val="0"/>
      <w:marTop w:val="0"/>
      <w:marBottom w:val="0"/>
      <w:divBdr>
        <w:top w:val="none" w:sz="0" w:space="0" w:color="auto"/>
        <w:left w:val="none" w:sz="0" w:space="0" w:color="auto"/>
        <w:bottom w:val="none" w:sz="0" w:space="0" w:color="auto"/>
        <w:right w:val="none" w:sz="0" w:space="0" w:color="auto"/>
      </w:divBdr>
    </w:div>
    <w:div w:id="1699161453">
      <w:bodyDiv w:val="1"/>
      <w:marLeft w:val="0"/>
      <w:marRight w:val="0"/>
      <w:marTop w:val="0"/>
      <w:marBottom w:val="0"/>
      <w:divBdr>
        <w:top w:val="none" w:sz="0" w:space="0" w:color="auto"/>
        <w:left w:val="none" w:sz="0" w:space="0" w:color="auto"/>
        <w:bottom w:val="none" w:sz="0" w:space="0" w:color="auto"/>
        <w:right w:val="none" w:sz="0" w:space="0" w:color="auto"/>
      </w:divBdr>
    </w:div>
    <w:div w:id="1705865378">
      <w:bodyDiv w:val="1"/>
      <w:marLeft w:val="0"/>
      <w:marRight w:val="0"/>
      <w:marTop w:val="0"/>
      <w:marBottom w:val="0"/>
      <w:divBdr>
        <w:top w:val="none" w:sz="0" w:space="0" w:color="auto"/>
        <w:left w:val="none" w:sz="0" w:space="0" w:color="auto"/>
        <w:bottom w:val="none" w:sz="0" w:space="0" w:color="auto"/>
        <w:right w:val="none" w:sz="0" w:space="0" w:color="auto"/>
      </w:divBdr>
    </w:div>
    <w:div w:id="1706172255">
      <w:bodyDiv w:val="1"/>
      <w:marLeft w:val="0"/>
      <w:marRight w:val="0"/>
      <w:marTop w:val="0"/>
      <w:marBottom w:val="0"/>
      <w:divBdr>
        <w:top w:val="none" w:sz="0" w:space="0" w:color="auto"/>
        <w:left w:val="none" w:sz="0" w:space="0" w:color="auto"/>
        <w:bottom w:val="none" w:sz="0" w:space="0" w:color="auto"/>
        <w:right w:val="none" w:sz="0" w:space="0" w:color="auto"/>
      </w:divBdr>
    </w:div>
    <w:div w:id="1706515289">
      <w:bodyDiv w:val="1"/>
      <w:marLeft w:val="0"/>
      <w:marRight w:val="0"/>
      <w:marTop w:val="0"/>
      <w:marBottom w:val="0"/>
      <w:divBdr>
        <w:top w:val="none" w:sz="0" w:space="0" w:color="auto"/>
        <w:left w:val="none" w:sz="0" w:space="0" w:color="auto"/>
        <w:bottom w:val="none" w:sz="0" w:space="0" w:color="auto"/>
        <w:right w:val="none" w:sz="0" w:space="0" w:color="auto"/>
      </w:divBdr>
    </w:div>
    <w:div w:id="1709135712">
      <w:bodyDiv w:val="1"/>
      <w:marLeft w:val="0"/>
      <w:marRight w:val="0"/>
      <w:marTop w:val="0"/>
      <w:marBottom w:val="0"/>
      <w:divBdr>
        <w:top w:val="none" w:sz="0" w:space="0" w:color="auto"/>
        <w:left w:val="none" w:sz="0" w:space="0" w:color="auto"/>
        <w:bottom w:val="none" w:sz="0" w:space="0" w:color="auto"/>
        <w:right w:val="none" w:sz="0" w:space="0" w:color="auto"/>
      </w:divBdr>
    </w:div>
    <w:div w:id="1711876016">
      <w:bodyDiv w:val="1"/>
      <w:marLeft w:val="0"/>
      <w:marRight w:val="0"/>
      <w:marTop w:val="0"/>
      <w:marBottom w:val="0"/>
      <w:divBdr>
        <w:top w:val="none" w:sz="0" w:space="0" w:color="auto"/>
        <w:left w:val="none" w:sz="0" w:space="0" w:color="auto"/>
        <w:bottom w:val="none" w:sz="0" w:space="0" w:color="auto"/>
        <w:right w:val="none" w:sz="0" w:space="0" w:color="auto"/>
      </w:divBdr>
    </w:div>
    <w:div w:id="1712461234">
      <w:bodyDiv w:val="1"/>
      <w:marLeft w:val="0"/>
      <w:marRight w:val="0"/>
      <w:marTop w:val="0"/>
      <w:marBottom w:val="0"/>
      <w:divBdr>
        <w:top w:val="none" w:sz="0" w:space="0" w:color="auto"/>
        <w:left w:val="none" w:sz="0" w:space="0" w:color="auto"/>
        <w:bottom w:val="none" w:sz="0" w:space="0" w:color="auto"/>
        <w:right w:val="none" w:sz="0" w:space="0" w:color="auto"/>
      </w:divBdr>
    </w:div>
    <w:div w:id="1713187827">
      <w:bodyDiv w:val="1"/>
      <w:marLeft w:val="0"/>
      <w:marRight w:val="0"/>
      <w:marTop w:val="0"/>
      <w:marBottom w:val="0"/>
      <w:divBdr>
        <w:top w:val="none" w:sz="0" w:space="0" w:color="auto"/>
        <w:left w:val="none" w:sz="0" w:space="0" w:color="auto"/>
        <w:bottom w:val="none" w:sz="0" w:space="0" w:color="auto"/>
        <w:right w:val="none" w:sz="0" w:space="0" w:color="auto"/>
      </w:divBdr>
    </w:div>
    <w:div w:id="1713339177">
      <w:bodyDiv w:val="1"/>
      <w:marLeft w:val="0"/>
      <w:marRight w:val="0"/>
      <w:marTop w:val="0"/>
      <w:marBottom w:val="0"/>
      <w:divBdr>
        <w:top w:val="none" w:sz="0" w:space="0" w:color="auto"/>
        <w:left w:val="none" w:sz="0" w:space="0" w:color="auto"/>
        <w:bottom w:val="none" w:sz="0" w:space="0" w:color="auto"/>
        <w:right w:val="none" w:sz="0" w:space="0" w:color="auto"/>
      </w:divBdr>
    </w:div>
    <w:div w:id="1713724240">
      <w:bodyDiv w:val="1"/>
      <w:marLeft w:val="0"/>
      <w:marRight w:val="0"/>
      <w:marTop w:val="0"/>
      <w:marBottom w:val="0"/>
      <w:divBdr>
        <w:top w:val="none" w:sz="0" w:space="0" w:color="auto"/>
        <w:left w:val="none" w:sz="0" w:space="0" w:color="auto"/>
        <w:bottom w:val="none" w:sz="0" w:space="0" w:color="auto"/>
        <w:right w:val="none" w:sz="0" w:space="0" w:color="auto"/>
      </w:divBdr>
    </w:div>
    <w:div w:id="1715694602">
      <w:bodyDiv w:val="1"/>
      <w:marLeft w:val="0"/>
      <w:marRight w:val="0"/>
      <w:marTop w:val="0"/>
      <w:marBottom w:val="0"/>
      <w:divBdr>
        <w:top w:val="none" w:sz="0" w:space="0" w:color="auto"/>
        <w:left w:val="none" w:sz="0" w:space="0" w:color="auto"/>
        <w:bottom w:val="none" w:sz="0" w:space="0" w:color="auto"/>
        <w:right w:val="none" w:sz="0" w:space="0" w:color="auto"/>
      </w:divBdr>
    </w:div>
    <w:div w:id="1716343439">
      <w:bodyDiv w:val="1"/>
      <w:marLeft w:val="0"/>
      <w:marRight w:val="0"/>
      <w:marTop w:val="0"/>
      <w:marBottom w:val="0"/>
      <w:divBdr>
        <w:top w:val="none" w:sz="0" w:space="0" w:color="auto"/>
        <w:left w:val="none" w:sz="0" w:space="0" w:color="auto"/>
        <w:bottom w:val="none" w:sz="0" w:space="0" w:color="auto"/>
        <w:right w:val="none" w:sz="0" w:space="0" w:color="auto"/>
      </w:divBdr>
    </w:div>
    <w:div w:id="1718163621">
      <w:bodyDiv w:val="1"/>
      <w:marLeft w:val="0"/>
      <w:marRight w:val="0"/>
      <w:marTop w:val="0"/>
      <w:marBottom w:val="0"/>
      <w:divBdr>
        <w:top w:val="none" w:sz="0" w:space="0" w:color="auto"/>
        <w:left w:val="none" w:sz="0" w:space="0" w:color="auto"/>
        <w:bottom w:val="none" w:sz="0" w:space="0" w:color="auto"/>
        <w:right w:val="none" w:sz="0" w:space="0" w:color="auto"/>
      </w:divBdr>
    </w:div>
    <w:div w:id="1726178205">
      <w:bodyDiv w:val="1"/>
      <w:marLeft w:val="0"/>
      <w:marRight w:val="0"/>
      <w:marTop w:val="0"/>
      <w:marBottom w:val="0"/>
      <w:divBdr>
        <w:top w:val="none" w:sz="0" w:space="0" w:color="auto"/>
        <w:left w:val="none" w:sz="0" w:space="0" w:color="auto"/>
        <w:bottom w:val="none" w:sz="0" w:space="0" w:color="auto"/>
        <w:right w:val="none" w:sz="0" w:space="0" w:color="auto"/>
      </w:divBdr>
    </w:div>
    <w:div w:id="1726568596">
      <w:bodyDiv w:val="1"/>
      <w:marLeft w:val="0"/>
      <w:marRight w:val="0"/>
      <w:marTop w:val="0"/>
      <w:marBottom w:val="0"/>
      <w:divBdr>
        <w:top w:val="none" w:sz="0" w:space="0" w:color="auto"/>
        <w:left w:val="none" w:sz="0" w:space="0" w:color="auto"/>
        <w:bottom w:val="none" w:sz="0" w:space="0" w:color="auto"/>
        <w:right w:val="none" w:sz="0" w:space="0" w:color="auto"/>
      </w:divBdr>
    </w:div>
    <w:div w:id="1727414115">
      <w:bodyDiv w:val="1"/>
      <w:marLeft w:val="0"/>
      <w:marRight w:val="0"/>
      <w:marTop w:val="0"/>
      <w:marBottom w:val="0"/>
      <w:divBdr>
        <w:top w:val="none" w:sz="0" w:space="0" w:color="auto"/>
        <w:left w:val="none" w:sz="0" w:space="0" w:color="auto"/>
        <w:bottom w:val="none" w:sz="0" w:space="0" w:color="auto"/>
        <w:right w:val="none" w:sz="0" w:space="0" w:color="auto"/>
      </w:divBdr>
    </w:div>
    <w:div w:id="1727606080">
      <w:bodyDiv w:val="1"/>
      <w:marLeft w:val="0"/>
      <w:marRight w:val="0"/>
      <w:marTop w:val="0"/>
      <w:marBottom w:val="0"/>
      <w:divBdr>
        <w:top w:val="none" w:sz="0" w:space="0" w:color="auto"/>
        <w:left w:val="none" w:sz="0" w:space="0" w:color="auto"/>
        <w:bottom w:val="none" w:sz="0" w:space="0" w:color="auto"/>
        <w:right w:val="none" w:sz="0" w:space="0" w:color="auto"/>
      </w:divBdr>
    </w:div>
    <w:div w:id="1728803067">
      <w:bodyDiv w:val="1"/>
      <w:marLeft w:val="0"/>
      <w:marRight w:val="0"/>
      <w:marTop w:val="0"/>
      <w:marBottom w:val="0"/>
      <w:divBdr>
        <w:top w:val="none" w:sz="0" w:space="0" w:color="auto"/>
        <w:left w:val="none" w:sz="0" w:space="0" w:color="auto"/>
        <w:bottom w:val="none" w:sz="0" w:space="0" w:color="auto"/>
        <w:right w:val="none" w:sz="0" w:space="0" w:color="auto"/>
      </w:divBdr>
    </w:div>
    <w:div w:id="1734624878">
      <w:bodyDiv w:val="1"/>
      <w:marLeft w:val="0"/>
      <w:marRight w:val="0"/>
      <w:marTop w:val="0"/>
      <w:marBottom w:val="0"/>
      <w:divBdr>
        <w:top w:val="none" w:sz="0" w:space="0" w:color="auto"/>
        <w:left w:val="none" w:sz="0" w:space="0" w:color="auto"/>
        <w:bottom w:val="none" w:sz="0" w:space="0" w:color="auto"/>
        <w:right w:val="none" w:sz="0" w:space="0" w:color="auto"/>
      </w:divBdr>
    </w:div>
    <w:div w:id="1735010323">
      <w:bodyDiv w:val="1"/>
      <w:marLeft w:val="0"/>
      <w:marRight w:val="0"/>
      <w:marTop w:val="0"/>
      <w:marBottom w:val="0"/>
      <w:divBdr>
        <w:top w:val="none" w:sz="0" w:space="0" w:color="auto"/>
        <w:left w:val="none" w:sz="0" w:space="0" w:color="auto"/>
        <w:bottom w:val="none" w:sz="0" w:space="0" w:color="auto"/>
        <w:right w:val="none" w:sz="0" w:space="0" w:color="auto"/>
      </w:divBdr>
    </w:div>
    <w:div w:id="1735590131">
      <w:bodyDiv w:val="1"/>
      <w:marLeft w:val="0"/>
      <w:marRight w:val="0"/>
      <w:marTop w:val="0"/>
      <w:marBottom w:val="0"/>
      <w:divBdr>
        <w:top w:val="none" w:sz="0" w:space="0" w:color="auto"/>
        <w:left w:val="none" w:sz="0" w:space="0" w:color="auto"/>
        <w:bottom w:val="none" w:sz="0" w:space="0" w:color="auto"/>
        <w:right w:val="none" w:sz="0" w:space="0" w:color="auto"/>
      </w:divBdr>
    </w:div>
    <w:div w:id="1742750201">
      <w:bodyDiv w:val="1"/>
      <w:marLeft w:val="0"/>
      <w:marRight w:val="0"/>
      <w:marTop w:val="0"/>
      <w:marBottom w:val="0"/>
      <w:divBdr>
        <w:top w:val="none" w:sz="0" w:space="0" w:color="auto"/>
        <w:left w:val="none" w:sz="0" w:space="0" w:color="auto"/>
        <w:bottom w:val="none" w:sz="0" w:space="0" w:color="auto"/>
        <w:right w:val="none" w:sz="0" w:space="0" w:color="auto"/>
      </w:divBdr>
    </w:div>
    <w:div w:id="1743215304">
      <w:bodyDiv w:val="1"/>
      <w:marLeft w:val="0"/>
      <w:marRight w:val="0"/>
      <w:marTop w:val="0"/>
      <w:marBottom w:val="0"/>
      <w:divBdr>
        <w:top w:val="none" w:sz="0" w:space="0" w:color="auto"/>
        <w:left w:val="none" w:sz="0" w:space="0" w:color="auto"/>
        <w:bottom w:val="none" w:sz="0" w:space="0" w:color="auto"/>
        <w:right w:val="none" w:sz="0" w:space="0" w:color="auto"/>
      </w:divBdr>
    </w:div>
    <w:div w:id="1743523904">
      <w:bodyDiv w:val="1"/>
      <w:marLeft w:val="0"/>
      <w:marRight w:val="0"/>
      <w:marTop w:val="0"/>
      <w:marBottom w:val="0"/>
      <w:divBdr>
        <w:top w:val="none" w:sz="0" w:space="0" w:color="auto"/>
        <w:left w:val="none" w:sz="0" w:space="0" w:color="auto"/>
        <w:bottom w:val="none" w:sz="0" w:space="0" w:color="auto"/>
        <w:right w:val="none" w:sz="0" w:space="0" w:color="auto"/>
      </w:divBdr>
    </w:div>
    <w:div w:id="1743870813">
      <w:bodyDiv w:val="1"/>
      <w:marLeft w:val="0"/>
      <w:marRight w:val="0"/>
      <w:marTop w:val="0"/>
      <w:marBottom w:val="0"/>
      <w:divBdr>
        <w:top w:val="none" w:sz="0" w:space="0" w:color="auto"/>
        <w:left w:val="none" w:sz="0" w:space="0" w:color="auto"/>
        <w:bottom w:val="none" w:sz="0" w:space="0" w:color="auto"/>
        <w:right w:val="none" w:sz="0" w:space="0" w:color="auto"/>
      </w:divBdr>
    </w:div>
    <w:div w:id="1744453862">
      <w:bodyDiv w:val="1"/>
      <w:marLeft w:val="0"/>
      <w:marRight w:val="0"/>
      <w:marTop w:val="0"/>
      <w:marBottom w:val="0"/>
      <w:divBdr>
        <w:top w:val="none" w:sz="0" w:space="0" w:color="auto"/>
        <w:left w:val="none" w:sz="0" w:space="0" w:color="auto"/>
        <w:bottom w:val="none" w:sz="0" w:space="0" w:color="auto"/>
        <w:right w:val="none" w:sz="0" w:space="0" w:color="auto"/>
      </w:divBdr>
    </w:div>
    <w:div w:id="1746100157">
      <w:bodyDiv w:val="1"/>
      <w:marLeft w:val="0"/>
      <w:marRight w:val="0"/>
      <w:marTop w:val="0"/>
      <w:marBottom w:val="0"/>
      <w:divBdr>
        <w:top w:val="none" w:sz="0" w:space="0" w:color="auto"/>
        <w:left w:val="none" w:sz="0" w:space="0" w:color="auto"/>
        <w:bottom w:val="none" w:sz="0" w:space="0" w:color="auto"/>
        <w:right w:val="none" w:sz="0" w:space="0" w:color="auto"/>
      </w:divBdr>
    </w:div>
    <w:div w:id="1748919975">
      <w:bodyDiv w:val="1"/>
      <w:marLeft w:val="0"/>
      <w:marRight w:val="0"/>
      <w:marTop w:val="0"/>
      <w:marBottom w:val="0"/>
      <w:divBdr>
        <w:top w:val="none" w:sz="0" w:space="0" w:color="auto"/>
        <w:left w:val="none" w:sz="0" w:space="0" w:color="auto"/>
        <w:bottom w:val="none" w:sz="0" w:space="0" w:color="auto"/>
        <w:right w:val="none" w:sz="0" w:space="0" w:color="auto"/>
      </w:divBdr>
    </w:div>
    <w:div w:id="1756123141">
      <w:bodyDiv w:val="1"/>
      <w:marLeft w:val="0"/>
      <w:marRight w:val="0"/>
      <w:marTop w:val="0"/>
      <w:marBottom w:val="0"/>
      <w:divBdr>
        <w:top w:val="none" w:sz="0" w:space="0" w:color="auto"/>
        <w:left w:val="none" w:sz="0" w:space="0" w:color="auto"/>
        <w:bottom w:val="none" w:sz="0" w:space="0" w:color="auto"/>
        <w:right w:val="none" w:sz="0" w:space="0" w:color="auto"/>
      </w:divBdr>
    </w:div>
    <w:div w:id="1756197445">
      <w:bodyDiv w:val="1"/>
      <w:marLeft w:val="0"/>
      <w:marRight w:val="0"/>
      <w:marTop w:val="0"/>
      <w:marBottom w:val="0"/>
      <w:divBdr>
        <w:top w:val="none" w:sz="0" w:space="0" w:color="auto"/>
        <w:left w:val="none" w:sz="0" w:space="0" w:color="auto"/>
        <w:bottom w:val="none" w:sz="0" w:space="0" w:color="auto"/>
        <w:right w:val="none" w:sz="0" w:space="0" w:color="auto"/>
      </w:divBdr>
    </w:div>
    <w:div w:id="1757247640">
      <w:bodyDiv w:val="1"/>
      <w:marLeft w:val="0"/>
      <w:marRight w:val="0"/>
      <w:marTop w:val="0"/>
      <w:marBottom w:val="0"/>
      <w:divBdr>
        <w:top w:val="none" w:sz="0" w:space="0" w:color="auto"/>
        <w:left w:val="none" w:sz="0" w:space="0" w:color="auto"/>
        <w:bottom w:val="none" w:sz="0" w:space="0" w:color="auto"/>
        <w:right w:val="none" w:sz="0" w:space="0" w:color="auto"/>
      </w:divBdr>
    </w:div>
    <w:div w:id="1759669615">
      <w:bodyDiv w:val="1"/>
      <w:marLeft w:val="0"/>
      <w:marRight w:val="0"/>
      <w:marTop w:val="0"/>
      <w:marBottom w:val="0"/>
      <w:divBdr>
        <w:top w:val="none" w:sz="0" w:space="0" w:color="auto"/>
        <w:left w:val="none" w:sz="0" w:space="0" w:color="auto"/>
        <w:bottom w:val="none" w:sz="0" w:space="0" w:color="auto"/>
        <w:right w:val="none" w:sz="0" w:space="0" w:color="auto"/>
      </w:divBdr>
    </w:div>
    <w:div w:id="1762991362">
      <w:bodyDiv w:val="1"/>
      <w:marLeft w:val="0"/>
      <w:marRight w:val="0"/>
      <w:marTop w:val="0"/>
      <w:marBottom w:val="0"/>
      <w:divBdr>
        <w:top w:val="none" w:sz="0" w:space="0" w:color="auto"/>
        <w:left w:val="none" w:sz="0" w:space="0" w:color="auto"/>
        <w:bottom w:val="none" w:sz="0" w:space="0" w:color="auto"/>
        <w:right w:val="none" w:sz="0" w:space="0" w:color="auto"/>
      </w:divBdr>
    </w:div>
    <w:div w:id="1764716112">
      <w:bodyDiv w:val="1"/>
      <w:marLeft w:val="0"/>
      <w:marRight w:val="0"/>
      <w:marTop w:val="0"/>
      <w:marBottom w:val="0"/>
      <w:divBdr>
        <w:top w:val="none" w:sz="0" w:space="0" w:color="auto"/>
        <w:left w:val="none" w:sz="0" w:space="0" w:color="auto"/>
        <w:bottom w:val="none" w:sz="0" w:space="0" w:color="auto"/>
        <w:right w:val="none" w:sz="0" w:space="0" w:color="auto"/>
      </w:divBdr>
    </w:div>
    <w:div w:id="1766998441">
      <w:bodyDiv w:val="1"/>
      <w:marLeft w:val="0"/>
      <w:marRight w:val="0"/>
      <w:marTop w:val="0"/>
      <w:marBottom w:val="0"/>
      <w:divBdr>
        <w:top w:val="none" w:sz="0" w:space="0" w:color="auto"/>
        <w:left w:val="none" w:sz="0" w:space="0" w:color="auto"/>
        <w:bottom w:val="none" w:sz="0" w:space="0" w:color="auto"/>
        <w:right w:val="none" w:sz="0" w:space="0" w:color="auto"/>
      </w:divBdr>
    </w:div>
    <w:div w:id="1768579212">
      <w:bodyDiv w:val="1"/>
      <w:marLeft w:val="0"/>
      <w:marRight w:val="0"/>
      <w:marTop w:val="0"/>
      <w:marBottom w:val="0"/>
      <w:divBdr>
        <w:top w:val="none" w:sz="0" w:space="0" w:color="auto"/>
        <w:left w:val="none" w:sz="0" w:space="0" w:color="auto"/>
        <w:bottom w:val="none" w:sz="0" w:space="0" w:color="auto"/>
        <w:right w:val="none" w:sz="0" w:space="0" w:color="auto"/>
      </w:divBdr>
    </w:div>
    <w:div w:id="1768768690">
      <w:bodyDiv w:val="1"/>
      <w:marLeft w:val="0"/>
      <w:marRight w:val="0"/>
      <w:marTop w:val="0"/>
      <w:marBottom w:val="0"/>
      <w:divBdr>
        <w:top w:val="none" w:sz="0" w:space="0" w:color="auto"/>
        <w:left w:val="none" w:sz="0" w:space="0" w:color="auto"/>
        <w:bottom w:val="none" w:sz="0" w:space="0" w:color="auto"/>
        <w:right w:val="none" w:sz="0" w:space="0" w:color="auto"/>
      </w:divBdr>
    </w:div>
    <w:div w:id="1770158793">
      <w:bodyDiv w:val="1"/>
      <w:marLeft w:val="0"/>
      <w:marRight w:val="0"/>
      <w:marTop w:val="0"/>
      <w:marBottom w:val="0"/>
      <w:divBdr>
        <w:top w:val="none" w:sz="0" w:space="0" w:color="auto"/>
        <w:left w:val="none" w:sz="0" w:space="0" w:color="auto"/>
        <w:bottom w:val="none" w:sz="0" w:space="0" w:color="auto"/>
        <w:right w:val="none" w:sz="0" w:space="0" w:color="auto"/>
      </w:divBdr>
    </w:div>
    <w:div w:id="1775440097">
      <w:bodyDiv w:val="1"/>
      <w:marLeft w:val="0"/>
      <w:marRight w:val="0"/>
      <w:marTop w:val="0"/>
      <w:marBottom w:val="0"/>
      <w:divBdr>
        <w:top w:val="none" w:sz="0" w:space="0" w:color="auto"/>
        <w:left w:val="none" w:sz="0" w:space="0" w:color="auto"/>
        <w:bottom w:val="none" w:sz="0" w:space="0" w:color="auto"/>
        <w:right w:val="none" w:sz="0" w:space="0" w:color="auto"/>
      </w:divBdr>
    </w:div>
    <w:div w:id="1777403382">
      <w:bodyDiv w:val="1"/>
      <w:marLeft w:val="0"/>
      <w:marRight w:val="0"/>
      <w:marTop w:val="0"/>
      <w:marBottom w:val="0"/>
      <w:divBdr>
        <w:top w:val="none" w:sz="0" w:space="0" w:color="auto"/>
        <w:left w:val="none" w:sz="0" w:space="0" w:color="auto"/>
        <w:bottom w:val="none" w:sz="0" w:space="0" w:color="auto"/>
        <w:right w:val="none" w:sz="0" w:space="0" w:color="auto"/>
      </w:divBdr>
    </w:div>
    <w:div w:id="1780876787">
      <w:bodyDiv w:val="1"/>
      <w:marLeft w:val="0"/>
      <w:marRight w:val="0"/>
      <w:marTop w:val="0"/>
      <w:marBottom w:val="0"/>
      <w:divBdr>
        <w:top w:val="none" w:sz="0" w:space="0" w:color="auto"/>
        <w:left w:val="none" w:sz="0" w:space="0" w:color="auto"/>
        <w:bottom w:val="none" w:sz="0" w:space="0" w:color="auto"/>
        <w:right w:val="none" w:sz="0" w:space="0" w:color="auto"/>
      </w:divBdr>
    </w:div>
    <w:div w:id="1781409118">
      <w:bodyDiv w:val="1"/>
      <w:marLeft w:val="0"/>
      <w:marRight w:val="0"/>
      <w:marTop w:val="0"/>
      <w:marBottom w:val="0"/>
      <w:divBdr>
        <w:top w:val="none" w:sz="0" w:space="0" w:color="auto"/>
        <w:left w:val="none" w:sz="0" w:space="0" w:color="auto"/>
        <w:bottom w:val="none" w:sz="0" w:space="0" w:color="auto"/>
        <w:right w:val="none" w:sz="0" w:space="0" w:color="auto"/>
      </w:divBdr>
    </w:div>
    <w:div w:id="1783189347">
      <w:bodyDiv w:val="1"/>
      <w:marLeft w:val="0"/>
      <w:marRight w:val="0"/>
      <w:marTop w:val="0"/>
      <w:marBottom w:val="0"/>
      <w:divBdr>
        <w:top w:val="none" w:sz="0" w:space="0" w:color="auto"/>
        <w:left w:val="none" w:sz="0" w:space="0" w:color="auto"/>
        <w:bottom w:val="none" w:sz="0" w:space="0" w:color="auto"/>
        <w:right w:val="none" w:sz="0" w:space="0" w:color="auto"/>
      </w:divBdr>
    </w:div>
    <w:div w:id="1789816073">
      <w:bodyDiv w:val="1"/>
      <w:marLeft w:val="0"/>
      <w:marRight w:val="0"/>
      <w:marTop w:val="0"/>
      <w:marBottom w:val="0"/>
      <w:divBdr>
        <w:top w:val="none" w:sz="0" w:space="0" w:color="auto"/>
        <w:left w:val="none" w:sz="0" w:space="0" w:color="auto"/>
        <w:bottom w:val="none" w:sz="0" w:space="0" w:color="auto"/>
        <w:right w:val="none" w:sz="0" w:space="0" w:color="auto"/>
      </w:divBdr>
    </w:div>
    <w:div w:id="1794860287">
      <w:bodyDiv w:val="1"/>
      <w:marLeft w:val="0"/>
      <w:marRight w:val="0"/>
      <w:marTop w:val="0"/>
      <w:marBottom w:val="0"/>
      <w:divBdr>
        <w:top w:val="none" w:sz="0" w:space="0" w:color="auto"/>
        <w:left w:val="none" w:sz="0" w:space="0" w:color="auto"/>
        <w:bottom w:val="none" w:sz="0" w:space="0" w:color="auto"/>
        <w:right w:val="none" w:sz="0" w:space="0" w:color="auto"/>
      </w:divBdr>
    </w:div>
    <w:div w:id="1794909027">
      <w:bodyDiv w:val="1"/>
      <w:marLeft w:val="0"/>
      <w:marRight w:val="0"/>
      <w:marTop w:val="0"/>
      <w:marBottom w:val="0"/>
      <w:divBdr>
        <w:top w:val="none" w:sz="0" w:space="0" w:color="auto"/>
        <w:left w:val="none" w:sz="0" w:space="0" w:color="auto"/>
        <w:bottom w:val="none" w:sz="0" w:space="0" w:color="auto"/>
        <w:right w:val="none" w:sz="0" w:space="0" w:color="auto"/>
      </w:divBdr>
    </w:div>
    <w:div w:id="1798332347">
      <w:bodyDiv w:val="1"/>
      <w:marLeft w:val="0"/>
      <w:marRight w:val="0"/>
      <w:marTop w:val="0"/>
      <w:marBottom w:val="0"/>
      <w:divBdr>
        <w:top w:val="none" w:sz="0" w:space="0" w:color="auto"/>
        <w:left w:val="none" w:sz="0" w:space="0" w:color="auto"/>
        <w:bottom w:val="none" w:sz="0" w:space="0" w:color="auto"/>
        <w:right w:val="none" w:sz="0" w:space="0" w:color="auto"/>
      </w:divBdr>
    </w:div>
    <w:div w:id="180076416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3206902">
      <w:bodyDiv w:val="1"/>
      <w:marLeft w:val="0"/>
      <w:marRight w:val="0"/>
      <w:marTop w:val="0"/>
      <w:marBottom w:val="0"/>
      <w:divBdr>
        <w:top w:val="none" w:sz="0" w:space="0" w:color="auto"/>
        <w:left w:val="none" w:sz="0" w:space="0" w:color="auto"/>
        <w:bottom w:val="none" w:sz="0" w:space="0" w:color="auto"/>
        <w:right w:val="none" w:sz="0" w:space="0" w:color="auto"/>
      </w:divBdr>
    </w:div>
    <w:div w:id="1814057937">
      <w:bodyDiv w:val="1"/>
      <w:marLeft w:val="0"/>
      <w:marRight w:val="0"/>
      <w:marTop w:val="0"/>
      <w:marBottom w:val="0"/>
      <w:divBdr>
        <w:top w:val="none" w:sz="0" w:space="0" w:color="auto"/>
        <w:left w:val="none" w:sz="0" w:space="0" w:color="auto"/>
        <w:bottom w:val="none" w:sz="0" w:space="0" w:color="auto"/>
        <w:right w:val="none" w:sz="0" w:space="0" w:color="auto"/>
      </w:divBdr>
    </w:div>
    <w:div w:id="1818106125">
      <w:bodyDiv w:val="1"/>
      <w:marLeft w:val="0"/>
      <w:marRight w:val="0"/>
      <w:marTop w:val="0"/>
      <w:marBottom w:val="0"/>
      <w:divBdr>
        <w:top w:val="none" w:sz="0" w:space="0" w:color="auto"/>
        <w:left w:val="none" w:sz="0" w:space="0" w:color="auto"/>
        <w:bottom w:val="none" w:sz="0" w:space="0" w:color="auto"/>
        <w:right w:val="none" w:sz="0" w:space="0" w:color="auto"/>
      </w:divBdr>
    </w:div>
    <w:div w:id="1821733189">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4665133">
      <w:bodyDiv w:val="1"/>
      <w:marLeft w:val="0"/>
      <w:marRight w:val="0"/>
      <w:marTop w:val="0"/>
      <w:marBottom w:val="0"/>
      <w:divBdr>
        <w:top w:val="none" w:sz="0" w:space="0" w:color="auto"/>
        <w:left w:val="none" w:sz="0" w:space="0" w:color="auto"/>
        <w:bottom w:val="none" w:sz="0" w:space="0" w:color="auto"/>
        <w:right w:val="none" w:sz="0" w:space="0" w:color="auto"/>
      </w:divBdr>
    </w:div>
    <w:div w:id="1828469694">
      <w:bodyDiv w:val="1"/>
      <w:marLeft w:val="0"/>
      <w:marRight w:val="0"/>
      <w:marTop w:val="0"/>
      <w:marBottom w:val="0"/>
      <w:divBdr>
        <w:top w:val="none" w:sz="0" w:space="0" w:color="auto"/>
        <w:left w:val="none" w:sz="0" w:space="0" w:color="auto"/>
        <w:bottom w:val="none" w:sz="0" w:space="0" w:color="auto"/>
        <w:right w:val="none" w:sz="0" w:space="0" w:color="auto"/>
      </w:divBdr>
    </w:div>
    <w:div w:id="1828785803">
      <w:bodyDiv w:val="1"/>
      <w:marLeft w:val="0"/>
      <w:marRight w:val="0"/>
      <w:marTop w:val="0"/>
      <w:marBottom w:val="0"/>
      <w:divBdr>
        <w:top w:val="none" w:sz="0" w:space="0" w:color="auto"/>
        <w:left w:val="none" w:sz="0" w:space="0" w:color="auto"/>
        <w:bottom w:val="none" w:sz="0" w:space="0" w:color="auto"/>
        <w:right w:val="none" w:sz="0" w:space="0" w:color="auto"/>
      </w:divBdr>
    </w:div>
    <w:div w:id="1829591490">
      <w:bodyDiv w:val="1"/>
      <w:marLeft w:val="0"/>
      <w:marRight w:val="0"/>
      <w:marTop w:val="0"/>
      <w:marBottom w:val="0"/>
      <w:divBdr>
        <w:top w:val="none" w:sz="0" w:space="0" w:color="auto"/>
        <w:left w:val="none" w:sz="0" w:space="0" w:color="auto"/>
        <w:bottom w:val="none" w:sz="0" w:space="0" w:color="auto"/>
        <w:right w:val="none" w:sz="0" w:space="0" w:color="auto"/>
      </w:divBdr>
    </w:div>
    <w:div w:id="1830095287">
      <w:bodyDiv w:val="1"/>
      <w:marLeft w:val="0"/>
      <w:marRight w:val="0"/>
      <w:marTop w:val="0"/>
      <w:marBottom w:val="0"/>
      <w:divBdr>
        <w:top w:val="none" w:sz="0" w:space="0" w:color="auto"/>
        <w:left w:val="none" w:sz="0" w:space="0" w:color="auto"/>
        <w:bottom w:val="none" w:sz="0" w:space="0" w:color="auto"/>
        <w:right w:val="none" w:sz="0" w:space="0" w:color="auto"/>
      </w:divBdr>
    </w:div>
    <w:div w:id="1830245999">
      <w:bodyDiv w:val="1"/>
      <w:marLeft w:val="0"/>
      <w:marRight w:val="0"/>
      <w:marTop w:val="0"/>
      <w:marBottom w:val="0"/>
      <w:divBdr>
        <w:top w:val="none" w:sz="0" w:space="0" w:color="auto"/>
        <w:left w:val="none" w:sz="0" w:space="0" w:color="auto"/>
        <w:bottom w:val="none" w:sz="0" w:space="0" w:color="auto"/>
        <w:right w:val="none" w:sz="0" w:space="0" w:color="auto"/>
      </w:divBdr>
    </w:div>
    <w:div w:id="1830976750">
      <w:bodyDiv w:val="1"/>
      <w:marLeft w:val="0"/>
      <w:marRight w:val="0"/>
      <w:marTop w:val="0"/>
      <w:marBottom w:val="0"/>
      <w:divBdr>
        <w:top w:val="none" w:sz="0" w:space="0" w:color="auto"/>
        <w:left w:val="none" w:sz="0" w:space="0" w:color="auto"/>
        <w:bottom w:val="none" w:sz="0" w:space="0" w:color="auto"/>
        <w:right w:val="none" w:sz="0" w:space="0" w:color="auto"/>
      </w:divBdr>
    </w:div>
    <w:div w:id="1838030431">
      <w:bodyDiv w:val="1"/>
      <w:marLeft w:val="0"/>
      <w:marRight w:val="0"/>
      <w:marTop w:val="0"/>
      <w:marBottom w:val="0"/>
      <w:divBdr>
        <w:top w:val="none" w:sz="0" w:space="0" w:color="auto"/>
        <w:left w:val="none" w:sz="0" w:space="0" w:color="auto"/>
        <w:bottom w:val="none" w:sz="0" w:space="0" w:color="auto"/>
        <w:right w:val="none" w:sz="0" w:space="0" w:color="auto"/>
      </w:divBdr>
    </w:div>
    <w:div w:id="1839349056">
      <w:bodyDiv w:val="1"/>
      <w:marLeft w:val="0"/>
      <w:marRight w:val="0"/>
      <w:marTop w:val="0"/>
      <w:marBottom w:val="0"/>
      <w:divBdr>
        <w:top w:val="none" w:sz="0" w:space="0" w:color="auto"/>
        <w:left w:val="none" w:sz="0" w:space="0" w:color="auto"/>
        <w:bottom w:val="none" w:sz="0" w:space="0" w:color="auto"/>
        <w:right w:val="none" w:sz="0" w:space="0" w:color="auto"/>
      </w:divBdr>
    </w:div>
    <w:div w:id="1843426853">
      <w:bodyDiv w:val="1"/>
      <w:marLeft w:val="0"/>
      <w:marRight w:val="0"/>
      <w:marTop w:val="0"/>
      <w:marBottom w:val="0"/>
      <w:divBdr>
        <w:top w:val="none" w:sz="0" w:space="0" w:color="auto"/>
        <w:left w:val="none" w:sz="0" w:space="0" w:color="auto"/>
        <w:bottom w:val="none" w:sz="0" w:space="0" w:color="auto"/>
        <w:right w:val="none" w:sz="0" w:space="0" w:color="auto"/>
      </w:divBdr>
    </w:div>
    <w:div w:id="1844124604">
      <w:bodyDiv w:val="1"/>
      <w:marLeft w:val="0"/>
      <w:marRight w:val="0"/>
      <w:marTop w:val="0"/>
      <w:marBottom w:val="0"/>
      <w:divBdr>
        <w:top w:val="none" w:sz="0" w:space="0" w:color="auto"/>
        <w:left w:val="none" w:sz="0" w:space="0" w:color="auto"/>
        <w:bottom w:val="none" w:sz="0" w:space="0" w:color="auto"/>
        <w:right w:val="none" w:sz="0" w:space="0" w:color="auto"/>
      </w:divBdr>
    </w:div>
    <w:div w:id="1850631528">
      <w:bodyDiv w:val="1"/>
      <w:marLeft w:val="0"/>
      <w:marRight w:val="0"/>
      <w:marTop w:val="0"/>
      <w:marBottom w:val="0"/>
      <w:divBdr>
        <w:top w:val="none" w:sz="0" w:space="0" w:color="auto"/>
        <w:left w:val="none" w:sz="0" w:space="0" w:color="auto"/>
        <w:bottom w:val="none" w:sz="0" w:space="0" w:color="auto"/>
        <w:right w:val="none" w:sz="0" w:space="0" w:color="auto"/>
      </w:divBdr>
    </w:div>
    <w:div w:id="1853959434">
      <w:bodyDiv w:val="1"/>
      <w:marLeft w:val="0"/>
      <w:marRight w:val="0"/>
      <w:marTop w:val="0"/>
      <w:marBottom w:val="0"/>
      <w:divBdr>
        <w:top w:val="none" w:sz="0" w:space="0" w:color="auto"/>
        <w:left w:val="none" w:sz="0" w:space="0" w:color="auto"/>
        <w:bottom w:val="none" w:sz="0" w:space="0" w:color="auto"/>
        <w:right w:val="none" w:sz="0" w:space="0" w:color="auto"/>
      </w:divBdr>
    </w:div>
    <w:div w:id="1854687305">
      <w:bodyDiv w:val="1"/>
      <w:marLeft w:val="0"/>
      <w:marRight w:val="0"/>
      <w:marTop w:val="0"/>
      <w:marBottom w:val="0"/>
      <w:divBdr>
        <w:top w:val="none" w:sz="0" w:space="0" w:color="auto"/>
        <w:left w:val="none" w:sz="0" w:space="0" w:color="auto"/>
        <w:bottom w:val="none" w:sz="0" w:space="0" w:color="auto"/>
        <w:right w:val="none" w:sz="0" w:space="0" w:color="auto"/>
      </w:divBdr>
    </w:div>
    <w:div w:id="1866282749">
      <w:bodyDiv w:val="1"/>
      <w:marLeft w:val="0"/>
      <w:marRight w:val="0"/>
      <w:marTop w:val="0"/>
      <w:marBottom w:val="0"/>
      <w:divBdr>
        <w:top w:val="none" w:sz="0" w:space="0" w:color="auto"/>
        <w:left w:val="none" w:sz="0" w:space="0" w:color="auto"/>
        <w:bottom w:val="none" w:sz="0" w:space="0" w:color="auto"/>
        <w:right w:val="none" w:sz="0" w:space="0" w:color="auto"/>
      </w:divBdr>
    </w:div>
    <w:div w:id="1869028457">
      <w:bodyDiv w:val="1"/>
      <w:marLeft w:val="0"/>
      <w:marRight w:val="0"/>
      <w:marTop w:val="0"/>
      <w:marBottom w:val="0"/>
      <w:divBdr>
        <w:top w:val="none" w:sz="0" w:space="0" w:color="auto"/>
        <w:left w:val="none" w:sz="0" w:space="0" w:color="auto"/>
        <w:bottom w:val="none" w:sz="0" w:space="0" w:color="auto"/>
        <w:right w:val="none" w:sz="0" w:space="0" w:color="auto"/>
      </w:divBdr>
    </w:div>
    <w:div w:id="1873223679">
      <w:bodyDiv w:val="1"/>
      <w:marLeft w:val="0"/>
      <w:marRight w:val="0"/>
      <w:marTop w:val="0"/>
      <w:marBottom w:val="0"/>
      <w:divBdr>
        <w:top w:val="none" w:sz="0" w:space="0" w:color="auto"/>
        <w:left w:val="none" w:sz="0" w:space="0" w:color="auto"/>
        <w:bottom w:val="none" w:sz="0" w:space="0" w:color="auto"/>
        <w:right w:val="none" w:sz="0" w:space="0" w:color="auto"/>
      </w:divBdr>
    </w:div>
    <w:div w:id="1874033232">
      <w:bodyDiv w:val="1"/>
      <w:marLeft w:val="0"/>
      <w:marRight w:val="0"/>
      <w:marTop w:val="0"/>
      <w:marBottom w:val="0"/>
      <w:divBdr>
        <w:top w:val="none" w:sz="0" w:space="0" w:color="auto"/>
        <w:left w:val="none" w:sz="0" w:space="0" w:color="auto"/>
        <w:bottom w:val="none" w:sz="0" w:space="0" w:color="auto"/>
        <w:right w:val="none" w:sz="0" w:space="0" w:color="auto"/>
      </w:divBdr>
    </w:div>
    <w:div w:id="1874415766">
      <w:bodyDiv w:val="1"/>
      <w:marLeft w:val="0"/>
      <w:marRight w:val="0"/>
      <w:marTop w:val="0"/>
      <w:marBottom w:val="0"/>
      <w:divBdr>
        <w:top w:val="none" w:sz="0" w:space="0" w:color="auto"/>
        <w:left w:val="none" w:sz="0" w:space="0" w:color="auto"/>
        <w:bottom w:val="none" w:sz="0" w:space="0" w:color="auto"/>
        <w:right w:val="none" w:sz="0" w:space="0" w:color="auto"/>
      </w:divBdr>
    </w:div>
    <w:div w:id="1885479598">
      <w:bodyDiv w:val="1"/>
      <w:marLeft w:val="0"/>
      <w:marRight w:val="0"/>
      <w:marTop w:val="0"/>
      <w:marBottom w:val="0"/>
      <w:divBdr>
        <w:top w:val="none" w:sz="0" w:space="0" w:color="auto"/>
        <w:left w:val="none" w:sz="0" w:space="0" w:color="auto"/>
        <w:bottom w:val="none" w:sz="0" w:space="0" w:color="auto"/>
        <w:right w:val="none" w:sz="0" w:space="0" w:color="auto"/>
      </w:divBdr>
    </w:div>
    <w:div w:id="1886092495">
      <w:bodyDiv w:val="1"/>
      <w:marLeft w:val="0"/>
      <w:marRight w:val="0"/>
      <w:marTop w:val="0"/>
      <w:marBottom w:val="0"/>
      <w:divBdr>
        <w:top w:val="none" w:sz="0" w:space="0" w:color="auto"/>
        <w:left w:val="none" w:sz="0" w:space="0" w:color="auto"/>
        <w:bottom w:val="none" w:sz="0" w:space="0" w:color="auto"/>
        <w:right w:val="none" w:sz="0" w:space="0" w:color="auto"/>
      </w:divBdr>
    </w:div>
    <w:div w:id="1888712047">
      <w:bodyDiv w:val="1"/>
      <w:marLeft w:val="0"/>
      <w:marRight w:val="0"/>
      <w:marTop w:val="0"/>
      <w:marBottom w:val="0"/>
      <w:divBdr>
        <w:top w:val="none" w:sz="0" w:space="0" w:color="auto"/>
        <w:left w:val="none" w:sz="0" w:space="0" w:color="auto"/>
        <w:bottom w:val="none" w:sz="0" w:space="0" w:color="auto"/>
        <w:right w:val="none" w:sz="0" w:space="0" w:color="auto"/>
      </w:divBdr>
    </w:div>
    <w:div w:id="1889491256">
      <w:bodyDiv w:val="1"/>
      <w:marLeft w:val="0"/>
      <w:marRight w:val="0"/>
      <w:marTop w:val="0"/>
      <w:marBottom w:val="0"/>
      <w:divBdr>
        <w:top w:val="none" w:sz="0" w:space="0" w:color="auto"/>
        <w:left w:val="none" w:sz="0" w:space="0" w:color="auto"/>
        <w:bottom w:val="none" w:sz="0" w:space="0" w:color="auto"/>
        <w:right w:val="none" w:sz="0" w:space="0" w:color="auto"/>
      </w:divBdr>
    </w:div>
    <w:div w:id="1889995379">
      <w:bodyDiv w:val="1"/>
      <w:marLeft w:val="0"/>
      <w:marRight w:val="0"/>
      <w:marTop w:val="0"/>
      <w:marBottom w:val="0"/>
      <w:divBdr>
        <w:top w:val="none" w:sz="0" w:space="0" w:color="auto"/>
        <w:left w:val="none" w:sz="0" w:space="0" w:color="auto"/>
        <w:bottom w:val="none" w:sz="0" w:space="0" w:color="auto"/>
        <w:right w:val="none" w:sz="0" w:space="0" w:color="auto"/>
      </w:divBdr>
    </w:div>
    <w:div w:id="1891845263">
      <w:bodyDiv w:val="1"/>
      <w:marLeft w:val="0"/>
      <w:marRight w:val="0"/>
      <w:marTop w:val="0"/>
      <w:marBottom w:val="0"/>
      <w:divBdr>
        <w:top w:val="none" w:sz="0" w:space="0" w:color="auto"/>
        <w:left w:val="none" w:sz="0" w:space="0" w:color="auto"/>
        <w:bottom w:val="none" w:sz="0" w:space="0" w:color="auto"/>
        <w:right w:val="none" w:sz="0" w:space="0" w:color="auto"/>
      </w:divBdr>
    </w:div>
    <w:div w:id="1893154075">
      <w:bodyDiv w:val="1"/>
      <w:marLeft w:val="0"/>
      <w:marRight w:val="0"/>
      <w:marTop w:val="0"/>
      <w:marBottom w:val="0"/>
      <w:divBdr>
        <w:top w:val="none" w:sz="0" w:space="0" w:color="auto"/>
        <w:left w:val="none" w:sz="0" w:space="0" w:color="auto"/>
        <w:bottom w:val="none" w:sz="0" w:space="0" w:color="auto"/>
        <w:right w:val="none" w:sz="0" w:space="0" w:color="auto"/>
      </w:divBdr>
    </w:div>
    <w:div w:id="1893685451">
      <w:bodyDiv w:val="1"/>
      <w:marLeft w:val="0"/>
      <w:marRight w:val="0"/>
      <w:marTop w:val="0"/>
      <w:marBottom w:val="0"/>
      <w:divBdr>
        <w:top w:val="none" w:sz="0" w:space="0" w:color="auto"/>
        <w:left w:val="none" w:sz="0" w:space="0" w:color="auto"/>
        <w:bottom w:val="none" w:sz="0" w:space="0" w:color="auto"/>
        <w:right w:val="none" w:sz="0" w:space="0" w:color="auto"/>
      </w:divBdr>
    </w:div>
    <w:div w:id="1899394374">
      <w:bodyDiv w:val="1"/>
      <w:marLeft w:val="0"/>
      <w:marRight w:val="0"/>
      <w:marTop w:val="0"/>
      <w:marBottom w:val="0"/>
      <w:divBdr>
        <w:top w:val="none" w:sz="0" w:space="0" w:color="auto"/>
        <w:left w:val="none" w:sz="0" w:space="0" w:color="auto"/>
        <w:bottom w:val="none" w:sz="0" w:space="0" w:color="auto"/>
        <w:right w:val="none" w:sz="0" w:space="0" w:color="auto"/>
      </w:divBdr>
    </w:div>
    <w:div w:id="1900819811">
      <w:bodyDiv w:val="1"/>
      <w:marLeft w:val="0"/>
      <w:marRight w:val="0"/>
      <w:marTop w:val="0"/>
      <w:marBottom w:val="0"/>
      <w:divBdr>
        <w:top w:val="none" w:sz="0" w:space="0" w:color="auto"/>
        <w:left w:val="none" w:sz="0" w:space="0" w:color="auto"/>
        <w:bottom w:val="none" w:sz="0" w:space="0" w:color="auto"/>
        <w:right w:val="none" w:sz="0" w:space="0" w:color="auto"/>
      </w:divBdr>
    </w:div>
    <w:div w:id="1905798771">
      <w:bodyDiv w:val="1"/>
      <w:marLeft w:val="0"/>
      <w:marRight w:val="0"/>
      <w:marTop w:val="0"/>
      <w:marBottom w:val="0"/>
      <w:divBdr>
        <w:top w:val="none" w:sz="0" w:space="0" w:color="auto"/>
        <w:left w:val="none" w:sz="0" w:space="0" w:color="auto"/>
        <w:bottom w:val="none" w:sz="0" w:space="0" w:color="auto"/>
        <w:right w:val="none" w:sz="0" w:space="0" w:color="auto"/>
      </w:divBdr>
    </w:div>
    <w:div w:id="1907184560">
      <w:bodyDiv w:val="1"/>
      <w:marLeft w:val="0"/>
      <w:marRight w:val="0"/>
      <w:marTop w:val="0"/>
      <w:marBottom w:val="0"/>
      <w:divBdr>
        <w:top w:val="none" w:sz="0" w:space="0" w:color="auto"/>
        <w:left w:val="none" w:sz="0" w:space="0" w:color="auto"/>
        <w:bottom w:val="none" w:sz="0" w:space="0" w:color="auto"/>
        <w:right w:val="none" w:sz="0" w:space="0" w:color="auto"/>
      </w:divBdr>
    </w:div>
    <w:div w:id="1908495122">
      <w:bodyDiv w:val="1"/>
      <w:marLeft w:val="0"/>
      <w:marRight w:val="0"/>
      <w:marTop w:val="0"/>
      <w:marBottom w:val="0"/>
      <w:divBdr>
        <w:top w:val="none" w:sz="0" w:space="0" w:color="auto"/>
        <w:left w:val="none" w:sz="0" w:space="0" w:color="auto"/>
        <w:bottom w:val="none" w:sz="0" w:space="0" w:color="auto"/>
        <w:right w:val="none" w:sz="0" w:space="0" w:color="auto"/>
      </w:divBdr>
    </w:div>
    <w:div w:id="1909345007">
      <w:bodyDiv w:val="1"/>
      <w:marLeft w:val="0"/>
      <w:marRight w:val="0"/>
      <w:marTop w:val="0"/>
      <w:marBottom w:val="0"/>
      <w:divBdr>
        <w:top w:val="none" w:sz="0" w:space="0" w:color="auto"/>
        <w:left w:val="none" w:sz="0" w:space="0" w:color="auto"/>
        <w:bottom w:val="none" w:sz="0" w:space="0" w:color="auto"/>
        <w:right w:val="none" w:sz="0" w:space="0" w:color="auto"/>
      </w:divBdr>
    </w:div>
    <w:div w:id="1916553775">
      <w:bodyDiv w:val="1"/>
      <w:marLeft w:val="0"/>
      <w:marRight w:val="0"/>
      <w:marTop w:val="0"/>
      <w:marBottom w:val="0"/>
      <w:divBdr>
        <w:top w:val="none" w:sz="0" w:space="0" w:color="auto"/>
        <w:left w:val="none" w:sz="0" w:space="0" w:color="auto"/>
        <w:bottom w:val="none" w:sz="0" w:space="0" w:color="auto"/>
        <w:right w:val="none" w:sz="0" w:space="0" w:color="auto"/>
      </w:divBdr>
    </w:div>
    <w:div w:id="1917737844">
      <w:bodyDiv w:val="1"/>
      <w:marLeft w:val="0"/>
      <w:marRight w:val="0"/>
      <w:marTop w:val="0"/>
      <w:marBottom w:val="0"/>
      <w:divBdr>
        <w:top w:val="none" w:sz="0" w:space="0" w:color="auto"/>
        <w:left w:val="none" w:sz="0" w:space="0" w:color="auto"/>
        <w:bottom w:val="none" w:sz="0" w:space="0" w:color="auto"/>
        <w:right w:val="none" w:sz="0" w:space="0" w:color="auto"/>
      </w:divBdr>
    </w:div>
    <w:div w:id="1918637695">
      <w:bodyDiv w:val="1"/>
      <w:marLeft w:val="0"/>
      <w:marRight w:val="0"/>
      <w:marTop w:val="0"/>
      <w:marBottom w:val="0"/>
      <w:divBdr>
        <w:top w:val="none" w:sz="0" w:space="0" w:color="auto"/>
        <w:left w:val="none" w:sz="0" w:space="0" w:color="auto"/>
        <w:bottom w:val="none" w:sz="0" w:space="0" w:color="auto"/>
        <w:right w:val="none" w:sz="0" w:space="0" w:color="auto"/>
      </w:divBdr>
    </w:div>
    <w:div w:id="1921479828">
      <w:bodyDiv w:val="1"/>
      <w:marLeft w:val="0"/>
      <w:marRight w:val="0"/>
      <w:marTop w:val="0"/>
      <w:marBottom w:val="0"/>
      <w:divBdr>
        <w:top w:val="none" w:sz="0" w:space="0" w:color="auto"/>
        <w:left w:val="none" w:sz="0" w:space="0" w:color="auto"/>
        <w:bottom w:val="none" w:sz="0" w:space="0" w:color="auto"/>
        <w:right w:val="none" w:sz="0" w:space="0" w:color="auto"/>
      </w:divBdr>
    </w:div>
    <w:div w:id="1922592562">
      <w:bodyDiv w:val="1"/>
      <w:marLeft w:val="0"/>
      <w:marRight w:val="0"/>
      <w:marTop w:val="0"/>
      <w:marBottom w:val="0"/>
      <w:divBdr>
        <w:top w:val="none" w:sz="0" w:space="0" w:color="auto"/>
        <w:left w:val="none" w:sz="0" w:space="0" w:color="auto"/>
        <w:bottom w:val="none" w:sz="0" w:space="0" w:color="auto"/>
        <w:right w:val="none" w:sz="0" w:space="0" w:color="auto"/>
      </w:divBdr>
    </w:div>
    <w:div w:id="1924148112">
      <w:bodyDiv w:val="1"/>
      <w:marLeft w:val="0"/>
      <w:marRight w:val="0"/>
      <w:marTop w:val="0"/>
      <w:marBottom w:val="0"/>
      <w:divBdr>
        <w:top w:val="none" w:sz="0" w:space="0" w:color="auto"/>
        <w:left w:val="none" w:sz="0" w:space="0" w:color="auto"/>
        <w:bottom w:val="none" w:sz="0" w:space="0" w:color="auto"/>
        <w:right w:val="none" w:sz="0" w:space="0" w:color="auto"/>
      </w:divBdr>
    </w:div>
    <w:div w:id="1926920162">
      <w:bodyDiv w:val="1"/>
      <w:marLeft w:val="0"/>
      <w:marRight w:val="0"/>
      <w:marTop w:val="0"/>
      <w:marBottom w:val="0"/>
      <w:divBdr>
        <w:top w:val="none" w:sz="0" w:space="0" w:color="auto"/>
        <w:left w:val="none" w:sz="0" w:space="0" w:color="auto"/>
        <w:bottom w:val="none" w:sz="0" w:space="0" w:color="auto"/>
        <w:right w:val="none" w:sz="0" w:space="0" w:color="auto"/>
      </w:divBdr>
    </w:div>
    <w:div w:id="1929147598">
      <w:bodyDiv w:val="1"/>
      <w:marLeft w:val="0"/>
      <w:marRight w:val="0"/>
      <w:marTop w:val="0"/>
      <w:marBottom w:val="0"/>
      <w:divBdr>
        <w:top w:val="none" w:sz="0" w:space="0" w:color="auto"/>
        <w:left w:val="none" w:sz="0" w:space="0" w:color="auto"/>
        <w:bottom w:val="none" w:sz="0" w:space="0" w:color="auto"/>
        <w:right w:val="none" w:sz="0" w:space="0" w:color="auto"/>
      </w:divBdr>
    </w:div>
    <w:div w:id="1930650164">
      <w:bodyDiv w:val="1"/>
      <w:marLeft w:val="0"/>
      <w:marRight w:val="0"/>
      <w:marTop w:val="0"/>
      <w:marBottom w:val="0"/>
      <w:divBdr>
        <w:top w:val="none" w:sz="0" w:space="0" w:color="auto"/>
        <w:left w:val="none" w:sz="0" w:space="0" w:color="auto"/>
        <w:bottom w:val="none" w:sz="0" w:space="0" w:color="auto"/>
        <w:right w:val="none" w:sz="0" w:space="0" w:color="auto"/>
      </w:divBdr>
    </w:div>
    <w:div w:id="1930887321">
      <w:bodyDiv w:val="1"/>
      <w:marLeft w:val="0"/>
      <w:marRight w:val="0"/>
      <w:marTop w:val="0"/>
      <w:marBottom w:val="0"/>
      <w:divBdr>
        <w:top w:val="none" w:sz="0" w:space="0" w:color="auto"/>
        <w:left w:val="none" w:sz="0" w:space="0" w:color="auto"/>
        <w:bottom w:val="none" w:sz="0" w:space="0" w:color="auto"/>
        <w:right w:val="none" w:sz="0" w:space="0" w:color="auto"/>
      </w:divBdr>
    </w:div>
    <w:div w:id="1931431967">
      <w:bodyDiv w:val="1"/>
      <w:marLeft w:val="0"/>
      <w:marRight w:val="0"/>
      <w:marTop w:val="0"/>
      <w:marBottom w:val="0"/>
      <w:divBdr>
        <w:top w:val="none" w:sz="0" w:space="0" w:color="auto"/>
        <w:left w:val="none" w:sz="0" w:space="0" w:color="auto"/>
        <w:bottom w:val="none" w:sz="0" w:space="0" w:color="auto"/>
        <w:right w:val="none" w:sz="0" w:space="0" w:color="auto"/>
      </w:divBdr>
    </w:div>
    <w:div w:id="1935240936">
      <w:bodyDiv w:val="1"/>
      <w:marLeft w:val="0"/>
      <w:marRight w:val="0"/>
      <w:marTop w:val="0"/>
      <w:marBottom w:val="0"/>
      <w:divBdr>
        <w:top w:val="none" w:sz="0" w:space="0" w:color="auto"/>
        <w:left w:val="none" w:sz="0" w:space="0" w:color="auto"/>
        <w:bottom w:val="none" w:sz="0" w:space="0" w:color="auto"/>
        <w:right w:val="none" w:sz="0" w:space="0" w:color="auto"/>
      </w:divBdr>
    </w:div>
    <w:div w:id="1938170773">
      <w:bodyDiv w:val="1"/>
      <w:marLeft w:val="0"/>
      <w:marRight w:val="0"/>
      <w:marTop w:val="0"/>
      <w:marBottom w:val="0"/>
      <w:divBdr>
        <w:top w:val="none" w:sz="0" w:space="0" w:color="auto"/>
        <w:left w:val="none" w:sz="0" w:space="0" w:color="auto"/>
        <w:bottom w:val="none" w:sz="0" w:space="0" w:color="auto"/>
        <w:right w:val="none" w:sz="0" w:space="0" w:color="auto"/>
      </w:divBdr>
    </w:div>
    <w:div w:id="1940408682">
      <w:bodyDiv w:val="1"/>
      <w:marLeft w:val="0"/>
      <w:marRight w:val="0"/>
      <w:marTop w:val="0"/>
      <w:marBottom w:val="0"/>
      <w:divBdr>
        <w:top w:val="none" w:sz="0" w:space="0" w:color="auto"/>
        <w:left w:val="none" w:sz="0" w:space="0" w:color="auto"/>
        <w:bottom w:val="none" w:sz="0" w:space="0" w:color="auto"/>
        <w:right w:val="none" w:sz="0" w:space="0" w:color="auto"/>
      </w:divBdr>
    </w:div>
    <w:div w:id="1943804794">
      <w:bodyDiv w:val="1"/>
      <w:marLeft w:val="0"/>
      <w:marRight w:val="0"/>
      <w:marTop w:val="0"/>
      <w:marBottom w:val="0"/>
      <w:divBdr>
        <w:top w:val="none" w:sz="0" w:space="0" w:color="auto"/>
        <w:left w:val="none" w:sz="0" w:space="0" w:color="auto"/>
        <w:bottom w:val="none" w:sz="0" w:space="0" w:color="auto"/>
        <w:right w:val="none" w:sz="0" w:space="0" w:color="auto"/>
      </w:divBdr>
    </w:div>
    <w:div w:id="1949922120">
      <w:bodyDiv w:val="1"/>
      <w:marLeft w:val="0"/>
      <w:marRight w:val="0"/>
      <w:marTop w:val="0"/>
      <w:marBottom w:val="0"/>
      <w:divBdr>
        <w:top w:val="none" w:sz="0" w:space="0" w:color="auto"/>
        <w:left w:val="none" w:sz="0" w:space="0" w:color="auto"/>
        <w:bottom w:val="none" w:sz="0" w:space="0" w:color="auto"/>
        <w:right w:val="none" w:sz="0" w:space="0" w:color="auto"/>
      </w:divBdr>
    </w:div>
    <w:div w:id="1952204505">
      <w:bodyDiv w:val="1"/>
      <w:marLeft w:val="0"/>
      <w:marRight w:val="0"/>
      <w:marTop w:val="0"/>
      <w:marBottom w:val="0"/>
      <w:divBdr>
        <w:top w:val="none" w:sz="0" w:space="0" w:color="auto"/>
        <w:left w:val="none" w:sz="0" w:space="0" w:color="auto"/>
        <w:bottom w:val="none" w:sz="0" w:space="0" w:color="auto"/>
        <w:right w:val="none" w:sz="0" w:space="0" w:color="auto"/>
      </w:divBdr>
    </w:div>
    <w:div w:id="1953781953">
      <w:bodyDiv w:val="1"/>
      <w:marLeft w:val="0"/>
      <w:marRight w:val="0"/>
      <w:marTop w:val="0"/>
      <w:marBottom w:val="0"/>
      <w:divBdr>
        <w:top w:val="none" w:sz="0" w:space="0" w:color="auto"/>
        <w:left w:val="none" w:sz="0" w:space="0" w:color="auto"/>
        <w:bottom w:val="none" w:sz="0" w:space="0" w:color="auto"/>
        <w:right w:val="none" w:sz="0" w:space="0" w:color="auto"/>
      </w:divBdr>
    </w:div>
    <w:div w:id="1958441752">
      <w:bodyDiv w:val="1"/>
      <w:marLeft w:val="0"/>
      <w:marRight w:val="0"/>
      <w:marTop w:val="0"/>
      <w:marBottom w:val="0"/>
      <w:divBdr>
        <w:top w:val="none" w:sz="0" w:space="0" w:color="auto"/>
        <w:left w:val="none" w:sz="0" w:space="0" w:color="auto"/>
        <w:bottom w:val="none" w:sz="0" w:space="0" w:color="auto"/>
        <w:right w:val="none" w:sz="0" w:space="0" w:color="auto"/>
      </w:divBdr>
    </w:div>
    <w:div w:id="1964651305">
      <w:bodyDiv w:val="1"/>
      <w:marLeft w:val="0"/>
      <w:marRight w:val="0"/>
      <w:marTop w:val="0"/>
      <w:marBottom w:val="0"/>
      <w:divBdr>
        <w:top w:val="none" w:sz="0" w:space="0" w:color="auto"/>
        <w:left w:val="none" w:sz="0" w:space="0" w:color="auto"/>
        <w:bottom w:val="none" w:sz="0" w:space="0" w:color="auto"/>
        <w:right w:val="none" w:sz="0" w:space="0" w:color="auto"/>
      </w:divBdr>
    </w:div>
    <w:div w:id="1965379476">
      <w:bodyDiv w:val="1"/>
      <w:marLeft w:val="0"/>
      <w:marRight w:val="0"/>
      <w:marTop w:val="0"/>
      <w:marBottom w:val="0"/>
      <w:divBdr>
        <w:top w:val="none" w:sz="0" w:space="0" w:color="auto"/>
        <w:left w:val="none" w:sz="0" w:space="0" w:color="auto"/>
        <w:bottom w:val="none" w:sz="0" w:space="0" w:color="auto"/>
        <w:right w:val="none" w:sz="0" w:space="0" w:color="auto"/>
      </w:divBdr>
    </w:div>
    <w:div w:id="1972325451">
      <w:bodyDiv w:val="1"/>
      <w:marLeft w:val="0"/>
      <w:marRight w:val="0"/>
      <w:marTop w:val="0"/>
      <w:marBottom w:val="0"/>
      <w:divBdr>
        <w:top w:val="none" w:sz="0" w:space="0" w:color="auto"/>
        <w:left w:val="none" w:sz="0" w:space="0" w:color="auto"/>
        <w:bottom w:val="none" w:sz="0" w:space="0" w:color="auto"/>
        <w:right w:val="none" w:sz="0" w:space="0" w:color="auto"/>
      </w:divBdr>
    </w:div>
    <w:div w:id="1972704303">
      <w:bodyDiv w:val="1"/>
      <w:marLeft w:val="0"/>
      <w:marRight w:val="0"/>
      <w:marTop w:val="0"/>
      <w:marBottom w:val="0"/>
      <w:divBdr>
        <w:top w:val="none" w:sz="0" w:space="0" w:color="auto"/>
        <w:left w:val="none" w:sz="0" w:space="0" w:color="auto"/>
        <w:bottom w:val="none" w:sz="0" w:space="0" w:color="auto"/>
        <w:right w:val="none" w:sz="0" w:space="0" w:color="auto"/>
      </w:divBdr>
    </w:div>
    <w:div w:id="1973438985">
      <w:bodyDiv w:val="1"/>
      <w:marLeft w:val="0"/>
      <w:marRight w:val="0"/>
      <w:marTop w:val="0"/>
      <w:marBottom w:val="0"/>
      <w:divBdr>
        <w:top w:val="none" w:sz="0" w:space="0" w:color="auto"/>
        <w:left w:val="none" w:sz="0" w:space="0" w:color="auto"/>
        <w:bottom w:val="none" w:sz="0" w:space="0" w:color="auto"/>
        <w:right w:val="none" w:sz="0" w:space="0" w:color="auto"/>
      </w:divBdr>
    </w:div>
    <w:div w:id="1978992422">
      <w:bodyDiv w:val="1"/>
      <w:marLeft w:val="0"/>
      <w:marRight w:val="0"/>
      <w:marTop w:val="0"/>
      <w:marBottom w:val="0"/>
      <w:divBdr>
        <w:top w:val="none" w:sz="0" w:space="0" w:color="auto"/>
        <w:left w:val="none" w:sz="0" w:space="0" w:color="auto"/>
        <w:bottom w:val="none" w:sz="0" w:space="0" w:color="auto"/>
        <w:right w:val="none" w:sz="0" w:space="0" w:color="auto"/>
      </w:divBdr>
    </w:div>
    <w:div w:id="1992632919">
      <w:bodyDiv w:val="1"/>
      <w:marLeft w:val="0"/>
      <w:marRight w:val="0"/>
      <w:marTop w:val="0"/>
      <w:marBottom w:val="0"/>
      <w:divBdr>
        <w:top w:val="none" w:sz="0" w:space="0" w:color="auto"/>
        <w:left w:val="none" w:sz="0" w:space="0" w:color="auto"/>
        <w:bottom w:val="none" w:sz="0" w:space="0" w:color="auto"/>
        <w:right w:val="none" w:sz="0" w:space="0" w:color="auto"/>
      </w:divBdr>
    </w:div>
    <w:div w:id="1992902844">
      <w:bodyDiv w:val="1"/>
      <w:marLeft w:val="0"/>
      <w:marRight w:val="0"/>
      <w:marTop w:val="0"/>
      <w:marBottom w:val="0"/>
      <w:divBdr>
        <w:top w:val="none" w:sz="0" w:space="0" w:color="auto"/>
        <w:left w:val="none" w:sz="0" w:space="0" w:color="auto"/>
        <w:bottom w:val="none" w:sz="0" w:space="0" w:color="auto"/>
        <w:right w:val="none" w:sz="0" w:space="0" w:color="auto"/>
      </w:divBdr>
    </w:div>
    <w:div w:id="2000110413">
      <w:bodyDiv w:val="1"/>
      <w:marLeft w:val="0"/>
      <w:marRight w:val="0"/>
      <w:marTop w:val="0"/>
      <w:marBottom w:val="0"/>
      <w:divBdr>
        <w:top w:val="none" w:sz="0" w:space="0" w:color="auto"/>
        <w:left w:val="none" w:sz="0" w:space="0" w:color="auto"/>
        <w:bottom w:val="none" w:sz="0" w:space="0" w:color="auto"/>
        <w:right w:val="none" w:sz="0" w:space="0" w:color="auto"/>
      </w:divBdr>
    </w:div>
    <w:div w:id="2002389572">
      <w:bodyDiv w:val="1"/>
      <w:marLeft w:val="0"/>
      <w:marRight w:val="0"/>
      <w:marTop w:val="0"/>
      <w:marBottom w:val="0"/>
      <w:divBdr>
        <w:top w:val="none" w:sz="0" w:space="0" w:color="auto"/>
        <w:left w:val="none" w:sz="0" w:space="0" w:color="auto"/>
        <w:bottom w:val="none" w:sz="0" w:space="0" w:color="auto"/>
        <w:right w:val="none" w:sz="0" w:space="0" w:color="auto"/>
      </w:divBdr>
    </w:div>
    <w:div w:id="2003074354">
      <w:bodyDiv w:val="1"/>
      <w:marLeft w:val="0"/>
      <w:marRight w:val="0"/>
      <w:marTop w:val="0"/>
      <w:marBottom w:val="0"/>
      <w:divBdr>
        <w:top w:val="none" w:sz="0" w:space="0" w:color="auto"/>
        <w:left w:val="none" w:sz="0" w:space="0" w:color="auto"/>
        <w:bottom w:val="none" w:sz="0" w:space="0" w:color="auto"/>
        <w:right w:val="none" w:sz="0" w:space="0" w:color="auto"/>
      </w:divBdr>
    </w:div>
    <w:div w:id="2004815354">
      <w:bodyDiv w:val="1"/>
      <w:marLeft w:val="0"/>
      <w:marRight w:val="0"/>
      <w:marTop w:val="0"/>
      <w:marBottom w:val="0"/>
      <w:divBdr>
        <w:top w:val="none" w:sz="0" w:space="0" w:color="auto"/>
        <w:left w:val="none" w:sz="0" w:space="0" w:color="auto"/>
        <w:bottom w:val="none" w:sz="0" w:space="0" w:color="auto"/>
        <w:right w:val="none" w:sz="0" w:space="0" w:color="auto"/>
      </w:divBdr>
    </w:div>
    <w:div w:id="2009675471">
      <w:bodyDiv w:val="1"/>
      <w:marLeft w:val="0"/>
      <w:marRight w:val="0"/>
      <w:marTop w:val="0"/>
      <w:marBottom w:val="0"/>
      <w:divBdr>
        <w:top w:val="none" w:sz="0" w:space="0" w:color="auto"/>
        <w:left w:val="none" w:sz="0" w:space="0" w:color="auto"/>
        <w:bottom w:val="none" w:sz="0" w:space="0" w:color="auto"/>
        <w:right w:val="none" w:sz="0" w:space="0" w:color="auto"/>
      </w:divBdr>
    </w:div>
    <w:div w:id="2013414646">
      <w:bodyDiv w:val="1"/>
      <w:marLeft w:val="0"/>
      <w:marRight w:val="0"/>
      <w:marTop w:val="0"/>
      <w:marBottom w:val="0"/>
      <w:divBdr>
        <w:top w:val="none" w:sz="0" w:space="0" w:color="auto"/>
        <w:left w:val="none" w:sz="0" w:space="0" w:color="auto"/>
        <w:bottom w:val="none" w:sz="0" w:space="0" w:color="auto"/>
        <w:right w:val="none" w:sz="0" w:space="0" w:color="auto"/>
      </w:divBdr>
    </w:div>
    <w:div w:id="2013724682">
      <w:bodyDiv w:val="1"/>
      <w:marLeft w:val="0"/>
      <w:marRight w:val="0"/>
      <w:marTop w:val="0"/>
      <w:marBottom w:val="0"/>
      <w:divBdr>
        <w:top w:val="none" w:sz="0" w:space="0" w:color="auto"/>
        <w:left w:val="none" w:sz="0" w:space="0" w:color="auto"/>
        <w:bottom w:val="none" w:sz="0" w:space="0" w:color="auto"/>
        <w:right w:val="none" w:sz="0" w:space="0" w:color="auto"/>
      </w:divBdr>
    </w:div>
    <w:div w:id="2022537792">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7054758">
      <w:bodyDiv w:val="1"/>
      <w:marLeft w:val="0"/>
      <w:marRight w:val="0"/>
      <w:marTop w:val="0"/>
      <w:marBottom w:val="0"/>
      <w:divBdr>
        <w:top w:val="none" w:sz="0" w:space="0" w:color="auto"/>
        <w:left w:val="none" w:sz="0" w:space="0" w:color="auto"/>
        <w:bottom w:val="none" w:sz="0" w:space="0" w:color="auto"/>
        <w:right w:val="none" w:sz="0" w:space="0" w:color="auto"/>
      </w:divBdr>
    </w:div>
    <w:div w:id="2027830345">
      <w:bodyDiv w:val="1"/>
      <w:marLeft w:val="0"/>
      <w:marRight w:val="0"/>
      <w:marTop w:val="0"/>
      <w:marBottom w:val="0"/>
      <w:divBdr>
        <w:top w:val="none" w:sz="0" w:space="0" w:color="auto"/>
        <w:left w:val="none" w:sz="0" w:space="0" w:color="auto"/>
        <w:bottom w:val="none" w:sz="0" w:space="0" w:color="auto"/>
        <w:right w:val="none" w:sz="0" w:space="0" w:color="auto"/>
      </w:divBdr>
    </w:div>
    <w:div w:id="2035765318">
      <w:bodyDiv w:val="1"/>
      <w:marLeft w:val="0"/>
      <w:marRight w:val="0"/>
      <w:marTop w:val="0"/>
      <w:marBottom w:val="0"/>
      <w:divBdr>
        <w:top w:val="none" w:sz="0" w:space="0" w:color="auto"/>
        <w:left w:val="none" w:sz="0" w:space="0" w:color="auto"/>
        <w:bottom w:val="none" w:sz="0" w:space="0" w:color="auto"/>
        <w:right w:val="none" w:sz="0" w:space="0" w:color="auto"/>
      </w:divBdr>
    </w:div>
    <w:div w:id="2035958200">
      <w:bodyDiv w:val="1"/>
      <w:marLeft w:val="0"/>
      <w:marRight w:val="0"/>
      <w:marTop w:val="0"/>
      <w:marBottom w:val="0"/>
      <w:divBdr>
        <w:top w:val="none" w:sz="0" w:space="0" w:color="auto"/>
        <w:left w:val="none" w:sz="0" w:space="0" w:color="auto"/>
        <w:bottom w:val="none" w:sz="0" w:space="0" w:color="auto"/>
        <w:right w:val="none" w:sz="0" w:space="0" w:color="auto"/>
      </w:divBdr>
    </w:div>
    <w:div w:id="2040930519">
      <w:bodyDiv w:val="1"/>
      <w:marLeft w:val="0"/>
      <w:marRight w:val="0"/>
      <w:marTop w:val="0"/>
      <w:marBottom w:val="0"/>
      <w:divBdr>
        <w:top w:val="none" w:sz="0" w:space="0" w:color="auto"/>
        <w:left w:val="none" w:sz="0" w:space="0" w:color="auto"/>
        <w:bottom w:val="none" w:sz="0" w:space="0" w:color="auto"/>
        <w:right w:val="none" w:sz="0" w:space="0" w:color="auto"/>
      </w:divBdr>
    </w:div>
    <w:div w:id="2043050770">
      <w:bodyDiv w:val="1"/>
      <w:marLeft w:val="0"/>
      <w:marRight w:val="0"/>
      <w:marTop w:val="0"/>
      <w:marBottom w:val="0"/>
      <w:divBdr>
        <w:top w:val="none" w:sz="0" w:space="0" w:color="auto"/>
        <w:left w:val="none" w:sz="0" w:space="0" w:color="auto"/>
        <w:bottom w:val="none" w:sz="0" w:space="0" w:color="auto"/>
        <w:right w:val="none" w:sz="0" w:space="0" w:color="auto"/>
      </w:divBdr>
    </w:div>
    <w:div w:id="2043746570">
      <w:bodyDiv w:val="1"/>
      <w:marLeft w:val="0"/>
      <w:marRight w:val="0"/>
      <w:marTop w:val="0"/>
      <w:marBottom w:val="0"/>
      <w:divBdr>
        <w:top w:val="none" w:sz="0" w:space="0" w:color="auto"/>
        <w:left w:val="none" w:sz="0" w:space="0" w:color="auto"/>
        <w:bottom w:val="none" w:sz="0" w:space="0" w:color="auto"/>
        <w:right w:val="none" w:sz="0" w:space="0" w:color="auto"/>
      </w:divBdr>
    </w:div>
    <w:div w:id="2048026166">
      <w:bodyDiv w:val="1"/>
      <w:marLeft w:val="0"/>
      <w:marRight w:val="0"/>
      <w:marTop w:val="0"/>
      <w:marBottom w:val="0"/>
      <w:divBdr>
        <w:top w:val="none" w:sz="0" w:space="0" w:color="auto"/>
        <w:left w:val="none" w:sz="0" w:space="0" w:color="auto"/>
        <w:bottom w:val="none" w:sz="0" w:space="0" w:color="auto"/>
        <w:right w:val="none" w:sz="0" w:space="0" w:color="auto"/>
      </w:divBdr>
    </w:div>
    <w:div w:id="2050910697">
      <w:bodyDiv w:val="1"/>
      <w:marLeft w:val="0"/>
      <w:marRight w:val="0"/>
      <w:marTop w:val="0"/>
      <w:marBottom w:val="0"/>
      <w:divBdr>
        <w:top w:val="none" w:sz="0" w:space="0" w:color="auto"/>
        <w:left w:val="none" w:sz="0" w:space="0" w:color="auto"/>
        <w:bottom w:val="none" w:sz="0" w:space="0" w:color="auto"/>
        <w:right w:val="none" w:sz="0" w:space="0" w:color="auto"/>
      </w:divBdr>
    </w:div>
    <w:div w:id="2054117304">
      <w:bodyDiv w:val="1"/>
      <w:marLeft w:val="0"/>
      <w:marRight w:val="0"/>
      <w:marTop w:val="0"/>
      <w:marBottom w:val="0"/>
      <w:divBdr>
        <w:top w:val="none" w:sz="0" w:space="0" w:color="auto"/>
        <w:left w:val="none" w:sz="0" w:space="0" w:color="auto"/>
        <w:bottom w:val="none" w:sz="0" w:space="0" w:color="auto"/>
        <w:right w:val="none" w:sz="0" w:space="0" w:color="auto"/>
      </w:divBdr>
    </w:div>
    <w:div w:id="2059277009">
      <w:bodyDiv w:val="1"/>
      <w:marLeft w:val="0"/>
      <w:marRight w:val="0"/>
      <w:marTop w:val="0"/>
      <w:marBottom w:val="0"/>
      <w:divBdr>
        <w:top w:val="none" w:sz="0" w:space="0" w:color="auto"/>
        <w:left w:val="none" w:sz="0" w:space="0" w:color="auto"/>
        <w:bottom w:val="none" w:sz="0" w:space="0" w:color="auto"/>
        <w:right w:val="none" w:sz="0" w:space="0" w:color="auto"/>
      </w:divBdr>
    </w:div>
    <w:div w:id="2070028848">
      <w:bodyDiv w:val="1"/>
      <w:marLeft w:val="0"/>
      <w:marRight w:val="0"/>
      <w:marTop w:val="0"/>
      <w:marBottom w:val="0"/>
      <w:divBdr>
        <w:top w:val="none" w:sz="0" w:space="0" w:color="auto"/>
        <w:left w:val="none" w:sz="0" w:space="0" w:color="auto"/>
        <w:bottom w:val="none" w:sz="0" w:space="0" w:color="auto"/>
        <w:right w:val="none" w:sz="0" w:space="0" w:color="auto"/>
      </w:divBdr>
    </w:div>
    <w:div w:id="2072071550">
      <w:bodyDiv w:val="1"/>
      <w:marLeft w:val="0"/>
      <w:marRight w:val="0"/>
      <w:marTop w:val="0"/>
      <w:marBottom w:val="0"/>
      <w:divBdr>
        <w:top w:val="none" w:sz="0" w:space="0" w:color="auto"/>
        <w:left w:val="none" w:sz="0" w:space="0" w:color="auto"/>
        <w:bottom w:val="none" w:sz="0" w:space="0" w:color="auto"/>
        <w:right w:val="none" w:sz="0" w:space="0" w:color="auto"/>
      </w:divBdr>
    </w:div>
    <w:div w:id="2078436261">
      <w:bodyDiv w:val="1"/>
      <w:marLeft w:val="0"/>
      <w:marRight w:val="0"/>
      <w:marTop w:val="0"/>
      <w:marBottom w:val="0"/>
      <w:divBdr>
        <w:top w:val="none" w:sz="0" w:space="0" w:color="auto"/>
        <w:left w:val="none" w:sz="0" w:space="0" w:color="auto"/>
        <w:bottom w:val="none" w:sz="0" w:space="0" w:color="auto"/>
        <w:right w:val="none" w:sz="0" w:space="0" w:color="auto"/>
      </w:divBdr>
    </w:div>
    <w:div w:id="2079858425">
      <w:bodyDiv w:val="1"/>
      <w:marLeft w:val="0"/>
      <w:marRight w:val="0"/>
      <w:marTop w:val="0"/>
      <w:marBottom w:val="0"/>
      <w:divBdr>
        <w:top w:val="none" w:sz="0" w:space="0" w:color="auto"/>
        <w:left w:val="none" w:sz="0" w:space="0" w:color="auto"/>
        <w:bottom w:val="none" w:sz="0" w:space="0" w:color="auto"/>
        <w:right w:val="none" w:sz="0" w:space="0" w:color="auto"/>
      </w:divBdr>
    </w:div>
    <w:div w:id="2082436257">
      <w:bodyDiv w:val="1"/>
      <w:marLeft w:val="0"/>
      <w:marRight w:val="0"/>
      <w:marTop w:val="0"/>
      <w:marBottom w:val="0"/>
      <w:divBdr>
        <w:top w:val="none" w:sz="0" w:space="0" w:color="auto"/>
        <w:left w:val="none" w:sz="0" w:space="0" w:color="auto"/>
        <w:bottom w:val="none" w:sz="0" w:space="0" w:color="auto"/>
        <w:right w:val="none" w:sz="0" w:space="0" w:color="auto"/>
      </w:divBdr>
    </w:div>
    <w:div w:id="2083139079">
      <w:bodyDiv w:val="1"/>
      <w:marLeft w:val="0"/>
      <w:marRight w:val="0"/>
      <w:marTop w:val="0"/>
      <w:marBottom w:val="0"/>
      <w:divBdr>
        <w:top w:val="none" w:sz="0" w:space="0" w:color="auto"/>
        <w:left w:val="none" w:sz="0" w:space="0" w:color="auto"/>
        <w:bottom w:val="none" w:sz="0" w:space="0" w:color="auto"/>
        <w:right w:val="none" w:sz="0" w:space="0" w:color="auto"/>
      </w:divBdr>
    </w:div>
    <w:div w:id="208471375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2120186">
      <w:bodyDiv w:val="1"/>
      <w:marLeft w:val="0"/>
      <w:marRight w:val="0"/>
      <w:marTop w:val="0"/>
      <w:marBottom w:val="0"/>
      <w:divBdr>
        <w:top w:val="none" w:sz="0" w:space="0" w:color="auto"/>
        <w:left w:val="none" w:sz="0" w:space="0" w:color="auto"/>
        <w:bottom w:val="none" w:sz="0" w:space="0" w:color="auto"/>
        <w:right w:val="none" w:sz="0" w:space="0" w:color="auto"/>
      </w:divBdr>
    </w:div>
    <w:div w:id="2093887650">
      <w:bodyDiv w:val="1"/>
      <w:marLeft w:val="0"/>
      <w:marRight w:val="0"/>
      <w:marTop w:val="0"/>
      <w:marBottom w:val="0"/>
      <w:divBdr>
        <w:top w:val="none" w:sz="0" w:space="0" w:color="auto"/>
        <w:left w:val="none" w:sz="0" w:space="0" w:color="auto"/>
        <w:bottom w:val="none" w:sz="0" w:space="0" w:color="auto"/>
        <w:right w:val="none" w:sz="0" w:space="0" w:color="auto"/>
      </w:divBdr>
    </w:div>
    <w:div w:id="2097626372">
      <w:bodyDiv w:val="1"/>
      <w:marLeft w:val="0"/>
      <w:marRight w:val="0"/>
      <w:marTop w:val="0"/>
      <w:marBottom w:val="0"/>
      <w:divBdr>
        <w:top w:val="none" w:sz="0" w:space="0" w:color="auto"/>
        <w:left w:val="none" w:sz="0" w:space="0" w:color="auto"/>
        <w:bottom w:val="none" w:sz="0" w:space="0" w:color="auto"/>
        <w:right w:val="none" w:sz="0" w:space="0" w:color="auto"/>
      </w:divBdr>
    </w:div>
    <w:div w:id="2099132825">
      <w:bodyDiv w:val="1"/>
      <w:marLeft w:val="0"/>
      <w:marRight w:val="0"/>
      <w:marTop w:val="0"/>
      <w:marBottom w:val="0"/>
      <w:divBdr>
        <w:top w:val="none" w:sz="0" w:space="0" w:color="auto"/>
        <w:left w:val="none" w:sz="0" w:space="0" w:color="auto"/>
        <w:bottom w:val="none" w:sz="0" w:space="0" w:color="auto"/>
        <w:right w:val="none" w:sz="0" w:space="0" w:color="auto"/>
      </w:divBdr>
    </w:div>
    <w:div w:id="2101173931">
      <w:bodyDiv w:val="1"/>
      <w:marLeft w:val="0"/>
      <w:marRight w:val="0"/>
      <w:marTop w:val="0"/>
      <w:marBottom w:val="0"/>
      <w:divBdr>
        <w:top w:val="none" w:sz="0" w:space="0" w:color="auto"/>
        <w:left w:val="none" w:sz="0" w:space="0" w:color="auto"/>
        <w:bottom w:val="none" w:sz="0" w:space="0" w:color="auto"/>
        <w:right w:val="none" w:sz="0" w:space="0" w:color="auto"/>
      </w:divBdr>
    </w:div>
    <w:div w:id="2103603320">
      <w:bodyDiv w:val="1"/>
      <w:marLeft w:val="0"/>
      <w:marRight w:val="0"/>
      <w:marTop w:val="0"/>
      <w:marBottom w:val="0"/>
      <w:divBdr>
        <w:top w:val="none" w:sz="0" w:space="0" w:color="auto"/>
        <w:left w:val="none" w:sz="0" w:space="0" w:color="auto"/>
        <w:bottom w:val="none" w:sz="0" w:space="0" w:color="auto"/>
        <w:right w:val="none" w:sz="0" w:space="0" w:color="auto"/>
      </w:divBdr>
    </w:div>
    <w:div w:id="2106027916">
      <w:bodyDiv w:val="1"/>
      <w:marLeft w:val="0"/>
      <w:marRight w:val="0"/>
      <w:marTop w:val="0"/>
      <w:marBottom w:val="0"/>
      <w:divBdr>
        <w:top w:val="none" w:sz="0" w:space="0" w:color="auto"/>
        <w:left w:val="none" w:sz="0" w:space="0" w:color="auto"/>
        <w:bottom w:val="none" w:sz="0" w:space="0" w:color="auto"/>
        <w:right w:val="none" w:sz="0" w:space="0" w:color="auto"/>
      </w:divBdr>
    </w:div>
    <w:div w:id="2107770996">
      <w:bodyDiv w:val="1"/>
      <w:marLeft w:val="0"/>
      <w:marRight w:val="0"/>
      <w:marTop w:val="0"/>
      <w:marBottom w:val="0"/>
      <w:divBdr>
        <w:top w:val="none" w:sz="0" w:space="0" w:color="auto"/>
        <w:left w:val="none" w:sz="0" w:space="0" w:color="auto"/>
        <w:bottom w:val="none" w:sz="0" w:space="0" w:color="auto"/>
        <w:right w:val="none" w:sz="0" w:space="0" w:color="auto"/>
      </w:divBdr>
    </w:div>
    <w:div w:id="2109618451">
      <w:bodyDiv w:val="1"/>
      <w:marLeft w:val="0"/>
      <w:marRight w:val="0"/>
      <w:marTop w:val="0"/>
      <w:marBottom w:val="0"/>
      <w:divBdr>
        <w:top w:val="none" w:sz="0" w:space="0" w:color="auto"/>
        <w:left w:val="none" w:sz="0" w:space="0" w:color="auto"/>
        <w:bottom w:val="none" w:sz="0" w:space="0" w:color="auto"/>
        <w:right w:val="none" w:sz="0" w:space="0" w:color="auto"/>
      </w:divBdr>
    </w:div>
    <w:div w:id="2111001278">
      <w:bodyDiv w:val="1"/>
      <w:marLeft w:val="0"/>
      <w:marRight w:val="0"/>
      <w:marTop w:val="0"/>
      <w:marBottom w:val="0"/>
      <w:divBdr>
        <w:top w:val="none" w:sz="0" w:space="0" w:color="auto"/>
        <w:left w:val="none" w:sz="0" w:space="0" w:color="auto"/>
        <w:bottom w:val="none" w:sz="0" w:space="0" w:color="auto"/>
        <w:right w:val="none" w:sz="0" w:space="0" w:color="auto"/>
      </w:divBdr>
    </w:div>
    <w:div w:id="2112971792">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5398867">
      <w:bodyDiv w:val="1"/>
      <w:marLeft w:val="0"/>
      <w:marRight w:val="0"/>
      <w:marTop w:val="0"/>
      <w:marBottom w:val="0"/>
      <w:divBdr>
        <w:top w:val="none" w:sz="0" w:space="0" w:color="auto"/>
        <w:left w:val="none" w:sz="0" w:space="0" w:color="auto"/>
        <w:bottom w:val="none" w:sz="0" w:space="0" w:color="auto"/>
        <w:right w:val="none" w:sz="0" w:space="0" w:color="auto"/>
      </w:divBdr>
    </w:div>
    <w:div w:id="2116437163">
      <w:bodyDiv w:val="1"/>
      <w:marLeft w:val="0"/>
      <w:marRight w:val="0"/>
      <w:marTop w:val="0"/>
      <w:marBottom w:val="0"/>
      <w:divBdr>
        <w:top w:val="none" w:sz="0" w:space="0" w:color="auto"/>
        <w:left w:val="none" w:sz="0" w:space="0" w:color="auto"/>
        <w:bottom w:val="none" w:sz="0" w:space="0" w:color="auto"/>
        <w:right w:val="none" w:sz="0" w:space="0" w:color="auto"/>
      </w:divBdr>
    </w:div>
    <w:div w:id="2116560956">
      <w:bodyDiv w:val="1"/>
      <w:marLeft w:val="0"/>
      <w:marRight w:val="0"/>
      <w:marTop w:val="0"/>
      <w:marBottom w:val="0"/>
      <w:divBdr>
        <w:top w:val="none" w:sz="0" w:space="0" w:color="auto"/>
        <w:left w:val="none" w:sz="0" w:space="0" w:color="auto"/>
        <w:bottom w:val="none" w:sz="0" w:space="0" w:color="auto"/>
        <w:right w:val="none" w:sz="0" w:space="0" w:color="auto"/>
      </w:divBdr>
    </w:div>
    <w:div w:id="2121878635">
      <w:bodyDiv w:val="1"/>
      <w:marLeft w:val="0"/>
      <w:marRight w:val="0"/>
      <w:marTop w:val="0"/>
      <w:marBottom w:val="0"/>
      <w:divBdr>
        <w:top w:val="none" w:sz="0" w:space="0" w:color="auto"/>
        <w:left w:val="none" w:sz="0" w:space="0" w:color="auto"/>
        <w:bottom w:val="none" w:sz="0" w:space="0" w:color="auto"/>
        <w:right w:val="none" w:sz="0" w:space="0" w:color="auto"/>
      </w:divBdr>
    </w:div>
    <w:div w:id="2130007657">
      <w:bodyDiv w:val="1"/>
      <w:marLeft w:val="0"/>
      <w:marRight w:val="0"/>
      <w:marTop w:val="0"/>
      <w:marBottom w:val="0"/>
      <w:divBdr>
        <w:top w:val="none" w:sz="0" w:space="0" w:color="auto"/>
        <w:left w:val="none" w:sz="0" w:space="0" w:color="auto"/>
        <w:bottom w:val="none" w:sz="0" w:space="0" w:color="auto"/>
        <w:right w:val="none" w:sz="0" w:space="0" w:color="auto"/>
      </w:divBdr>
    </w:div>
    <w:div w:id="2130587397">
      <w:bodyDiv w:val="1"/>
      <w:marLeft w:val="0"/>
      <w:marRight w:val="0"/>
      <w:marTop w:val="0"/>
      <w:marBottom w:val="0"/>
      <w:divBdr>
        <w:top w:val="none" w:sz="0" w:space="0" w:color="auto"/>
        <w:left w:val="none" w:sz="0" w:space="0" w:color="auto"/>
        <w:bottom w:val="none" w:sz="0" w:space="0" w:color="auto"/>
        <w:right w:val="none" w:sz="0" w:space="0" w:color="auto"/>
      </w:divBdr>
    </w:div>
    <w:div w:id="2136487834">
      <w:bodyDiv w:val="1"/>
      <w:marLeft w:val="0"/>
      <w:marRight w:val="0"/>
      <w:marTop w:val="0"/>
      <w:marBottom w:val="0"/>
      <w:divBdr>
        <w:top w:val="none" w:sz="0" w:space="0" w:color="auto"/>
        <w:left w:val="none" w:sz="0" w:space="0" w:color="auto"/>
        <w:bottom w:val="none" w:sz="0" w:space="0" w:color="auto"/>
        <w:right w:val="none" w:sz="0" w:space="0" w:color="auto"/>
      </w:divBdr>
    </w:div>
    <w:div w:id="2137286218">
      <w:bodyDiv w:val="1"/>
      <w:marLeft w:val="0"/>
      <w:marRight w:val="0"/>
      <w:marTop w:val="0"/>
      <w:marBottom w:val="0"/>
      <w:divBdr>
        <w:top w:val="none" w:sz="0" w:space="0" w:color="auto"/>
        <w:left w:val="none" w:sz="0" w:space="0" w:color="auto"/>
        <w:bottom w:val="none" w:sz="0" w:space="0" w:color="auto"/>
        <w:right w:val="none" w:sz="0" w:space="0" w:color="auto"/>
      </w:divBdr>
    </w:div>
    <w:div w:id="2141416238">
      <w:bodyDiv w:val="1"/>
      <w:marLeft w:val="0"/>
      <w:marRight w:val="0"/>
      <w:marTop w:val="0"/>
      <w:marBottom w:val="0"/>
      <w:divBdr>
        <w:top w:val="none" w:sz="0" w:space="0" w:color="auto"/>
        <w:left w:val="none" w:sz="0" w:space="0" w:color="auto"/>
        <w:bottom w:val="none" w:sz="0" w:space="0" w:color="auto"/>
        <w:right w:val="none" w:sz="0" w:space="0" w:color="auto"/>
      </w:divBdr>
    </w:div>
    <w:div w:id="214508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yperlink" Target="https://nuclearinst.com/Safety-Directors-Foru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96653DB13846968FA04472C2BAD54E"/>
        <w:category>
          <w:name w:val="General"/>
          <w:gallery w:val="placeholder"/>
        </w:category>
        <w:types>
          <w:type w:val="bbPlcHdr"/>
        </w:types>
        <w:behaviors>
          <w:behavior w:val="content"/>
        </w:behaviors>
        <w:guid w:val="{273703E2-3BAB-47BB-88CA-AC0C4F010585}"/>
      </w:docPartPr>
      <w:docPartBody>
        <w:p w:rsidR="0039778D" w:rsidRDefault="00C84096">
          <w:r w:rsidRPr="00EB6023">
            <w:rPr>
              <w:rStyle w:val="PlaceholderText"/>
            </w:rPr>
            <w:t>[Title]</w:t>
          </w:r>
        </w:p>
      </w:docPartBody>
    </w:docPart>
    <w:docPart>
      <w:docPartPr>
        <w:name w:val="1D6DF95B65BE4279823A88D3394C5FE0"/>
        <w:category>
          <w:name w:val="General"/>
          <w:gallery w:val="placeholder"/>
        </w:category>
        <w:types>
          <w:type w:val="bbPlcHdr"/>
        </w:types>
        <w:behaviors>
          <w:behavior w:val="content"/>
        </w:behaviors>
        <w:guid w:val="{84A1D9B6-A6F6-4DC1-83E6-0E1E86B646E7}"/>
      </w:docPartPr>
      <w:docPartBody>
        <w:p w:rsidR="0039778D" w:rsidRDefault="00C84096">
          <w:r w:rsidRPr="00EB6023">
            <w:rPr>
              <w:rStyle w:val="PlaceholderText"/>
            </w:rPr>
            <w:t>[Title]</w:t>
          </w:r>
        </w:p>
      </w:docPartBody>
    </w:docPart>
    <w:docPart>
      <w:docPartPr>
        <w:name w:val="50BFF419036B4197956D1E8E819213B5"/>
        <w:category>
          <w:name w:val="General"/>
          <w:gallery w:val="placeholder"/>
        </w:category>
        <w:types>
          <w:type w:val="bbPlcHdr"/>
        </w:types>
        <w:behaviors>
          <w:behavior w:val="content"/>
        </w:behaviors>
        <w:guid w:val="{284F10AC-B924-46E7-BFCA-0D96921302D2}"/>
      </w:docPartPr>
      <w:docPartBody>
        <w:p w:rsidR="0039778D" w:rsidRDefault="00C84096">
          <w:r w:rsidRPr="00EB6023">
            <w:rPr>
              <w:rStyle w:val="PlaceholderText"/>
            </w:rPr>
            <w:t>[Status]</w:t>
          </w:r>
        </w:p>
      </w:docPartBody>
    </w:docPart>
    <w:docPart>
      <w:docPartPr>
        <w:name w:val="63229422943F40F0AEC5DEB4DD6823FC"/>
        <w:category>
          <w:name w:val="General"/>
          <w:gallery w:val="placeholder"/>
        </w:category>
        <w:types>
          <w:type w:val="bbPlcHdr"/>
        </w:types>
        <w:behaviors>
          <w:behavior w:val="content"/>
        </w:behaviors>
        <w:guid w:val="{06F7552D-6105-447F-87BE-684215A55CB6}"/>
      </w:docPartPr>
      <w:docPartBody>
        <w:p w:rsidR="0039778D" w:rsidRDefault="00C84096">
          <w:r w:rsidRPr="00EB6023">
            <w:rPr>
              <w:rStyle w:val="PlaceholderText"/>
            </w:rPr>
            <w:t>[Title]</w:t>
          </w:r>
        </w:p>
      </w:docPartBody>
    </w:docPart>
    <w:docPart>
      <w:docPartPr>
        <w:name w:val="8323E5D29AED4DA288592BDAF1C8F8CD"/>
        <w:category>
          <w:name w:val="General"/>
          <w:gallery w:val="placeholder"/>
        </w:category>
        <w:types>
          <w:type w:val="bbPlcHdr"/>
        </w:types>
        <w:behaviors>
          <w:behavior w:val="content"/>
        </w:behaviors>
        <w:guid w:val="{F97EEB75-106E-4AA3-B413-5E72D5D7BF9D}"/>
      </w:docPartPr>
      <w:docPartBody>
        <w:p w:rsidR="0039778D" w:rsidRDefault="00C84096">
          <w:r w:rsidRPr="00EB6023">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52F9"/>
    <w:rsid w:val="000806CB"/>
    <w:rsid w:val="000A0C3B"/>
    <w:rsid w:val="00164B5A"/>
    <w:rsid w:val="001E4CD8"/>
    <w:rsid w:val="00213829"/>
    <w:rsid w:val="00234F70"/>
    <w:rsid w:val="002550FD"/>
    <w:rsid w:val="00350199"/>
    <w:rsid w:val="0038563D"/>
    <w:rsid w:val="0039778D"/>
    <w:rsid w:val="003B5E7E"/>
    <w:rsid w:val="00631E5E"/>
    <w:rsid w:val="00680739"/>
    <w:rsid w:val="006C3442"/>
    <w:rsid w:val="007154C5"/>
    <w:rsid w:val="00780C80"/>
    <w:rsid w:val="007B2B44"/>
    <w:rsid w:val="007E3F28"/>
    <w:rsid w:val="00835E07"/>
    <w:rsid w:val="00B875B6"/>
    <w:rsid w:val="00C84096"/>
    <w:rsid w:val="00CA10A9"/>
    <w:rsid w:val="00CD10A9"/>
    <w:rsid w:val="00D75606"/>
    <w:rsid w:val="00DB4022"/>
    <w:rsid w:val="00DD7BA4"/>
    <w:rsid w:val="00E24D23"/>
    <w:rsid w:val="00E318CE"/>
    <w:rsid w:val="00E62322"/>
    <w:rsid w:val="00E646E1"/>
    <w:rsid w:val="00F033DF"/>
    <w:rsid w:val="00F21096"/>
    <w:rsid w:val="00FD5A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409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ONR205</b:Tag>
    <b:SourceType>ElectronicSource</b:SourceType>
    <b:Guid>{9F84AA57-0664-4A95-A4CA-57131D5415DB}</b:Guid>
    <b:Title>NS-INSP-GD-036 - LC36 - Organisational Capability</b:Title>
    <b:Author>
      <b:Author>
        <b:Corporate>ONR</b:Corporate>
      </b:Author>
    </b:Author>
    <b:RefOrder>2</b:RefOrder>
  </b:Source>
  <b:Source>
    <b:Tag>ONR74</b:Tag>
    <b:SourceType>Report</b:SourceType>
    <b:Guid>{506A75DD-6BF3-44BA-8600-9BA844D2D22B}</b:Guid>
    <b:Author>
      <b:Author>
        <b:Corporate>ONR</b:Corporate>
      </b:Author>
    </b:Author>
    <b:Title>NS-TAST-GD-065 - Function and Content of the Nuclear Baseline</b:Title>
    <b:RefOrder>3</b:RefOrder>
  </b:Source>
  <b:Source>
    <b:Tag>SDF17</b:Tag>
    <b:SourceType>ElectronicSource</b:SourceType>
    <b:Guid>{634BA44B-1B3C-4591-8803-36A9280DBD6A}</b:Guid>
    <b:Author>
      <b:Author>
        <b:Corporate>SDF</b:Corporate>
      </b:Author>
    </b:Author>
    <b:Title>Nuclear Baseline and the Management of Organisational Change – A Good Practice Guide (Issue 3)</b:Title>
    <b:Year>2017</b:Year>
    <b:RefOrder>4</b:RefOrder>
  </b:Source>
  <b:Source>
    <b:Tag>IAE16</b:Tag>
    <b:SourceType>Report</b:SourceType>
    <b:Guid>{4E1C39F2-53AB-4CF9-A9A1-AB9DCCFE314A}</b:Guid>
    <b:Title>GSR Part 2 - Leadership and Management for Safety</b:Title>
    <b:Year>2016</b:Year>
    <b:Author>
      <b:Author>
        <b:Corporate>IAEA</b:Corporate>
      </b:Author>
    </b:Author>
    <b:Publisher>International Atomic Energy Agency (IAEA)</b:Publisher>
    <b:City>Vienna</b:City>
    <b:RefOrder>19</b:RefOrder>
  </b:Source>
  <b:Source>
    <b:Tag>WEN</b:Tag>
    <b:SourceType>ElectronicSource</b:SourceType>
    <b:Guid>{382DFD4A-81A6-47D2-9E92-9CFFB345C59F}</b:Guid>
    <b:Author>
      <b:Author>
        <b:Corporate>WENRA</b:Corporate>
      </b:Author>
    </b:Author>
    <b:Title>WENRA Safety Reference Levels for Existing Reactors</b:Title>
    <b:URL>https://www.wenra.eu/sites/default/files/publications/wenra_safety_reference_level_for_existing_reactors_2020.pdf</b:URL>
    <b:Year>2020</b:Year>
    <b:RefOrder>16</b:RefOrder>
  </b:Source>
  <b:Source>
    <b:Tag>IAE03</b:Tag>
    <b:SourceType>ElectronicSource</b:SourceType>
    <b:Guid>{BC0E11AA-F61F-4359-AF4D-9B900B976753}</b:Guid>
    <b:Author>
      <b:Author>
        <b:Corporate>IAEA</b:Corporate>
      </b:Author>
    </b:Author>
    <b:Title>INSAG Series No. 18 - Managing Change in the Nuclear Industry: The Effects on Safety</b:Title>
    <b:Year>2003</b:Year>
    <b:RefOrder>23</b:RefOrder>
  </b:Source>
  <b:Source>
    <b:Tag>IAE062</b:Tag>
    <b:SourceType>ElectronicSource</b:SourceType>
    <b:Guid>{F1C0F61A-5FDC-4E0F-BDA4-75E5C35DD59B}</b:Guid>
    <b:Author>
      <b:Author>
        <b:Corporate>IAEA</b:Corporate>
      </b:Author>
    </b:Author>
    <b:Title>IAEA Safety Standards Series No. GS-G-3.1 - Application of the Management System for Facilities and Activities</b:Title>
    <b:Year>2006</b:Year>
    <b:RefOrder>24</b:RefOrder>
  </b:Source>
  <b:Source>
    <b:Tag>IAE091</b:Tag>
    <b:SourceType>ElectronicSource</b:SourceType>
    <b:Guid>{879B836D-0FF1-4C0F-8923-874AC8065B9C}</b:Guid>
    <b:Author>
      <b:Author>
        <b:Corporate>IAEA</b:Corporate>
      </b:Author>
    </b:Author>
    <b:Title>IAEA Safety Standards Series No. GS-G-3.5 - The Management System for Nuclear Installations</b:Title>
    <b:Year>2009</b:Year>
    <b:RefOrder>22</b:RefOrder>
  </b:Source>
  <b:Source>
    <b:Tag>ONR112</b:Tag>
    <b:SourceType>ElectronicSource</b:SourceType>
    <b:Guid>{92585490-BCE4-4EB6-8A8B-D4FF5127BEFD}</b:Guid>
    <b:Author>
      <b:Author>
        <b:Corporate>ONR</b:Corporate>
      </b:Author>
    </b:Author>
    <b:Title>NS-PER-GD-001 - The Purpose and use of Permissioning</b:Title>
    <b:RefOrder>25</b:RefOrder>
  </b:Source>
  <b:Source>
    <b:Tag>ONR51</b:Tag>
    <b:SourceType>Report</b:SourceType>
    <b:Guid>{05D0278A-D510-43D3-B39E-AFC53E04699E}</b:Guid>
    <b:Author>
      <b:Author>
        <b:Corporate>ONR</b:Corporate>
      </b:Author>
    </b:Author>
    <b:Title>NS-TAST-GD-027 - Training and Assuring Personnel Competence</b:Title>
    <b:URL>https://how2.prod.onr.gov.uk/CtrlWebIsapi.dll/3720DCD193AF4B70AE8DDC37CBCF64F6.cwl?__id=webFile.save&amp;doc=6C6B3828E892499B8AB621AB65CAA28F&amp;dpt=1&amp;save=1</b:URL>
    <b:RefOrder>7</b:RefOrder>
  </b:Source>
  <b:Source>
    <b:Tag>ONR77</b:Tag>
    <b:SourceType>Report</b:SourceType>
    <b:Guid>{03D4C2EA-5B34-4C77-9E6F-1C5E46295D7D}</b:Guid>
    <b:Author>
      <b:Author>
        <b:Corporate>ONR</b:Corporate>
      </b:Author>
    </b:Author>
    <b:Title>NS-TAST-GD-049 - Licensee Use of Contractors and Intelligent Customer Capability </b:Title>
    <b:RefOrder>8</b:RefOrder>
  </b:Source>
  <b:Source>
    <b:Tag>ONR102</b:Tag>
    <b:SourceType>ElectronicSource</b:SourceType>
    <b:Guid>{1460D449-D8CF-454F-8B30-2681B833F7F1}</b:Guid>
    <b:Title>NS-TAST-GD-079 - Licensee Design Authority Capability</b:Title>
    <b:Author>
      <b:Author>
        <b:Corporate>ONR</b:Corporate>
      </b:Author>
    </b:Author>
    <b:RefOrder>13</b:RefOrder>
  </b:Source>
  <b:Source>
    <b:Tag>ONR92</b:Tag>
    <b:SourceType>ElectronicSource</b:SourceType>
    <b:Guid>{F7F603C2-7497-4679-AB16-EF9B96819D7F}</b:Guid>
    <b:Author>
      <b:Author>
        <b:Corporate>ONR</b:Corporate>
      </b:Author>
    </b:Author>
    <b:Title>Licensing Nuclear Installations</b:Title>
    <b:RefOrder>15</b:RefOrder>
  </b:Source>
  <b:Source>
    <b:Tag>SDF20</b:Tag>
    <b:SourceType>Book</b:SourceType>
    <b:Guid>{583EBBF5-A7F3-45B7-8BC7-F58F3DA7203D}</b:Guid>
    <b:Author>
      <b:Author>
        <b:Corporate>SDF</b:Corporate>
      </b:Author>
    </b:Author>
    <b:Title>Nuclear Industry Guide to Overarching MoC Documents and Principles Papers</b:Title>
    <b:Year>2020</b:Year>
    <b:RefOrder>6</b:RefOrder>
  </b:Source>
  <b:Source>
    <b:Tag>SDF18</b:Tag>
    <b:SourceType>Book</b:SourceType>
    <b:Guid>{651B821F-6827-4FC3-AB8C-DC0869A9F681}</b:Guid>
    <b:Author>
      <b:Author>
        <b:Corporate>SDF</b:Corporate>
      </b:Author>
    </b:Author>
    <b:Title>Good Practice Guide on Organisational Capability and Resilience</b:Title>
    <b:Publisher>2018</b:Publisher>
    <b:RefOrder>5</b:RefOrder>
  </b:Source>
  <b:Source>
    <b:Tag>ONR050</b:Tag>
    <b:SourceType>Book</b:SourceType>
    <b:Guid>{287348D1-6031-44FF-AFCC-46F188DE2299}</b:Guid>
    <b:Author>
      <b:Author>
        <b:Corporate>ONR</b:Corporate>
      </b:Author>
    </b:Author>
    <b:Title>NS-TAST_GD-050 - Periodic Safety Reviews</b:Title>
    <b:RefOrder>9</b:RefOrder>
  </b:Source>
  <b:Source>
    <b:Tag>ONR061</b:Tag>
    <b:SourceType>Book</b:SourceType>
    <b:Guid>{04D9C62B-374B-49EB-B86A-37590B012633}</b:Guid>
    <b:Author>
      <b:Author>
        <b:Corporate>ONR</b:Corporate>
      </b:Author>
    </b:Author>
    <b:Title>NS-TAST-GD-061 – Staffing Levels and Task Organisation </b:Title>
    <b:RefOrder>10</b:RefOrder>
  </b:Source>
  <b:Source>
    <b:Tag>ONR072</b:Tag>
    <b:SourceType>Book</b:SourceType>
    <b:Guid>{43179140-9BDA-4EDE-84DD-CC1085BF69F5}</b:Guid>
    <b:Author>
      <b:Author>
        <b:Corporate>ONR</b:Corporate>
      </b:Author>
    </b:Author>
    <b:Title>NS-TAST-GD-072 – Function and Content of a Safety Management Prospectus </b:Title>
    <b:RefOrder>11</b:RefOrder>
  </b:Source>
  <b:Source>
    <b:Tag>ONR077</b:Tag>
    <b:SourceType>Book</b:SourceType>
    <b:Guid>{A3140EBE-A07B-4FFA-B25F-F0EA048C5D03}</b:Guid>
    <b:Author>
      <b:Author>
        <b:Corporate>ONR</b:Corporate>
      </b:Author>
    </b:Author>
    <b:Title>NS-TAST-GD-077 – Supply Chain Management Arrangements for the Procurement of Nulcear Safety Related Items or Services </b:Title>
    <b:RefOrder>12</b:RefOrder>
  </b:Source>
  <b:Source>
    <b:Tag>ONR080</b:Tag>
    <b:SourceType>Book</b:SourceType>
    <b:Guid>{C7E05EC7-5D29-4872-BE74-F8F9CEADFD29}</b:Guid>
    <b:Author>
      <b:Author>
        <b:Corporate>ONR</b:Corporate>
      </b:Author>
    </b:Author>
    <b:Title>NS-TAST-GD-080 – Nuclear Safety Advice and Independent Challenge </b:Title>
    <b:RefOrder>14</b:RefOrder>
  </b:Source>
  <b:Source>
    <b:Tag>IAESSG72</b:Tag>
    <b:SourceType>Book</b:SourceType>
    <b:Guid>{9DE25589-0AE6-4D45-BD2B-28D26ACEE7A4}</b:Guid>
    <b:Author>
      <b:Author>
        <b:Corporate>IAEA</b:Corporate>
      </b:Author>
    </b:Author>
    <b:Title>Specific Safety Guide SSG-72 – The Operating Organisation for Nuclear Power Plants </b:Title>
    <b:RefOrder>17</b:RefOrder>
  </b:Source>
  <b:Source>
    <b:Tag>IAESSR22</b:Tag>
    <b:SourceType>Book</b:SourceType>
    <b:Guid>{062F4B28-BDBA-432A-B692-C2027340E380}</b:Guid>
    <b:Author>
      <b:Author>
        <b:Corporate>IAEA</b:Corporate>
      </b:Author>
    </b:Author>
    <b:Title>Specific Safety Requirements SSR-2/2 – Safety of Nuclear Power Plants: Commissioning and Operation </b:Title>
    <b:RefOrder>18</b:RefOrder>
  </b:Source>
  <b:Source>
    <b:Tag>IAEINSAG18</b:Tag>
    <b:SourceType>Book</b:SourceType>
    <b:Guid>{4FE0C13F-53E5-4B53-9A5A-95E706D27003}</b:Guid>
    <b:Author>
      <b:Author>
        <b:Corporate>IAEA</b:Corporate>
      </b:Author>
    </b:Author>
    <b:Title>International Nuclear Safety Advisory Group INSAG 18 – Managing Change in the Nuclear Industry: The Effects on Safety</b:Title>
    <b:RefOrder>20</b:RefOrder>
  </b:Source>
  <b:Source>
    <b:Tag>IAEAGSG31</b:Tag>
    <b:SourceType>Book</b:SourceType>
    <b:Guid>{E4CED36F-AE32-4150-9FBB-6970ACD3EA3E}</b:Guid>
    <b:Author>
      <b:Author>
        <b:Corporate>IAEA</b:Corporate>
      </b:Author>
    </b:Author>
    <b:Title>General Safety Guide GS-G-3.1 – Application of the Management System for Facilities and Activities </b:Title>
    <b:RefOrder>21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D288AC-D2E4-44D6-A262-97E651270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14697</Words>
  <Characters>77896</Characters>
  <Application>Microsoft Office Word</Application>
  <DocSecurity>4</DocSecurity>
  <Lines>1693</Lines>
  <Paragraphs>529</Paragraphs>
  <ScaleCrop>false</ScaleCrop>
  <HeadingPairs>
    <vt:vector size="2" baseType="variant">
      <vt:variant>
        <vt:lpstr>Title</vt:lpstr>
      </vt:variant>
      <vt:variant>
        <vt:i4>1</vt:i4>
      </vt:variant>
    </vt:vector>
  </HeadingPairs>
  <TitlesOfParts>
    <vt:vector size="1" baseType="lpstr">
      <vt:lpstr>Organisational change</vt:lpstr>
    </vt:vector>
  </TitlesOfParts>
  <Manager/>
  <Company/>
  <LinksUpToDate>false</LinksUpToDate>
  <CharactersWithSpaces>92064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Organisational change</dc:title>
  <dc:subject/>
  <dc:creator/>
  <cp:keywords/>
  <dc:description/>
  <cp:lastModifiedBy/>
  <cp:revision>1</cp:revision>
  <dcterms:created xsi:type="dcterms:W3CDTF">2024-07-18T13:04:00Z</dcterms:created>
  <dcterms:modified xsi:type="dcterms:W3CDTF">2024-07-18T13:04:00Z</dcterms:modified>
  <cp:contentStatus>7.1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43ac1ff-3dbd-40db-82ca-27796aa22133_Enabled">
    <vt:lpwstr>true</vt:lpwstr>
  </property>
  <property fmtid="{D5CDD505-2E9C-101B-9397-08002B2CF9AE}" pid="3" name="MSIP_Label_d43ac1ff-3dbd-40db-82ca-27796aa22133_SetDate">
    <vt:lpwstr>2024-06-13T14:44:00Z</vt:lpwstr>
  </property>
  <property fmtid="{D5CDD505-2E9C-101B-9397-08002B2CF9AE}" pid="4" name="MSIP_Label_d43ac1ff-3dbd-40db-82ca-27796aa22133_Method">
    <vt:lpwstr>Privileged</vt:lpwstr>
  </property>
  <property fmtid="{D5CDD505-2E9C-101B-9397-08002B2CF9AE}" pid="5" name="MSIP_Label_d43ac1ff-3dbd-40db-82ca-27796aa22133_Name">
    <vt:lpwstr>d43ac1ff-3dbd-40db-82ca-27796aa22133</vt:lpwstr>
  </property>
  <property fmtid="{D5CDD505-2E9C-101B-9397-08002B2CF9AE}" pid="6" name="MSIP_Label_d43ac1ff-3dbd-40db-82ca-27796aa22133_SiteId">
    <vt:lpwstr>37247798-f42c-42fd-8a37-d49c7128d36b</vt:lpwstr>
  </property>
  <property fmtid="{D5CDD505-2E9C-101B-9397-08002B2CF9AE}" pid="7" name="MSIP_Label_d43ac1ff-3dbd-40db-82ca-27796aa22133_ActionId">
    <vt:lpwstr>12714481-d93a-4a6e-9883-e8749380ac09</vt:lpwstr>
  </property>
  <property fmtid="{D5CDD505-2E9C-101B-9397-08002B2CF9AE}" pid="8" name="MSIP_Label_d43ac1ff-3dbd-40db-82ca-27796aa22133_ContentBits">
    <vt:lpwstr>0</vt:lpwstr>
  </property>
  <property fmtid="{D5CDD505-2E9C-101B-9397-08002B2CF9AE}" pid="9" name="MSIP_Label_9e5e003a-90eb-47c9-a506-ad47e7a0b281_Enabled">
    <vt:lpwstr>true</vt:lpwstr>
  </property>
  <property fmtid="{D5CDD505-2E9C-101B-9397-08002B2CF9AE}" pid="10" name="MSIP_Label_9e5e003a-90eb-47c9-a506-ad47e7a0b281_SetDate">
    <vt:lpwstr>2024-07-09T19:41:15Z</vt:lpwstr>
  </property>
  <property fmtid="{D5CDD505-2E9C-101B-9397-08002B2CF9AE}" pid="11" name="MSIP_Label_9e5e003a-90eb-47c9-a506-ad47e7a0b281_Method">
    <vt:lpwstr>Privileged</vt:lpwstr>
  </property>
  <property fmtid="{D5CDD505-2E9C-101B-9397-08002B2CF9AE}" pid="12" name="MSIP_Label_9e5e003a-90eb-47c9-a506-ad47e7a0b281_Name">
    <vt:lpwstr>OFFICIAL</vt:lpwstr>
  </property>
  <property fmtid="{D5CDD505-2E9C-101B-9397-08002B2CF9AE}" pid="13" name="MSIP_Label_9e5e003a-90eb-47c9-a506-ad47e7a0b281_SiteId">
    <vt:lpwstr>742775df-8077-48d6-81d0-1e82a1f52cb8</vt:lpwstr>
  </property>
  <property fmtid="{D5CDD505-2E9C-101B-9397-08002B2CF9AE}" pid="14" name="MSIP_Label_9e5e003a-90eb-47c9-a506-ad47e7a0b281_ActionId">
    <vt:lpwstr>1884392c-b1c0-4608-9f02-ae1e330fb786</vt:lpwstr>
  </property>
  <property fmtid="{D5CDD505-2E9C-101B-9397-08002B2CF9AE}" pid="15" name="MSIP_Label_9e5e003a-90eb-47c9-a506-ad47e7a0b281_ContentBits">
    <vt:lpwstr>0</vt:lpwstr>
  </property>
</Properties>
</file>