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C32FBF3" w:rsidR="00D0226A" w:rsidRPr="001E03E1" w:rsidRDefault="00C01121"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3414A">
                      <w:rPr>
                        <w:sz w:val="52"/>
                        <w:szCs w:val="52"/>
                      </w:rPr>
                      <w:t>Control and instrumentation aspects of nuclear plant commissioning</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0B30D75F" w:rsidR="00004C16" w:rsidRPr="00F63AA5" w:rsidRDefault="00C01121"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33414A">
            <w:rPr>
              <w:rStyle w:val="Style2"/>
            </w:rPr>
            <w:t>Control and instrumentation aspects of nuclear plant commissioning</w:t>
          </w:r>
        </w:sdtContent>
      </w:sdt>
    </w:p>
    <w:p w14:paraId="10432EBB" w14:textId="08E74BE3"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33414A" w:rsidRPr="0033414A">
        <w:rPr>
          <w:sz w:val="28"/>
          <w:szCs w:val="28"/>
        </w:rPr>
        <w:t xml:space="preserve">Electrical, Control </w:t>
      </w:r>
      <w:r w:rsidR="0033414A">
        <w:rPr>
          <w:sz w:val="28"/>
          <w:szCs w:val="28"/>
        </w:rPr>
        <w:t>and</w:t>
      </w:r>
      <w:r w:rsidR="0033414A" w:rsidRPr="0033414A">
        <w:rPr>
          <w:sz w:val="28"/>
          <w:szCs w:val="28"/>
        </w:rPr>
        <w:t xml:space="preserve"> Instrumentation Engineering</w:t>
      </w:r>
    </w:p>
    <w:p w14:paraId="61A25C0F" w14:textId="77777777" w:rsidR="00004C16" w:rsidRDefault="00004C16" w:rsidP="00004C16">
      <w:pPr>
        <w:rPr>
          <w:sz w:val="28"/>
          <w:szCs w:val="28"/>
        </w:rPr>
      </w:pPr>
    </w:p>
    <w:p w14:paraId="4C7A948F" w14:textId="5C7BA9E9" w:rsidR="00245A0D" w:rsidRPr="002D5F2E" w:rsidRDefault="00245A0D" w:rsidP="0033414A">
      <w:pPr>
        <w:rPr>
          <w:szCs w:val="24"/>
        </w:rPr>
      </w:pPr>
      <w:r w:rsidRPr="002D5F2E">
        <w:rPr>
          <w:b/>
          <w:bCs/>
          <w:szCs w:val="24"/>
        </w:rPr>
        <w:t>Authored by</w:t>
      </w:r>
      <w:r w:rsidR="00CE1DB2" w:rsidRPr="002D5F2E">
        <w:rPr>
          <w:szCs w:val="24"/>
        </w:rPr>
        <w:t>:</w:t>
      </w:r>
      <w:r w:rsidRPr="002D5F2E">
        <w:rPr>
          <w:szCs w:val="24"/>
        </w:rPr>
        <w:t xml:space="preserve"> </w:t>
      </w:r>
      <w:r w:rsidR="00A41AF7">
        <w:rPr>
          <w:szCs w:val="24"/>
        </w:rPr>
        <w:t>Head of Profession</w:t>
      </w:r>
    </w:p>
    <w:p w14:paraId="15A21CF3" w14:textId="608A0FB3"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33414A">
        <w:rPr>
          <w:szCs w:val="24"/>
        </w:rPr>
        <w:t>Head of Profession</w:t>
      </w:r>
    </w:p>
    <w:p w14:paraId="247E3769" w14:textId="0D364F28"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3414A">
            <w:rPr>
              <w:szCs w:val="24"/>
            </w:rPr>
            <w:t>6.2</w:t>
          </w:r>
        </w:sdtContent>
      </w:sdt>
    </w:p>
    <w:p w14:paraId="19206F45" w14:textId="0516C9BB" w:rsidR="00004C16" w:rsidRPr="002D5F2E" w:rsidRDefault="00AD298F" w:rsidP="00004C16">
      <w:pPr>
        <w:rPr>
          <w:szCs w:val="24"/>
        </w:rPr>
      </w:pPr>
      <w:r>
        <w:rPr>
          <w:b/>
          <w:bCs/>
          <w:szCs w:val="24"/>
        </w:rPr>
        <w:t>Published</w:t>
      </w:r>
      <w:r w:rsidR="00004C16" w:rsidRPr="002D5F2E">
        <w:rPr>
          <w:szCs w:val="24"/>
        </w:rPr>
        <w:t xml:space="preserve">: </w:t>
      </w:r>
      <w:r w:rsidR="0033414A">
        <w:rPr>
          <w:szCs w:val="24"/>
        </w:rPr>
        <w:t>December 2024</w:t>
      </w:r>
    </w:p>
    <w:p w14:paraId="06A6B3A5" w14:textId="41C09739"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33414A" w:rsidRPr="00FC24F4">
        <w:rPr>
          <w:szCs w:val="24"/>
        </w:rPr>
        <w:t>December 202</w:t>
      </w:r>
      <w:r w:rsidR="00FC24F4">
        <w:rPr>
          <w:szCs w:val="24"/>
        </w:rPr>
        <w:t>6</w:t>
      </w:r>
    </w:p>
    <w:p w14:paraId="6DA341A1" w14:textId="130404B4"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33414A">
        <w:rPr>
          <w:szCs w:val="24"/>
        </w:rPr>
        <w:t>NS-TAST-GD-028</w:t>
      </w:r>
    </w:p>
    <w:p w14:paraId="55057C62" w14:textId="4AE6471E"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33414A">
        <w:rPr>
          <w:szCs w:val="24"/>
        </w:rPr>
        <w:t>2020/261208</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E20B32">
        <w:tc>
          <w:tcPr>
            <w:tcW w:w="1550" w:type="dxa"/>
          </w:tcPr>
          <w:p w14:paraId="65482A03" w14:textId="601FD10F" w:rsidR="00595C8C" w:rsidRPr="002D5F2E" w:rsidRDefault="0033414A" w:rsidP="00595C8C">
            <w:pPr>
              <w:spacing w:before="60" w:after="60"/>
              <w:rPr>
                <w:szCs w:val="24"/>
              </w:rPr>
            </w:pPr>
            <w:r>
              <w:rPr>
                <w:szCs w:val="24"/>
              </w:rPr>
              <w:t>6.2</w:t>
            </w:r>
          </w:p>
        </w:tc>
        <w:tc>
          <w:tcPr>
            <w:tcW w:w="7466" w:type="dxa"/>
          </w:tcPr>
          <w:p w14:paraId="1C80912E" w14:textId="5C4E2D61" w:rsidR="00595C8C" w:rsidRPr="002D5F2E" w:rsidRDefault="00A41AF7" w:rsidP="00595C8C">
            <w:pPr>
              <w:spacing w:before="60" w:after="60"/>
              <w:rPr>
                <w:szCs w:val="24"/>
              </w:rPr>
            </w:pPr>
            <w:r>
              <w:rPr>
                <w:szCs w:val="24"/>
              </w:rPr>
              <w:t>Minor update and transfer of content into latest ONR TAG template.</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ADB667F" w14:textId="4F1461C3" w:rsidR="006677FE"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84733582" w:history="1">
        <w:r w:rsidR="006677FE" w:rsidRPr="001B4E1D">
          <w:rPr>
            <w:rStyle w:val="Hyperlink"/>
          </w:rPr>
          <w:t>1.</w:t>
        </w:r>
        <w:r w:rsidR="006677FE">
          <w:rPr>
            <w:rFonts w:asciiTheme="minorHAnsi" w:eastAsiaTheme="minorEastAsia" w:hAnsiTheme="minorHAnsi" w:cstheme="minorBidi"/>
            <w:kern w:val="2"/>
            <w:sz w:val="22"/>
            <w:lang w:eastAsia="en-GB" w:bidi="ar-SA"/>
            <w14:ligatures w14:val="standardContextual"/>
          </w:rPr>
          <w:tab/>
        </w:r>
        <w:r w:rsidR="006677FE" w:rsidRPr="001B4E1D">
          <w:rPr>
            <w:rStyle w:val="Hyperlink"/>
          </w:rPr>
          <w:t>Introduction</w:t>
        </w:r>
        <w:r w:rsidR="006677FE">
          <w:rPr>
            <w:webHidden/>
          </w:rPr>
          <w:tab/>
        </w:r>
        <w:r w:rsidR="006677FE">
          <w:rPr>
            <w:webHidden/>
          </w:rPr>
          <w:fldChar w:fldCharType="begin"/>
        </w:r>
        <w:r w:rsidR="006677FE">
          <w:rPr>
            <w:webHidden/>
          </w:rPr>
          <w:instrText xml:space="preserve"> PAGEREF _Toc184733582 \h </w:instrText>
        </w:r>
        <w:r w:rsidR="006677FE">
          <w:rPr>
            <w:webHidden/>
          </w:rPr>
        </w:r>
        <w:r w:rsidR="006677FE">
          <w:rPr>
            <w:webHidden/>
          </w:rPr>
          <w:fldChar w:fldCharType="separate"/>
        </w:r>
        <w:r w:rsidR="006677FE">
          <w:rPr>
            <w:webHidden/>
          </w:rPr>
          <w:t>4</w:t>
        </w:r>
        <w:r w:rsidR="006677FE">
          <w:rPr>
            <w:webHidden/>
          </w:rPr>
          <w:fldChar w:fldCharType="end"/>
        </w:r>
      </w:hyperlink>
    </w:p>
    <w:p w14:paraId="1DF7BCA7" w14:textId="4FC50B70" w:rsidR="006677FE" w:rsidRDefault="00C0112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733583" w:history="1">
        <w:r w:rsidR="006677FE" w:rsidRPr="001B4E1D">
          <w:rPr>
            <w:rStyle w:val="Hyperlink"/>
          </w:rPr>
          <w:t>2.</w:t>
        </w:r>
        <w:r w:rsidR="006677FE">
          <w:rPr>
            <w:rFonts w:asciiTheme="minorHAnsi" w:eastAsiaTheme="minorEastAsia" w:hAnsiTheme="minorHAnsi" w:cstheme="minorBidi"/>
            <w:kern w:val="2"/>
            <w:sz w:val="22"/>
            <w:lang w:eastAsia="en-GB" w:bidi="ar-SA"/>
            <w14:ligatures w14:val="standardContextual"/>
          </w:rPr>
          <w:tab/>
        </w:r>
        <w:r w:rsidR="006677FE" w:rsidRPr="001B4E1D">
          <w:rPr>
            <w:rStyle w:val="Hyperlink"/>
          </w:rPr>
          <w:t>Purpose and scope</w:t>
        </w:r>
        <w:r w:rsidR="006677FE">
          <w:rPr>
            <w:webHidden/>
          </w:rPr>
          <w:tab/>
        </w:r>
        <w:r w:rsidR="006677FE">
          <w:rPr>
            <w:webHidden/>
          </w:rPr>
          <w:fldChar w:fldCharType="begin"/>
        </w:r>
        <w:r w:rsidR="006677FE">
          <w:rPr>
            <w:webHidden/>
          </w:rPr>
          <w:instrText xml:space="preserve"> PAGEREF _Toc184733583 \h </w:instrText>
        </w:r>
        <w:r w:rsidR="006677FE">
          <w:rPr>
            <w:webHidden/>
          </w:rPr>
        </w:r>
        <w:r w:rsidR="006677FE">
          <w:rPr>
            <w:webHidden/>
          </w:rPr>
          <w:fldChar w:fldCharType="separate"/>
        </w:r>
        <w:r w:rsidR="006677FE">
          <w:rPr>
            <w:webHidden/>
          </w:rPr>
          <w:t>4</w:t>
        </w:r>
        <w:r w:rsidR="006677FE">
          <w:rPr>
            <w:webHidden/>
          </w:rPr>
          <w:fldChar w:fldCharType="end"/>
        </w:r>
      </w:hyperlink>
    </w:p>
    <w:p w14:paraId="440D1415" w14:textId="478ABA85" w:rsidR="006677FE" w:rsidRDefault="00C0112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733584" w:history="1">
        <w:r w:rsidR="006677FE" w:rsidRPr="001B4E1D">
          <w:rPr>
            <w:rStyle w:val="Hyperlink"/>
          </w:rPr>
          <w:t>3.</w:t>
        </w:r>
        <w:r w:rsidR="006677FE">
          <w:rPr>
            <w:rFonts w:asciiTheme="minorHAnsi" w:eastAsiaTheme="minorEastAsia" w:hAnsiTheme="minorHAnsi" w:cstheme="minorBidi"/>
            <w:kern w:val="2"/>
            <w:sz w:val="22"/>
            <w:lang w:eastAsia="en-GB" w:bidi="ar-SA"/>
            <w14:ligatures w14:val="standardContextual"/>
          </w:rPr>
          <w:tab/>
        </w:r>
        <w:r w:rsidR="006677FE" w:rsidRPr="001B4E1D">
          <w:rPr>
            <w:rStyle w:val="Hyperlink"/>
          </w:rPr>
          <w:t>Relationship to licence and other relevant legislation</w:t>
        </w:r>
        <w:r w:rsidR="006677FE">
          <w:rPr>
            <w:webHidden/>
          </w:rPr>
          <w:tab/>
        </w:r>
        <w:r w:rsidR="006677FE">
          <w:rPr>
            <w:webHidden/>
          </w:rPr>
          <w:fldChar w:fldCharType="begin"/>
        </w:r>
        <w:r w:rsidR="006677FE">
          <w:rPr>
            <w:webHidden/>
          </w:rPr>
          <w:instrText xml:space="preserve"> PAGEREF _Toc184733584 \h </w:instrText>
        </w:r>
        <w:r w:rsidR="006677FE">
          <w:rPr>
            <w:webHidden/>
          </w:rPr>
        </w:r>
        <w:r w:rsidR="006677FE">
          <w:rPr>
            <w:webHidden/>
          </w:rPr>
          <w:fldChar w:fldCharType="separate"/>
        </w:r>
        <w:r w:rsidR="006677FE">
          <w:rPr>
            <w:webHidden/>
          </w:rPr>
          <w:t>5</w:t>
        </w:r>
        <w:r w:rsidR="006677FE">
          <w:rPr>
            <w:webHidden/>
          </w:rPr>
          <w:fldChar w:fldCharType="end"/>
        </w:r>
      </w:hyperlink>
    </w:p>
    <w:p w14:paraId="44C8330F" w14:textId="3C5B9F70" w:rsidR="006677FE" w:rsidRDefault="00C0112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733585" w:history="1">
        <w:r w:rsidR="006677FE" w:rsidRPr="001B4E1D">
          <w:rPr>
            <w:rStyle w:val="Hyperlink"/>
          </w:rPr>
          <w:t>4.</w:t>
        </w:r>
        <w:r w:rsidR="006677FE">
          <w:rPr>
            <w:rFonts w:asciiTheme="minorHAnsi" w:eastAsiaTheme="minorEastAsia" w:hAnsiTheme="minorHAnsi" w:cstheme="minorBidi"/>
            <w:kern w:val="2"/>
            <w:sz w:val="22"/>
            <w:lang w:eastAsia="en-GB" w:bidi="ar-SA"/>
            <w14:ligatures w14:val="standardContextual"/>
          </w:rPr>
          <w:tab/>
        </w:r>
        <w:r w:rsidR="006677FE" w:rsidRPr="001B4E1D">
          <w:rPr>
            <w:rStyle w:val="Hyperlink"/>
          </w:rPr>
          <w:t>Relationship to Safety Assessment Principles, WENRA Reference Levels, and IAEA Safety Standards and Guides</w:t>
        </w:r>
        <w:r w:rsidR="006677FE">
          <w:rPr>
            <w:webHidden/>
          </w:rPr>
          <w:tab/>
        </w:r>
        <w:r w:rsidR="006677FE">
          <w:rPr>
            <w:webHidden/>
          </w:rPr>
          <w:fldChar w:fldCharType="begin"/>
        </w:r>
        <w:r w:rsidR="006677FE">
          <w:rPr>
            <w:webHidden/>
          </w:rPr>
          <w:instrText xml:space="preserve"> PAGEREF _Toc184733585 \h </w:instrText>
        </w:r>
        <w:r w:rsidR="006677FE">
          <w:rPr>
            <w:webHidden/>
          </w:rPr>
        </w:r>
        <w:r w:rsidR="006677FE">
          <w:rPr>
            <w:webHidden/>
          </w:rPr>
          <w:fldChar w:fldCharType="separate"/>
        </w:r>
        <w:r w:rsidR="006677FE">
          <w:rPr>
            <w:webHidden/>
          </w:rPr>
          <w:t>5</w:t>
        </w:r>
        <w:r w:rsidR="006677FE">
          <w:rPr>
            <w:webHidden/>
          </w:rPr>
          <w:fldChar w:fldCharType="end"/>
        </w:r>
      </w:hyperlink>
    </w:p>
    <w:p w14:paraId="4F5BA096" w14:textId="70F1979A" w:rsidR="006677FE" w:rsidRDefault="00C0112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733586" w:history="1">
        <w:r w:rsidR="006677FE" w:rsidRPr="001B4E1D">
          <w:rPr>
            <w:rStyle w:val="Hyperlink"/>
          </w:rPr>
          <w:t>5.</w:t>
        </w:r>
        <w:r w:rsidR="006677FE">
          <w:rPr>
            <w:rFonts w:asciiTheme="minorHAnsi" w:eastAsiaTheme="minorEastAsia" w:hAnsiTheme="minorHAnsi" w:cstheme="minorBidi"/>
            <w:kern w:val="2"/>
            <w:sz w:val="22"/>
            <w:lang w:eastAsia="en-GB" w:bidi="ar-SA"/>
            <w14:ligatures w14:val="standardContextual"/>
          </w:rPr>
          <w:tab/>
        </w:r>
        <w:r w:rsidR="006677FE" w:rsidRPr="001B4E1D">
          <w:rPr>
            <w:rStyle w:val="Hyperlink"/>
          </w:rPr>
          <w:t>Advice to inspectors</w:t>
        </w:r>
        <w:r w:rsidR="006677FE">
          <w:rPr>
            <w:webHidden/>
          </w:rPr>
          <w:tab/>
        </w:r>
        <w:r w:rsidR="006677FE">
          <w:rPr>
            <w:webHidden/>
          </w:rPr>
          <w:fldChar w:fldCharType="begin"/>
        </w:r>
        <w:r w:rsidR="006677FE">
          <w:rPr>
            <w:webHidden/>
          </w:rPr>
          <w:instrText xml:space="preserve"> PAGEREF _Toc184733586 \h </w:instrText>
        </w:r>
        <w:r w:rsidR="006677FE">
          <w:rPr>
            <w:webHidden/>
          </w:rPr>
        </w:r>
        <w:r w:rsidR="006677FE">
          <w:rPr>
            <w:webHidden/>
          </w:rPr>
          <w:fldChar w:fldCharType="separate"/>
        </w:r>
        <w:r w:rsidR="006677FE">
          <w:rPr>
            <w:webHidden/>
          </w:rPr>
          <w:t>6</w:t>
        </w:r>
        <w:r w:rsidR="006677FE">
          <w:rPr>
            <w:webHidden/>
          </w:rPr>
          <w:fldChar w:fldCharType="end"/>
        </w:r>
      </w:hyperlink>
    </w:p>
    <w:p w14:paraId="092C880B" w14:textId="59116E45" w:rsidR="006677FE" w:rsidRDefault="00C01121">
      <w:pPr>
        <w:pStyle w:val="TOC1"/>
        <w:rPr>
          <w:rFonts w:asciiTheme="minorHAnsi" w:eastAsiaTheme="minorEastAsia" w:hAnsiTheme="minorHAnsi" w:cstheme="minorBidi"/>
          <w:kern w:val="2"/>
          <w:sz w:val="22"/>
          <w:lang w:eastAsia="en-GB" w:bidi="ar-SA"/>
          <w14:ligatures w14:val="standardContextual"/>
        </w:rPr>
      </w:pPr>
      <w:hyperlink w:anchor="_Toc184733587" w:history="1">
        <w:r w:rsidR="006677FE" w:rsidRPr="001B4E1D">
          <w:rPr>
            <w:rStyle w:val="Hyperlink"/>
          </w:rPr>
          <w:t>References</w:t>
        </w:r>
        <w:r w:rsidR="006677FE">
          <w:rPr>
            <w:webHidden/>
          </w:rPr>
          <w:tab/>
        </w:r>
        <w:r w:rsidR="006677FE">
          <w:rPr>
            <w:webHidden/>
          </w:rPr>
          <w:fldChar w:fldCharType="begin"/>
        </w:r>
        <w:r w:rsidR="006677FE">
          <w:rPr>
            <w:webHidden/>
          </w:rPr>
          <w:instrText xml:space="preserve"> PAGEREF _Toc184733587 \h </w:instrText>
        </w:r>
        <w:r w:rsidR="006677FE">
          <w:rPr>
            <w:webHidden/>
          </w:rPr>
        </w:r>
        <w:r w:rsidR="006677FE">
          <w:rPr>
            <w:webHidden/>
          </w:rPr>
          <w:fldChar w:fldCharType="separate"/>
        </w:r>
        <w:r w:rsidR="006677FE">
          <w:rPr>
            <w:webHidden/>
          </w:rPr>
          <w:t>14</w:t>
        </w:r>
        <w:r w:rsidR="006677FE">
          <w:rPr>
            <w:webHidden/>
          </w:rPr>
          <w:fldChar w:fldCharType="end"/>
        </w:r>
      </w:hyperlink>
    </w:p>
    <w:p w14:paraId="0C6BB08B" w14:textId="7730B53F" w:rsidR="006677FE" w:rsidRDefault="00C01121">
      <w:pPr>
        <w:pStyle w:val="TOC1"/>
        <w:rPr>
          <w:rFonts w:asciiTheme="minorHAnsi" w:eastAsiaTheme="minorEastAsia" w:hAnsiTheme="minorHAnsi" w:cstheme="minorBidi"/>
          <w:kern w:val="2"/>
          <w:sz w:val="22"/>
          <w:lang w:eastAsia="en-GB" w:bidi="ar-SA"/>
          <w14:ligatures w14:val="standardContextual"/>
        </w:rPr>
      </w:pPr>
      <w:hyperlink w:anchor="_Toc184733588" w:history="1">
        <w:r w:rsidR="006677FE" w:rsidRPr="001B4E1D">
          <w:rPr>
            <w:rStyle w:val="Hyperlink"/>
          </w:rPr>
          <w:t>Glossary and abbreviations</w:t>
        </w:r>
        <w:r w:rsidR="006677FE">
          <w:rPr>
            <w:webHidden/>
          </w:rPr>
          <w:tab/>
        </w:r>
        <w:r w:rsidR="006677FE">
          <w:rPr>
            <w:webHidden/>
          </w:rPr>
          <w:fldChar w:fldCharType="begin"/>
        </w:r>
        <w:r w:rsidR="006677FE">
          <w:rPr>
            <w:webHidden/>
          </w:rPr>
          <w:instrText xml:space="preserve"> PAGEREF _Toc184733588 \h </w:instrText>
        </w:r>
        <w:r w:rsidR="006677FE">
          <w:rPr>
            <w:webHidden/>
          </w:rPr>
        </w:r>
        <w:r w:rsidR="006677FE">
          <w:rPr>
            <w:webHidden/>
          </w:rPr>
          <w:fldChar w:fldCharType="separate"/>
        </w:r>
        <w:r w:rsidR="006677FE">
          <w:rPr>
            <w:webHidden/>
          </w:rPr>
          <w:t>14</w:t>
        </w:r>
        <w:r w:rsidR="006677FE">
          <w:rPr>
            <w:webHidden/>
          </w:rPr>
          <w:fldChar w:fldCharType="end"/>
        </w:r>
      </w:hyperlink>
    </w:p>
    <w:p w14:paraId="0CC4B54A" w14:textId="1A606DDC"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2D5F2E">
      <w:pPr>
        <w:pStyle w:val="Heading1"/>
        <w:numPr>
          <w:ilvl w:val="0"/>
          <w:numId w:val="36"/>
        </w:numPr>
        <w:ind w:left="851" w:hanging="851"/>
      </w:pPr>
      <w:bookmarkStart w:id="1" w:name="_Toc184733582"/>
      <w:bookmarkEnd w:id="0"/>
      <w:r w:rsidRPr="00E90780">
        <w:lastRenderedPageBreak/>
        <w:t>Introduction</w:t>
      </w:r>
      <w:bookmarkEnd w:id="1"/>
    </w:p>
    <w:p w14:paraId="56D71E00" w14:textId="659C4DED" w:rsidR="000950B3" w:rsidRDefault="000950B3" w:rsidP="000A51C3">
      <w:pPr>
        <w:pStyle w:val="F9-Paragraph"/>
        <w:numPr>
          <w:ilvl w:val="0"/>
          <w:numId w:val="29"/>
        </w:numPr>
        <w:ind w:left="851" w:hanging="851"/>
      </w:pPr>
      <w:bookmarkStart w:id="2" w:name="_Hlk64448648"/>
      <w:r w:rsidRPr="00712FD1">
        <w:t xml:space="preserve">ONR has established its </w:t>
      </w:r>
      <w:hyperlink r:id="rId17"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Pr="000A51C3">
            <w:rPr>
              <w:rFonts w:eastAsia="Calibri"/>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45BED4E5" w14:textId="77777777" w:rsidR="0033414A" w:rsidRPr="00712FD1" w:rsidRDefault="0033414A" w:rsidP="0033414A">
      <w:pPr>
        <w:pStyle w:val="F9-Paragraph"/>
        <w:numPr>
          <w:ilvl w:val="0"/>
          <w:numId w:val="0"/>
        </w:numPr>
        <w:ind w:left="851"/>
      </w:pPr>
    </w:p>
    <w:p w14:paraId="05AAE39A" w14:textId="4C861FCD" w:rsidR="008D49A5" w:rsidRDefault="000950B3" w:rsidP="00E90780">
      <w:pPr>
        <w:pStyle w:val="Heading1"/>
      </w:pPr>
      <w:bookmarkStart w:id="3" w:name="_Toc184733583"/>
      <w:bookmarkEnd w:id="2"/>
      <w:r>
        <w:t xml:space="preserve">Purpose and </w:t>
      </w:r>
      <w:r w:rsidR="001C19DE">
        <w:t>s</w:t>
      </w:r>
      <w:r>
        <w:t>cope</w:t>
      </w:r>
      <w:bookmarkEnd w:id="3"/>
    </w:p>
    <w:p w14:paraId="49B8D19C" w14:textId="0992B96C" w:rsidR="0033414A" w:rsidRDefault="0033414A" w:rsidP="0033414A">
      <w:pPr>
        <w:pStyle w:val="F9-Paragraph"/>
      </w:pPr>
      <w:r>
        <w:t>This guide aims to assist ONR inspectors in judging the adequacy of plant commissioning arrangements with respect to nuclear safety.</w:t>
      </w:r>
      <w:r w:rsidR="00C47E21">
        <w:t xml:space="preserve"> </w:t>
      </w:r>
      <w:r>
        <w:t>It is worth stressing that the guide is for the ONR inspector, not the commissioning engineer, so it does not deal with detailed generic commissioning practice.</w:t>
      </w:r>
      <w:r w:rsidR="00C47E21">
        <w:t xml:space="preserve"> </w:t>
      </w:r>
      <w:r>
        <w:t xml:space="preserve">The </w:t>
      </w:r>
      <w:r w:rsidRPr="00B0057A">
        <w:t>inspector’s</w:t>
      </w:r>
      <w:r>
        <w:t xml:space="preserve"> task is to be satisfied that, for nuclear safety concerns, the licensee has in place both the intent and the means to achieve proper commissioning of control and instrumentation (C&amp;I) systems and equipment important to safety, so the guide addresses those aspects that allow these factors to be established.</w:t>
      </w:r>
    </w:p>
    <w:p w14:paraId="524E1D9F" w14:textId="1D0E6660" w:rsidR="0033414A" w:rsidRDefault="0033414A" w:rsidP="0033414A">
      <w:pPr>
        <w:pStyle w:val="F9-Paragraph"/>
      </w:pPr>
      <w:r>
        <w:t>There are of course many interfaces and responsibilities involved in commissioning, not only within the licensee’s organisation but also within ONR.</w:t>
      </w:r>
      <w:r w:rsidR="00C47E21">
        <w:t xml:space="preserve"> </w:t>
      </w:r>
      <w:r>
        <w:t>These are mentioned in outline in order to set the ONR inspector’s work into its proper context.</w:t>
      </w:r>
    </w:p>
    <w:p w14:paraId="6D059861" w14:textId="695D8D75" w:rsidR="0033414A" w:rsidRDefault="0033414A" w:rsidP="00C75667">
      <w:pPr>
        <w:pStyle w:val="F9-Paragraph"/>
        <w:sectPr w:rsidR="0033414A" w:rsidSect="000B2BCD">
          <w:headerReference w:type="default" r:id="rId18"/>
          <w:footerReference w:type="default" r:id="rId19"/>
          <w:pgSz w:w="11906" w:h="16838" w:code="9"/>
          <w:pgMar w:top="1440" w:right="1440" w:bottom="1440" w:left="1440" w:header="397" w:footer="397" w:gutter="0"/>
          <w:cols w:space="312"/>
          <w:docGrid w:linePitch="360"/>
        </w:sectPr>
      </w:pPr>
      <w:r>
        <w:t xml:space="preserve">This TAG contains guidance to advise and inform ONR inspectors in the exercise of their professional regulatory judgement. </w:t>
      </w:r>
    </w:p>
    <w:p w14:paraId="6E712D03" w14:textId="03A76960" w:rsidR="009E0E52" w:rsidRDefault="000950B3" w:rsidP="00E90780">
      <w:pPr>
        <w:pStyle w:val="Heading1"/>
      </w:pPr>
      <w:bookmarkStart w:id="4" w:name="_Toc184733584"/>
      <w:r>
        <w:lastRenderedPageBreak/>
        <w:t xml:space="preserve">Relationship to </w:t>
      </w:r>
      <w:r w:rsidR="001C19DE">
        <w:t>l</w:t>
      </w:r>
      <w:r>
        <w:t xml:space="preserve">icence and other </w:t>
      </w:r>
      <w:r w:rsidR="001C19DE">
        <w:t>r</w:t>
      </w:r>
      <w:r>
        <w:t xml:space="preserve">elevant </w:t>
      </w:r>
      <w:r w:rsidR="001C19DE">
        <w:t>l</w:t>
      </w:r>
      <w:r>
        <w:t>egislation</w:t>
      </w:r>
      <w:bookmarkEnd w:id="4"/>
      <w:r>
        <w:t xml:space="preserve"> </w:t>
      </w:r>
    </w:p>
    <w:p w14:paraId="742A9437" w14:textId="15D4AE9C" w:rsidR="000950B3" w:rsidRDefault="0033414A" w:rsidP="000A51C3">
      <w:pPr>
        <w:pStyle w:val="F9-Paragraph"/>
      </w:pPr>
      <w:r>
        <w:t>Licence Condition (LC) 21 – Commissioning applies to this TAG, in particular</w:t>
      </w:r>
      <w:r w:rsidR="00C47E21">
        <w:t xml:space="preserve"> </w:t>
      </w:r>
      <w:sdt>
        <w:sdtPr>
          <w:id w:val="-1794428841"/>
          <w:citation/>
        </w:sdtPr>
        <w:sdtEndPr/>
        <w:sdtContent>
          <w:r w:rsidR="00C47E21">
            <w:fldChar w:fldCharType="begin"/>
          </w:r>
          <w:r w:rsidR="00C47E21">
            <w:instrText xml:space="preserve"> CITATION ONR \l 2057 </w:instrText>
          </w:r>
          <w:r w:rsidR="00C47E21">
            <w:fldChar w:fldCharType="separate"/>
          </w:r>
          <w:r w:rsidR="00C47E21">
            <w:rPr>
              <w:noProof/>
            </w:rPr>
            <w:t>[2]</w:t>
          </w:r>
          <w:r w:rsidR="00C47E21">
            <w:fldChar w:fldCharType="end"/>
          </w:r>
        </w:sdtContent>
      </w:sdt>
      <w:r w:rsidR="00046936">
        <w:t>.</w:t>
      </w:r>
    </w:p>
    <w:p w14:paraId="07230722" w14:textId="77777777" w:rsidR="0033414A" w:rsidRPr="00140E1C" w:rsidRDefault="0033414A" w:rsidP="0033414A">
      <w:pPr>
        <w:pStyle w:val="F9-Paragraph"/>
        <w:numPr>
          <w:ilvl w:val="0"/>
          <w:numId w:val="0"/>
        </w:numPr>
        <w:ind w:left="851"/>
      </w:pPr>
    </w:p>
    <w:p w14:paraId="219A98D5" w14:textId="41280D76" w:rsidR="00140E1C" w:rsidRDefault="000950B3" w:rsidP="00E90780">
      <w:pPr>
        <w:pStyle w:val="Heading1"/>
      </w:pPr>
      <w:bookmarkStart w:id="5" w:name="_Toc184733585"/>
      <w:r w:rsidRPr="000950B3">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w:t>
      </w:r>
      <w:r w:rsidR="001C19DE">
        <w:t>G</w:t>
      </w:r>
      <w:r w:rsidR="00F7687C">
        <w:t>uides</w:t>
      </w:r>
      <w:bookmarkEnd w:id="5"/>
    </w:p>
    <w:p w14:paraId="4B1D9A65" w14:textId="0A8C91F0" w:rsidR="0033414A" w:rsidRDefault="0033414A" w:rsidP="0033414A">
      <w:pPr>
        <w:pStyle w:val="F9-Paragraph"/>
      </w:pPr>
      <w:r>
        <w:t xml:space="preserve">This guidance enlarges on that guidance provided in the SAPs </w:t>
      </w:r>
      <w:sdt>
        <w:sdtPr>
          <w:id w:val="2145465823"/>
          <w:citation/>
        </w:sdtPr>
        <w:sdtEndPr/>
        <w:sdtContent>
          <w:r>
            <w:fldChar w:fldCharType="begin"/>
          </w:r>
          <w:r>
            <w:instrText xml:space="preserve"> CITATION ONR2013 \l 2057 </w:instrText>
          </w:r>
          <w:r>
            <w:fldChar w:fldCharType="separate"/>
          </w:r>
          <w:r>
            <w:rPr>
              <w:noProof/>
            </w:rPr>
            <w:t>[1]</w:t>
          </w:r>
          <w:r>
            <w:fldChar w:fldCharType="end"/>
          </w:r>
        </w:sdtContent>
      </w:sdt>
      <w:r>
        <w:t>, notably Principle ECM.1 and its associated discussion paragraphs.</w:t>
      </w:r>
    </w:p>
    <w:p w14:paraId="49B8E204" w14:textId="2473BCD1" w:rsidR="0033414A" w:rsidRDefault="0033414A" w:rsidP="0033414A">
      <w:pPr>
        <w:pStyle w:val="F9-Paragraph"/>
      </w:pPr>
      <w:r>
        <w:t xml:space="preserve">Commissioning is mentioned in the WENRA Reference Levels document </w:t>
      </w:r>
      <w:sdt>
        <w:sdtPr>
          <w:id w:val="1516495080"/>
          <w:citation/>
        </w:sdtPr>
        <w:sdtEndPr/>
        <w:sdtContent>
          <w:r>
            <w:fldChar w:fldCharType="begin"/>
          </w:r>
          <w:r>
            <w:instrText xml:space="preserve"> CITATION WEN \l 2057 </w:instrText>
          </w:r>
          <w:r>
            <w:fldChar w:fldCharType="separate"/>
          </w:r>
          <w:r>
            <w:rPr>
              <w:noProof/>
            </w:rPr>
            <w:t>[2]</w:t>
          </w:r>
          <w:r>
            <w:fldChar w:fldCharType="end"/>
          </w:r>
        </w:sdtContent>
      </w:sdt>
      <w:r>
        <w:t>, generally with respect to the need to carry out commissioning in relevant circumstances, but details of how it should be conducted are not included.</w:t>
      </w:r>
    </w:p>
    <w:p w14:paraId="54C39EAD" w14:textId="6BEA11B8" w:rsidR="0033414A" w:rsidRDefault="0033414A" w:rsidP="0033414A">
      <w:pPr>
        <w:pStyle w:val="F9-Paragraph"/>
      </w:pPr>
      <w:r>
        <w:t xml:space="preserve">The guidance in this document is consistent with the high-level commissioning guidance provided in IAEA Safety Guide, ‘SSG-39 - Design of Instrumentation and Control Systems for Nuclear Power Plant’ </w:t>
      </w:r>
      <w:sdt>
        <w:sdtPr>
          <w:id w:val="-324973469"/>
          <w:citation/>
        </w:sdtPr>
        <w:sdtEndPr/>
        <w:sdtContent>
          <w:r>
            <w:fldChar w:fldCharType="begin"/>
          </w:r>
          <w:r>
            <w:instrText xml:space="preserve"> CITATION IAE169 \l 2057 </w:instrText>
          </w:r>
          <w:r>
            <w:fldChar w:fldCharType="separate"/>
          </w:r>
          <w:r>
            <w:rPr>
              <w:noProof/>
            </w:rPr>
            <w:t>[3]</w:t>
          </w:r>
          <w:r>
            <w:fldChar w:fldCharType="end"/>
          </w:r>
        </w:sdtContent>
      </w:sdt>
      <w:r>
        <w:t>.</w:t>
      </w:r>
    </w:p>
    <w:p w14:paraId="3D323053" w14:textId="77777777" w:rsidR="0033414A" w:rsidRDefault="0033414A" w:rsidP="00E90780">
      <w:pPr>
        <w:pStyle w:val="Heading1"/>
        <w:sectPr w:rsidR="0033414A" w:rsidSect="000B2BCD">
          <w:pgSz w:w="11906" w:h="16838" w:code="9"/>
          <w:pgMar w:top="1440" w:right="1440" w:bottom="1440" w:left="1440" w:header="397" w:footer="397" w:gutter="0"/>
          <w:cols w:space="312"/>
          <w:docGrid w:linePitch="360"/>
        </w:sectPr>
      </w:pPr>
    </w:p>
    <w:p w14:paraId="5255232C" w14:textId="7A23F3B6" w:rsidR="00F7687C" w:rsidRDefault="00F7687C" w:rsidP="00E90780">
      <w:pPr>
        <w:pStyle w:val="Heading1"/>
      </w:pPr>
      <w:bookmarkStart w:id="6" w:name="_Toc184733586"/>
      <w:r>
        <w:lastRenderedPageBreak/>
        <w:t xml:space="preserve">Advice to </w:t>
      </w:r>
      <w:r w:rsidR="001C19DE">
        <w:t>i</w:t>
      </w:r>
      <w:r>
        <w:t>nspectors</w:t>
      </w:r>
      <w:bookmarkEnd w:id="6"/>
    </w:p>
    <w:p w14:paraId="069355D5" w14:textId="3EE1C297" w:rsidR="00C47E21" w:rsidRDefault="00C47E21" w:rsidP="00C47E21">
      <w:pPr>
        <w:pStyle w:val="Heading2"/>
      </w:pPr>
      <w:bookmarkStart w:id="7" w:name="_Ref184733035"/>
      <w:r>
        <w:t>Objectives of commissioning</w:t>
      </w:r>
      <w:bookmarkEnd w:id="7"/>
    </w:p>
    <w:p w14:paraId="3D2920C7" w14:textId="7C17E374" w:rsidR="00C47E21" w:rsidRDefault="00C47E21" w:rsidP="00C47E21">
      <w:pPr>
        <w:pStyle w:val="F9-Paragraph"/>
      </w:pPr>
      <w:r>
        <w:t>“Commissioning” is defined by LC 1 as:</w:t>
      </w:r>
    </w:p>
    <w:p w14:paraId="734DC07F" w14:textId="61C863F9" w:rsidR="00C47E21" w:rsidRDefault="00C47E21" w:rsidP="00C47E21">
      <w:pPr>
        <w:pStyle w:val="QuoteText"/>
      </w:pPr>
      <w:r>
        <w:t xml:space="preserve">“the process during which plant components and systems, having been constructed or modified, are made operational and verified to be in accordance with design assumptions and to have met the appropriate safety criteria.” </w:t>
      </w:r>
      <w:sdt>
        <w:sdtPr>
          <w:id w:val="-537818945"/>
          <w:citation/>
        </w:sdtPr>
        <w:sdtEndPr/>
        <w:sdtContent>
          <w:r>
            <w:fldChar w:fldCharType="begin"/>
          </w:r>
          <w:r>
            <w:instrText xml:space="preserve"> CITATION ONR \l 2057 </w:instrText>
          </w:r>
          <w:r>
            <w:fldChar w:fldCharType="separate"/>
          </w:r>
          <w:r w:rsidRPr="00C47E21">
            <w:rPr>
              <w:noProof/>
            </w:rPr>
            <w:t>[2]</w:t>
          </w:r>
          <w:r>
            <w:fldChar w:fldCharType="end"/>
          </w:r>
        </w:sdtContent>
      </w:sdt>
    </w:p>
    <w:p w14:paraId="5D506F25" w14:textId="6DDB3A26" w:rsidR="00C47E21" w:rsidRDefault="00C47E21" w:rsidP="00C47E21">
      <w:pPr>
        <w:pStyle w:val="F9-Paragraph"/>
      </w:pPr>
      <w:r>
        <w:t>Put another way, commissioning consists of the in-situ testing of equipment and systems that have not yet contributed to normal operation of a plant. It is carried out in order to verify that all systems meet their design functional requirements and achieve a satisfactory performance. Any shortcomings are to be revealed and corrected.</w:t>
      </w:r>
    </w:p>
    <w:p w14:paraId="71C4C311" w14:textId="2A0D82D0" w:rsidR="00C47E21" w:rsidRDefault="00C47E21" w:rsidP="00C47E21">
      <w:pPr>
        <w:pStyle w:val="F9-Paragraph"/>
      </w:pPr>
      <w:r>
        <w:t>Commissioning in general is primarily concerned with proving functionality, and the inspector’s task is concerned with assessing the subset of activities relating to nuclear safety, i.e.</w:t>
      </w:r>
      <w:r w:rsidR="006677FE">
        <w:t>,</w:t>
      </w:r>
      <w:r>
        <w:t xml:space="preserve"> concern with the commissioning of C&amp;I systems and equipment providing nuclear safety functions.</w:t>
      </w:r>
    </w:p>
    <w:p w14:paraId="247C6135" w14:textId="709466EC" w:rsidR="00C47E21" w:rsidRDefault="00C47E21" w:rsidP="00C47E21">
      <w:pPr>
        <w:pStyle w:val="F9-Paragraph"/>
      </w:pPr>
      <w:r>
        <w:t>In particular, the licensee’s commissioning arrangements should include the setting to work of systems, validation of design assumptions, proving of system capability at all stages of integration, validation of operating, emergency and maintenance procedures, verification and optimisation of overall performance, and the training of personnel. With respect to nuclear safety, the functionality of all C&amp;I safety systems and equipment should be established and where, in the Design Safety Report (DSR) or its equivalent, there are testable safety claims, then they should be confirmed during commissioning. The licensee’s procedures should indicate how all such instances are to be identified.</w:t>
      </w:r>
    </w:p>
    <w:p w14:paraId="52A9F5CF" w14:textId="19D09C90" w:rsidR="00C47E21" w:rsidRDefault="00C47E21" w:rsidP="00C47E21">
      <w:pPr>
        <w:pStyle w:val="F9-Paragraph"/>
      </w:pPr>
      <w:r>
        <w:t>A summary of the objectives and principal features of C&amp;I commissioning is provided below:</w:t>
      </w:r>
    </w:p>
    <w:p w14:paraId="651A8638" w14:textId="77777777" w:rsidR="00C47E21" w:rsidRDefault="00C47E21" w:rsidP="00C47E21">
      <w:pPr>
        <w:pStyle w:val="NumList2"/>
      </w:pPr>
      <w:r>
        <w:t>Commissioning should follow an orderly pre-defined process, the scope of which is defined in a schedule.</w:t>
      </w:r>
    </w:p>
    <w:p w14:paraId="117381E4" w14:textId="37B8E40E" w:rsidR="00C47E21" w:rsidRDefault="00C47E21" w:rsidP="00C47E21">
      <w:pPr>
        <w:pStyle w:val="NumList2"/>
      </w:pPr>
      <w:r>
        <w:t>The starting point in producing a commissioning schedule is the development of a commissioning strategy. The strategy should define the intended testing phases, the scope of each phase, and justify the adequacy of the commissioning strategy (taking into account other relevant factors such as the safety significance of the equipment to be commissioned and the known extent of pre-installation testing). The commissioning schedule should define clear acceptance criteria for each commissioning activity.</w:t>
      </w:r>
    </w:p>
    <w:p w14:paraId="1AB79861" w14:textId="77777777" w:rsidR="00C47E21" w:rsidRDefault="00C47E21" w:rsidP="00C47E21">
      <w:pPr>
        <w:pStyle w:val="NumList2"/>
        <w:sectPr w:rsidR="00C47E21" w:rsidSect="000B2BCD">
          <w:pgSz w:w="11906" w:h="16838" w:code="9"/>
          <w:pgMar w:top="1440" w:right="1440" w:bottom="1440" w:left="1440" w:header="397" w:footer="397" w:gutter="0"/>
          <w:cols w:space="312"/>
          <w:docGrid w:linePitch="360"/>
        </w:sectPr>
      </w:pPr>
    </w:p>
    <w:p w14:paraId="217BB181" w14:textId="0606E43A" w:rsidR="00C47E21" w:rsidRDefault="00C47E21" w:rsidP="00C47E21">
      <w:pPr>
        <w:pStyle w:val="NumList2"/>
      </w:pPr>
      <w:r>
        <w:lastRenderedPageBreak/>
        <w:t>The scope of commissioning does not normally extend to the testing of the internal sub-system functions in isolation, although evidence (at some level, depending upon the safety significance and upon the design of the system) of their satisfactory testing (e.g., prior to commissioning) would be an expected component of the safety case. The licensee should be able to demonstrate that, within the totality of the testing to be performed (i.e., commissioning together with all recorded earlier testing), every function of a system has been tested successfully at least once, and that testing has not been invalidated by any subsequent system changes.</w:t>
      </w:r>
    </w:p>
    <w:p w14:paraId="6F710616" w14:textId="77777777" w:rsidR="00C47E21" w:rsidRDefault="00C47E21" w:rsidP="00C47E21">
      <w:pPr>
        <w:pStyle w:val="NumList2"/>
      </w:pPr>
      <w:r>
        <w:t>Testing of C&amp;I system-level functions should be carried out against the system requirements specification (and the specification of any additional system-level features emanating from the system design specification) to demonstrate correct operation as an integrated plant system.</w:t>
      </w:r>
    </w:p>
    <w:p w14:paraId="7EF8CF2B" w14:textId="59C6566E" w:rsidR="00C47E21" w:rsidRDefault="00C47E21" w:rsidP="00C47E21">
      <w:pPr>
        <w:pStyle w:val="NumList2"/>
      </w:pPr>
      <w:r>
        <w:t>Commissioning activities may take place at various stages during the construction of a plant since, once an item is installed, the testing of aspects of its functionality (</w:t>
      </w:r>
      <w:r w:rsidR="006677FE">
        <w:t>e.g.,</w:t>
      </w:r>
      <w:r>
        <w:t xml:space="preserve"> leak tightness, the required responsiveness of a gas detector, the calibration of a remote position measurement system, etc</w:t>
      </w:r>
      <w:r w:rsidR="006677FE">
        <w:t>.</w:t>
      </w:r>
      <w:r>
        <w:t>) may need to be undertaken before access becomes impeded by the installation of other plant items.</w:t>
      </w:r>
    </w:p>
    <w:p w14:paraId="075C0A34" w14:textId="77777777" w:rsidR="00C47E21" w:rsidRDefault="00C47E21" w:rsidP="00C47E21">
      <w:pPr>
        <w:pStyle w:val="NumList2"/>
      </w:pPr>
      <w:r>
        <w:t>Validation of the required relationships between measured variables and safety parameters should be performed with the system in the actual operational plant configuration (to the extent practicable).</w:t>
      </w:r>
    </w:p>
    <w:p w14:paraId="20564093" w14:textId="77777777" w:rsidR="00C47E21" w:rsidRDefault="00C47E21" w:rsidP="00C47E21">
      <w:pPr>
        <w:pStyle w:val="NumList2"/>
      </w:pPr>
      <w:r>
        <w:t>Commissioning generally provides an opportunity to train the maintenance and operational staff, and similarly to confirm the details of the training necessary to give personnel the required competencies to operate/maintain the plant successfully.</w:t>
      </w:r>
    </w:p>
    <w:p w14:paraId="070E6D7B" w14:textId="221CED5B" w:rsidR="00C47E21" w:rsidRDefault="00C47E21" w:rsidP="00C47E21">
      <w:pPr>
        <w:pStyle w:val="NumList2"/>
      </w:pPr>
      <w:r>
        <w:t>The correct operation of system diagnostic facilities and the practicability of online maintenance should be confirmed.</w:t>
      </w:r>
    </w:p>
    <w:p w14:paraId="0B07801B" w14:textId="77777777" w:rsidR="00C47E21" w:rsidRDefault="00C47E21" w:rsidP="00C47E21">
      <w:pPr>
        <w:pStyle w:val="NumList2"/>
      </w:pPr>
      <w:r>
        <w:t>Commissioning, because of its nature and limited duration, does not lend itself to proving of system numerical reliability targets, although enhanced confidence in the achievement of a lower reliability bound might, in principle, be achieved.</w:t>
      </w:r>
    </w:p>
    <w:p w14:paraId="0BC4D217" w14:textId="6A744EFF" w:rsidR="00C47E21" w:rsidRDefault="00C47E21" w:rsidP="00C47E21">
      <w:pPr>
        <w:pStyle w:val="NumList2"/>
        <w:ind w:left="1701"/>
      </w:pPr>
      <w:r>
        <w:t>Checking of the completeness and usability of system manuals/drawings and procedures should be included as part of the commissioning process.</w:t>
      </w:r>
    </w:p>
    <w:p w14:paraId="785EE8B8" w14:textId="77777777" w:rsidR="00C47E21" w:rsidRDefault="00C47E21" w:rsidP="00C47E21">
      <w:pPr>
        <w:pStyle w:val="Heading2"/>
        <w:sectPr w:rsidR="00C47E21" w:rsidSect="000B2BCD">
          <w:pgSz w:w="11906" w:h="16838" w:code="9"/>
          <w:pgMar w:top="1440" w:right="1440" w:bottom="1440" w:left="1440" w:header="397" w:footer="397" w:gutter="0"/>
          <w:cols w:space="312"/>
          <w:docGrid w:linePitch="360"/>
        </w:sectPr>
      </w:pPr>
    </w:p>
    <w:p w14:paraId="18BC8590" w14:textId="465C621C" w:rsidR="00C47E21" w:rsidRPr="00F33018" w:rsidRDefault="00C47E21" w:rsidP="00C47E21">
      <w:pPr>
        <w:pStyle w:val="Heading2"/>
        <w:rPr>
          <w:b/>
        </w:rPr>
      </w:pPr>
      <w:bookmarkStart w:id="8" w:name="_Ref184733045"/>
      <w:r>
        <w:lastRenderedPageBreak/>
        <w:t>Commissioning objectives - Discussion</w:t>
      </w:r>
      <w:bookmarkEnd w:id="8"/>
    </w:p>
    <w:p w14:paraId="135CAA8D" w14:textId="6939D0C1" w:rsidR="00C47E21" w:rsidRDefault="00C47E21" w:rsidP="00C47E21">
      <w:pPr>
        <w:pStyle w:val="F9-Paragraph"/>
      </w:pPr>
      <w:r>
        <w:t>The commissioning philosophy should be based on the concept of ‘MAKE NO ASSUMPTIONS’. All plant items from individual components to integrated systems should be proved, under the full range of operating conditions (including reasonably foreseeable or all identified fault conditions) likely to be encountered, and safety systems that are required to function under unusual or adverse conditions should be tested under these actual or simulated conditions.</w:t>
      </w:r>
    </w:p>
    <w:p w14:paraId="65079067" w14:textId="7FA164EB" w:rsidR="00C47E21" w:rsidRDefault="00C47E21" w:rsidP="00C47E21">
      <w:pPr>
        <w:pStyle w:val="F9-Paragraph"/>
      </w:pPr>
      <w:r>
        <w:t>This philosophy represents a doctrine of perfection, and it should be recognised that this can never be achieved fully during the commissioning phase of a project, but the aim should be to come as close as possible to this ideal, especially for safety systems. The inspector should scope the assessment accordingly, and seek additional tests or explicit justification where there are significant shortfalls. The licensee should have in place:</w:t>
      </w:r>
    </w:p>
    <w:p w14:paraId="216FF8B3" w14:textId="77777777" w:rsidR="00C47E21" w:rsidRDefault="00C47E21" w:rsidP="00C47E21">
      <w:pPr>
        <w:pStyle w:val="NumList2"/>
        <w:numPr>
          <w:ilvl w:val="1"/>
          <w:numId w:val="37"/>
        </w:numPr>
      </w:pPr>
      <w:r>
        <w:t>a safety justification for the adequacy of commissioning, with a supporting fault analyses where there is significant fault potential;</w:t>
      </w:r>
    </w:p>
    <w:p w14:paraId="4CA2506F" w14:textId="77777777" w:rsidR="00C47E21" w:rsidRDefault="00C47E21" w:rsidP="00C47E21">
      <w:pPr>
        <w:pStyle w:val="NumList2"/>
        <w:numPr>
          <w:ilvl w:val="1"/>
          <w:numId w:val="37"/>
        </w:numPr>
      </w:pPr>
      <w:r>
        <w:t>a schedule of specific commissioning tests that encompass all C&amp;I equipment and systems, and which will prove the C&amp;I design assumptions that are associated with safety;</w:t>
      </w:r>
    </w:p>
    <w:p w14:paraId="4260A701" w14:textId="77777777" w:rsidR="00C47E21" w:rsidRDefault="00C47E21" w:rsidP="00C47E21">
      <w:pPr>
        <w:pStyle w:val="NumList2"/>
        <w:numPr>
          <w:ilvl w:val="1"/>
          <w:numId w:val="37"/>
        </w:numPr>
      </w:pPr>
      <w:r>
        <w:t xml:space="preserve">documented arrangements to cover test failures (possibly resulting in modification/corrections to test procedures, modification to the system and subsequent re-test or modifications to the system requirements/concessions); </w:t>
      </w:r>
    </w:p>
    <w:p w14:paraId="21E15263" w14:textId="6BAB3E16" w:rsidR="00C47E21" w:rsidRDefault="00C47E21" w:rsidP="00C47E21">
      <w:pPr>
        <w:pStyle w:val="NumList2"/>
        <w:numPr>
          <w:ilvl w:val="1"/>
          <w:numId w:val="37"/>
        </w:numPr>
      </w:pPr>
      <w:r>
        <w:t xml:space="preserve">effective </w:t>
      </w:r>
      <w:r w:rsidR="006677FE">
        <w:t>q</w:t>
      </w:r>
      <w:r>
        <w:t xml:space="preserve">uality </w:t>
      </w:r>
      <w:r w:rsidR="006677FE">
        <w:t>a</w:t>
      </w:r>
      <w:r>
        <w:t xml:space="preserve">ssurance </w:t>
      </w:r>
      <w:r w:rsidR="006677FE">
        <w:t xml:space="preserve">(QA) </w:t>
      </w:r>
      <w:r>
        <w:t xml:space="preserve">arrangements </w:t>
      </w:r>
      <w:r w:rsidR="006677FE">
        <w:t>and</w:t>
      </w:r>
      <w:r>
        <w:t xml:space="preserve"> clear management structures with defined responsibilities covering safety of staff, document approval and test completion signoff;</w:t>
      </w:r>
    </w:p>
    <w:p w14:paraId="05671D0D" w14:textId="77777777" w:rsidR="00C47E21" w:rsidRDefault="00C47E21" w:rsidP="00C47E21">
      <w:pPr>
        <w:pStyle w:val="NumList2"/>
        <w:numPr>
          <w:ilvl w:val="1"/>
          <w:numId w:val="37"/>
        </w:numPr>
      </w:pPr>
      <w:r>
        <w:t>appropriate lines of communication and accountability;</w:t>
      </w:r>
    </w:p>
    <w:p w14:paraId="29B2D6F7" w14:textId="77777777" w:rsidR="00C47E21" w:rsidRDefault="00C47E21" w:rsidP="00C47E21">
      <w:pPr>
        <w:pStyle w:val="NumList2"/>
        <w:numPr>
          <w:ilvl w:val="1"/>
          <w:numId w:val="37"/>
        </w:numPr>
      </w:pPr>
      <w:r>
        <w:t>interface arrangements for handover from the installation phase to the commissioning phase, and eventually to operations;</w:t>
      </w:r>
    </w:p>
    <w:p w14:paraId="2A460941" w14:textId="77777777" w:rsidR="00C47E21" w:rsidRDefault="00C47E21" w:rsidP="00C47E21">
      <w:pPr>
        <w:pStyle w:val="NumList2"/>
        <w:numPr>
          <w:ilvl w:val="1"/>
          <w:numId w:val="37"/>
        </w:numPr>
      </w:pPr>
      <w:r>
        <w:t>staff training and qualification procedures, with strict allocation of technical responsibilities;</w:t>
      </w:r>
    </w:p>
    <w:p w14:paraId="4A4A20B1" w14:textId="77777777" w:rsidR="00C47E21" w:rsidRDefault="00C47E21" w:rsidP="00C47E21">
      <w:pPr>
        <w:pStyle w:val="NumList2"/>
        <w:numPr>
          <w:ilvl w:val="1"/>
          <w:numId w:val="37"/>
        </w:numPr>
      </w:pPr>
      <w:r>
        <w:t>database facilities with controlled access for information recording and retrieving;</w:t>
      </w:r>
    </w:p>
    <w:p w14:paraId="6895759B" w14:textId="77777777" w:rsidR="00C47E21" w:rsidRDefault="00C47E21" w:rsidP="00C47E21">
      <w:pPr>
        <w:pStyle w:val="NumList2"/>
        <w:numPr>
          <w:ilvl w:val="1"/>
          <w:numId w:val="37"/>
        </w:numPr>
      </w:pPr>
      <w:r>
        <w:t>linked documentation to tie all aspects together into a coherent whole and to allow for evolution as experience is gained;</w:t>
      </w:r>
    </w:p>
    <w:p w14:paraId="7DF5FE35" w14:textId="77777777" w:rsidR="00C47E21" w:rsidRDefault="00C47E21" w:rsidP="00C47E21">
      <w:pPr>
        <w:pStyle w:val="NumList2"/>
        <w:numPr>
          <w:ilvl w:val="1"/>
          <w:numId w:val="37"/>
        </w:numPr>
      </w:pPr>
      <w:r>
        <w:t>related security features, eg access control arrangements to prevent unwanted interference with equipment or systems; and</w:t>
      </w:r>
    </w:p>
    <w:p w14:paraId="7AB3AD51" w14:textId="77777777" w:rsidR="006677FE" w:rsidRDefault="006677FE" w:rsidP="00C47E21">
      <w:pPr>
        <w:pStyle w:val="NumList2"/>
        <w:numPr>
          <w:ilvl w:val="1"/>
          <w:numId w:val="37"/>
        </w:numPr>
        <w:sectPr w:rsidR="006677FE" w:rsidSect="000B2BCD">
          <w:pgSz w:w="11906" w:h="16838" w:code="9"/>
          <w:pgMar w:top="1440" w:right="1440" w:bottom="1440" w:left="1440" w:header="397" w:footer="397" w:gutter="0"/>
          <w:cols w:space="312"/>
          <w:docGrid w:linePitch="360"/>
        </w:sectPr>
      </w:pPr>
    </w:p>
    <w:p w14:paraId="4C0A236A" w14:textId="77777777" w:rsidR="00C47E21" w:rsidRDefault="00C47E21" w:rsidP="00C47E21">
      <w:pPr>
        <w:pStyle w:val="NumList2"/>
        <w:numPr>
          <w:ilvl w:val="1"/>
          <w:numId w:val="37"/>
        </w:numPr>
      </w:pPr>
      <w:r>
        <w:lastRenderedPageBreak/>
        <w:t>documentation covering;</w:t>
      </w:r>
    </w:p>
    <w:p w14:paraId="15712862" w14:textId="77777777" w:rsidR="00C47E21" w:rsidRDefault="00C47E21" w:rsidP="00C47E21">
      <w:pPr>
        <w:pStyle w:val="NumList2"/>
        <w:numPr>
          <w:ilvl w:val="2"/>
          <w:numId w:val="37"/>
        </w:numPr>
      </w:pPr>
      <w:r>
        <w:t>commissioning test procedures for each phase with statements detailing the objective of each test, appropriate acceptance criteria, prerequisites and post-test actions;</w:t>
      </w:r>
    </w:p>
    <w:p w14:paraId="4C2D8E1F" w14:textId="72449C8E" w:rsidR="00C47E21" w:rsidRDefault="00C47E21" w:rsidP="00C47E21">
      <w:pPr>
        <w:pStyle w:val="NumList2"/>
        <w:numPr>
          <w:ilvl w:val="2"/>
          <w:numId w:val="37"/>
        </w:numPr>
      </w:pPr>
      <w:r>
        <w:t>QA arrangements and record keeping</w:t>
      </w:r>
      <w:r w:rsidR="006677FE">
        <w:t>,</w:t>
      </w:r>
      <w:r>
        <w:t xml:space="preserve"> including traceability and the establishment of audit trails;</w:t>
      </w:r>
    </w:p>
    <w:p w14:paraId="6789B347" w14:textId="5E03A068" w:rsidR="00C47E21" w:rsidRDefault="00C47E21" w:rsidP="00C47E21">
      <w:pPr>
        <w:pStyle w:val="NumList2"/>
        <w:numPr>
          <w:ilvl w:val="2"/>
          <w:numId w:val="37"/>
        </w:numPr>
      </w:pPr>
      <w:r>
        <w:t>test failures;</w:t>
      </w:r>
    </w:p>
    <w:p w14:paraId="28AF8622" w14:textId="25C4CACE" w:rsidR="00C47E21" w:rsidRDefault="00C47E21" w:rsidP="00C47E21">
      <w:pPr>
        <w:pStyle w:val="NumList2"/>
        <w:numPr>
          <w:ilvl w:val="2"/>
          <w:numId w:val="37"/>
        </w:numPr>
      </w:pPr>
      <w:r>
        <w:t>arrangements covering the management of joint activities where more than one department is involved;</w:t>
      </w:r>
    </w:p>
    <w:p w14:paraId="70B989EF" w14:textId="3B73666B" w:rsidR="00C47E21" w:rsidRDefault="00C47E21" w:rsidP="00C47E21">
      <w:pPr>
        <w:pStyle w:val="NumList2"/>
        <w:numPr>
          <w:ilvl w:val="2"/>
          <w:numId w:val="37"/>
        </w:numPr>
      </w:pPr>
      <w:r>
        <w:t>fault management, including contingency plans for unexpected events with potential to impact on safety during the commissioning process;</w:t>
      </w:r>
    </w:p>
    <w:p w14:paraId="18ED8FE3" w14:textId="6D64B847" w:rsidR="00C47E21" w:rsidRDefault="00C47E21" w:rsidP="00C47E21">
      <w:pPr>
        <w:pStyle w:val="NumList2"/>
        <w:numPr>
          <w:ilvl w:val="2"/>
          <w:numId w:val="37"/>
        </w:numPr>
      </w:pPr>
      <w:r>
        <w:t>temporary and permanent modifications;</w:t>
      </w:r>
    </w:p>
    <w:p w14:paraId="6CB5A6E4" w14:textId="250B65A0" w:rsidR="00C47E21" w:rsidRDefault="00C47E21" w:rsidP="00C47E21">
      <w:pPr>
        <w:pStyle w:val="NumList2"/>
        <w:numPr>
          <w:ilvl w:val="2"/>
          <w:numId w:val="37"/>
        </w:numPr>
      </w:pPr>
      <w:r>
        <w:t>specialist measures for dealing with novel processes or systems (the tests for which will need to incorporate type testing to some extent);</w:t>
      </w:r>
    </w:p>
    <w:p w14:paraId="0FD07836" w14:textId="5FFF925A" w:rsidR="00C47E21" w:rsidRDefault="00C47E21" w:rsidP="00C47E21">
      <w:pPr>
        <w:pStyle w:val="NumList2"/>
        <w:numPr>
          <w:ilvl w:val="2"/>
          <w:numId w:val="37"/>
        </w:numPr>
      </w:pPr>
      <w:r>
        <w:t>validation of maintenance procedures;</w:t>
      </w:r>
    </w:p>
    <w:p w14:paraId="4BA05B00" w14:textId="173DD15A" w:rsidR="00C47E21" w:rsidRDefault="00C47E21" w:rsidP="00C47E21">
      <w:pPr>
        <w:pStyle w:val="NumList2"/>
        <w:numPr>
          <w:ilvl w:val="2"/>
          <w:numId w:val="37"/>
        </w:numPr>
      </w:pPr>
      <w:r>
        <w:t>confirmation of assumptions and testable claims made in the design safety justification;</w:t>
      </w:r>
    </w:p>
    <w:p w14:paraId="61CFEF5B" w14:textId="09ADEB8F" w:rsidR="00C47E21" w:rsidRDefault="00C47E21" w:rsidP="00C47E21">
      <w:pPr>
        <w:pStyle w:val="NumList2"/>
        <w:numPr>
          <w:ilvl w:val="2"/>
          <w:numId w:val="37"/>
        </w:numPr>
      </w:pPr>
      <w:r>
        <w:t>demonstration that no component or system is depended upon for safety purposes until it has been fully tested; and</w:t>
      </w:r>
    </w:p>
    <w:p w14:paraId="011E6688" w14:textId="39890EDB" w:rsidR="00C47E21" w:rsidRDefault="00C47E21" w:rsidP="00C47E21">
      <w:pPr>
        <w:pStyle w:val="NumList2"/>
        <w:numPr>
          <w:ilvl w:val="2"/>
          <w:numId w:val="37"/>
        </w:numPr>
      </w:pPr>
      <w:r>
        <w:t>justification of adequate safety where a system may be required to function without associated systems or components that would normally be present.</w:t>
      </w:r>
    </w:p>
    <w:p w14:paraId="0650152D" w14:textId="15DBE853" w:rsidR="00C47E21" w:rsidRDefault="00C47E21" w:rsidP="00C47E21">
      <w:pPr>
        <w:pStyle w:val="F9-Paragraph"/>
      </w:pPr>
      <w:r>
        <w:t xml:space="preserve">Commissioning should be a confidence building process carried out in a bottom up manner through gradually increasing levels of plant integration. There should be clear phase demarcations separating the levels, and especially before the introduction of radioactive material, </w:t>
      </w:r>
      <w:r w:rsidR="006677FE">
        <w:t>i.e.,</w:t>
      </w:r>
      <w:r>
        <w:t xml:space="preserve"> before the commencement of active commissioning (normally a regulatory hold point). Before commencing active commissioning a high level of confidence in the integrity of involved systems is required, in order to ensure that the associated risks are ALARP. Special conditions may apply at such times, since the plant may be only partially functional, and the radioactive material may be handled differently than during normal operation. The licensee must show that all credible risks have been considered, and that all systems needed to maintain safety have been properly commissioned and are functional. This consideration also applies to relevant supporting service functions such as ventilation, electrical supplies, instrument air, and supply of inactive materials such as feedstocks.</w:t>
      </w:r>
    </w:p>
    <w:p w14:paraId="49490171" w14:textId="77777777" w:rsidR="00C47E21" w:rsidRPr="009E7988" w:rsidRDefault="00C47E21" w:rsidP="00C47E21">
      <w:pPr>
        <w:pStyle w:val="Heading2"/>
      </w:pPr>
      <w:r w:rsidRPr="009E7988">
        <w:lastRenderedPageBreak/>
        <w:t>C&amp;I assessment guidance</w:t>
      </w:r>
    </w:p>
    <w:p w14:paraId="743EA129" w14:textId="77777777" w:rsidR="006677FE" w:rsidRDefault="00C47E21" w:rsidP="00C47E21">
      <w:pPr>
        <w:pStyle w:val="F9-Paragraph"/>
      </w:pPr>
      <w:r>
        <w:t xml:space="preserve">ONR C&amp;I assessment is generally undertaken as part of a much wider commissioning assessment co-ordinated by a project inspector. </w:t>
      </w:r>
      <w:r w:rsidR="006677FE">
        <w:br/>
      </w:r>
      <w:r>
        <w:t xml:space="preserve">Many aspects of this wider assessment have been outlined above and are addressed by </w:t>
      </w:r>
      <w:r w:rsidR="006677FE">
        <w:t>LC</w:t>
      </w:r>
      <w:r>
        <w:t xml:space="preserve"> 21 and related ONR guidance. Although there are specific matters that may directly concern of the C&amp;I specialist inspector, there are many other aspects that C&amp;I either interfaces with or is a part of. Liaison with other relevant inspectors is therefore essential to ensure adequate understanding of the processes involved. </w:t>
      </w:r>
    </w:p>
    <w:p w14:paraId="10C923D4" w14:textId="2AF42BBC" w:rsidR="00C47E21" w:rsidRDefault="00C47E21" w:rsidP="00C47E21">
      <w:pPr>
        <w:pStyle w:val="F9-Paragraph"/>
      </w:pPr>
      <w:r>
        <w:t>It is recommended to approach the assessment in a top-down manner, considering first all aspects of safety and function, and only then becoming involved in specific C&amp;I detail, (rather than attempting to consider C&amp;I in isolation). In this way the behaviour of the plant remains paramount, and the C&amp;I systems are assessed with this behaviour in mind.</w:t>
      </w:r>
    </w:p>
    <w:p w14:paraId="0F703317" w14:textId="0898DB46" w:rsidR="00C47E21" w:rsidRDefault="00C47E21" w:rsidP="00C47E21">
      <w:pPr>
        <w:pStyle w:val="F9-Paragraph"/>
      </w:pPr>
      <w:r>
        <w:t>General questions to be considered during the assessment of C&amp;I commissioning include:</w:t>
      </w:r>
    </w:p>
    <w:p w14:paraId="531D2778" w14:textId="7ACA544D" w:rsidR="00C47E21" w:rsidRDefault="00C47E21" w:rsidP="00C47E21">
      <w:pPr>
        <w:pStyle w:val="NumList2"/>
        <w:numPr>
          <w:ilvl w:val="1"/>
          <w:numId w:val="39"/>
        </w:numPr>
      </w:pPr>
      <w:r>
        <w:t xml:space="preserve">Are the proposed tests within the commissioning schedule considered sufficient to ensure that the safety system(s) are able </w:t>
      </w:r>
      <w:r w:rsidRPr="00C47E21">
        <w:rPr>
          <w:b/>
          <w:bCs w:val="0"/>
        </w:rPr>
        <w:t>fully</w:t>
      </w:r>
      <w:r>
        <w:t xml:space="preserve"> exercise their intended functions and adequately determine that their response to likely fault conditions meets specified requirements</w:t>
      </w:r>
      <w:r w:rsidR="006677FE">
        <w:t>?</w:t>
      </w:r>
    </w:p>
    <w:p w14:paraId="3983FFB3" w14:textId="26A1A7D9" w:rsidR="00C47E21" w:rsidRDefault="00C47E21" w:rsidP="00C47E21">
      <w:pPr>
        <w:pStyle w:val="NumList2"/>
        <w:numPr>
          <w:ilvl w:val="1"/>
          <w:numId w:val="39"/>
        </w:numPr>
      </w:pPr>
      <w:r>
        <w:t xml:space="preserve">Are the safety system tests adequate in scope </w:t>
      </w:r>
      <w:r w:rsidR="006677FE">
        <w:t>and</w:t>
      </w:r>
      <w:r>
        <w:t xml:space="preserve"> detail</w:t>
      </w:r>
      <w:r w:rsidR="006677FE">
        <w:t>?</w:t>
      </w:r>
    </w:p>
    <w:p w14:paraId="1B8646A3" w14:textId="36D090D0" w:rsidR="00C47E21" w:rsidRDefault="00C47E21" w:rsidP="00C47E21">
      <w:pPr>
        <w:pStyle w:val="NumList2"/>
        <w:numPr>
          <w:ilvl w:val="1"/>
          <w:numId w:val="39"/>
        </w:numPr>
      </w:pPr>
      <w:r>
        <w:t>Does the paperwork address all relevant aspects (i.e.</w:t>
      </w:r>
      <w:r w:rsidR="006677FE">
        <w:t>,</w:t>
      </w:r>
      <w:r>
        <w:t xml:space="preserve"> as covered in </w:t>
      </w:r>
      <w:r>
        <w:fldChar w:fldCharType="begin"/>
      </w:r>
      <w:r>
        <w:instrText xml:space="preserve"> REF _Ref184733035 \r \h </w:instrText>
      </w:r>
      <w:r>
        <w:fldChar w:fldCharType="separate"/>
      </w:r>
      <w:r>
        <w:rPr>
          <w:cs/>
        </w:rPr>
        <w:t>‎</w:t>
      </w:r>
      <w:r>
        <w:t>5.1</w:t>
      </w:r>
      <w:r>
        <w:fldChar w:fldCharType="end"/>
      </w:r>
      <w:r>
        <w:t xml:space="preserve"> and </w:t>
      </w:r>
      <w:r>
        <w:fldChar w:fldCharType="begin"/>
      </w:r>
      <w:r>
        <w:instrText xml:space="preserve"> REF _Ref184733045 \r \h </w:instrText>
      </w:r>
      <w:r>
        <w:fldChar w:fldCharType="separate"/>
      </w:r>
      <w:r>
        <w:rPr>
          <w:cs/>
        </w:rPr>
        <w:t>‎</w:t>
      </w:r>
      <w:r>
        <w:t>5.2</w:t>
      </w:r>
      <w:r>
        <w:fldChar w:fldCharType="end"/>
      </w:r>
      <w:r>
        <w:t>) adequately</w:t>
      </w:r>
      <w:r w:rsidR="006677FE">
        <w:t>?</w:t>
      </w:r>
    </w:p>
    <w:p w14:paraId="04F86D54" w14:textId="710D0E05" w:rsidR="00C47E21" w:rsidRDefault="00C47E21" w:rsidP="00C47E21">
      <w:pPr>
        <w:pStyle w:val="NumList2"/>
        <w:numPr>
          <w:ilvl w:val="1"/>
          <w:numId w:val="39"/>
        </w:numPr>
      </w:pPr>
      <w:r>
        <w:t>Has a structured and methodical approach been adopted for the testing of all systems, in particular for those embodying complexity</w:t>
      </w:r>
      <w:r w:rsidR="006677FE">
        <w:t>?</w:t>
      </w:r>
    </w:p>
    <w:p w14:paraId="63E9003C" w14:textId="05B03133" w:rsidR="00C47E21" w:rsidRDefault="00C47E21" w:rsidP="00C47E21">
      <w:pPr>
        <w:pStyle w:val="NumList2"/>
        <w:numPr>
          <w:ilvl w:val="1"/>
          <w:numId w:val="39"/>
        </w:numPr>
      </w:pPr>
      <w:r>
        <w:t>Are safety systems being commissioned adequately (during in-active commissioning) prior to introduction of radioactive materials into the facility (ie prior to the commencement of active commissioning)?</w:t>
      </w:r>
    </w:p>
    <w:p w14:paraId="7CBAF2D5" w14:textId="395BF17E" w:rsidR="00C47E21" w:rsidRDefault="00C47E21" w:rsidP="00C47E21">
      <w:pPr>
        <w:pStyle w:val="F9-Paragraph"/>
      </w:pPr>
      <w:r>
        <w:t>Subsystems will generally have been tested to some extent at manufacturers’ works prior to shipping, but inspectors should take into account that many aspects of these tests may have focused on contractual purposes and are therefore not normally claimed as part of the commissioning tests. However, if any such claims are made then, where relevant, these tests should be assessed by ONR in the same way as the site commissioning tests.</w:t>
      </w:r>
    </w:p>
    <w:p w14:paraId="1CDFBD38" w14:textId="77777777" w:rsidR="006677FE" w:rsidRDefault="006677FE" w:rsidP="00C47E21">
      <w:pPr>
        <w:pStyle w:val="F9-Paragraph"/>
        <w:sectPr w:rsidR="006677FE" w:rsidSect="000B2BCD">
          <w:pgSz w:w="11906" w:h="16838" w:code="9"/>
          <w:pgMar w:top="1440" w:right="1440" w:bottom="1440" w:left="1440" w:header="397" w:footer="397" w:gutter="0"/>
          <w:cols w:space="312"/>
          <w:docGrid w:linePitch="360"/>
        </w:sectPr>
      </w:pPr>
    </w:p>
    <w:p w14:paraId="2B02CAF1" w14:textId="74455DFD" w:rsidR="00C47E21" w:rsidRDefault="00C47E21" w:rsidP="00C47E21">
      <w:pPr>
        <w:pStyle w:val="F9-Paragraph"/>
      </w:pPr>
      <w:r>
        <w:lastRenderedPageBreak/>
        <w:t>It is not unusual during commissioning to have only parts of systems functional, so that much of the testing is carried out in circumstances that are different to those that will prevail during operation. In such circumstances</w:t>
      </w:r>
      <w:r w:rsidR="006677FE">
        <w:t>,</w:t>
      </w:r>
      <w:r>
        <w:t xml:space="preserve"> dummy inputs and outputs may be used, systems forced into unnatural configurations, and assumptions made about interfacing systems, all of which need to be shown not to invalidate the commissioning tests. </w:t>
      </w:r>
      <w:r w:rsidR="006677FE">
        <w:br/>
      </w:r>
      <w:r>
        <w:t>The inspector, supported as necessary by a C&amp;I specialist inspector for commissioning of computer based systems important to safety, should examine such cases carefully and challenge the assumptions being made where they are not adequately justified. The inspector should also take due account of the fact that system behaviour is often different under fully dynamic operational conditions compared to the relatively static conditions experienced during testing.</w:t>
      </w:r>
    </w:p>
    <w:p w14:paraId="2530593E" w14:textId="24339E96" w:rsidR="00C47E21" w:rsidRDefault="00C47E21" w:rsidP="00C47E21">
      <w:pPr>
        <w:pStyle w:val="F9-Paragraph"/>
      </w:pPr>
      <w:r>
        <w:t xml:space="preserve">A reasonable range of “robustness” type tests should be included during which systems are subjected to a certain amount of ‘stress’ testing. </w:t>
      </w:r>
      <w:r w:rsidR="006677FE">
        <w:br/>
      </w:r>
      <w:r>
        <w:t>This applies especially for systems that interface with operators and which have an extensive Human Machine Interface (HMI). For example, inputs should be applied in the wrong order and all at once; range end values should be applied; zero, out of range, and invalid values should be used; and values corresponding to failed sensors should also be used. The aim of such testing is to give confidence that the system can tolerate operator and interfacing systems faults without becoming deadlocked or failing in some other way. The scope of such testing should be related to the complexity and safety criticality of the system; the more complex or safety critical, the wider the scope of such testing should be. Such tests should be within the scope of the system specification where it explicitly requires particular performance under abnormal conditions, but the absence of such explicit aspects in the specification should not preclude such testing, since these aspects of system performance can easily be overlooked during system design.</w:t>
      </w:r>
    </w:p>
    <w:p w14:paraId="4ADC6342" w14:textId="1315513E" w:rsidR="00C47E21" w:rsidRDefault="00C47E21" w:rsidP="00C47E21">
      <w:pPr>
        <w:pStyle w:val="F9-Paragraph"/>
      </w:pPr>
      <w:r>
        <w:t>Ergonomic aspects (including task analysis assumptions) of control stations should be tested in conjunction with Human Factors specialists, as should other operator interacting arrangements such as alarm response strategies.</w:t>
      </w:r>
    </w:p>
    <w:p w14:paraId="03D8BC9D" w14:textId="2855E7A0" w:rsidR="00C47E21" w:rsidRDefault="00C47E21" w:rsidP="00C47E21">
      <w:pPr>
        <w:pStyle w:val="F9-Paragraph"/>
      </w:pPr>
      <w:r>
        <w:t>The extent of input and output range and combination testing should be examined, since usually only part-ranges and relatively few combinations are tested, it being assumed that all other inputs, other than the input currently under test, will behave appropriately. Generally, the greater the dependence for safety upon a system, the greater the required extent of such testing.</w:t>
      </w:r>
    </w:p>
    <w:p w14:paraId="2CC87A26" w14:textId="10E0017A" w:rsidR="00C47E21" w:rsidRDefault="00C47E21" w:rsidP="00C47E21">
      <w:pPr>
        <w:pStyle w:val="F9-Paragraph"/>
      </w:pPr>
      <w:r>
        <w:t xml:space="preserve">It should be verified that, at some stage during the integrated commissioning testing, full end-to-end tests (including logic, sequence, and timing aspects) are carried out for systems important to safety, </w:t>
      </w:r>
      <w:r w:rsidR="006677FE">
        <w:t>i.e.,</w:t>
      </w:r>
      <w:r>
        <w:t xml:space="preserve"> from sensor through to display and/or actuator. </w:t>
      </w:r>
    </w:p>
    <w:p w14:paraId="7CA54DDA" w14:textId="77777777" w:rsidR="006677FE" w:rsidRDefault="006677FE" w:rsidP="00C47E21">
      <w:pPr>
        <w:pStyle w:val="F9-Paragraph"/>
        <w:sectPr w:rsidR="006677FE" w:rsidSect="000B2BCD">
          <w:pgSz w:w="11906" w:h="16838" w:code="9"/>
          <w:pgMar w:top="1440" w:right="1440" w:bottom="1440" w:left="1440" w:header="397" w:footer="397" w:gutter="0"/>
          <w:cols w:space="312"/>
          <w:docGrid w:linePitch="360"/>
        </w:sectPr>
      </w:pPr>
    </w:p>
    <w:p w14:paraId="2202D69A" w14:textId="5EFBBA3D" w:rsidR="00C47E21" w:rsidRDefault="00C47E21" w:rsidP="00C47E21">
      <w:pPr>
        <w:pStyle w:val="F9-Paragraph"/>
      </w:pPr>
      <w:r>
        <w:lastRenderedPageBreak/>
        <w:t>Duration tests should be included for equipment that must function for prolonged periods, noting that a system may function effectively for a few minutes but this is an inadequate test if it will be required to run for hours. Problems such as overheating or vibration are likely to be revealed only by a suitably long operating test.</w:t>
      </w:r>
    </w:p>
    <w:p w14:paraId="61EFA0C5" w14:textId="6CA8AEA9" w:rsidR="00C47E21" w:rsidRDefault="00C47E21" w:rsidP="00C47E21">
      <w:pPr>
        <w:pStyle w:val="F9-Paragraph"/>
      </w:pPr>
      <w:r>
        <w:t xml:space="preserve">Power failure tests should be included for complete plant areas, and fuse failures should be simulated in order to cause partial power failure </w:t>
      </w:r>
      <w:r w:rsidR="006677FE">
        <w:br/>
      </w:r>
      <w:r>
        <w:t>(partial failure can be worse than complete failure since some equipment may still operate even though the equipment interfaces are unavailable). These tests should also include simulated supply fluctuations where equipment behaviour is sensitive to such fluctuations.</w:t>
      </w:r>
    </w:p>
    <w:p w14:paraId="40F782B4" w14:textId="4C63C4C9" w:rsidR="00C47E21" w:rsidRDefault="00C47E21" w:rsidP="00C47E21">
      <w:pPr>
        <w:pStyle w:val="F9-Paragraph"/>
      </w:pPr>
      <w:r>
        <w:t>Software-based systems should be subjected to special tests and procedures. These should cover as wide a range of operating circumstances as possible, since the possibility of design errors may be greater for software systems (due to the fact that they tend to be more complex than hardware-based systems) and extensive testing (often combined with rigorous analysis and verification procedures) should be performed to provide confidence that the risk of failure due to such errors has been adequately addressed prior to operation. In addition, procedures should be devised and approved to cater for configuration control, temporary and permanent modifications, access control and software security; to prevent unauthorised changes and to safeguard against cyber-attack. Temporary modifications may be set up within the software to facilitate the testing of specific functions. These should only be introduced when unavoidable and a log maintained to show their status. To guard against software corruption, the associated procedures should not allow the temporarily modified software to re-modified to have the changes removed, but should require the reloading of original software.</w:t>
      </w:r>
    </w:p>
    <w:p w14:paraId="725E04C3" w14:textId="3918A04B" w:rsidR="00C47E21" w:rsidRDefault="00C47E21" w:rsidP="00C47E21">
      <w:pPr>
        <w:pStyle w:val="F9-Paragraph"/>
      </w:pPr>
      <w:r>
        <w:t>Where there are data highways (generally but not always associated with software-based systems) data overload tests should be carried out to verify the capacity and time response of the receiving system during periods of high activity. There should be a comfortable margin between maximum capacity and expected maximum loading.</w:t>
      </w:r>
    </w:p>
    <w:p w14:paraId="1BE990B9" w14:textId="4AF8BA92" w:rsidR="00C47E21" w:rsidRDefault="00C47E21" w:rsidP="00C47E21">
      <w:pPr>
        <w:pStyle w:val="F9-Paragraph"/>
      </w:pPr>
      <w:r>
        <w:t>Validation of periodic proof tests should be carried out, both to establish the effectiveness of the proposed procedures (possibly by inclusion of seeded faults where there are doubts), and to confirm any assumptions that are implicit in the proof tests themselves. In some cases, it may be impracticable to permit a function to be tested during plant operation and it may be necessary to, for example, provide a substitute to check that a relay contact is made by confirming a short circuit between two terminal points. In such cases the assumption is that the terminal points are appropriate places to introduce such a short circuit, and the proof test validation procedure (performed when plant is not operational) should establish full end-to-end correct operation.</w:t>
      </w:r>
    </w:p>
    <w:p w14:paraId="60F7C2D7" w14:textId="77777777" w:rsidR="006677FE" w:rsidRDefault="006677FE" w:rsidP="00C47E21">
      <w:pPr>
        <w:pStyle w:val="F9-Paragraph"/>
        <w:sectPr w:rsidR="006677FE" w:rsidSect="000B2BCD">
          <w:pgSz w:w="11906" w:h="16838" w:code="9"/>
          <w:pgMar w:top="1440" w:right="1440" w:bottom="1440" w:left="1440" w:header="397" w:footer="397" w:gutter="0"/>
          <w:cols w:space="312"/>
          <w:docGrid w:linePitch="360"/>
        </w:sectPr>
      </w:pPr>
    </w:p>
    <w:p w14:paraId="6A61C1A0" w14:textId="6CA54488" w:rsidR="00C47E21" w:rsidRDefault="00C47E21" w:rsidP="00C47E21">
      <w:pPr>
        <w:pStyle w:val="F9-Paragraph"/>
      </w:pPr>
      <w:r>
        <w:lastRenderedPageBreak/>
        <w:t>Records of temporary modifications should be maintained and procedures implemented to ensure that systems are reinstated correctly, (</w:t>
      </w:r>
      <w:r w:rsidR="006677FE">
        <w:t>refer to</w:t>
      </w:r>
      <w:r>
        <w:t xml:space="preserve"> above for removal of temporary software modifications by the reloading of original software).</w:t>
      </w:r>
    </w:p>
    <w:p w14:paraId="434E0EB6" w14:textId="47388689" w:rsidR="00C47E21" w:rsidRDefault="00C47E21" w:rsidP="00C47E21">
      <w:pPr>
        <w:pStyle w:val="F9-Paragraph"/>
      </w:pPr>
      <w:r>
        <w:t>Where there are variable set points (</w:t>
      </w:r>
      <w:r w:rsidR="006677FE">
        <w:t>e.g.,</w:t>
      </w:r>
      <w:r>
        <w:t xml:space="preserve"> for control, protection or warning functions) tests should be carried out to verify correct function for values across the full operational setpoint range.</w:t>
      </w:r>
    </w:p>
    <w:p w14:paraId="24973210" w14:textId="42BE126E" w:rsidR="00C47E21" w:rsidRDefault="00C47E21" w:rsidP="00C47E21">
      <w:pPr>
        <w:pStyle w:val="F9-Paragraph"/>
      </w:pPr>
      <w:r>
        <w:t xml:space="preserve">Sensitive systems should be tested for susceptibility to electromagnetic interference, including electrostatic discharge. This applies especially where high power electrical equipment or cables are in close proximity to such systems. The potential impact of </w:t>
      </w:r>
      <w:r w:rsidR="006677FE">
        <w:t>s</w:t>
      </w:r>
      <w:r>
        <w:t xml:space="preserve">olar </w:t>
      </w:r>
      <w:r w:rsidR="006677FE">
        <w:t>s</w:t>
      </w:r>
      <w:r>
        <w:t>torms should be considered where relevant.</w:t>
      </w:r>
    </w:p>
    <w:p w14:paraId="57685066" w14:textId="5E59B78E" w:rsidR="00C47E21" w:rsidRDefault="00C47E21" w:rsidP="00C47E21">
      <w:pPr>
        <w:pStyle w:val="F9-Paragraph"/>
      </w:pPr>
      <w:r>
        <w:t>Where, after malfunction, operators are required to carry out diagnostic procedures, commissioning tests should be included to validate expected plant behaviour during such procedures.</w:t>
      </w:r>
    </w:p>
    <w:p w14:paraId="57E148EC" w14:textId="32E3996E" w:rsidR="00C47E21" w:rsidRDefault="00C47E21" w:rsidP="00C47E21">
      <w:pPr>
        <w:pStyle w:val="F9-Paragraph"/>
      </w:pPr>
      <w:r>
        <w:t>If a plant simulator is to be used to assist in carrying out control system tests, and if its accuracy is depended upon to any extent for safety, its fidelity should be established by specially designed simulator validation procedures.</w:t>
      </w:r>
    </w:p>
    <w:p w14:paraId="78B766D7" w14:textId="6081D871" w:rsidR="00C47E21" w:rsidRDefault="00C47E21" w:rsidP="00C47E21">
      <w:pPr>
        <w:pStyle w:val="F9-Paragraph"/>
      </w:pPr>
      <w:r>
        <w:t>Calibration procedures for temporary and permanent measuring instruments should be shown to be comprehensive and reliable, and such procedures should address instrument identification, certification, operation and calibration (at appropriate intervals).</w:t>
      </w:r>
    </w:p>
    <w:p w14:paraId="674A6F57" w14:textId="77777777" w:rsidR="006677FE" w:rsidRDefault="006677FE" w:rsidP="006677FE">
      <w:pPr>
        <w:pStyle w:val="F9-Paragraph"/>
        <w:numPr>
          <w:ilvl w:val="0"/>
          <w:numId w:val="0"/>
        </w:numPr>
        <w:ind w:left="851"/>
      </w:pPr>
    </w:p>
    <w:bookmarkStart w:id="9" w:name="_Toc184733587"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9"/>
        </w:p>
        <w:sdt>
          <w:sdtPr>
            <w:id w:val="700524479"/>
            <w:bibliography/>
          </w:sdtPr>
          <w:sdtEndPr/>
          <w:sdtContent>
            <w:p w14:paraId="436E8123" w14:textId="77777777" w:rsidR="006677FE"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6677FE" w14:paraId="4CFA699D" w14:textId="77777777">
                <w:trPr>
                  <w:divId w:val="84571863"/>
                  <w:tblCellSpacing w:w="15" w:type="dxa"/>
                </w:trPr>
                <w:tc>
                  <w:tcPr>
                    <w:tcW w:w="50" w:type="pct"/>
                    <w:hideMark/>
                  </w:tcPr>
                  <w:p w14:paraId="3AF87A8E" w14:textId="3873897E" w:rsidR="006677FE" w:rsidRDefault="006677FE" w:rsidP="006677FE">
                    <w:pPr>
                      <w:pStyle w:val="Bibliography"/>
                      <w:spacing w:after="120"/>
                      <w:rPr>
                        <w:noProof/>
                        <w:szCs w:val="24"/>
                      </w:rPr>
                    </w:pPr>
                    <w:r>
                      <w:rPr>
                        <w:noProof/>
                      </w:rPr>
                      <w:t xml:space="preserve">[1] </w:t>
                    </w:r>
                  </w:p>
                </w:tc>
                <w:tc>
                  <w:tcPr>
                    <w:tcW w:w="0" w:type="auto"/>
                    <w:hideMark/>
                  </w:tcPr>
                  <w:p w14:paraId="6982761F" w14:textId="77777777" w:rsidR="006677FE" w:rsidRDefault="006677FE" w:rsidP="006677FE">
                    <w:pPr>
                      <w:pStyle w:val="Bibliography"/>
                      <w:spacing w:after="120"/>
                      <w:rPr>
                        <w:noProof/>
                      </w:rPr>
                    </w:pPr>
                    <w:r>
                      <w:rPr>
                        <w:noProof/>
                      </w:rPr>
                      <w:t>ONR, “Safety Assessment Principles (SAPs) for Nuclear Facilities - 2014 Edition (Revision 1),” 2020.</w:t>
                    </w:r>
                  </w:p>
                </w:tc>
              </w:tr>
              <w:tr w:rsidR="006677FE" w14:paraId="0B03AEF9" w14:textId="77777777">
                <w:trPr>
                  <w:divId w:val="84571863"/>
                  <w:tblCellSpacing w:w="15" w:type="dxa"/>
                </w:trPr>
                <w:tc>
                  <w:tcPr>
                    <w:tcW w:w="50" w:type="pct"/>
                    <w:hideMark/>
                  </w:tcPr>
                  <w:p w14:paraId="3DB28A85" w14:textId="77777777" w:rsidR="006677FE" w:rsidRDefault="006677FE" w:rsidP="006677FE">
                    <w:pPr>
                      <w:pStyle w:val="Bibliography"/>
                      <w:spacing w:after="120"/>
                      <w:rPr>
                        <w:noProof/>
                      </w:rPr>
                    </w:pPr>
                    <w:r>
                      <w:rPr>
                        <w:noProof/>
                      </w:rPr>
                      <w:t xml:space="preserve">[2] </w:t>
                    </w:r>
                  </w:p>
                </w:tc>
                <w:tc>
                  <w:tcPr>
                    <w:tcW w:w="0" w:type="auto"/>
                    <w:hideMark/>
                  </w:tcPr>
                  <w:p w14:paraId="0578EC08" w14:textId="77777777" w:rsidR="006677FE" w:rsidRDefault="006677FE" w:rsidP="006677FE">
                    <w:pPr>
                      <w:pStyle w:val="Bibliography"/>
                      <w:spacing w:after="120"/>
                      <w:rPr>
                        <w:noProof/>
                      </w:rPr>
                    </w:pPr>
                    <w:r>
                      <w:rPr>
                        <w:noProof/>
                      </w:rPr>
                      <w:t>ONR, “Licence Condition Handbook,” 2017. [Online]. Available: https://www.onr.org.uk/media/gixbe2br/licence-condition-handbook.pdf.</w:t>
                    </w:r>
                  </w:p>
                </w:tc>
              </w:tr>
              <w:tr w:rsidR="006677FE" w14:paraId="7CF69993" w14:textId="77777777">
                <w:trPr>
                  <w:divId w:val="84571863"/>
                  <w:tblCellSpacing w:w="15" w:type="dxa"/>
                </w:trPr>
                <w:tc>
                  <w:tcPr>
                    <w:tcW w:w="50" w:type="pct"/>
                    <w:hideMark/>
                  </w:tcPr>
                  <w:p w14:paraId="275C458C" w14:textId="77777777" w:rsidR="006677FE" w:rsidRDefault="006677FE" w:rsidP="006677FE">
                    <w:pPr>
                      <w:pStyle w:val="Bibliography"/>
                      <w:spacing w:after="120"/>
                      <w:rPr>
                        <w:noProof/>
                      </w:rPr>
                    </w:pPr>
                    <w:r>
                      <w:rPr>
                        <w:noProof/>
                      </w:rPr>
                      <w:t xml:space="preserve">[3] </w:t>
                    </w:r>
                  </w:p>
                </w:tc>
                <w:tc>
                  <w:tcPr>
                    <w:tcW w:w="0" w:type="auto"/>
                    <w:hideMark/>
                  </w:tcPr>
                  <w:p w14:paraId="19E4E374" w14:textId="77777777" w:rsidR="006677FE" w:rsidRDefault="006677FE" w:rsidP="006677FE">
                    <w:pPr>
                      <w:pStyle w:val="Bibliography"/>
                      <w:spacing w:after="120"/>
                      <w:rPr>
                        <w:noProof/>
                      </w:rPr>
                    </w:pPr>
                    <w:r>
                      <w:rPr>
                        <w:noProof/>
                      </w:rPr>
                      <w:t>WENRA, “WENRA Safety Reference Levels for Existing Reactors (Revision 2020),” 2020. [Online]. Available: https://www.wenra.eu/node/86.</w:t>
                    </w:r>
                  </w:p>
                </w:tc>
              </w:tr>
              <w:tr w:rsidR="006677FE" w14:paraId="6DA87DA2" w14:textId="77777777">
                <w:trPr>
                  <w:divId w:val="84571863"/>
                  <w:tblCellSpacing w:w="15" w:type="dxa"/>
                </w:trPr>
                <w:tc>
                  <w:tcPr>
                    <w:tcW w:w="50" w:type="pct"/>
                    <w:hideMark/>
                  </w:tcPr>
                  <w:p w14:paraId="1B6EA4B3" w14:textId="77777777" w:rsidR="006677FE" w:rsidRDefault="006677FE" w:rsidP="006677FE">
                    <w:pPr>
                      <w:pStyle w:val="Bibliography"/>
                      <w:spacing w:after="120"/>
                      <w:rPr>
                        <w:noProof/>
                      </w:rPr>
                    </w:pPr>
                    <w:r>
                      <w:rPr>
                        <w:noProof/>
                      </w:rPr>
                      <w:t xml:space="preserve">[4] </w:t>
                    </w:r>
                  </w:p>
                </w:tc>
                <w:tc>
                  <w:tcPr>
                    <w:tcW w:w="0" w:type="auto"/>
                    <w:hideMark/>
                  </w:tcPr>
                  <w:p w14:paraId="7EB12A16" w14:textId="77777777" w:rsidR="006677FE" w:rsidRDefault="006677FE" w:rsidP="006677FE">
                    <w:pPr>
                      <w:pStyle w:val="Bibliography"/>
                      <w:spacing w:after="120"/>
                      <w:rPr>
                        <w:noProof/>
                      </w:rPr>
                    </w:pPr>
                    <w:r>
                      <w:rPr>
                        <w:noProof/>
                      </w:rPr>
                      <w:t>IAEA, “Safety Standards Series No. SSG-39 - Design of Instrumentation and Control Systems for Nuclear Power Plants,” 2016.</w:t>
                    </w:r>
                  </w:p>
                </w:tc>
              </w:tr>
            </w:tbl>
            <w:p w14:paraId="73E8A290" w14:textId="77777777" w:rsidR="006677FE" w:rsidRDefault="006677FE">
              <w:pPr>
                <w:divId w:val="84571863"/>
                <w:rPr>
                  <w:rFonts w:eastAsia="Times New Roman"/>
                  <w:noProof/>
                </w:rPr>
              </w:pPr>
            </w:p>
            <w:p w14:paraId="316D8711" w14:textId="175304A5" w:rsidR="00F7687C" w:rsidRDefault="00F7687C">
              <w:r>
                <w:rPr>
                  <w:b/>
                  <w:bCs/>
                  <w:noProof/>
                </w:rPr>
                <w:fldChar w:fldCharType="end"/>
              </w:r>
            </w:p>
          </w:sdtContent>
        </w:sdt>
      </w:sdtContent>
    </w:sdt>
    <w:p w14:paraId="4323F5E0" w14:textId="3268C166" w:rsidR="00F7687C" w:rsidRPr="003B4701" w:rsidRDefault="00F7687C" w:rsidP="00904152">
      <w:pPr>
        <w:pStyle w:val="Heading1"/>
        <w:numPr>
          <w:ilvl w:val="0"/>
          <w:numId w:val="0"/>
        </w:numPr>
        <w:ind w:left="851" w:hanging="851"/>
      </w:pPr>
      <w:bookmarkStart w:id="10" w:name="_Toc89268373"/>
      <w:bookmarkStart w:id="11" w:name="_Toc184733588"/>
      <w:r w:rsidRPr="003B4701">
        <w:lastRenderedPageBreak/>
        <w:t xml:space="preserve">Glossary and </w:t>
      </w:r>
      <w:r w:rsidR="001C19DE">
        <w:t>a</w:t>
      </w:r>
      <w:r w:rsidRPr="003B4701">
        <w:t>bbreviations</w:t>
      </w:r>
      <w:bookmarkEnd w:id="10"/>
      <w:bookmarkEnd w:id="11"/>
    </w:p>
    <w:p w14:paraId="39211A2B" w14:textId="77777777" w:rsidR="006677FE" w:rsidRDefault="006677FE" w:rsidP="006677FE">
      <w:pPr>
        <w:tabs>
          <w:tab w:val="left" w:pos="1440"/>
        </w:tabs>
        <w:spacing w:line="240" w:lineRule="auto"/>
        <w:contextualSpacing/>
      </w:pPr>
      <w:r>
        <w:t>ALARP</w:t>
      </w:r>
      <w:r>
        <w:tab/>
        <w:t>As Low As Reasonably Practicable</w:t>
      </w:r>
    </w:p>
    <w:p w14:paraId="7CDFE727" w14:textId="77777777" w:rsidR="006677FE" w:rsidRDefault="006677FE" w:rsidP="006677FE">
      <w:pPr>
        <w:tabs>
          <w:tab w:val="left" w:pos="1440"/>
        </w:tabs>
        <w:spacing w:line="240" w:lineRule="auto"/>
        <w:contextualSpacing/>
      </w:pPr>
      <w:r>
        <w:t>C&amp;I</w:t>
      </w:r>
      <w:r>
        <w:tab/>
        <w:t>Control and Instrumentation</w:t>
      </w:r>
    </w:p>
    <w:p w14:paraId="6B8675E1" w14:textId="6BA82E54" w:rsidR="006677FE" w:rsidRDefault="006677FE" w:rsidP="006677FE">
      <w:pPr>
        <w:tabs>
          <w:tab w:val="left" w:pos="1440"/>
        </w:tabs>
        <w:spacing w:line="240" w:lineRule="auto"/>
        <w:contextualSpacing/>
      </w:pPr>
      <w:r>
        <w:t>DSR</w:t>
      </w:r>
      <w:r>
        <w:tab/>
        <w:t>Design Safety Report</w:t>
      </w:r>
    </w:p>
    <w:p w14:paraId="360EE080" w14:textId="73C76710" w:rsidR="006677FE" w:rsidRDefault="006677FE" w:rsidP="006677FE">
      <w:pPr>
        <w:tabs>
          <w:tab w:val="left" w:pos="1440"/>
        </w:tabs>
        <w:spacing w:line="240" w:lineRule="auto"/>
        <w:contextualSpacing/>
      </w:pPr>
      <w:r>
        <w:t>HMI</w:t>
      </w:r>
      <w:r>
        <w:tab/>
        <w:t>Human Machine Interface</w:t>
      </w:r>
    </w:p>
    <w:p w14:paraId="34B3B390" w14:textId="614BDA9F" w:rsidR="006677FE" w:rsidRDefault="006677FE" w:rsidP="006677FE">
      <w:pPr>
        <w:tabs>
          <w:tab w:val="left" w:pos="1440"/>
        </w:tabs>
        <w:spacing w:line="240" w:lineRule="auto"/>
        <w:contextualSpacing/>
      </w:pPr>
      <w:r>
        <w:t>IAEA</w:t>
      </w:r>
      <w:r>
        <w:tab/>
        <w:t>International Atomic Energy Agency</w:t>
      </w:r>
    </w:p>
    <w:p w14:paraId="2EA9AC1E" w14:textId="1305770E" w:rsidR="006677FE" w:rsidRDefault="006677FE" w:rsidP="006677FE">
      <w:pPr>
        <w:tabs>
          <w:tab w:val="left" w:pos="1440"/>
        </w:tabs>
        <w:spacing w:line="240" w:lineRule="auto"/>
        <w:contextualSpacing/>
      </w:pPr>
      <w:r>
        <w:t>LC</w:t>
      </w:r>
      <w:r>
        <w:tab/>
        <w:t>Licence Condition</w:t>
      </w:r>
    </w:p>
    <w:p w14:paraId="6CFC6078" w14:textId="43C9C57A" w:rsidR="006677FE" w:rsidRDefault="006677FE" w:rsidP="006677FE">
      <w:pPr>
        <w:tabs>
          <w:tab w:val="left" w:pos="1440"/>
        </w:tabs>
        <w:spacing w:line="240" w:lineRule="auto"/>
        <w:contextualSpacing/>
      </w:pPr>
      <w:r>
        <w:t>MS</w:t>
      </w:r>
      <w:r>
        <w:tab/>
        <w:t>Management System</w:t>
      </w:r>
    </w:p>
    <w:p w14:paraId="290DCE89" w14:textId="77777777" w:rsidR="006677FE" w:rsidRDefault="006677FE" w:rsidP="006677FE">
      <w:pPr>
        <w:tabs>
          <w:tab w:val="left" w:pos="1440"/>
        </w:tabs>
        <w:spacing w:line="240" w:lineRule="auto"/>
        <w:contextualSpacing/>
      </w:pPr>
      <w:r>
        <w:t>ONR</w:t>
      </w:r>
      <w:r>
        <w:tab/>
        <w:t>Office for Nuclear Regulation</w:t>
      </w:r>
    </w:p>
    <w:p w14:paraId="11B929D3" w14:textId="77777777" w:rsidR="006677FE" w:rsidRDefault="006677FE" w:rsidP="006677FE">
      <w:pPr>
        <w:tabs>
          <w:tab w:val="left" w:pos="1440"/>
        </w:tabs>
        <w:spacing w:line="240" w:lineRule="auto"/>
        <w:contextualSpacing/>
      </w:pPr>
      <w:r>
        <w:t>SAP</w:t>
      </w:r>
      <w:r>
        <w:tab/>
        <w:t xml:space="preserve">Safety Assessment Principle(s) </w:t>
      </w:r>
    </w:p>
    <w:p w14:paraId="4517467A" w14:textId="77777777" w:rsidR="006677FE" w:rsidRDefault="006677FE" w:rsidP="006677FE">
      <w:pPr>
        <w:tabs>
          <w:tab w:val="left" w:pos="1440"/>
        </w:tabs>
        <w:spacing w:line="240" w:lineRule="auto"/>
        <w:contextualSpacing/>
      </w:pPr>
      <w:r>
        <w:t>QA</w:t>
      </w:r>
      <w:r>
        <w:tab/>
        <w:t>Quality Assurance</w:t>
      </w:r>
    </w:p>
    <w:p w14:paraId="28F78C57" w14:textId="77777777" w:rsidR="006677FE" w:rsidRDefault="006677FE" w:rsidP="006677FE">
      <w:pPr>
        <w:tabs>
          <w:tab w:val="left" w:pos="1440"/>
        </w:tabs>
        <w:spacing w:line="240" w:lineRule="auto"/>
        <w:contextualSpacing/>
      </w:pPr>
      <w:r>
        <w:t>TAG</w:t>
      </w:r>
      <w:r>
        <w:tab/>
        <w:t>Technical Assessment Guide(s)</w:t>
      </w:r>
    </w:p>
    <w:p w14:paraId="6C41B085" w14:textId="3BCFAD2A" w:rsidR="006677FE" w:rsidRDefault="006677FE" w:rsidP="006677FE">
      <w:pPr>
        <w:tabs>
          <w:tab w:val="left" w:pos="1440"/>
        </w:tabs>
        <w:spacing w:line="240" w:lineRule="auto"/>
        <w:contextualSpacing/>
      </w:pPr>
      <w:r>
        <w:t>WENRA</w:t>
      </w:r>
      <w:r>
        <w:tab/>
        <w:t>Western European Nuclear Regulators’ Association</w:t>
      </w:r>
    </w:p>
    <w:sectPr w:rsidR="006677FE"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E11CB" w14:textId="77777777" w:rsidR="00527A61" w:rsidRDefault="00527A61" w:rsidP="007D199A">
      <w:pPr>
        <w:spacing w:after="0"/>
      </w:pPr>
      <w:r>
        <w:separator/>
      </w:r>
    </w:p>
    <w:p w14:paraId="0AED62DB" w14:textId="77777777" w:rsidR="00527A61" w:rsidRDefault="00527A61"/>
    <w:p w14:paraId="4FF61152" w14:textId="77777777" w:rsidR="00527A61" w:rsidRDefault="00527A61"/>
  </w:endnote>
  <w:endnote w:type="continuationSeparator" w:id="0">
    <w:p w14:paraId="535DDDF3" w14:textId="77777777" w:rsidR="00527A61" w:rsidRDefault="00527A61" w:rsidP="007D199A">
      <w:pPr>
        <w:spacing w:after="0"/>
      </w:pPr>
      <w:r>
        <w:continuationSeparator/>
      </w:r>
    </w:p>
    <w:p w14:paraId="531889AB" w14:textId="77777777" w:rsidR="00527A61" w:rsidRDefault="00527A61"/>
    <w:p w14:paraId="6F664F84" w14:textId="77777777" w:rsidR="00527A61" w:rsidRDefault="00527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32949EA"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6F55D4">
      <w:rPr>
        <w:sz w:val="22"/>
      </w:rPr>
      <w:t>6</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61B07" w14:textId="77777777" w:rsidR="00527A61" w:rsidRPr="005E0344" w:rsidRDefault="00527A61" w:rsidP="005E0344">
      <w:pPr>
        <w:spacing w:after="120"/>
        <w:rPr>
          <w:color w:val="000000" w:themeColor="text2"/>
        </w:rPr>
      </w:pPr>
      <w:r w:rsidRPr="005E0344">
        <w:rPr>
          <w:color w:val="000000" w:themeColor="text2"/>
        </w:rPr>
        <w:separator/>
      </w:r>
    </w:p>
    <w:p w14:paraId="0A97B47D" w14:textId="77777777" w:rsidR="00527A61" w:rsidRDefault="00527A61"/>
  </w:footnote>
  <w:footnote w:type="continuationSeparator" w:id="0">
    <w:p w14:paraId="3AAC5A22" w14:textId="77777777" w:rsidR="00527A61" w:rsidRPr="005E0344" w:rsidRDefault="00527A61" w:rsidP="0090581D">
      <w:pPr>
        <w:spacing w:after="120"/>
        <w:rPr>
          <w:color w:val="000000" w:themeColor="text2"/>
        </w:rPr>
      </w:pPr>
      <w:r w:rsidRPr="005E0344">
        <w:rPr>
          <w:color w:val="000000" w:themeColor="text2"/>
        </w:rPr>
        <w:continuationSeparator/>
      </w:r>
    </w:p>
    <w:p w14:paraId="010A9429" w14:textId="77777777" w:rsidR="00527A61" w:rsidRDefault="00527A61"/>
    <w:p w14:paraId="0DE29927" w14:textId="77777777" w:rsidR="00527A61" w:rsidRDefault="00527A61"/>
  </w:footnote>
  <w:footnote w:type="continuationNotice" w:id="1">
    <w:p w14:paraId="0A40B8AC" w14:textId="77777777" w:rsidR="00527A61" w:rsidRDefault="00527A61">
      <w:pPr>
        <w:spacing w:after="0"/>
      </w:pPr>
    </w:p>
    <w:p w14:paraId="6FF944D8" w14:textId="77777777" w:rsidR="00527A61" w:rsidRDefault="00527A61"/>
    <w:p w14:paraId="48D312AC" w14:textId="77777777" w:rsidR="00527A61" w:rsidRDefault="00527A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230C4EF1" w:rsidR="000B2BCD" w:rsidRPr="00046936" w:rsidRDefault="00C01121"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33414A">
          <w:rPr>
            <w:sz w:val="20"/>
            <w:szCs w:val="24"/>
          </w:rPr>
          <w:t>Control and instrumentation aspects of nuclear plant commissioning</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33414A">
          <w:rPr>
            <w:sz w:val="20"/>
            <w:szCs w:val="24"/>
          </w:rPr>
          <w:t>6.2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94E4910C"/>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 w:numId="36" w16cid:durableId="20830673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900816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50377627">
    <w:abstractNumId w:val="10"/>
  </w:num>
  <w:num w:numId="39" w16cid:durableId="13938457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81114"/>
    <w:rsid w:val="00082879"/>
    <w:rsid w:val="00091EEA"/>
    <w:rsid w:val="000950B3"/>
    <w:rsid w:val="000A51C3"/>
    <w:rsid w:val="000B2BCD"/>
    <w:rsid w:val="000C2DDC"/>
    <w:rsid w:val="000D2FD4"/>
    <w:rsid w:val="000F1B7B"/>
    <w:rsid w:val="000F2ED4"/>
    <w:rsid w:val="000F3932"/>
    <w:rsid w:val="001028E8"/>
    <w:rsid w:val="00122FCC"/>
    <w:rsid w:val="00126752"/>
    <w:rsid w:val="00130B30"/>
    <w:rsid w:val="00131E06"/>
    <w:rsid w:val="001321E2"/>
    <w:rsid w:val="00136064"/>
    <w:rsid w:val="00140E1C"/>
    <w:rsid w:val="001447A9"/>
    <w:rsid w:val="00147AE4"/>
    <w:rsid w:val="0015407B"/>
    <w:rsid w:val="001571E5"/>
    <w:rsid w:val="00177666"/>
    <w:rsid w:val="001849CA"/>
    <w:rsid w:val="00185410"/>
    <w:rsid w:val="00192352"/>
    <w:rsid w:val="001A0905"/>
    <w:rsid w:val="001C19DE"/>
    <w:rsid w:val="001C4BB5"/>
    <w:rsid w:val="001C4D63"/>
    <w:rsid w:val="001D0DE0"/>
    <w:rsid w:val="001D5AFF"/>
    <w:rsid w:val="001D74B4"/>
    <w:rsid w:val="001E03E1"/>
    <w:rsid w:val="001E219E"/>
    <w:rsid w:val="001E2EDB"/>
    <w:rsid w:val="001F059F"/>
    <w:rsid w:val="00200811"/>
    <w:rsid w:val="00200CA1"/>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80DDF"/>
    <w:rsid w:val="00283FEB"/>
    <w:rsid w:val="002917FF"/>
    <w:rsid w:val="00292ADF"/>
    <w:rsid w:val="002A0DEC"/>
    <w:rsid w:val="002B1C53"/>
    <w:rsid w:val="002B2FBA"/>
    <w:rsid w:val="002D5F2E"/>
    <w:rsid w:val="002E0BE4"/>
    <w:rsid w:val="002E3B58"/>
    <w:rsid w:val="002E3E8A"/>
    <w:rsid w:val="002E6A6A"/>
    <w:rsid w:val="002F3397"/>
    <w:rsid w:val="0030380D"/>
    <w:rsid w:val="003040C8"/>
    <w:rsid w:val="00312411"/>
    <w:rsid w:val="00323E71"/>
    <w:rsid w:val="0033414A"/>
    <w:rsid w:val="00346C8E"/>
    <w:rsid w:val="00347CA8"/>
    <w:rsid w:val="00357A80"/>
    <w:rsid w:val="00367BD5"/>
    <w:rsid w:val="0037176F"/>
    <w:rsid w:val="0038761F"/>
    <w:rsid w:val="00390327"/>
    <w:rsid w:val="00393B78"/>
    <w:rsid w:val="003970B0"/>
    <w:rsid w:val="003A01E9"/>
    <w:rsid w:val="003C0306"/>
    <w:rsid w:val="003C0DD8"/>
    <w:rsid w:val="003C114C"/>
    <w:rsid w:val="003C18C4"/>
    <w:rsid w:val="003C465D"/>
    <w:rsid w:val="003D495D"/>
    <w:rsid w:val="003E098E"/>
    <w:rsid w:val="003E2F1A"/>
    <w:rsid w:val="003E2FAE"/>
    <w:rsid w:val="003E644F"/>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7504D"/>
    <w:rsid w:val="00494F0D"/>
    <w:rsid w:val="00496BFD"/>
    <w:rsid w:val="004A3DF2"/>
    <w:rsid w:val="004C361D"/>
    <w:rsid w:val="004C4891"/>
    <w:rsid w:val="004D2C89"/>
    <w:rsid w:val="004E3932"/>
    <w:rsid w:val="004F1E79"/>
    <w:rsid w:val="004F5F33"/>
    <w:rsid w:val="0050103A"/>
    <w:rsid w:val="00511B0F"/>
    <w:rsid w:val="00527A61"/>
    <w:rsid w:val="00536721"/>
    <w:rsid w:val="005504C2"/>
    <w:rsid w:val="0055388E"/>
    <w:rsid w:val="005754AE"/>
    <w:rsid w:val="00575A51"/>
    <w:rsid w:val="005763D7"/>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21BF6"/>
    <w:rsid w:val="00627555"/>
    <w:rsid w:val="00627B76"/>
    <w:rsid w:val="006316C4"/>
    <w:rsid w:val="006322A0"/>
    <w:rsid w:val="006361FD"/>
    <w:rsid w:val="00637B24"/>
    <w:rsid w:val="0064226F"/>
    <w:rsid w:val="00653298"/>
    <w:rsid w:val="00663A7C"/>
    <w:rsid w:val="006677FE"/>
    <w:rsid w:val="00667DF2"/>
    <w:rsid w:val="00670DF1"/>
    <w:rsid w:val="00671345"/>
    <w:rsid w:val="00672A9B"/>
    <w:rsid w:val="00674646"/>
    <w:rsid w:val="00675884"/>
    <w:rsid w:val="006966CA"/>
    <w:rsid w:val="00696D09"/>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55D4"/>
    <w:rsid w:val="006F6009"/>
    <w:rsid w:val="0070321D"/>
    <w:rsid w:val="007068BA"/>
    <w:rsid w:val="00716AB1"/>
    <w:rsid w:val="00721D63"/>
    <w:rsid w:val="00732C7B"/>
    <w:rsid w:val="00734D2B"/>
    <w:rsid w:val="00737705"/>
    <w:rsid w:val="007405B2"/>
    <w:rsid w:val="007408D4"/>
    <w:rsid w:val="007420AC"/>
    <w:rsid w:val="00742617"/>
    <w:rsid w:val="00783AFA"/>
    <w:rsid w:val="00785427"/>
    <w:rsid w:val="00790540"/>
    <w:rsid w:val="007968CA"/>
    <w:rsid w:val="007A43FF"/>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229BA"/>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69E3"/>
    <w:rsid w:val="008B7BCC"/>
    <w:rsid w:val="008C437C"/>
    <w:rsid w:val="008C50C3"/>
    <w:rsid w:val="008C7094"/>
    <w:rsid w:val="008D2B97"/>
    <w:rsid w:val="008D49A5"/>
    <w:rsid w:val="008D54BE"/>
    <w:rsid w:val="008D6C81"/>
    <w:rsid w:val="008E6CF0"/>
    <w:rsid w:val="008F1439"/>
    <w:rsid w:val="008F4CD1"/>
    <w:rsid w:val="008F660E"/>
    <w:rsid w:val="008F7051"/>
    <w:rsid w:val="008F75EF"/>
    <w:rsid w:val="009033A9"/>
    <w:rsid w:val="00904152"/>
    <w:rsid w:val="0090581D"/>
    <w:rsid w:val="0091439C"/>
    <w:rsid w:val="00920572"/>
    <w:rsid w:val="00920BF2"/>
    <w:rsid w:val="00926DE4"/>
    <w:rsid w:val="009349A9"/>
    <w:rsid w:val="00936C52"/>
    <w:rsid w:val="0095489B"/>
    <w:rsid w:val="009557A5"/>
    <w:rsid w:val="00966FB9"/>
    <w:rsid w:val="009671CD"/>
    <w:rsid w:val="009751A9"/>
    <w:rsid w:val="00980F9C"/>
    <w:rsid w:val="0098632B"/>
    <w:rsid w:val="00997BFB"/>
    <w:rsid w:val="009A7348"/>
    <w:rsid w:val="009B462C"/>
    <w:rsid w:val="009C15F3"/>
    <w:rsid w:val="009E07C2"/>
    <w:rsid w:val="009E0E52"/>
    <w:rsid w:val="009F72F9"/>
    <w:rsid w:val="00A00205"/>
    <w:rsid w:val="00A00AF0"/>
    <w:rsid w:val="00A14B5A"/>
    <w:rsid w:val="00A3567F"/>
    <w:rsid w:val="00A37698"/>
    <w:rsid w:val="00A41AF7"/>
    <w:rsid w:val="00A41ED3"/>
    <w:rsid w:val="00A46D91"/>
    <w:rsid w:val="00A56C01"/>
    <w:rsid w:val="00A81D82"/>
    <w:rsid w:val="00A8606E"/>
    <w:rsid w:val="00A93E33"/>
    <w:rsid w:val="00AA6D10"/>
    <w:rsid w:val="00AB195E"/>
    <w:rsid w:val="00AB4683"/>
    <w:rsid w:val="00AB6970"/>
    <w:rsid w:val="00AC1939"/>
    <w:rsid w:val="00AC4514"/>
    <w:rsid w:val="00AC7C05"/>
    <w:rsid w:val="00AD167C"/>
    <w:rsid w:val="00AD17C7"/>
    <w:rsid w:val="00AD298F"/>
    <w:rsid w:val="00AD4041"/>
    <w:rsid w:val="00AD78FC"/>
    <w:rsid w:val="00AE302B"/>
    <w:rsid w:val="00AE4F54"/>
    <w:rsid w:val="00AF1E35"/>
    <w:rsid w:val="00AF31F0"/>
    <w:rsid w:val="00B259DF"/>
    <w:rsid w:val="00B44B1F"/>
    <w:rsid w:val="00B50450"/>
    <w:rsid w:val="00B64141"/>
    <w:rsid w:val="00B64E72"/>
    <w:rsid w:val="00B73194"/>
    <w:rsid w:val="00B77913"/>
    <w:rsid w:val="00B824FB"/>
    <w:rsid w:val="00B82646"/>
    <w:rsid w:val="00B92E1A"/>
    <w:rsid w:val="00B97359"/>
    <w:rsid w:val="00B97A8F"/>
    <w:rsid w:val="00BA4E58"/>
    <w:rsid w:val="00BA7074"/>
    <w:rsid w:val="00BB5EBA"/>
    <w:rsid w:val="00BB7829"/>
    <w:rsid w:val="00BD1457"/>
    <w:rsid w:val="00BD3825"/>
    <w:rsid w:val="00BE2AD9"/>
    <w:rsid w:val="00BF27FE"/>
    <w:rsid w:val="00BF4526"/>
    <w:rsid w:val="00C01121"/>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47E21"/>
    <w:rsid w:val="00C53B86"/>
    <w:rsid w:val="00C6483C"/>
    <w:rsid w:val="00C64AE9"/>
    <w:rsid w:val="00C70CFF"/>
    <w:rsid w:val="00C718FE"/>
    <w:rsid w:val="00C8773D"/>
    <w:rsid w:val="00C87ABB"/>
    <w:rsid w:val="00C91831"/>
    <w:rsid w:val="00C953DF"/>
    <w:rsid w:val="00CA2905"/>
    <w:rsid w:val="00CA7B44"/>
    <w:rsid w:val="00CD48E3"/>
    <w:rsid w:val="00CE1DB2"/>
    <w:rsid w:val="00CE2709"/>
    <w:rsid w:val="00CE2D64"/>
    <w:rsid w:val="00CE6198"/>
    <w:rsid w:val="00CF6230"/>
    <w:rsid w:val="00D017FC"/>
    <w:rsid w:val="00D0226A"/>
    <w:rsid w:val="00D1256B"/>
    <w:rsid w:val="00D13147"/>
    <w:rsid w:val="00D5715A"/>
    <w:rsid w:val="00D71687"/>
    <w:rsid w:val="00D74813"/>
    <w:rsid w:val="00DA30BC"/>
    <w:rsid w:val="00DA69C2"/>
    <w:rsid w:val="00DA6D70"/>
    <w:rsid w:val="00DB6050"/>
    <w:rsid w:val="00DC2C34"/>
    <w:rsid w:val="00DC4909"/>
    <w:rsid w:val="00DE2C87"/>
    <w:rsid w:val="00DE459A"/>
    <w:rsid w:val="00DF27DA"/>
    <w:rsid w:val="00DF4DBE"/>
    <w:rsid w:val="00E01077"/>
    <w:rsid w:val="00E20B32"/>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B0DC0"/>
    <w:rsid w:val="00ED4D4E"/>
    <w:rsid w:val="00EE0C77"/>
    <w:rsid w:val="00EE4E54"/>
    <w:rsid w:val="00F3284E"/>
    <w:rsid w:val="00F37740"/>
    <w:rsid w:val="00F436BB"/>
    <w:rsid w:val="00F44BEF"/>
    <w:rsid w:val="00F47145"/>
    <w:rsid w:val="00F545BF"/>
    <w:rsid w:val="00F56152"/>
    <w:rsid w:val="00F61B86"/>
    <w:rsid w:val="00F63AA5"/>
    <w:rsid w:val="00F71B56"/>
    <w:rsid w:val="00F7687C"/>
    <w:rsid w:val="00F832C8"/>
    <w:rsid w:val="00F873B3"/>
    <w:rsid w:val="00FA42B9"/>
    <w:rsid w:val="00FA69C5"/>
    <w:rsid w:val="00FA755A"/>
    <w:rsid w:val="00FB2B0F"/>
    <w:rsid w:val="00FB3F53"/>
    <w:rsid w:val="00FB4F6B"/>
    <w:rsid w:val="00FB5FE1"/>
    <w:rsid w:val="00FC0E8D"/>
    <w:rsid w:val="00FC24F4"/>
    <w:rsid w:val="00FC46E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33414A"/>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33414A"/>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33414A"/>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2"/>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C47E21"/>
    <w:pPr>
      <w:numPr>
        <w:ilvl w:val="1"/>
      </w:numPr>
    </w:pPr>
    <w:rPr>
      <w:noProof w:val="0"/>
    </w:r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33414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33414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33414A"/>
    <w:rPr>
      <w:rFonts w:ascii="Arial" w:eastAsia="Times New Roman" w:hAnsi="Arial"/>
      <w:sz w:val="22"/>
      <w:szCs w:val="22"/>
      <w:lang w:eastAsia="en-US"/>
    </w:rPr>
  </w:style>
  <w:style w:type="paragraph" w:customStyle="1" w:styleId="TSHeadingNumbered1">
    <w:name w:val="TS Heading Numbered 1"/>
    <w:basedOn w:val="Normal"/>
    <w:rsid w:val="0033414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33414A"/>
  </w:style>
  <w:style w:type="paragraph" w:customStyle="1" w:styleId="TSHeadingNumbered111">
    <w:name w:val="TS Heading Numbered 1.1.1"/>
    <w:basedOn w:val="TSHeadingNumbered1"/>
    <w:rsid w:val="0033414A"/>
  </w:style>
  <w:style w:type="paragraph" w:customStyle="1" w:styleId="TSHeadingNumbered1111">
    <w:name w:val="TS Heading Numbered 1.1.1.1"/>
    <w:basedOn w:val="TSHeadingNumbered1"/>
    <w:rsid w:val="0033414A"/>
  </w:style>
  <w:style w:type="paragraph" w:customStyle="1" w:styleId="TSNumberedParagraph11">
    <w:name w:val="TS Numbered Paragraph 1.1"/>
    <w:basedOn w:val="TSHeadingNumbered11"/>
    <w:rsid w:val="0033414A"/>
    <w:pPr>
      <w:numPr>
        <w:ilvl w:val="1"/>
      </w:numPr>
      <w:tabs>
        <w:tab w:val="num" w:pos="-31680"/>
      </w:tabs>
      <w:ind w:left="720" w:hanging="720"/>
    </w:pPr>
    <w:rPr>
      <w:rFonts w:ascii="Arial" w:hAnsi="Arial"/>
      <w:b w:val="0"/>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76557252">
      <w:bodyDiv w:val="1"/>
      <w:marLeft w:val="0"/>
      <w:marRight w:val="0"/>
      <w:marTop w:val="0"/>
      <w:marBottom w:val="0"/>
      <w:divBdr>
        <w:top w:val="none" w:sz="0" w:space="0" w:color="auto"/>
        <w:left w:val="none" w:sz="0" w:space="0" w:color="auto"/>
        <w:bottom w:val="none" w:sz="0" w:space="0" w:color="auto"/>
        <w:right w:val="none" w:sz="0" w:space="0" w:color="auto"/>
      </w:divBdr>
    </w:div>
    <w:div w:id="8457186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9149691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0350925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773364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8654007">
      <w:bodyDiv w:val="1"/>
      <w:marLeft w:val="0"/>
      <w:marRight w:val="0"/>
      <w:marTop w:val="0"/>
      <w:marBottom w:val="0"/>
      <w:divBdr>
        <w:top w:val="none" w:sz="0" w:space="0" w:color="auto"/>
        <w:left w:val="none" w:sz="0" w:space="0" w:color="auto"/>
        <w:bottom w:val="none" w:sz="0" w:space="0" w:color="auto"/>
        <w:right w:val="none" w:sz="0" w:space="0" w:color="auto"/>
      </w:divBdr>
    </w:div>
    <w:div w:id="170204676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43EA"/>
    <w:rsid w:val="000A0C3B"/>
    <w:rsid w:val="00150B2F"/>
    <w:rsid w:val="00164B5A"/>
    <w:rsid w:val="00252452"/>
    <w:rsid w:val="002550FD"/>
    <w:rsid w:val="00350199"/>
    <w:rsid w:val="004C2BEE"/>
    <w:rsid w:val="005802B5"/>
    <w:rsid w:val="007154C5"/>
    <w:rsid w:val="00780C80"/>
    <w:rsid w:val="0082164B"/>
    <w:rsid w:val="00835E07"/>
    <w:rsid w:val="00972B41"/>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WEN</b:Tag>
    <b:SourceType>InternetSite</b:SourceType>
    <b:Guid>{C7FD680D-5B5F-4701-80E1-22F69417AD4F}</b:Guid>
    <b:Author>
      <b:Author>
        <b:Corporate>WENRA</b:Corporate>
      </b:Author>
    </b:Author>
    <b:Title>WENRA Safety Reference Levels for Existing Reactors (Revision 2020)</b:Title>
    <b:URL>https://www.wenra.eu/node/86</b:URL>
    <b:Year>2020</b:Year>
    <b:RefOrder>3</b:RefOrder>
  </b:Source>
  <b:Source>
    <b:Tag>IAE169</b:Tag>
    <b:SourceType>ElectronicSource</b:SourceType>
    <b:Guid>{4C8DE0E3-8BD0-443E-9B72-842D5429D28D}</b:Guid>
    <b:Author>
      <b:Author>
        <b:Corporate>IAEA</b:Corporate>
      </b:Author>
    </b:Author>
    <b:Title>Safety Standards Series No. SSG-39 - Design of Instrumentation and Control Systems for Nuclear Power Plants</b:Title>
    <b:Year>2016</b:Year>
    <b:RefOrder>4</b:RefOrder>
  </b:Source>
  <b:Source>
    <b:Tag>ONR</b:Tag>
    <b:SourceType>DocumentFromInternetSite</b:SourceType>
    <b:Guid>{D73535D3-E371-4A44-B2A1-821DACA7883A}</b:Guid>
    <b:Author>
      <b:Author>
        <b:Corporate>ONR</b:Corporate>
      </b:Author>
    </b:Author>
    <b:Title>Licence Condition Handbook</b:Title>
    <b:Year>2017</b:Year>
    <b:URL>https://www.onr.org.uk/media/gixbe2br/licence-condition-handbook.pdf</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913BD4-43DF-4F79-BAC1-C21369995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4886</Words>
  <Characters>18716</Characters>
  <Application>Microsoft Office Word</Application>
  <DocSecurity>4</DocSecurity>
  <Lines>6238</Lines>
  <Paragraphs>983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22619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and instrumentation aspects of nuclear plant commissioning</dc:title>
  <dc:subject>[Subtitle or description]</dc:subject>
  <cp:keywords>[Key words separated by commas]</cp:keywords>
  <dc:description/>
  <cp:revision>2</cp:revision>
  <cp:lastPrinted>2016-11-28T11:35:00Z</cp:lastPrinted>
  <dcterms:created xsi:type="dcterms:W3CDTF">2024-12-10T16:15:00Z</dcterms:created>
  <dcterms:modified xsi:type="dcterms:W3CDTF">2024-12-10T16:15:00Z</dcterms:modified>
  <cp:contentStatus>6.2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