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Content>
              <w:p w14:paraId="7C4EA414" w14:textId="4884FDBC" w:rsidR="00D0226A" w:rsidRPr="001E03E1" w:rsidRDefault="0000000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8C72D9">
                      <w:rPr>
                        <w:sz w:val="72"/>
                        <w:szCs w:val="72"/>
                      </w:rPr>
                      <w:t>Criticality Safety</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2A29B4CB" w14:textId="77777777" w:rsidR="00B23A5E" w:rsidRPr="00595C8C" w:rsidRDefault="00B23A5E" w:rsidP="00B23A5E">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74F3A226" w:rsidR="00004C16" w:rsidRDefault="008C72D9" w:rsidP="00004C16">
          <w:r>
            <w:rPr>
              <w:rStyle w:val="Style2"/>
            </w:rPr>
            <w:t>Criticality Safety</w:t>
          </w:r>
        </w:p>
      </w:sdtContent>
    </w:sdt>
    <w:p w14:paraId="61A25C0F" w14:textId="77777777" w:rsidR="00004C16" w:rsidRDefault="00004C16" w:rsidP="00004C16">
      <w:pPr>
        <w:rPr>
          <w:sz w:val="28"/>
          <w:szCs w:val="28"/>
        </w:rPr>
      </w:pPr>
    </w:p>
    <w:p w14:paraId="4D99E381" w14:textId="5C68893D" w:rsidR="00004C16" w:rsidRPr="00004C16" w:rsidRDefault="00004C16" w:rsidP="00004C16">
      <w:pPr>
        <w:rPr>
          <w:sz w:val="28"/>
          <w:szCs w:val="28"/>
        </w:rPr>
      </w:pPr>
      <w:r w:rsidRPr="00004C16">
        <w:rPr>
          <w:sz w:val="28"/>
          <w:szCs w:val="28"/>
        </w:rPr>
        <w:t>Authored by</w:t>
      </w:r>
      <w:r w:rsidR="004D2AC2">
        <w:rPr>
          <w:sz w:val="28"/>
          <w:szCs w:val="28"/>
        </w:rPr>
        <w:t>:</w:t>
      </w:r>
      <w:r w:rsidRPr="00004C16">
        <w:rPr>
          <w:sz w:val="28"/>
          <w:szCs w:val="28"/>
        </w:rPr>
        <w:t xml:space="preserve"> </w:t>
      </w:r>
      <w:r w:rsidR="00CD4E7C">
        <w:rPr>
          <w:sz w:val="28"/>
          <w:szCs w:val="28"/>
        </w:rPr>
        <w:t>Principal Inspector</w:t>
      </w:r>
    </w:p>
    <w:p w14:paraId="43CBCE32" w14:textId="00D027F4" w:rsidR="00493CF0" w:rsidRDefault="00004C16" w:rsidP="009C1532">
      <w:pPr>
        <w:rPr>
          <w:sz w:val="28"/>
          <w:szCs w:val="28"/>
        </w:rPr>
      </w:pPr>
      <w:r w:rsidRPr="00004C16">
        <w:rPr>
          <w:sz w:val="28"/>
          <w:szCs w:val="28"/>
        </w:rPr>
        <w:t>Approved by</w:t>
      </w:r>
      <w:r w:rsidR="004D2AC2">
        <w:rPr>
          <w:sz w:val="28"/>
          <w:szCs w:val="28"/>
        </w:rPr>
        <w:t>:</w:t>
      </w:r>
      <w:r w:rsidRPr="00004C16">
        <w:rPr>
          <w:sz w:val="28"/>
          <w:szCs w:val="28"/>
        </w:rPr>
        <w:t xml:space="preserve"> </w:t>
      </w:r>
      <w:r w:rsidR="009C1532" w:rsidRPr="009C1532">
        <w:rPr>
          <w:sz w:val="28"/>
          <w:szCs w:val="28"/>
        </w:rPr>
        <w:t>Principal Inspector</w:t>
      </w:r>
      <w:r w:rsidR="009B7FA3">
        <w:rPr>
          <w:sz w:val="28"/>
          <w:szCs w:val="28"/>
        </w:rPr>
        <w:t xml:space="preserve"> (on behalf of the Professional Lead)</w:t>
      </w:r>
    </w:p>
    <w:p w14:paraId="23B9A867" w14:textId="7F42D362" w:rsidR="00004C16" w:rsidRDefault="00493CF0" w:rsidP="00004C16">
      <w:pPr>
        <w:rPr>
          <w:sz w:val="28"/>
          <w:szCs w:val="28"/>
        </w:rPr>
      </w:pPr>
      <w:r>
        <w:rPr>
          <w:sz w:val="28"/>
          <w:szCs w:val="28"/>
        </w:rPr>
        <w:t>Professional Lead</w:t>
      </w:r>
      <w:r w:rsidR="004D2AC2">
        <w:rPr>
          <w:sz w:val="28"/>
          <w:szCs w:val="28"/>
        </w:rPr>
        <w:t>:</w:t>
      </w:r>
      <w:r>
        <w:rPr>
          <w:sz w:val="28"/>
          <w:szCs w:val="28"/>
        </w:rPr>
        <w:t xml:space="preserve"> </w:t>
      </w:r>
      <w:r w:rsidR="00F84E39">
        <w:rPr>
          <w:sz w:val="28"/>
          <w:szCs w:val="28"/>
        </w:rPr>
        <w:t>Radiological Protection</w:t>
      </w:r>
      <w:r w:rsidR="004B7300">
        <w:rPr>
          <w:sz w:val="28"/>
          <w:szCs w:val="28"/>
        </w:rPr>
        <w:t xml:space="preserve"> and Criticality </w:t>
      </w:r>
    </w:p>
    <w:p w14:paraId="1014BEF0" w14:textId="77777777" w:rsidR="00821337" w:rsidRPr="00004C16" w:rsidRDefault="00821337" w:rsidP="00004C16">
      <w:pPr>
        <w:rPr>
          <w:sz w:val="28"/>
          <w:szCs w:val="28"/>
        </w:rPr>
      </w:pPr>
    </w:p>
    <w:p w14:paraId="247E3769" w14:textId="50F6ED5C"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CD4E7C">
            <w:rPr>
              <w:sz w:val="28"/>
              <w:szCs w:val="28"/>
            </w:rPr>
            <w:t>7</w:t>
          </w:r>
        </w:sdtContent>
      </w:sdt>
    </w:p>
    <w:p w14:paraId="19206F45" w14:textId="4BFD50CE" w:rsidR="00004C16" w:rsidRDefault="00004C16" w:rsidP="00004C16">
      <w:pPr>
        <w:rPr>
          <w:sz w:val="28"/>
          <w:szCs w:val="28"/>
        </w:rPr>
      </w:pPr>
      <w:r w:rsidRPr="00004C16">
        <w:rPr>
          <w:sz w:val="28"/>
          <w:szCs w:val="28"/>
        </w:rPr>
        <w:t xml:space="preserve">Publication Date: </w:t>
      </w:r>
      <w:r w:rsidR="007455BD">
        <w:rPr>
          <w:sz w:val="28"/>
          <w:szCs w:val="28"/>
        </w:rPr>
        <w:t>Aug-23</w:t>
      </w:r>
    </w:p>
    <w:p w14:paraId="22297511" w14:textId="3150F2B3" w:rsidR="005C1E52"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7455BD">
        <w:rPr>
          <w:sz w:val="28"/>
          <w:szCs w:val="28"/>
        </w:rPr>
        <w:t>Aug-2</w:t>
      </w:r>
      <w:r w:rsidR="00655B5F">
        <w:rPr>
          <w:sz w:val="28"/>
          <w:szCs w:val="28"/>
        </w:rPr>
        <w:t>8</w:t>
      </w:r>
    </w:p>
    <w:p w14:paraId="5C6B9B2F" w14:textId="4EF9FFF0" w:rsidR="006F7E5F" w:rsidRPr="00004C16" w:rsidRDefault="006F7E5F" w:rsidP="00004C16">
      <w:pPr>
        <w:rPr>
          <w:sz w:val="28"/>
          <w:szCs w:val="28"/>
        </w:rPr>
      </w:pPr>
      <w:r>
        <w:rPr>
          <w:sz w:val="28"/>
          <w:szCs w:val="28"/>
        </w:rPr>
        <w:t xml:space="preserve">Doc. Ref.: </w:t>
      </w:r>
      <w:r w:rsidR="007455BD">
        <w:rPr>
          <w:sz w:val="28"/>
          <w:szCs w:val="28"/>
        </w:rPr>
        <w:t>NS-INSP-GD-053</w:t>
      </w:r>
    </w:p>
    <w:p w14:paraId="55057C62" w14:textId="63DB06F8" w:rsidR="00004C16" w:rsidRPr="00004C16" w:rsidRDefault="00004C16" w:rsidP="00004C16">
      <w:pPr>
        <w:rPr>
          <w:sz w:val="28"/>
          <w:szCs w:val="28"/>
        </w:rPr>
      </w:pPr>
      <w:r w:rsidRPr="00004C16">
        <w:rPr>
          <w:sz w:val="28"/>
          <w:szCs w:val="28"/>
        </w:rPr>
        <w:t xml:space="preserve">Record Ref. No.: </w:t>
      </w:r>
      <w:r w:rsidR="007455BD">
        <w:rPr>
          <w:sz w:val="28"/>
          <w:szCs w:val="28"/>
        </w:rPr>
        <w:t>2020/209718</w:t>
      </w:r>
    </w:p>
    <w:p w14:paraId="39BC0EA4" w14:textId="77777777" w:rsidR="00420A11" w:rsidRDefault="00420A11" w:rsidP="00323E71"/>
    <w:p w14:paraId="02828791" w14:textId="0F8A6761" w:rsidR="00B23A5E" w:rsidRDefault="00B23A5E" w:rsidP="00B23A5E">
      <w:pPr>
        <w:pStyle w:val="Caption"/>
        <w:keepNext/>
      </w:pPr>
      <w:r>
        <w:t xml:space="preserve">Table </w:t>
      </w:r>
      <w:fldSimple w:instr=" SEQ Table \* ARABIC ">
        <w:r>
          <w:rPr>
            <w:noProof/>
          </w:rPr>
          <w:t>1</w:t>
        </w:r>
      </w:fldSimple>
      <w:r>
        <w:t xml:space="preserve"> - Revision commentary</w:t>
      </w:r>
    </w:p>
    <w:tbl>
      <w:tblPr>
        <w:tblStyle w:val="ONRTable1"/>
        <w:tblW w:w="0" w:type="auto"/>
        <w:tblInd w:w="10" w:type="dxa"/>
        <w:tblLook w:val="04A0" w:firstRow="1" w:lastRow="0" w:firstColumn="1" w:lastColumn="0" w:noHBand="0" w:noVBand="1"/>
      </w:tblPr>
      <w:tblGrid>
        <w:gridCol w:w="1550"/>
        <w:gridCol w:w="7466"/>
      </w:tblGrid>
      <w:tr w:rsidR="00595C8C" w:rsidRPr="00B23A5E" w14:paraId="116B87DF" w14:textId="77777777" w:rsidTr="007455BD">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B23A5E" w:rsidRDefault="00595C8C" w:rsidP="00595C8C">
            <w:pPr>
              <w:spacing w:before="60" w:after="60"/>
              <w:rPr>
                <w:b w:val="0"/>
                <w:bCs/>
              </w:rPr>
            </w:pPr>
            <w:r w:rsidRPr="00B23A5E">
              <w:rPr>
                <w:b w:val="0"/>
                <w:bCs/>
              </w:rPr>
              <w:t>Issue</w:t>
            </w:r>
            <w:r w:rsidR="004E3932" w:rsidRPr="00B23A5E">
              <w:rPr>
                <w:b w:val="0"/>
                <w:bCs/>
              </w:rPr>
              <w:t xml:space="preserve"> No.</w:t>
            </w:r>
          </w:p>
        </w:tc>
        <w:tc>
          <w:tcPr>
            <w:tcW w:w="7466" w:type="dxa"/>
          </w:tcPr>
          <w:p w14:paraId="2D00C3FD" w14:textId="26176D05" w:rsidR="00595C8C" w:rsidRPr="00B23A5E" w:rsidRDefault="00595C8C" w:rsidP="00595C8C">
            <w:pPr>
              <w:spacing w:before="60" w:after="60"/>
              <w:rPr>
                <w:b w:val="0"/>
                <w:bCs/>
              </w:rPr>
            </w:pPr>
            <w:r w:rsidRPr="00B23A5E">
              <w:rPr>
                <w:b w:val="0"/>
                <w:bCs/>
              </w:rPr>
              <w:t>Description of Update(s)</w:t>
            </w:r>
          </w:p>
        </w:tc>
      </w:tr>
      <w:tr w:rsidR="00595C8C" w14:paraId="0B4E4E42" w14:textId="77777777" w:rsidTr="007455BD">
        <w:tc>
          <w:tcPr>
            <w:tcW w:w="1550" w:type="dxa"/>
          </w:tcPr>
          <w:p w14:paraId="65482A03" w14:textId="23A28EB5" w:rsidR="00595C8C" w:rsidRDefault="00F87826" w:rsidP="00595C8C">
            <w:pPr>
              <w:spacing w:before="60" w:after="60"/>
            </w:pPr>
            <w:r>
              <w:t>6</w:t>
            </w:r>
          </w:p>
        </w:tc>
        <w:tc>
          <w:tcPr>
            <w:tcW w:w="7466" w:type="dxa"/>
          </w:tcPr>
          <w:p w14:paraId="1C80912E" w14:textId="5B5FAE6A" w:rsidR="00595C8C" w:rsidRDefault="007455BD" w:rsidP="00595C8C">
            <w:pPr>
              <w:spacing w:before="60" w:after="60"/>
            </w:pPr>
            <w:r>
              <w:t>Review</w:t>
            </w:r>
            <w:r w:rsidR="00F87826">
              <w:t xml:space="preserve"> period updated.</w:t>
            </w:r>
          </w:p>
        </w:tc>
      </w:tr>
      <w:tr w:rsidR="00F87826" w14:paraId="75F17B5E" w14:textId="77777777" w:rsidTr="007455BD">
        <w:tc>
          <w:tcPr>
            <w:tcW w:w="1550" w:type="dxa"/>
          </w:tcPr>
          <w:p w14:paraId="785507FB" w14:textId="4C16B444" w:rsidR="00F87826" w:rsidRDefault="00F87826" w:rsidP="00595C8C">
            <w:pPr>
              <w:spacing w:before="60" w:after="60"/>
            </w:pPr>
            <w:r>
              <w:t>7</w:t>
            </w:r>
          </w:p>
        </w:tc>
        <w:tc>
          <w:tcPr>
            <w:tcW w:w="7466" w:type="dxa"/>
          </w:tcPr>
          <w:p w14:paraId="33D9A13B" w14:textId="77777777" w:rsidR="007C2F05" w:rsidRDefault="007455BD" w:rsidP="00595C8C">
            <w:pPr>
              <w:spacing w:before="60" w:after="60"/>
            </w:pPr>
            <w:r w:rsidRPr="007455BD">
              <w:t xml:space="preserve">Significant amendments to tables </w:t>
            </w:r>
            <w:r w:rsidR="007C2F05" w:rsidRPr="007455BD">
              <w:t xml:space="preserve">to provide guidance on ONR expectations against individual questions within the tabulated question sets for key LCs. </w:t>
            </w:r>
          </w:p>
          <w:p w14:paraId="71200F22" w14:textId="30D541C6" w:rsidR="00F87826" w:rsidRDefault="007C2F05" w:rsidP="00595C8C">
            <w:pPr>
              <w:spacing w:before="60" w:after="60"/>
            </w:pPr>
            <w:r>
              <w:t>Supporting guidance tables moved</w:t>
            </w:r>
            <w:r w:rsidR="007455BD" w:rsidRPr="007455BD">
              <w:t xml:space="preserve"> to a separate </w:t>
            </w:r>
            <w:r>
              <w:t xml:space="preserve">Annex to this TIG </w:t>
            </w:r>
            <w:r w:rsidR="007455BD" w:rsidRPr="007455BD">
              <w:t>to ensure this TIG is compatible with other ONR TIGs</w:t>
            </w:r>
            <w:r>
              <w:t>.</w:t>
            </w:r>
          </w:p>
        </w:tc>
      </w:tr>
    </w:tbl>
    <w:p w14:paraId="1FDB4B56" w14:textId="6C10B266" w:rsidR="00595C8C" w:rsidRDefault="00595C8C" w:rsidP="00323E71">
      <w:pPr>
        <w:sectPr w:rsidR="00595C8C" w:rsidSect="00B23A5E">
          <w:headerReference w:type="default" r:id="rId11"/>
          <w:footerReference w:type="default" r:id="rId12"/>
          <w:pgSz w:w="11906" w:h="16838" w:code="9"/>
          <w:pgMar w:top="1440" w:right="1440" w:bottom="1440" w:left="1440" w:header="397" w:footer="397" w:gutter="0"/>
          <w:cols w:space="312"/>
          <w:titlePg/>
          <w:docGrid w:linePitch="360"/>
        </w:sectPr>
      </w:pPr>
    </w:p>
    <w:p w14:paraId="43A875A4" w14:textId="7F61F835" w:rsidR="008D49A5" w:rsidRPr="00223090" w:rsidRDefault="008D49A5" w:rsidP="00223090">
      <w:pPr>
        <w:pStyle w:val="Heading1"/>
      </w:pPr>
      <w:bookmarkStart w:id="1" w:name="_Toc141786923"/>
      <w:bookmarkEnd w:id="0"/>
      <w:r w:rsidRPr="00223090">
        <w:lastRenderedPageBreak/>
        <w:t>Introduction</w:t>
      </w:r>
      <w:bookmarkEnd w:id="1"/>
    </w:p>
    <w:p w14:paraId="7E526803" w14:textId="440D4AB7" w:rsidR="00873924" w:rsidRDefault="00873924" w:rsidP="00873924">
      <w:pPr>
        <w:pStyle w:val="F9-Paragraph"/>
        <w:rPr>
          <w:lang w:val="en"/>
        </w:rPr>
      </w:pPr>
      <w:bookmarkStart w:id="2" w:name="_Hlk64448648"/>
      <w:r>
        <w:rPr>
          <w:lang w:val="en"/>
        </w:rPr>
        <w:t>Criticality is an important nuclear safety hazard in plants where fissile material is processed (this includes nuclear fuel manufacturing plants), handled or stored.</w:t>
      </w:r>
      <w:r w:rsidR="0057378F">
        <w:rPr>
          <w:lang w:val="en"/>
        </w:rPr>
        <w:t xml:space="preserve"> </w:t>
      </w:r>
      <w:r>
        <w:rPr>
          <w:lang w:val="en"/>
        </w:rPr>
        <w:t>Criticality is also an important consideration during defuel/refuel operations on nuclear reactor plant. The potential consequences of a criticality accident can be considerable</w:t>
      </w:r>
      <w:r w:rsidR="0057378F">
        <w:rPr>
          <w:lang w:val="en"/>
        </w:rPr>
        <w:t>, for example</w:t>
      </w:r>
      <w:r>
        <w:rPr>
          <w:lang w:val="en"/>
        </w:rPr>
        <w:t>, high/potentially lethal radiation doses to workers and potentially high radiation doses off-site, there is also a potential for the accident to damage plant and equipment, which can in turn provide further challenges to the safety of the workforce and the public. Hence it is of importance that Office for Nuclear Regulation (ONR) inspectors periodically satisfy themselves that the licensee has adequate arrangements in place, to protect the workforce and the public against the potential occurrence of accidental criticality events.</w:t>
      </w:r>
      <w:r w:rsidR="0057378F">
        <w:rPr>
          <w:lang w:val="en"/>
        </w:rPr>
        <w:t xml:space="preserve"> </w:t>
      </w:r>
      <w:r>
        <w:rPr>
          <w:lang w:val="en"/>
        </w:rPr>
        <w:t>Inspectors should use risk informed judgment in deciding upon the required periodicity of inspections in this area.</w:t>
      </w:r>
    </w:p>
    <w:p w14:paraId="5E641A53" w14:textId="77777777" w:rsidR="003C5C5C" w:rsidRDefault="003C5C5C" w:rsidP="003C5C5C">
      <w:pPr>
        <w:pStyle w:val="F9-Paragraph"/>
        <w:numPr>
          <w:ilvl w:val="0"/>
          <w:numId w:val="0"/>
        </w:numPr>
        <w:ind w:left="851"/>
        <w:rPr>
          <w:lang w:val="en"/>
        </w:rPr>
      </w:pPr>
    </w:p>
    <w:p w14:paraId="20CBD7E1" w14:textId="77777777" w:rsidR="003C5C5C" w:rsidRDefault="003C5C5C" w:rsidP="003C5C5C">
      <w:pPr>
        <w:pStyle w:val="Heading1"/>
        <w:sectPr w:rsidR="003C5C5C" w:rsidSect="00B23A5E">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bookmarkStart w:id="3" w:name="_Toc62027573"/>
    </w:p>
    <w:p w14:paraId="48AB7EEC" w14:textId="6D897C6F" w:rsidR="003C5C5C" w:rsidRDefault="003C5C5C" w:rsidP="003C5C5C">
      <w:pPr>
        <w:pStyle w:val="Heading1"/>
      </w:pPr>
      <w:bookmarkStart w:id="4" w:name="_Toc141786924"/>
      <w:r>
        <w:lastRenderedPageBreak/>
        <w:t>Purpose and Scope</w:t>
      </w:r>
      <w:bookmarkEnd w:id="3"/>
      <w:bookmarkEnd w:id="4"/>
    </w:p>
    <w:p w14:paraId="763100DE" w14:textId="33878FF1" w:rsidR="003C5C5C" w:rsidRPr="0092189A" w:rsidRDefault="003C5C5C" w:rsidP="003C5C5C">
      <w:pPr>
        <w:pStyle w:val="F9-Paragraph"/>
        <w:rPr>
          <w:b/>
          <w:bCs/>
          <w:lang w:val="en"/>
        </w:rPr>
      </w:pPr>
      <w:r>
        <w:rPr>
          <w:lang w:val="en"/>
        </w:rPr>
        <w:t>The purpose of this inspection guide is to aid ONR inspectors who are not criticality safety professionals, when conducting their duties in this area.</w:t>
      </w:r>
      <w:r w:rsidR="0057378F">
        <w:rPr>
          <w:lang w:val="en"/>
        </w:rPr>
        <w:t xml:space="preserve"> </w:t>
      </w:r>
      <w:r>
        <w:rPr>
          <w:lang w:val="en"/>
        </w:rPr>
        <w:t xml:space="preserve">It is stressed, however, that ONR’s expectation is that non-specialist inspectors will </w:t>
      </w:r>
      <w:r w:rsidRPr="00A67334">
        <w:rPr>
          <w:b/>
          <w:bCs/>
          <w:lang w:val="en"/>
        </w:rPr>
        <w:t>as a minimum</w:t>
      </w:r>
      <w:r>
        <w:rPr>
          <w:lang w:val="en"/>
        </w:rPr>
        <w:t xml:space="preserve"> seek the advice of ONR criticality safety specialists and ideally will ensure inspections, whose focus is on the management of criticality safety by the licensee, are led by ONR criticality safety specialists.</w:t>
      </w:r>
    </w:p>
    <w:p w14:paraId="50FB3C62" w14:textId="7B7BB5FF" w:rsidR="003C5C5C" w:rsidRPr="004B5C3A" w:rsidRDefault="003C5C5C" w:rsidP="003C5C5C">
      <w:pPr>
        <w:pStyle w:val="F9-Paragraph"/>
        <w:rPr>
          <w:b/>
          <w:bCs/>
          <w:lang w:val="en"/>
        </w:rPr>
      </w:pPr>
      <w:r>
        <w:rPr>
          <w:lang w:val="en"/>
        </w:rPr>
        <w:t xml:space="preserve">For non-criticality specialist inspectors, Appendix 1 provides some basic guidance on the key physical factors affecting criticality safety whilst </w:t>
      </w:r>
      <w:r w:rsidR="00B06F6C">
        <w:rPr>
          <w:lang w:val="en"/>
        </w:rPr>
        <w:t xml:space="preserve">the </w:t>
      </w:r>
      <w:r w:rsidR="00F659DF" w:rsidRPr="00F659DF">
        <w:rPr>
          <w:lang w:val="en"/>
        </w:rPr>
        <w:fldChar w:fldCharType="begin"/>
      </w:r>
      <w:r w:rsidR="00F659DF" w:rsidRPr="00F659DF">
        <w:rPr>
          <w:lang w:val="en"/>
        </w:rPr>
        <w:instrText xml:space="preserve"> REF _Ref141786874 \h  \* MERGEFORMAT </w:instrText>
      </w:r>
      <w:r w:rsidR="00F659DF" w:rsidRPr="00F659DF">
        <w:rPr>
          <w:lang w:val="en"/>
        </w:rPr>
      </w:r>
      <w:r w:rsidR="00F659DF" w:rsidRPr="00F659DF">
        <w:rPr>
          <w:lang w:val="en"/>
        </w:rPr>
        <w:fldChar w:fldCharType="separate"/>
      </w:r>
      <w:r w:rsidR="00F659DF" w:rsidRPr="00F659DF">
        <w:t>References</w:t>
      </w:r>
      <w:r w:rsidR="00F659DF" w:rsidRPr="00F659DF">
        <w:rPr>
          <w:lang w:val="en"/>
        </w:rPr>
        <w:fldChar w:fldCharType="end"/>
      </w:r>
      <w:r w:rsidR="00F659DF">
        <w:rPr>
          <w:lang w:val="en"/>
        </w:rPr>
        <w:t xml:space="preserve"> section</w:t>
      </w:r>
      <w:r w:rsidR="00DE7C75">
        <w:rPr>
          <w:lang w:val="en"/>
        </w:rPr>
        <w:t xml:space="preserve"> in this document</w:t>
      </w:r>
      <w:r w:rsidR="00CF51DB">
        <w:rPr>
          <w:lang w:val="en"/>
        </w:rPr>
        <w:t xml:space="preserve"> </w:t>
      </w:r>
      <w:r w:rsidR="00F659DF">
        <w:rPr>
          <w:lang w:val="en"/>
        </w:rPr>
        <w:t>lists</w:t>
      </w:r>
      <w:r>
        <w:rPr>
          <w:lang w:val="en"/>
        </w:rPr>
        <w:t xml:space="preserve"> several useful </w:t>
      </w:r>
      <w:r w:rsidR="00F659DF">
        <w:rPr>
          <w:lang w:val="en"/>
        </w:rPr>
        <w:t>documents and reports</w:t>
      </w:r>
      <w:r>
        <w:rPr>
          <w:lang w:val="en"/>
        </w:rPr>
        <w:t xml:space="preserve"> which will allow non-specialist inspectors to gain a greater understanding of the subject. </w:t>
      </w:r>
    </w:p>
    <w:p w14:paraId="51485FA1" w14:textId="53F53976" w:rsidR="003C5C5C" w:rsidRDefault="003C5C5C" w:rsidP="003C5C5C">
      <w:pPr>
        <w:pStyle w:val="F9-Paragraph"/>
        <w:rPr>
          <w:lang w:val="en"/>
        </w:rPr>
      </w:pPr>
      <w:r>
        <w:rPr>
          <w:lang w:val="en"/>
        </w:rPr>
        <w:t>The guidance contained in this Technical Inspection Guide (TIG) should not be regarded as being mandatory.</w:t>
      </w:r>
      <w:r w:rsidR="0057378F">
        <w:rPr>
          <w:lang w:val="en"/>
        </w:rPr>
        <w:t xml:space="preserve"> </w:t>
      </w:r>
      <w:r>
        <w:rPr>
          <w:lang w:val="en"/>
        </w:rPr>
        <w:t xml:space="preserve">Inspectors are expected to use their discretion in choosing topics from this guide and </w:t>
      </w:r>
      <w:r w:rsidR="00742D96">
        <w:rPr>
          <w:lang w:val="en"/>
        </w:rPr>
        <w:t>the</w:t>
      </w:r>
      <w:r>
        <w:rPr>
          <w:lang w:val="en"/>
        </w:rPr>
        <w:t xml:space="preserve"> associated tables </w:t>
      </w:r>
      <w:r w:rsidR="00742D96">
        <w:rPr>
          <w:lang w:val="en"/>
        </w:rPr>
        <w:t xml:space="preserve">in the Annex to this document </w:t>
      </w:r>
      <w:sdt>
        <w:sdtPr>
          <w:rPr>
            <w:lang w:val="en"/>
          </w:rPr>
          <w:id w:val="-620292594"/>
          <w:citation/>
        </w:sdtPr>
        <w:sdtContent>
          <w:r w:rsidR="00E02999">
            <w:rPr>
              <w:lang w:val="en"/>
            </w:rPr>
            <w:fldChar w:fldCharType="begin"/>
          </w:r>
          <w:r w:rsidR="00E02999">
            <w:instrText xml:space="preserve"> CITATION ONR366 \l 2057 </w:instrText>
          </w:r>
          <w:r w:rsidR="00E02999">
            <w:rPr>
              <w:lang w:val="en"/>
            </w:rPr>
            <w:fldChar w:fldCharType="separate"/>
          </w:r>
          <w:r w:rsidR="00E02999" w:rsidRPr="00E02999">
            <w:rPr>
              <w:noProof/>
            </w:rPr>
            <w:t>[1]</w:t>
          </w:r>
          <w:r w:rsidR="00E02999">
            <w:rPr>
              <w:lang w:val="en"/>
            </w:rPr>
            <w:fldChar w:fldCharType="end"/>
          </w:r>
        </w:sdtContent>
      </w:sdt>
      <w:r w:rsidR="00E02999">
        <w:rPr>
          <w:lang w:val="en"/>
        </w:rPr>
        <w:t xml:space="preserve"> </w:t>
      </w:r>
      <w:r>
        <w:rPr>
          <w:lang w:val="en"/>
        </w:rPr>
        <w:t>to direct their inspection activities and/or in choosing specific questions for discussion with the licensee in a topic area, when seeking to obtain the necessary confidence that the licensee has robust arrangements in place to control all its operations with fissile material.</w:t>
      </w:r>
    </w:p>
    <w:p w14:paraId="60899022" w14:textId="023C8BE3" w:rsidR="003C5C5C" w:rsidRDefault="003C5C5C" w:rsidP="003C5C5C">
      <w:pPr>
        <w:pStyle w:val="F9-Paragraph"/>
        <w:rPr>
          <w:lang w:val="en"/>
        </w:rPr>
      </w:pPr>
      <w:r>
        <w:rPr>
          <w:lang w:val="en"/>
        </w:rPr>
        <w:t xml:space="preserve">This TIG refers out to detailed guidance </w:t>
      </w:r>
      <w:sdt>
        <w:sdtPr>
          <w:rPr>
            <w:lang w:val="en"/>
          </w:rPr>
          <w:id w:val="1393465797"/>
          <w:citation/>
        </w:sdtPr>
        <w:sdtContent>
          <w:r w:rsidR="00B06F6C">
            <w:rPr>
              <w:lang w:val="en"/>
            </w:rPr>
            <w:fldChar w:fldCharType="begin"/>
          </w:r>
          <w:r w:rsidR="00E02999">
            <w:instrText xml:space="preserve">CITATION ONR366 \l 2057 </w:instrText>
          </w:r>
          <w:r w:rsidR="00B06F6C">
            <w:rPr>
              <w:lang w:val="en"/>
            </w:rPr>
            <w:fldChar w:fldCharType="separate"/>
          </w:r>
          <w:r w:rsidR="00E02999" w:rsidRPr="00E02999">
            <w:rPr>
              <w:noProof/>
            </w:rPr>
            <w:t>[1]</w:t>
          </w:r>
          <w:r w:rsidR="00B06F6C">
            <w:rPr>
              <w:lang w:val="en"/>
            </w:rPr>
            <w:fldChar w:fldCharType="end"/>
          </w:r>
        </w:sdtContent>
      </w:sdt>
      <w:r>
        <w:rPr>
          <w:lang w:val="en"/>
        </w:rPr>
        <w:t xml:space="preserve"> in which </w:t>
      </w:r>
      <w:r w:rsidR="002E5AB9">
        <w:rPr>
          <w:lang w:val="en"/>
        </w:rPr>
        <w:t>multiple</w:t>
      </w:r>
      <w:r>
        <w:rPr>
          <w:lang w:val="en"/>
        </w:rPr>
        <w:t xml:space="preserve"> tables are provided, containing sample inspection question sets for criticality safety focused inspections, together with examples of the evidence that licensees may wish to present to demonstrate satisfactory compliance against the question sets.</w:t>
      </w:r>
      <w:r w:rsidR="0057378F">
        <w:rPr>
          <w:lang w:val="en"/>
        </w:rPr>
        <w:t xml:space="preserve"> </w:t>
      </w:r>
      <w:r>
        <w:rPr>
          <w:lang w:val="en"/>
        </w:rPr>
        <w:t>The question sets have purposely been set out under those Licence Conditions (LC) which from ONR experience are judged to have a key bearing upon the maintenance by the licensee of adequate criticality safety standards.</w:t>
      </w:r>
      <w:r w:rsidR="0057378F">
        <w:rPr>
          <w:lang w:val="en"/>
        </w:rPr>
        <w:t xml:space="preserve"> </w:t>
      </w:r>
      <w:r>
        <w:rPr>
          <w:lang w:val="en"/>
        </w:rPr>
        <w:t>A more general safety culture question set is also included within the tables.</w:t>
      </w:r>
    </w:p>
    <w:p w14:paraId="186B50BB" w14:textId="1E2DA03B" w:rsidR="003C5C5C" w:rsidRDefault="003C5C5C" w:rsidP="003C5C5C">
      <w:pPr>
        <w:pStyle w:val="F9-Paragraph"/>
        <w:rPr>
          <w:lang w:val="en"/>
        </w:rPr>
      </w:pPr>
      <w:r>
        <w:rPr>
          <w:lang w:val="en"/>
        </w:rPr>
        <w:t>T</w:t>
      </w:r>
      <w:r w:rsidRPr="00127011">
        <w:rPr>
          <w:lang w:val="en"/>
        </w:rPr>
        <w:t>he</w:t>
      </w:r>
      <w:r>
        <w:rPr>
          <w:lang w:val="en"/>
        </w:rPr>
        <w:t xml:space="preserve"> information provided in the total set of tables reflects</w:t>
      </w:r>
      <w:r w:rsidRPr="00127011">
        <w:rPr>
          <w:lang w:val="en"/>
        </w:rPr>
        <w:t xml:space="preserve"> ONR experience</w:t>
      </w:r>
      <w:r>
        <w:rPr>
          <w:lang w:val="en"/>
        </w:rPr>
        <w:t xml:space="preserve"> collated during</w:t>
      </w:r>
      <w:r w:rsidRPr="00127011">
        <w:rPr>
          <w:lang w:val="en"/>
        </w:rPr>
        <w:t xml:space="preserve"> criticality focused interventions on UK licensee sites</w:t>
      </w:r>
      <w:r>
        <w:rPr>
          <w:lang w:val="en"/>
        </w:rPr>
        <w:t xml:space="preserve"> over many years </w:t>
      </w:r>
      <w:r w:rsidR="00394F45">
        <w:rPr>
          <w:lang w:val="en"/>
        </w:rPr>
        <w:t>and</w:t>
      </w:r>
      <w:r>
        <w:rPr>
          <w:lang w:val="en"/>
        </w:rPr>
        <w:t xml:space="preserve"> takes account of</w:t>
      </w:r>
      <w:r w:rsidRPr="00127011">
        <w:rPr>
          <w:lang w:val="en"/>
        </w:rPr>
        <w:t xml:space="preserve"> feedback</w:t>
      </w:r>
      <w:r>
        <w:rPr>
          <w:lang w:val="en"/>
        </w:rPr>
        <w:t xml:space="preserve"> provided by</w:t>
      </w:r>
      <w:r w:rsidRPr="00127011">
        <w:rPr>
          <w:lang w:val="en"/>
        </w:rPr>
        <w:t xml:space="preserve"> the community of criticality professionals within ONR, as well as the UK nuclear industry as represented on the UK Industry Forum i.e., the Working Party on Criticality (WPC).</w:t>
      </w:r>
      <w:r w:rsidR="0057378F">
        <w:rPr>
          <w:lang w:val="en"/>
        </w:rPr>
        <w:t xml:space="preserve"> </w:t>
      </w:r>
      <w:r>
        <w:rPr>
          <w:lang w:val="en"/>
        </w:rPr>
        <w:t>Several valuable improvements to the contents of the tables have also been made at the suggestion of the Defence Nuclear Safety Regulator (DNSR) and the Environment Agency (EA).</w:t>
      </w:r>
      <w:r w:rsidR="0057378F">
        <w:rPr>
          <w:lang w:val="en"/>
        </w:rPr>
        <w:t xml:space="preserve"> </w:t>
      </w:r>
      <w:r>
        <w:rPr>
          <w:lang w:val="en"/>
        </w:rPr>
        <w:t>The tables presented have also sought, where relevant, to incorporate key learning, useful information etc. from papers presented at the 4 yearly global gathering of criticality safety professionals i.e., the International Conference on Nuclear Criticality, ICNC.</w:t>
      </w:r>
      <w:r w:rsidR="0057378F">
        <w:rPr>
          <w:lang w:val="en"/>
        </w:rPr>
        <w:t xml:space="preserve"> </w:t>
      </w:r>
    </w:p>
    <w:p w14:paraId="6804CA62" w14:textId="7B29F245" w:rsidR="003C5C5C" w:rsidRDefault="003C5C5C" w:rsidP="003C5C5C">
      <w:pPr>
        <w:pStyle w:val="F9-Paragraph"/>
        <w:rPr>
          <w:lang w:val="en"/>
        </w:rPr>
      </w:pPr>
      <w:r>
        <w:rPr>
          <w:lang w:val="en"/>
        </w:rPr>
        <w:t xml:space="preserve">Whilst the guidance contained in </w:t>
      </w:r>
      <w:sdt>
        <w:sdtPr>
          <w:rPr>
            <w:lang w:val="en"/>
          </w:rPr>
          <w:id w:val="-1168474952"/>
          <w:citation/>
        </w:sdtPr>
        <w:sdtContent>
          <w:r w:rsidR="00FC31D6">
            <w:rPr>
              <w:lang w:val="en"/>
            </w:rPr>
            <w:fldChar w:fldCharType="begin"/>
          </w:r>
          <w:r w:rsidR="00E02999">
            <w:instrText xml:space="preserve">CITATION ONR366 \l 2057 </w:instrText>
          </w:r>
          <w:r w:rsidR="00FC31D6">
            <w:rPr>
              <w:lang w:val="en"/>
            </w:rPr>
            <w:fldChar w:fldCharType="separate"/>
          </w:r>
          <w:r w:rsidR="00E02999" w:rsidRPr="00E02999">
            <w:rPr>
              <w:noProof/>
            </w:rPr>
            <w:t>[1]</w:t>
          </w:r>
          <w:r w:rsidR="00FC31D6">
            <w:rPr>
              <w:lang w:val="en"/>
            </w:rPr>
            <w:fldChar w:fldCharType="end"/>
          </w:r>
        </w:sdtContent>
      </w:sdt>
      <w:r>
        <w:rPr>
          <w:lang w:val="en"/>
        </w:rPr>
        <w:t xml:space="preserve"> is intended to be comprehensive, it is envisaged that individual tables, or questions from the tables, can be used as required by inspectors when conducting their compliance inspections in </w:t>
      </w:r>
      <w:r>
        <w:rPr>
          <w:lang w:val="en"/>
        </w:rPr>
        <w:lastRenderedPageBreak/>
        <w:t>facilities where there is a significant criticality hazard.</w:t>
      </w:r>
      <w:r w:rsidR="0057378F">
        <w:rPr>
          <w:lang w:val="en"/>
        </w:rPr>
        <w:t xml:space="preserve"> </w:t>
      </w:r>
      <w:r>
        <w:rPr>
          <w:lang w:val="en"/>
        </w:rPr>
        <w:t>The guidance can also be used to inform System Based Inspections (SBI) in fissile material facilities.</w:t>
      </w:r>
      <w:r w:rsidR="0057378F">
        <w:rPr>
          <w:lang w:val="en"/>
        </w:rPr>
        <w:t xml:space="preserve"> </w:t>
      </w:r>
    </w:p>
    <w:p w14:paraId="1AD4F123" w14:textId="0403ED9F" w:rsidR="003C5C5C" w:rsidRDefault="003C5C5C" w:rsidP="003C5C5C">
      <w:pPr>
        <w:pStyle w:val="F9-Paragraph"/>
        <w:rPr>
          <w:lang w:val="en"/>
        </w:rPr>
      </w:pPr>
      <w:r>
        <w:rPr>
          <w:lang w:val="en"/>
        </w:rPr>
        <w:t xml:space="preserve">The requirement to ensure criticality safety at nuclear sites is not addressed specifically in any of the Nuclear Site LCs, nor is it addressed explicitly in current legislation (although the requirement is implicit in the Health and Safety at Work Act 1974, the Ionising Radiations Regulations </w:t>
      </w:r>
      <w:r w:rsidR="00FC31D6">
        <w:rPr>
          <w:lang w:val="en"/>
        </w:rPr>
        <w:t>2017,</w:t>
      </w:r>
      <w:r>
        <w:rPr>
          <w:lang w:val="en"/>
        </w:rPr>
        <w:t xml:space="preserve"> and the Nuclear Installations Act of 1965 – as amended).</w:t>
      </w:r>
      <w:r w:rsidR="0057378F">
        <w:rPr>
          <w:lang w:val="en"/>
        </w:rPr>
        <w:t xml:space="preserve"> </w:t>
      </w:r>
      <w:r>
        <w:rPr>
          <w:lang w:val="en"/>
        </w:rPr>
        <w:t xml:space="preserve">However, various Nuclear Site LCs do have legal requirements which directly impinge upon criticality safety, and it is these LCs which are reflected in </w:t>
      </w:r>
      <w:sdt>
        <w:sdtPr>
          <w:rPr>
            <w:lang w:val="en"/>
          </w:rPr>
          <w:id w:val="1970857953"/>
          <w:citation/>
        </w:sdtPr>
        <w:sdtContent>
          <w:r w:rsidR="00FC31D6">
            <w:rPr>
              <w:lang w:val="en"/>
            </w:rPr>
            <w:fldChar w:fldCharType="begin"/>
          </w:r>
          <w:r w:rsidR="00E02999">
            <w:instrText xml:space="preserve">CITATION ONR366 \l 2057 </w:instrText>
          </w:r>
          <w:r w:rsidR="00FC31D6">
            <w:rPr>
              <w:lang w:val="en"/>
            </w:rPr>
            <w:fldChar w:fldCharType="separate"/>
          </w:r>
          <w:r w:rsidR="00E02999" w:rsidRPr="00E02999">
            <w:rPr>
              <w:noProof/>
            </w:rPr>
            <w:t>[1]</w:t>
          </w:r>
          <w:r w:rsidR="00FC31D6">
            <w:rPr>
              <w:lang w:val="en"/>
            </w:rPr>
            <w:fldChar w:fldCharType="end"/>
          </w:r>
        </w:sdtContent>
      </w:sdt>
      <w:r>
        <w:rPr>
          <w:lang w:val="en"/>
        </w:rPr>
        <w:t>.</w:t>
      </w:r>
    </w:p>
    <w:p w14:paraId="763395E4" w14:textId="5AA84CA6" w:rsidR="003C5C5C" w:rsidRDefault="003C5C5C" w:rsidP="003C5C5C">
      <w:pPr>
        <w:pStyle w:val="F9-Paragraph"/>
        <w:rPr>
          <w:lang w:val="en"/>
        </w:rPr>
      </w:pPr>
      <w:r w:rsidRPr="005B3FED">
        <w:t xml:space="preserve">Whilst </w:t>
      </w:r>
      <w:r w:rsidRPr="005B3FED">
        <w:rPr>
          <w:lang w:val="en"/>
        </w:rPr>
        <w:t xml:space="preserve">the questions in the </w:t>
      </w:r>
      <w:r>
        <w:rPr>
          <w:lang w:val="en"/>
        </w:rPr>
        <w:t xml:space="preserve">tables of </w:t>
      </w:r>
      <w:sdt>
        <w:sdtPr>
          <w:rPr>
            <w:lang w:val="en"/>
          </w:rPr>
          <w:id w:val="-287517067"/>
          <w:citation/>
        </w:sdtPr>
        <w:sdtContent>
          <w:r w:rsidR="00FC31D6">
            <w:rPr>
              <w:lang w:val="en"/>
            </w:rPr>
            <w:fldChar w:fldCharType="begin"/>
          </w:r>
          <w:r w:rsidR="00E02999">
            <w:instrText xml:space="preserve">CITATION ONR366 \l 2057 </w:instrText>
          </w:r>
          <w:r w:rsidR="00FC31D6">
            <w:rPr>
              <w:lang w:val="en"/>
            </w:rPr>
            <w:fldChar w:fldCharType="separate"/>
          </w:r>
          <w:r w:rsidR="00E02999" w:rsidRPr="00E02999">
            <w:rPr>
              <w:noProof/>
            </w:rPr>
            <w:t>[1]</w:t>
          </w:r>
          <w:r w:rsidR="00FC31D6">
            <w:rPr>
              <w:lang w:val="en"/>
            </w:rPr>
            <w:fldChar w:fldCharType="end"/>
          </w:r>
        </w:sdtContent>
      </w:sdt>
      <w:r>
        <w:rPr>
          <w:lang w:val="en"/>
        </w:rPr>
        <w:t xml:space="preserve"> </w:t>
      </w:r>
      <w:r w:rsidRPr="005B3FED">
        <w:rPr>
          <w:lang w:val="en"/>
        </w:rPr>
        <w:t>are generally aimed at plant applications, they can be adapted to inspections related to the transport of fissile material.</w:t>
      </w:r>
      <w:r w:rsidR="0057378F">
        <w:rPr>
          <w:lang w:val="en"/>
        </w:rPr>
        <w:t xml:space="preserve"> </w:t>
      </w:r>
      <w:r w:rsidRPr="005B3FED">
        <w:rPr>
          <w:lang w:val="en"/>
        </w:rPr>
        <w:t xml:space="preserve">However, </w:t>
      </w:r>
      <w:r>
        <w:rPr>
          <w:lang w:val="en"/>
        </w:rPr>
        <w:t xml:space="preserve">it should be noted that specific </w:t>
      </w:r>
      <w:r w:rsidRPr="005B3FED">
        <w:rPr>
          <w:lang w:val="en"/>
        </w:rPr>
        <w:t>question sets for criticality safety inspections, focused on transport, are already available</w:t>
      </w:r>
      <w:r>
        <w:rPr>
          <w:lang w:val="en"/>
        </w:rPr>
        <w:t xml:space="preserve"> and can be found in</w:t>
      </w:r>
      <w:r w:rsidR="00FF14E1">
        <w:rPr>
          <w:lang w:val="en"/>
        </w:rPr>
        <w:t xml:space="preserve"> </w:t>
      </w:r>
      <w:sdt>
        <w:sdtPr>
          <w:rPr>
            <w:lang w:val="en"/>
          </w:rPr>
          <w:id w:val="1355998121"/>
          <w:citation/>
        </w:sdtPr>
        <w:sdtContent>
          <w:r w:rsidR="00FF14E1">
            <w:rPr>
              <w:lang w:val="en"/>
            </w:rPr>
            <w:fldChar w:fldCharType="begin"/>
          </w:r>
          <w:r w:rsidR="00FF14E1">
            <w:instrText xml:space="preserve"> CITATION ONR2 \l 2057 </w:instrText>
          </w:r>
          <w:r w:rsidR="00FF14E1">
            <w:rPr>
              <w:lang w:val="en"/>
            </w:rPr>
            <w:fldChar w:fldCharType="separate"/>
          </w:r>
          <w:r w:rsidR="00FF14E1" w:rsidRPr="00FF14E1">
            <w:rPr>
              <w:noProof/>
            </w:rPr>
            <w:t>[2]</w:t>
          </w:r>
          <w:r w:rsidR="00FF14E1">
            <w:rPr>
              <w:lang w:val="en"/>
            </w:rPr>
            <w:fldChar w:fldCharType="end"/>
          </w:r>
        </w:sdtContent>
      </w:sdt>
      <w:r w:rsidR="00FC31D6">
        <w:rPr>
          <w:lang w:val="en"/>
        </w:rPr>
        <w:t>.</w:t>
      </w:r>
    </w:p>
    <w:p w14:paraId="06816FD2" w14:textId="77777777" w:rsidR="003C5C5C" w:rsidRDefault="003C5C5C" w:rsidP="003C5C5C">
      <w:pPr>
        <w:pStyle w:val="Heading1"/>
        <w:numPr>
          <w:ilvl w:val="0"/>
          <w:numId w:val="0"/>
        </w:numPr>
        <w:sectPr w:rsidR="003C5C5C" w:rsidSect="00B23A5E">
          <w:pgSz w:w="11906" w:h="16838" w:code="9"/>
          <w:pgMar w:top="1440" w:right="1440" w:bottom="1440" w:left="1440" w:header="397" w:footer="397" w:gutter="0"/>
          <w:cols w:space="312"/>
          <w:docGrid w:linePitch="360"/>
        </w:sectPr>
      </w:pPr>
    </w:p>
    <w:p w14:paraId="340A454A" w14:textId="759824E9" w:rsidR="003C5C5C" w:rsidRDefault="003C5C5C" w:rsidP="003C5C5C">
      <w:pPr>
        <w:pStyle w:val="Heading1"/>
        <w:numPr>
          <w:ilvl w:val="0"/>
          <w:numId w:val="0"/>
        </w:numPr>
      </w:pPr>
      <w:bookmarkStart w:id="5" w:name="_Ref141786874"/>
      <w:bookmarkStart w:id="6" w:name="_Toc141786925"/>
      <w:r>
        <w:lastRenderedPageBreak/>
        <w:t>References</w:t>
      </w:r>
      <w:bookmarkEnd w:id="5"/>
      <w:bookmarkEnd w:id="6"/>
      <w:r w:rsidR="00EF4499">
        <w:t xml:space="preserve"> </w:t>
      </w:r>
    </w:p>
    <w:p w14:paraId="5AB04B96" w14:textId="033F481A" w:rsidR="00F53D0B" w:rsidRDefault="005733DA" w:rsidP="00F6263C">
      <w:pPr>
        <w:spacing w:after="0"/>
        <w:rPr>
          <w:rFonts w:ascii="Calibri" w:hAnsi="Calibri"/>
          <w:noProof/>
          <w:sz w:val="20"/>
          <w:szCs w:val="20"/>
          <w:lang w:eastAsia="en-GB" w:bidi="ar-SA"/>
        </w:rPr>
      </w:pPr>
      <w:r>
        <w:rPr>
          <w:lang w:val="en"/>
        </w:rPr>
        <w:t>The references provided below link this TIG to other ONR guidance in criticality safety (e.g., Technical Assessment Guides (TAGs) and ONR’s Safety Assessment Principles (SAPs)). However, in addition, for those inspectors wishing to enhance their knowledge of the subject, references have been provided to other reading material which will provide the Inspector with a simple but more detailed description of the subject.</w:t>
      </w:r>
    </w:p>
    <w:sdt>
      <w:sdtPr>
        <w:id w:val="-324123171"/>
        <w:docPartObj>
          <w:docPartGallery w:val="Bibliographies"/>
          <w:docPartUnique/>
        </w:docPartObj>
      </w:sdtPr>
      <w:sdtContent>
        <w:sdt>
          <w:sdtPr>
            <w:id w:val="-573587230"/>
            <w:bibliography/>
          </w:sdtPr>
          <w:sdtContent>
            <w:p w14:paraId="48E76ADE" w14:textId="77777777" w:rsidR="00F53D0B" w:rsidRDefault="00FF14E1">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10"/>
                <w:gridCol w:w="8316"/>
              </w:tblGrid>
              <w:tr w:rsidR="00F53D0B" w14:paraId="40E72C71" w14:textId="77777777" w:rsidTr="00F53D0B">
                <w:trPr>
                  <w:divId w:val="601377634"/>
                  <w:tblCellSpacing w:w="15" w:type="dxa"/>
                </w:trPr>
                <w:tc>
                  <w:tcPr>
                    <w:tcW w:w="368" w:type="pct"/>
                    <w:hideMark/>
                  </w:tcPr>
                  <w:p w14:paraId="1B67C4F8" w14:textId="1323ACFE" w:rsidR="00F53D0B" w:rsidRDefault="00F53D0B" w:rsidP="00F53D0B">
                    <w:pPr>
                      <w:pStyle w:val="Bibliography"/>
                      <w:spacing w:after="120" w:line="240" w:lineRule="auto"/>
                      <w:rPr>
                        <w:noProof/>
                        <w:szCs w:val="24"/>
                        <w:lang w:val="en"/>
                      </w:rPr>
                    </w:pPr>
                    <w:r>
                      <w:rPr>
                        <w:noProof/>
                        <w:lang w:val="en"/>
                      </w:rPr>
                      <w:t xml:space="preserve">[1] </w:t>
                    </w:r>
                  </w:p>
                </w:tc>
                <w:tc>
                  <w:tcPr>
                    <w:tcW w:w="4582" w:type="pct"/>
                    <w:hideMark/>
                  </w:tcPr>
                  <w:p w14:paraId="76FC1CBB" w14:textId="77777777" w:rsidR="00F53D0B" w:rsidRDefault="00F53D0B" w:rsidP="00F53D0B">
                    <w:pPr>
                      <w:pStyle w:val="Bibliography"/>
                      <w:spacing w:after="120" w:line="240" w:lineRule="auto"/>
                      <w:rPr>
                        <w:noProof/>
                        <w:lang w:val="en"/>
                      </w:rPr>
                    </w:pPr>
                    <w:r>
                      <w:rPr>
                        <w:noProof/>
                        <w:lang w:val="en"/>
                      </w:rPr>
                      <w:t>ONR, "NS-INSP-GD-053 - Annex 1 - Guidance on Conducting Criticality Safety-focused Inspections".</w:t>
                    </w:r>
                  </w:p>
                </w:tc>
              </w:tr>
              <w:tr w:rsidR="00F53D0B" w14:paraId="245428EB" w14:textId="77777777" w:rsidTr="00F53D0B">
                <w:trPr>
                  <w:divId w:val="601377634"/>
                  <w:tblCellSpacing w:w="15" w:type="dxa"/>
                </w:trPr>
                <w:tc>
                  <w:tcPr>
                    <w:tcW w:w="368" w:type="pct"/>
                    <w:hideMark/>
                  </w:tcPr>
                  <w:p w14:paraId="7FA0C449" w14:textId="77777777" w:rsidR="00F53D0B" w:rsidRDefault="00F53D0B" w:rsidP="00F53D0B">
                    <w:pPr>
                      <w:pStyle w:val="Bibliography"/>
                      <w:spacing w:after="120" w:line="240" w:lineRule="auto"/>
                      <w:rPr>
                        <w:noProof/>
                        <w:lang w:val="en"/>
                      </w:rPr>
                    </w:pPr>
                    <w:r>
                      <w:rPr>
                        <w:noProof/>
                        <w:lang w:val="en"/>
                      </w:rPr>
                      <w:t xml:space="preserve">[2] </w:t>
                    </w:r>
                  </w:p>
                </w:tc>
                <w:tc>
                  <w:tcPr>
                    <w:tcW w:w="4582" w:type="pct"/>
                    <w:hideMark/>
                  </w:tcPr>
                  <w:p w14:paraId="55973189" w14:textId="77777777" w:rsidR="00F53D0B" w:rsidRDefault="00F53D0B" w:rsidP="00F53D0B">
                    <w:pPr>
                      <w:pStyle w:val="Bibliography"/>
                      <w:spacing w:after="120" w:line="240" w:lineRule="auto"/>
                      <w:rPr>
                        <w:noProof/>
                        <w:lang w:val="en"/>
                      </w:rPr>
                    </w:pPr>
                    <w:r>
                      <w:rPr>
                        <w:noProof/>
                        <w:lang w:val="en"/>
                      </w:rPr>
                      <w:t>ONR, "NS-TAST-GD-097 - Criticality Safety Assessment of Transport Packages".</w:t>
                    </w:r>
                  </w:p>
                </w:tc>
              </w:tr>
              <w:tr w:rsidR="00F53D0B" w14:paraId="1028353D" w14:textId="77777777" w:rsidTr="00F53D0B">
                <w:trPr>
                  <w:divId w:val="601377634"/>
                  <w:tblCellSpacing w:w="15" w:type="dxa"/>
                </w:trPr>
                <w:tc>
                  <w:tcPr>
                    <w:tcW w:w="368" w:type="pct"/>
                    <w:hideMark/>
                  </w:tcPr>
                  <w:p w14:paraId="4BB2722C" w14:textId="77777777" w:rsidR="00F53D0B" w:rsidRDefault="00F53D0B" w:rsidP="00F53D0B">
                    <w:pPr>
                      <w:pStyle w:val="Bibliography"/>
                      <w:spacing w:after="120" w:line="240" w:lineRule="auto"/>
                      <w:rPr>
                        <w:noProof/>
                        <w:lang w:val="en"/>
                      </w:rPr>
                    </w:pPr>
                    <w:r>
                      <w:rPr>
                        <w:noProof/>
                        <w:lang w:val="en"/>
                      </w:rPr>
                      <w:t xml:space="preserve">[3] </w:t>
                    </w:r>
                  </w:p>
                </w:tc>
                <w:tc>
                  <w:tcPr>
                    <w:tcW w:w="4582" w:type="pct"/>
                    <w:hideMark/>
                  </w:tcPr>
                  <w:p w14:paraId="17D2E1AC" w14:textId="77777777" w:rsidR="00F53D0B" w:rsidRDefault="00F53D0B" w:rsidP="00F53D0B">
                    <w:pPr>
                      <w:pStyle w:val="Bibliography"/>
                      <w:spacing w:after="120" w:line="240" w:lineRule="auto"/>
                      <w:rPr>
                        <w:noProof/>
                        <w:lang w:val="en"/>
                      </w:rPr>
                    </w:pPr>
                    <w:r>
                      <w:rPr>
                        <w:noProof/>
                        <w:lang w:val="en"/>
                      </w:rPr>
                      <w:t>Wood and ONR, "Research into the Effect of Temperature on the Criticality Safety of Fissile Systems (ONR352, 203171-AA-0022, Issue 2.0)," 2019. [Online]. Available: https://www.onr.org.uk/documents/2019/onr-rrr-077.pdf.</w:t>
                    </w:r>
                  </w:p>
                </w:tc>
              </w:tr>
              <w:tr w:rsidR="00F53D0B" w14:paraId="1ACD49E5" w14:textId="77777777" w:rsidTr="00F53D0B">
                <w:trPr>
                  <w:divId w:val="601377634"/>
                  <w:tblCellSpacing w:w="15" w:type="dxa"/>
                </w:trPr>
                <w:tc>
                  <w:tcPr>
                    <w:tcW w:w="368" w:type="pct"/>
                    <w:hideMark/>
                  </w:tcPr>
                  <w:p w14:paraId="718F3003" w14:textId="77777777" w:rsidR="00F53D0B" w:rsidRDefault="00F53D0B" w:rsidP="00F53D0B">
                    <w:pPr>
                      <w:pStyle w:val="Bibliography"/>
                      <w:spacing w:after="120" w:line="240" w:lineRule="auto"/>
                      <w:rPr>
                        <w:noProof/>
                        <w:lang w:val="en"/>
                      </w:rPr>
                    </w:pPr>
                    <w:r>
                      <w:rPr>
                        <w:noProof/>
                        <w:lang w:val="en"/>
                      </w:rPr>
                      <w:t xml:space="preserve">[4] </w:t>
                    </w:r>
                  </w:p>
                </w:tc>
                <w:tc>
                  <w:tcPr>
                    <w:tcW w:w="4582" w:type="pct"/>
                    <w:hideMark/>
                  </w:tcPr>
                  <w:p w14:paraId="1D31CE8A" w14:textId="77777777" w:rsidR="00F53D0B" w:rsidRDefault="00F53D0B" w:rsidP="00F53D0B">
                    <w:pPr>
                      <w:pStyle w:val="Bibliography"/>
                      <w:spacing w:after="120" w:line="240" w:lineRule="auto"/>
                      <w:rPr>
                        <w:noProof/>
                        <w:lang w:val="en"/>
                      </w:rPr>
                    </w:pPr>
                    <w:r>
                      <w:rPr>
                        <w:noProof/>
                        <w:lang w:val="en"/>
                      </w:rPr>
                      <w:t>IAEA, "IAEA Safety Standards – Specific Safety Guide No. SSG-27 – Criticality Safety in the Handling of Fissile Material," 2014.</w:t>
                    </w:r>
                  </w:p>
                </w:tc>
              </w:tr>
              <w:tr w:rsidR="00F53D0B" w14:paraId="79F1A31E" w14:textId="77777777" w:rsidTr="00F53D0B">
                <w:trPr>
                  <w:divId w:val="601377634"/>
                  <w:tblCellSpacing w:w="15" w:type="dxa"/>
                </w:trPr>
                <w:tc>
                  <w:tcPr>
                    <w:tcW w:w="368" w:type="pct"/>
                    <w:hideMark/>
                  </w:tcPr>
                  <w:p w14:paraId="50988DCA" w14:textId="77777777" w:rsidR="00F53D0B" w:rsidRDefault="00F53D0B" w:rsidP="00F53D0B">
                    <w:pPr>
                      <w:pStyle w:val="Bibliography"/>
                      <w:spacing w:after="120" w:line="240" w:lineRule="auto"/>
                      <w:rPr>
                        <w:noProof/>
                        <w:lang w:val="en"/>
                      </w:rPr>
                    </w:pPr>
                    <w:r>
                      <w:rPr>
                        <w:noProof/>
                        <w:lang w:val="en"/>
                      </w:rPr>
                      <w:t xml:space="preserve">[5] </w:t>
                    </w:r>
                  </w:p>
                </w:tc>
                <w:tc>
                  <w:tcPr>
                    <w:tcW w:w="4582" w:type="pct"/>
                    <w:hideMark/>
                  </w:tcPr>
                  <w:p w14:paraId="07844FAF" w14:textId="77777777" w:rsidR="00F53D0B" w:rsidRDefault="00F53D0B" w:rsidP="00F53D0B">
                    <w:pPr>
                      <w:pStyle w:val="Bibliography"/>
                      <w:spacing w:after="120" w:line="240" w:lineRule="auto"/>
                      <w:rPr>
                        <w:noProof/>
                        <w:lang w:val="en"/>
                      </w:rPr>
                    </w:pPr>
                    <w:r>
                      <w:rPr>
                        <w:noProof/>
                        <w:lang w:val="en"/>
                      </w:rPr>
                      <w:t>ONR, "Safety Assessment Principles (SAPs) for Nuclear Facilities - 2014 Edition (Revision 1)," January 2020. [Online]. Available: https://www.onr.org.uk/saps/saps2014.pdf.</w:t>
                    </w:r>
                  </w:p>
                </w:tc>
              </w:tr>
              <w:tr w:rsidR="00F53D0B" w14:paraId="0AE23C0B" w14:textId="77777777" w:rsidTr="00F53D0B">
                <w:trPr>
                  <w:divId w:val="601377634"/>
                  <w:tblCellSpacing w:w="15" w:type="dxa"/>
                </w:trPr>
                <w:tc>
                  <w:tcPr>
                    <w:tcW w:w="368" w:type="pct"/>
                    <w:hideMark/>
                  </w:tcPr>
                  <w:p w14:paraId="460BBF18" w14:textId="77777777" w:rsidR="00F53D0B" w:rsidRDefault="00F53D0B" w:rsidP="00F53D0B">
                    <w:pPr>
                      <w:pStyle w:val="Bibliography"/>
                      <w:spacing w:after="120" w:line="240" w:lineRule="auto"/>
                      <w:rPr>
                        <w:noProof/>
                        <w:lang w:val="en"/>
                      </w:rPr>
                    </w:pPr>
                    <w:r>
                      <w:rPr>
                        <w:noProof/>
                        <w:lang w:val="en"/>
                      </w:rPr>
                      <w:t xml:space="preserve">[6] </w:t>
                    </w:r>
                  </w:p>
                </w:tc>
                <w:tc>
                  <w:tcPr>
                    <w:tcW w:w="4582" w:type="pct"/>
                    <w:hideMark/>
                  </w:tcPr>
                  <w:p w14:paraId="4BAEC5AC" w14:textId="77777777" w:rsidR="00F53D0B" w:rsidRDefault="00F53D0B" w:rsidP="00F53D0B">
                    <w:pPr>
                      <w:pStyle w:val="Bibliography"/>
                      <w:spacing w:after="120" w:line="240" w:lineRule="auto"/>
                      <w:rPr>
                        <w:noProof/>
                        <w:lang w:val="en"/>
                      </w:rPr>
                    </w:pPr>
                    <w:r>
                      <w:rPr>
                        <w:noProof/>
                        <w:lang w:val="en"/>
                      </w:rPr>
                      <w:t>ONR, "NS-TAST-GD-041 - Criticality Safety".</w:t>
                    </w:r>
                  </w:p>
                </w:tc>
              </w:tr>
              <w:tr w:rsidR="00F53D0B" w14:paraId="262AD738" w14:textId="77777777" w:rsidTr="00F53D0B">
                <w:trPr>
                  <w:divId w:val="601377634"/>
                  <w:tblCellSpacing w:w="15" w:type="dxa"/>
                </w:trPr>
                <w:tc>
                  <w:tcPr>
                    <w:tcW w:w="368" w:type="pct"/>
                    <w:hideMark/>
                  </w:tcPr>
                  <w:p w14:paraId="24261C55" w14:textId="77777777" w:rsidR="00F53D0B" w:rsidRDefault="00F53D0B" w:rsidP="00F53D0B">
                    <w:pPr>
                      <w:pStyle w:val="Bibliography"/>
                      <w:spacing w:after="120" w:line="240" w:lineRule="auto"/>
                      <w:rPr>
                        <w:noProof/>
                        <w:lang w:val="en"/>
                      </w:rPr>
                    </w:pPr>
                    <w:r>
                      <w:rPr>
                        <w:noProof/>
                        <w:lang w:val="en"/>
                      </w:rPr>
                      <w:t xml:space="preserve">[7] </w:t>
                    </w:r>
                  </w:p>
                </w:tc>
                <w:tc>
                  <w:tcPr>
                    <w:tcW w:w="4582" w:type="pct"/>
                    <w:hideMark/>
                  </w:tcPr>
                  <w:p w14:paraId="6519B468" w14:textId="77777777" w:rsidR="00F53D0B" w:rsidRDefault="00F53D0B" w:rsidP="00F53D0B">
                    <w:pPr>
                      <w:pStyle w:val="Bibliography"/>
                      <w:spacing w:after="120" w:line="240" w:lineRule="auto"/>
                      <w:rPr>
                        <w:noProof/>
                        <w:lang w:val="en"/>
                      </w:rPr>
                    </w:pPr>
                    <w:r>
                      <w:rPr>
                        <w:noProof/>
                        <w:lang w:val="en"/>
                      </w:rPr>
                      <w:t>ONR, "NS-TAST-GD-018 - Criticality Warning Systems".</w:t>
                    </w:r>
                  </w:p>
                </w:tc>
              </w:tr>
              <w:tr w:rsidR="00F53D0B" w14:paraId="08B39F71" w14:textId="77777777" w:rsidTr="00F53D0B">
                <w:trPr>
                  <w:divId w:val="601377634"/>
                  <w:tblCellSpacing w:w="15" w:type="dxa"/>
                </w:trPr>
                <w:tc>
                  <w:tcPr>
                    <w:tcW w:w="368" w:type="pct"/>
                    <w:hideMark/>
                  </w:tcPr>
                  <w:p w14:paraId="548F463A" w14:textId="77777777" w:rsidR="00F53D0B" w:rsidRDefault="00F53D0B" w:rsidP="00F53D0B">
                    <w:pPr>
                      <w:pStyle w:val="Bibliography"/>
                      <w:spacing w:after="120" w:line="240" w:lineRule="auto"/>
                      <w:rPr>
                        <w:noProof/>
                        <w:lang w:val="en"/>
                      </w:rPr>
                    </w:pPr>
                    <w:r>
                      <w:rPr>
                        <w:noProof/>
                        <w:lang w:val="en"/>
                      </w:rPr>
                      <w:t xml:space="preserve">[8] </w:t>
                    </w:r>
                  </w:p>
                </w:tc>
                <w:tc>
                  <w:tcPr>
                    <w:tcW w:w="4582" w:type="pct"/>
                    <w:hideMark/>
                  </w:tcPr>
                  <w:p w14:paraId="1785F278" w14:textId="77777777" w:rsidR="00F53D0B" w:rsidRDefault="00F53D0B" w:rsidP="00F53D0B">
                    <w:pPr>
                      <w:pStyle w:val="Bibliography"/>
                      <w:spacing w:after="120" w:line="240" w:lineRule="auto"/>
                      <w:rPr>
                        <w:noProof/>
                        <w:lang w:val="en"/>
                      </w:rPr>
                    </w:pPr>
                    <w:r>
                      <w:rPr>
                        <w:noProof/>
                        <w:lang w:val="en"/>
                      </w:rPr>
                      <w:t xml:space="preserve">J. Lilley, Nuclear Physics: Principles and Applications, J Wiley and Sons Ltd. </w:t>
                    </w:r>
                  </w:p>
                </w:tc>
              </w:tr>
              <w:tr w:rsidR="00F53D0B" w14:paraId="6B71EA56" w14:textId="77777777" w:rsidTr="00F53D0B">
                <w:trPr>
                  <w:divId w:val="601377634"/>
                  <w:tblCellSpacing w:w="15" w:type="dxa"/>
                </w:trPr>
                <w:tc>
                  <w:tcPr>
                    <w:tcW w:w="368" w:type="pct"/>
                    <w:hideMark/>
                  </w:tcPr>
                  <w:p w14:paraId="6DF86E37" w14:textId="77777777" w:rsidR="00F53D0B" w:rsidRDefault="00F53D0B" w:rsidP="00F53D0B">
                    <w:pPr>
                      <w:pStyle w:val="Bibliography"/>
                      <w:spacing w:after="120" w:line="240" w:lineRule="auto"/>
                      <w:rPr>
                        <w:noProof/>
                        <w:lang w:val="en"/>
                      </w:rPr>
                    </w:pPr>
                    <w:r>
                      <w:rPr>
                        <w:noProof/>
                        <w:lang w:val="en"/>
                      </w:rPr>
                      <w:t xml:space="preserve">[9] </w:t>
                    </w:r>
                  </w:p>
                </w:tc>
                <w:tc>
                  <w:tcPr>
                    <w:tcW w:w="4582" w:type="pct"/>
                    <w:hideMark/>
                  </w:tcPr>
                  <w:p w14:paraId="6EA92EB6" w14:textId="77777777" w:rsidR="00F53D0B" w:rsidRDefault="00F53D0B" w:rsidP="00F53D0B">
                    <w:pPr>
                      <w:pStyle w:val="Bibliography"/>
                      <w:spacing w:after="120" w:line="240" w:lineRule="auto"/>
                      <w:rPr>
                        <w:noProof/>
                        <w:lang w:val="en"/>
                      </w:rPr>
                    </w:pPr>
                    <w:r>
                      <w:rPr>
                        <w:noProof/>
                        <w:lang w:val="en"/>
                      </w:rPr>
                      <w:t>INL, "Criticality Safety Basics for INL FMHs and CSOs (INL/EXT-06-01183, Revision 1)," April 2012. [Online]. Available: http://inldigitallibrary.inl.gov/sti/5427214.pdf.</w:t>
                    </w:r>
                  </w:p>
                </w:tc>
              </w:tr>
              <w:tr w:rsidR="00F53D0B" w14:paraId="22DB524D" w14:textId="77777777" w:rsidTr="00F53D0B">
                <w:trPr>
                  <w:divId w:val="601377634"/>
                  <w:tblCellSpacing w:w="15" w:type="dxa"/>
                </w:trPr>
                <w:tc>
                  <w:tcPr>
                    <w:tcW w:w="368" w:type="pct"/>
                    <w:hideMark/>
                  </w:tcPr>
                  <w:p w14:paraId="0C37C694" w14:textId="77777777" w:rsidR="00F53D0B" w:rsidRDefault="00F53D0B" w:rsidP="00F53D0B">
                    <w:pPr>
                      <w:pStyle w:val="Bibliography"/>
                      <w:spacing w:after="120" w:line="240" w:lineRule="auto"/>
                      <w:rPr>
                        <w:noProof/>
                        <w:lang w:val="en"/>
                      </w:rPr>
                    </w:pPr>
                    <w:r>
                      <w:rPr>
                        <w:noProof/>
                        <w:lang w:val="en"/>
                      </w:rPr>
                      <w:t xml:space="preserve">[10] </w:t>
                    </w:r>
                  </w:p>
                </w:tc>
                <w:tc>
                  <w:tcPr>
                    <w:tcW w:w="4582" w:type="pct"/>
                    <w:hideMark/>
                  </w:tcPr>
                  <w:p w14:paraId="52C9CD71" w14:textId="77777777" w:rsidR="00F53D0B" w:rsidRDefault="00F53D0B" w:rsidP="00F53D0B">
                    <w:pPr>
                      <w:pStyle w:val="Bibliography"/>
                      <w:spacing w:after="120" w:line="240" w:lineRule="auto"/>
                      <w:rPr>
                        <w:noProof/>
                        <w:lang w:val="en"/>
                      </w:rPr>
                    </w:pPr>
                    <w:r>
                      <w:rPr>
                        <w:noProof/>
                        <w:lang w:val="en"/>
                      </w:rPr>
                      <w:t>Los Alamos National Laboratory, "Nuclear Criticality Safety Guide (LA-12808, UC-714)," September 1996. [Online]. Available: https://digital.library.unt.edu/ark:/67531/metadc680802/m2/1/high_res_d/399709.pdf.</w:t>
                    </w:r>
                  </w:p>
                </w:tc>
              </w:tr>
              <w:tr w:rsidR="00F53D0B" w14:paraId="21244176" w14:textId="77777777" w:rsidTr="00F53D0B">
                <w:trPr>
                  <w:divId w:val="601377634"/>
                  <w:tblCellSpacing w:w="15" w:type="dxa"/>
                </w:trPr>
                <w:tc>
                  <w:tcPr>
                    <w:tcW w:w="368" w:type="pct"/>
                    <w:hideMark/>
                  </w:tcPr>
                  <w:p w14:paraId="52F11D2D" w14:textId="77777777" w:rsidR="00F53D0B" w:rsidRDefault="00F53D0B" w:rsidP="00F53D0B">
                    <w:pPr>
                      <w:pStyle w:val="Bibliography"/>
                      <w:spacing w:after="120" w:line="240" w:lineRule="auto"/>
                      <w:rPr>
                        <w:noProof/>
                        <w:lang w:val="en"/>
                      </w:rPr>
                    </w:pPr>
                    <w:r>
                      <w:rPr>
                        <w:noProof/>
                        <w:lang w:val="en"/>
                      </w:rPr>
                      <w:t xml:space="preserve">[11] </w:t>
                    </w:r>
                  </w:p>
                </w:tc>
                <w:tc>
                  <w:tcPr>
                    <w:tcW w:w="4582" w:type="pct"/>
                    <w:hideMark/>
                  </w:tcPr>
                  <w:p w14:paraId="06F932F3" w14:textId="77777777" w:rsidR="00F53D0B" w:rsidRDefault="00F53D0B" w:rsidP="00F53D0B">
                    <w:pPr>
                      <w:pStyle w:val="Bibliography"/>
                      <w:spacing w:after="120" w:line="240" w:lineRule="auto"/>
                      <w:rPr>
                        <w:noProof/>
                        <w:lang w:val="en"/>
                      </w:rPr>
                    </w:pPr>
                    <w:r>
                      <w:rPr>
                        <w:noProof/>
                        <w:lang w:val="en"/>
                      </w:rPr>
                      <w:t>Los Alamos National Laboratory, "A Review of Criticality Accidents (LA-13638, 2000 Revision)," August 1999. [Online]. Available: https://www.nrc.gov/docs/ML0037/ML003731912.pdf.</w:t>
                    </w:r>
                  </w:p>
                </w:tc>
              </w:tr>
              <w:tr w:rsidR="00F53D0B" w14:paraId="6EFA1956" w14:textId="77777777" w:rsidTr="00F53D0B">
                <w:trPr>
                  <w:divId w:val="601377634"/>
                  <w:tblCellSpacing w:w="15" w:type="dxa"/>
                </w:trPr>
                <w:tc>
                  <w:tcPr>
                    <w:tcW w:w="368" w:type="pct"/>
                    <w:hideMark/>
                  </w:tcPr>
                  <w:p w14:paraId="06F013A7" w14:textId="77777777" w:rsidR="00F53D0B" w:rsidRDefault="00F53D0B" w:rsidP="00F53D0B">
                    <w:pPr>
                      <w:pStyle w:val="Bibliography"/>
                      <w:spacing w:after="120" w:line="240" w:lineRule="auto"/>
                      <w:rPr>
                        <w:noProof/>
                        <w:lang w:val="en"/>
                      </w:rPr>
                    </w:pPr>
                    <w:r>
                      <w:rPr>
                        <w:noProof/>
                        <w:lang w:val="en"/>
                      </w:rPr>
                      <w:t xml:space="preserve">[12] </w:t>
                    </w:r>
                  </w:p>
                </w:tc>
                <w:tc>
                  <w:tcPr>
                    <w:tcW w:w="4582" w:type="pct"/>
                    <w:hideMark/>
                  </w:tcPr>
                  <w:p w14:paraId="432EA198" w14:textId="77777777" w:rsidR="00F53D0B" w:rsidRDefault="00F53D0B" w:rsidP="00F53D0B">
                    <w:pPr>
                      <w:pStyle w:val="Bibliography"/>
                      <w:spacing w:after="120" w:line="240" w:lineRule="auto"/>
                      <w:rPr>
                        <w:noProof/>
                        <w:lang w:val="en"/>
                      </w:rPr>
                    </w:pPr>
                    <w:r>
                      <w:rPr>
                        <w:noProof/>
                        <w:lang w:val="en"/>
                      </w:rPr>
                      <w:t>Los Alamos National Laboratory, "Criticality Control in Operations with Fissile Material (LA-3366, UC-41 &amp; 46)," November 1972. [Online]. Available: https://inis.iaea.org/collection/NCLCollectionStore/_Public/04/061/4061236.pdf.</w:t>
                    </w:r>
                  </w:p>
                </w:tc>
              </w:tr>
            </w:tbl>
            <w:p w14:paraId="5CCED570" w14:textId="5634385D" w:rsidR="00FF14E1" w:rsidRDefault="00FF14E1">
              <w:r>
                <w:rPr>
                  <w:b/>
                  <w:bCs/>
                  <w:noProof/>
                </w:rPr>
                <w:fldChar w:fldCharType="end"/>
              </w:r>
            </w:p>
          </w:sdtContent>
        </w:sdt>
      </w:sdtContent>
    </w:sdt>
    <w:p w14:paraId="2DCA49B0" w14:textId="77777777" w:rsidR="00F6263C" w:rsidRDefault="00F6263C" w:rsidP="00423A1A">
      <w:pPr>
        <w:pStyle w:val="Heading1"/>
        <w:numPr>
          <w:ilvl w:val="0"/>
          <w:numId w:val="0"/>
        </w:numPr>
        <w:sectPr w:rsidR="00F6263C" w:rsidSect="00B23A5E">
          <w:pgSz w:w="11906" w:h="16838" w:code="9"/>
          <w:pgMar w:top="1440" w:right="1440" w:bottom="1440" w:left="1440" w:header="397" w:footer="397" w:gutter="0"/>
          <w:cols w:space="312"/>
          <w:docGrid w:linePitch="360"/>
        </w:sectPr>
      </w:pPr>
      <w:bookmarkStart w:id="7" w:name="_Toc141786926"/>
      <w:bookmarkEnd w:id="2"/>
    </w:p>
    <w:p w14:paraId="55D44A18" w14:textId="7E10671A" w:rsidR="00423A1A" w:rsidRPr="00053C12" w:rsidRDefault="009E0E52" w:rsidP="00423A1A">
      <w:pPr>
        <w:pStyle w:val="Heading1"/>
        <w:numPr>
          <w:ilvl w:val="0"/>
          <w:numId w:val="0"/>
        </w:numPr>
      </w:pPr>
      <w:r>
        <w:lastRenderedPageBreak/>
        <w:t xml:space="preserve">Appendix A – </w:t>
      </w:r>
      <w:bookmarkStart w:id="8" w:name="_Toc350938704"/>
      <w:bookmarkStart w:id="9" w:name="_Toc62027576"/>
      <w:r w:rsidR="00423A1A">
        <w:t>Key Physical Factors Affecting Criticality Safety</w:t>
      </w:r>
      <w:bookmarkEnd w:id="7"/>
      <w:r w:rsidR="00423A1A">
        <w:t xml:space="preserve"> </w:t>
      </w:r>
      <w:bookmarkEnd w:id="8"/>
      <w:bookmarkEnd w:id="9"/>
    </w:p>
    <w:p w14:paraId="4C2B6BC9" w14:textId="234F26F2" w:rsidR="00423A1A" w:rsidRDefault="00423A1A" w:rsidP="00423A1A">
      <w:pPr>
        <w:pStyle w:val="F9-Paragraph"/>
        <w:numPr>
          <w:ilvl w:val="0"/>
          <w:numId w:val="0"/>
        </w:numPr>
        <w:rPr>
          <w:b/>
          <w:bCs/>
        </w:rPr>
      </w:pPr>
      <w:r w:rsidRPr="005F09BF">
        <w:t>The factors which are important for criticality safety include type of nuclide, mass of nuclide, enrichment, density/concentration, shape, moderation, reflection, neutron absorbers and interaction.</w:t>
      </w:r>
      <w:r>
        <w:t xml:space="preserve"> </w:t>
      </w:r>
      <w:r w:rsidRPr="005F09BF">
        <w:t>These factors are briefly discussed in the following.</w:t>
      </w:r>
    </w:p>
    <w:p w14:paraId="38D2DB88" w14:textId="77777777" w:rsidR="00423A1A" w:rsidRPr="00423A1A" w:rsidRDefault="00423A1A" w:rsidP="00423A1A">
      <w:pPr>
        <w:pStyle w:val="F9-Paragraph"/>
        <w:numPr>
          <w:ilvl w:val="0"/>
          <w:numId w:val="0"/>
        </w:numPr>
        <w:rPr>
          <w:b/>
          <w:bCs/>
        </w:rPr>
      </w:pPr>
      <w:r w:rsidRPr="00423A1A">
        <w:rPr>
          <w:b/>
          <w:bCs/>
        </w:rPr>
        <w:t>Type of nuclide</w:t>
      </w:r>
    </w:p>
    <w:p w14:paraId="0C3CBE43" w14:textId="42A2C06C" w:rsidR="00423A1A" w:rsidRPr="00127011" w:rsidRDefault="00423A1A" w:rsidP="00423A1A">
      <w:pPr>
        <w:pStyle w:val="F9-Paragraph"/>
        <w:numPr>
          <w:ilvl w:val="0"/>
          <w:numId w:val="0"/>
        </w:numPr>
      </w:pPr>
      <w:r w:rsidRPr="00127011">
        <w:t>The most important fissile nuclides are those of uranium and plutonium, in particular U-235 and Pu-239.</w:t>
      </w:r>
      <w:r>
        <w:t xml:space="preserve"> </w:t>
      </w:r>
      <w:r w:rsidRPr="00127011">
        <w:t>Some other uranium and plutonium nuclides are non-fissile, for example U-238 and Pu-240.</w:t>
      </w:r>
    </w:p>
    <w:p w14:paraId="115BB941" w14:textId="77777777" w:rsidR="00423A1A" w:rsidRPr="00423A1A" w:rsidRDefault="00423A1A" w:rsidP="00423A1A">
      <w:pPr>
        <w:pStyle w:val="F9-Paragraph"/>
        <w:numPr>
          <w:ilvl w:val="0"/>
          <w:numId w:val="0"/>
        </w:numPr>
        <w:rPr>
          <w:b/>
          <w:bCs/>
        </w:rPr>
      </w:pPr>
      <w:r w:rsidRPr="00423A1A">
        <w:rPr>
          <w:b/>
          <w:bCs/>
        </w:rPr>
        <w:t>Mass</w:t>
      </w:r>
    </w:p>
    <w:p w14:paraId="06DEACD6" w14:textId="22000A4A" w:rsidR="00423A1A" w:rsidRPr="00127011" w:rsidRDefault="00423A1A" w:rsidP="00423A1A">
      <w:pPr>
        <w:pStyle w:val="F9-Paragraph"/>
        <w:numPr>
          <w:ilvl w:val="0"/>
          <w:numId w:val="0"/>
        </w:numPr>
      </w:pPr>
      <w:r w:rsidRPr="00127011">
        <w:t>The mass of fissile material is an important factor.</w:t>
      </w:r>
      <w:r>
        <w:t xml:space="preserve"> </w:t>
      </w:r>
      <w:r w:rsidRPr="00127011">
        <w:t>For each nuclide there is a mass below which a criticality is not possible in any system.</w:t>
      </w:r>
      <w:r>
        <w:t xml:space="preserve"> </w:t>
      </w:r>
      <w:r w:rsidRPr="00127011">
        <w:t>Where facilities process or store inventories of fissile material in excess of the critical mass, criticality must be prevented by controlling other factors</w:t>
      </w:r>
      <w:r w:rsidR="000B6610">
        <w:t>,</w:t>
      </w:r>
      <w:r w:rsidRPr="00127011">
        <w:t xml:space="preserve"> as discussed below.</w:t>
      </w:r>
    </w:p>
    <w:p w14:paraId="27994664" w14:textId="77777777" w:rsidR="00423A1A" w:rsidRPr="00423A1A" w:rsidRDefault="00423A1A" w:rsidP="00423A1A">
      <w:pPr>
        <w:pStyle w:val="F9-Paragraph"/>
        <w:numPr>
          <w:ilvl w:val="0"/>
          <w:numId w:val="0"/>
        </w:numPr>
        <w:rPr>
          <w:b/>
          <w:bCs/>
        </w:rPr>
      </w:pPr>
      <w:r w:rsidRPr="00423A1A">
        <w:rPr>
          <w:b/>
          <w:bCs/>
        </w:rPr>
        <w:t>Enrichment</w:t>
      </w:r>
    </w:p>
    <w:p w14:paraId="3E2E2A18" w14:textId="77777777" w:rsidR="00423A1A" w:rsidRPr="00127011" w:rsidRDefault="00423A1A" w:rsidP="00423A1A">
      <w:pPr>
        <w:pStyle w:val="F9-Paragraph"/>
        <w:numPr>
          <w:ilvl w:val="0"/>
          <w:numId w:val="0"/>
        </w:numPr>
      </w:pPr>
      <w:r w:rsidRPr="00127011">
        <w:t>Reducing the relative proportion of fissile nuclides in a fissile material will reduce its reactivity and increase its critical mass.</w:t>
      </w:r>
    </w:p>
    <w:p w14:paraId="0C11A44D" w14:textId="103B1FF3" w:rsidR="00423A1A" w:rsidRPr="00127011" w:rsidRDefault="00423A1A" w:rsidP="00423A1A">
      <w:pPr>
        <w:pStyle w:val="F9-Paragraph"/>
        <w:numPr>
          <w:ilvl w:val="0"/>
          <w:numId w:val="0"/>
        </w:numPr>
      </w:pPr>
      <w:r w:rsidRPr="00127011">
        <w:t>Enrichments vary considerably</w:t>
      </w:r>
      <w:r w:rsidR="000B6610">
        <w:t>, for example,</w:t>
      </w:r>
      <w:r>
        <w:t xml:space="preserve"> natural uranium contains circa</w:t>
      </w:r>
      <w:r w:rsidRPr="00127011">
        <w:t xml:space="preserve"> 0.7 %</w:t>
      </w:r>
      <w:r>
        <w:t xml:space="preserve"> of the fissile isotope</w:t>
      </w:r>
      <w:r w:rsidRPr="00127011">
        <w:t xml:space="preserve"> </w:t>
      </w:r>
      <w:r>
        <w:t>Uranium-235 (</w:t>
      </w:r>
      <w:r w:rsidRPr="00127011">
        <w:t>U-235</w:t>
      </w:r>
      <w:r>
        <w:t>)</w:t>
      </w:r>
      <w:r w:rsidRPr="00127011">
        <w:t xml:space="preserve">, </w:t>
      </w:r>
      <w:r>
        <w:t xml:space="preserve">whereas the level of U-235 in civil reactor fuels can be </w:t>
      </w:r>
      <w:r w:rsidRPr="00127011">
        <w:t xml:space="preserve">up to about 5% </w:t>
      </w:r>
      <w:r>
        <w:t>and the U-235 level can be</w:t>
      </w:r>
      <w:r w:rsidRPr="00127011">
        <w:t xml:space="preserve"> &gt; 90 % for specialised systems.</w:t>
      </w:r>
    </w:p>
    <w:p w14:paraId="1BD8DFB0" w14:textId="77777777" w:rsidR="00423A1A" w:rsidRPr="00423A1A" w:rsidRDefault="00423A1A" w:rsidP="00423A1A">
      <w:pPr>
        <w:pStyle w:val="F9-Paragraph"/>
        <w:numPr>
          <w:ilvl w:val="0"/>
          <w:numId w:val="0"/>
        </w:numPr>
        <w:rPr>
          <w:b/>
          <w:bCs/>
        </w:rPr>
      </w:pPr>
      <w:r w:rsidRPr="00423A1A">
        <w:rPr>
          <w:b/>
          <w:bCs/>
        </w:rPr>
        <w:t>Moderation</w:t>
      </w:r>
    </w:p>
    <w:p w14:paraId="6A0A21E0" w14:textId="5209868C" w:rsidR="00423A1A" w:rsidRPr="00127011" w:rsidRDefault="00423A1A" w:rsidP="00423A1A">
      <w:pPr>
        <w:pStyle w:val="F9-Paragraph"/>
        <w:numPr>
          <w:ilvl w:val="0"/>
          <w:numId w:val="0"/>
        </w:numPr>
      </w:pPr>
      <w:r w:rsidRPr="00127011">
        <w:t>This is the slowing down of the high energy neutrons produced in fission by collisions with atoms of the moderator. This process is important because the probability of a neutron causing fission is appreciably greater for thermal neutrons (&lt; 0.1 eV) than for fast neutrons (&gt;100 keV).</w:t>
      </w:r>
      <w:r>
        <w:t xml:space="preserve"> </w:t>
      </w:r>
      <w:r w:rsidRPr="00127011">
        <w:t>Optimising the amount of a moderator will therefore maximize both neutron production and reactivity.</w:t>
      </w:r>
    </w:p>
    <w:p w14:paraId="21C27E65" w14:textId="2D55325E" w:rsidR="00423A1A" w:rsidRPr="00127011" w:rsidRDefault="00423A1A" w:rsidP="00423A1A">
      <w:pPr>
        <w:pStyle w:val="F9-Paragraph"/>
        <w:numPr>
          <w:ilvl w:val="0"/>
          <w:numId w:val="0"/>
        </w:numPr>
      </w:pPr>
      <w:r w:rsidRPr="00127011">
        <w:t>The most effective moderators are those with a low atomic weight</w:t>
      </w:r>
      <w:r>
        <w:t>, for example,</w:t>
      </w:r>
      <w:r w:rsidRPr="00127011">
        <w:t xml:space="preserve"> water, heavy water, polythene, plastic containers, graphite and people.</w:t>
      </w:r>
      <w:r>
        <w:t xml:space="preserve"> </w:t>
      </w:r>
      <w:r w:rsidRPr="00127011">
        <w:t>Hydrogen has the same mass as a neutron hence ensuring maximum energy exchange when a neutron collides with a hydrogen atom.</w:t>
      </w:r>
      <w:r>
        <w:t xml:space="preserve"> </w:t>
      </w:r>
      <w:r w:rsidRPr="00127011">
        <w:t>Hydrogen moderation can hence lead to compact fissile systems.</w:t>
      </w:r>
      <w:r>
        <w:t xml:space="preserve"> </w:t>
      </w:r>
      <w:r w:rsidRPr="00127011">
        <w:t xml:space="preserve">However, it should be noted that hydrogen also absorbs some thermal neutrons </w:t>
      </w:r>
      <w:proofErr w:type="gramStart"/>
      <w:r w:rsidRPr="00127011">
        <w:t>i.e.</w:t>
      </w:r>
      <w:proofErr w:type="gramEnd"/>
      <w:r w:rsidRPr="00127011">
        <w:t xml:space="preserve"> it also acts to slightly reduce the reactivity of the fissile system.</w:t>
      </w:r>
      <w:r>
        <w:t xml:space="preserve"> </w:t>
      </w:r>
    </w:p>
    <w:p w14:paraId="3D77B15F" w14:textId="347C8748" w:rsidR="00423A1A" w:rsidRDefault="00423A1A" w:rsidP="00423A1A">
      <w:pPr>
        <w:pStyle w:val="F9-Paragraph"/>
        <w:numPr>
          <w:ilvl w:val="0"/>
          <w:numId w:val="0"/>
        </w:numPr>
      </w:pPr>
      <w:r w:rsidRPr="00127011">
        <w:t xml:space="preserve">In contrast, graphite is much less efficient than hydrogen at slowing neutrons down and hence large masses and volumes of graphite are required to act as an efficient </w:t>
      </w:r>
      <w:r w:rsidRPr="00127011">
        <w:lastRenderedPageBreak/>
        <w:t>neutron moderator.</w:t>
      </w:r>
      <w:r>
        <w:t xml:space="preserve"> </w:t>
      </w:r>
      <w:r w:rsidRPr="00127011">
        <w:t>However, graphite does not absorb thermal neutrons and hence if large enough quantities of graphite are present, then it can still pose a potential threat to criticality safety.</w:t>
      </w:r>
    </w:p>
    <w:p w14:paraId="33DC6AB2" w14:textId="77777777" w:rsidR="00423A1A" w:rsidRPr="00423A1A" w:rsidRDefault="00423A1A" w:rsidP="00423A1A">
      <w:pPr>
        <w:pStyle w:val="F9-Paragraph"/>
        <w:numPr>
          <w:ilvl w:val="0"/>
          <w:numId w:val="0"/>
        </w:numPr>
        <w:rPr>
          <w:b/>
          <w:bCs/>
        </w:rPr>
      </w:pPr>
      <w:r w:rsidRPr="00423A1A">
        <w:rPr>
          <w:b/>
          <w:bCs/>
        </w:rPr>
        <w:t>Density/concentration</w:t>
      </w:r>
    </w:p>
    <w:p w14:paraId="0EFCD0EE" w14:textId="77777777" w:rsidR="000B6610" w:rsidRDefault="00423A1A" w:rsidP="000B6610">
      <w:pPr>
        <w:pStyle w:val="F9-Paragraph"/>
        <w:numPr>
          <w:ilvl w:val="0"/>
          <w:numId w:val="0"/>
        </w:numPr>
      </w:pPr>
      <w:r w:rsidRPr="00127011">
        <w:t>The density or concentration of fissile material in a moderated system is an important factor which determines whether or not criticality is possible.</w:t>
      </w:r>
      <w:r>
        <w:t xml:space="preserve"> </w:t>
      </w:r>
      <w:r w:rsidRPr="00127011">
        <w:t>Because moderators can also absorb neutrons, very dilute arrangements of fissile material in moderator will not be able to achieve criticality.</w:t>
      </w:r>
      <w:r>
        <w:t xml:space="preserve"> </w:t>
      </w:r>
    </w:p>
    <w:p w14:paraId="5C5289D2" w14:textId="7CBA37D5" w:rsidR="00423A1A" w:rsidRPr="000B6610" w:rsidRDefault="00423A1A" w:rsidP="000B6610">
      <w:pPr>
        <w:pStyle w:val="F9-Paragraph"/>
        <w:numPr>
          <w:ilvl w:val="0"/>
          <w:numId w:val="0"/>
        </w:numPr>
        <w:ind w:left="851" w:hanging="851"/>
        <w:rPr>
          <w:b/>
          <w:bCs/>
        </w:rPr>
      </w:pPr>
      <w:r w:rsidRPr="000B6610">
        <w:rPr>
          <w:b/>
          <w:bCs/>
        </w:rPr>
        <w:t>Shape</w:t>
      </w:r>
    </w:p>
    <w:p w14:paraId="657E303A" w14:textId="66A3353D" w:rsidR="00423A1A" w:rsidRPr="00127011" w:rsidRDefault="00423A1A" w:rsidP="000B6610">
      <w:pPr>
        <w:pStyle w:val="F9-Paragraph"/>
        <w:numPr>
          <w:ilvl w:val="0"/>
          <w:numId w:val="0"/>
        </w:numPr>
      </w:pPr>
      <w:r w:rsidRPr="00127011">
        <w:t>The reactivity of any given mass of fissile material is very dependent on its shape.</w:t>
      </w:r>
      <w:r>
        <w:t xml:space="preserve"> </w:t>
      </w:r>
      <w:r w:rsidR="000D4C57">
        <w:br/>
      </w:r>
      <w:r w:rsidRPr="00127011">
        <w:t xml:space="preserve">In general, compact shapes with low surface areas reduce neutron leakage and </w:t>
      </w:r>
      <w:r>
        <w:t>increase</w:t>
      </w:r>
      <w:r w:rsidRPr="00127011">
        <w:t xml:space="preserve"> reactivity.</w:t>
      </w:r>
      <w:r>
        <w:t xml:space="preserve"> </w:t>
      </w:r>
      <w:r w:rsidRPr="00127011">
        <w:t>The most reactive shape is a sphere because this has the lowest surface area for any given volume. Increasing the surface area/volume ratio decreases reactivity and can be used to prevent criticality via the creation of inherently safe vessel shapes</w:t>
      </w:r>
      <w:r w:rsidR="000B6610">
        <w:t xml:space="preserve">, </w:t>
      </w:r>
      <w:r w:rsidRPr="00127011">
        <w:t xml:space="preserve">such as slab tanks. </w:t>
      </w:r>
    </w:p>
    <w:p w14:paraId="350D1356" w14:textId="77777777" w:rsidR="00423A1A" w:rsidRPr="000B6610" w:rsidRDefault="00423A1A" w:rsidP="000B6610">
      <w:pPr>
        <w:pStyle w:val="F9-Paragraph"/>
        <w:numPr>
          <w:ilvl w:val="0"/>
          <w:numId w:val="0"/>
        </w:numPr>
        <w:rPr>
          <w:b/>
          <w:bCs/>
        </w:rPr>
      </w:pPr>
      <w:r w:rsidRPr="000B6610">
        <w:rPr>
          <w:b/>
          <w:bCs/>
        </w:rPr>
        <w:t>Reflection</w:t>
      </w:r>
    </w:p>
    <w:p w14:paraId="51ABA428" w14:textId="0F22DC99" w:rsidR="00423A1A" w:rsidRPr="00127011" w:rsidRDefault="00423A1A" w:rsidP="000B6610">
      <w:pPr>
        <w:pStyle w:val="F9-Paragraph"/>
        <w:numPr>
          <w:ilvl w:val="0"/>
          <w:numId w:val="0"/>
        </w:numPr>
      </w:pPr>
      <w:r w:rsidRPr="00127011">
        <w:t>This is the process in which neutrons escaping from fissile material are reflected back into it.</w:t>
      </w:r>
      <w:r>
        <w:t xml:space="preserve"> </w:t>
      </w:r>
      <w:r w:rsidRPr="00127011">
        <w:t>This reduces net leakage and increases reactivity.</w:t>
      </w:r>
      <w:r>
        <w:t xml:space="preserve"> </w:t>
      </w:r>
      <w:r w:rsidRPr="00127011">
        <w:t>Commonly encountered reflectors are concrete, water, steel, graphite, aluminium and beryllium, although virtually any material will act as a reflector to some extent.</w:t>
      </w:r>
    </w:p>
    <w:p w14:paraId="40C56B2C" w14:textId="77777777" w:rsidR="00423A1A" w:rsidRPr="000B6610" w:rsidRDefault="00423A1A" w:rsidP="000B6610">
      <w:pPr>
        <w:pStyle w:val="F9-Paragraph"/>
        <w:numPr>
          <w:ilvl w:val="0"/>
          <w:numId w:val="0"/>
        </w:numPr>
        <w:rPr>
          <w:b/>
          <w:bCs/>
        </w:rPr>
      </w:pPr>
      <w:r w:rsidRPr="000B6610">
        <w:rPr>
          <w:b/>
          <w:bCs/>
        </w:rPr>
        <w:t>Neutron absorbers</w:t>
      </w:r>
    </w:p>
    <w:p w14:paraId="70AD4C40" w14:textId="443C1FE1" w:rsidR="00423A1A" w:rsidRPr="00127011" w:rsidRDefault="00423A1A" w:rsidP="000B6610">
      <w:pPr>
        <w:pStyle w:val="F9-Paragraph"/>
        <w:numPr>
          <w:ilvl w:val="0"/>
          <w:numId w:val="0"/>
        </w:numPr>
      </w:pPr>
      <w:r w:rsidRPr="00127011">
        <w:t xml:space="preserve">Neutron absorbers are substances which have a high neutron absorption cross section, </w:t>
      </w:r>
      <w:proofErr w:type="gramStart"/>
      <w:r w:rsidRPr="00127011">
        <w:t>i.e.</w:t>
      </w:r>
      <w:proofErr w:type="gramEnd"/>
      <w:r w:rsidRPr="00127011">
        <w:t xml:space="preserve"> a high probability of absorbing/capturing neutrons, thus making these neutrons unavailable to cause fission.</w:t>
      </w:r>
      <w:r>
        <w:t xml:space="preserve"> </w:t>
      </w:r>
      <w:r w:rsidRPr="00127011">
        <w:t>Neutron poisons are generally considered to be neutron absorbing materials intentionally added to a fissile system (</w:t>
      </w:r>
      <w:proofErr w:type="gramStart"/>
      <w:r w:rsidRPr="00127011">
        <w:t>i.e.</w:t>
      </w:r>
      <w:proofErr w:type="gramEnd"/>
      <w:r w:rsidRPr="00127011">
        <w:t xml:space="preserve"> they are present solely and intentionally to absorb neutrons and hence to reduce the reactivity of the fissile system to which they have been added).</w:t>
      </w:r>
      <w:r>
        <w:t xml:space="preserve"> </w:t>
      </w:r>
      <w:r w:rsidRPr="00127011">
        <w:t>Neutron absorbing material, in contrast, refers to everything else that may cause an effect upon the fissile material system, but which has not been added intentionally.</w:t>
      </w:r>
    </w:p>
    <w:p w14:paraId="43532837" w14:textId="7CA7F80E" w:rsidR="00423A1A" w:rsidRPr="005F09BF" w:rsidRDefault="00423A1A" w:rsidP="000B6610">
      <w:pPr>
        <w:pStyle w:val="F9-Paragraph"/>
        <w:numPr>
          <w:ilvl w:val="0"/>
          <w:numId w:val="0"/>
        </w:numPr>
      </w:pPr>
      <w:r w:rsidRPr="00127011">
        <w:t>Examples of materials with a high neutron absorption cross section (</w:t>
      </w:r>
      <w:proofErr w:type="gramStart"/>
      <w:r w:rsidRPr="00127011">
        <w:t>i.e.</w:t>
      </w:r>
      <w:proofErr w:type="gramEnd"/>
      <w:r w:rsidRPr="00127011">
        <w:t xml:space="preserve"> a high probability of absorbing neutrons) include boron (rich in the B-10 isotope), cadmium, gadolinium and hafnium.</w:t>
      </w:r>
      <w:r>
        <w:t xml:space="preserve"> </w:t>
      </w:r>
    </w:p>
    <w:p w14:paraId="683A8E49" w14:textId="77777777" w:rsidR="00423A1A" w:rsidRPr="000B6610" w:rsidRDefault="00423A1A" w:rsidP="000B6610">
      <w:pPr>
        <w:pStyle w:val="F9-Paragraph"/>
        <w:numPr>
          <w:ilvl w:val="0"/>
          <w:numId w:val="0"/>
        </w:numPr>
        <w:rPr>
          <w:b/>
          <w:bCs/>
        </w:rPr>
      </w:pPr>
      <w:r w:rsidRPr="000B6610">
        <w:rPr>
          <w:b/>
          <w:bCs/>
        </w:rPr>
        <w:t>Interaction</w:t>
      </w:r>
    </w:p>
    <w:p w14:paraId="29716B3A" w14:textId="03C524E9" w:rsidR="00423A1A" w:rsidRDefault="00423A1A" w:rsidP="000B6610">
      <w:pPr>
        <w:pStyle w:val="F9-Paragraph"/>
        <w:numPr>
          <w:ilvl w:val="0"/>
          <w:numId w:val="0"/>
        </w:numPr>
      </w:pPr>
      <w:r w:rsidRPr="005F09BF">
        <w:t>If two systems are placed close together</w:t>
      </w:r>
      <w:r w:rsidR="00972871">
        <w:t xml:space="preserve"> (</w:t>
      </w:r>
      <w:r w:rsidR="00210708">
        <w:t>for example,</w:t>
      </w:r>
      <w:r w:rsidR="00972871" w:rsidRPr="005F09BF">
        <w:t xml:space="preserve"> waste drums containing fissile material, each of which is subcritical in isolation</w:t>
      </w:r>
      <w:r w:rsidR="00972871">
        <w:t>)</w:t>
      </w:r>
      <w:r w:rsidRPr="005F09BF">
        <w:t>, neutrons from one system can reach the other system and will increase the likelihood of the overall system to go critical.</w:t>
      </w:r>
      <w:r>
        <w:t xml:space="preserve"> </w:t>
      </w:r>
      <w:r w:rsidRPr="005F09BF">
        <w:t>Hence the spacing between adjacent systems containing fissile material is important.</w:t>
      </w:r>
      <w:r>
        <w:t xml:space="preserve"> </w:t>
      </w:r>
      <w:r w:rsidRPr="005F09BF">
        <w:t xml:space="preserve">Also, when a person steps between such systems </w:t>
      </w:r>
      <w:r w:rsidR="00972871">
        <w:t>they</w:t>
      </w:r>
      <w:r w:rsidRPr="005F09BF">
        <w:t xml:space="preserve"> could unwittingly introduce additional moderation.</w:t>
      </w:r>
    </w:p>
    <w:p w14:paraId="7F2B4857" w14:textId="77777777" w:rsidR="00423A1A" w:rsidRPr="000B6610" w:rsidRDefault="00423A1A" w:rsidP="000B6610">
      <w:pPr>
        <w:pStyle w:val="F9-Paragraph"/>
        <w:numPr>
          <w:ilvl w:val="0"/>
          <w:numId w:val="0"/>
        </w:numPr>
        <w:rPr>
          <w:b/>
          <w:bCs/>
        </w:rPr>
      </w:pPr>
      <w:r w:rsidRPr="000B6610">
        <w:rPr>
          <w:b/>
          <w:bCs/>
        </w:rPr>
        <w:lastRenderedPageBreak/>
        <w:t>Heterogeneity</w:t>
      </w:r>
    </w:p>
    <w:p w14:paraId="3A831B41" w14:textId="71EBCDA1" w:rsidR="00423A1A" w:rsidRDefault="00423A1A" w:rsidP="000B6610">
      <w:pPr>
        <w:pStyle w:val="F9-Paragraph"/>
        <w:numPr>
          <w:ilvl w:val="0"/>
          <w:numId w:val="0"/>
        </w:numPr>
      </w:pPr>
      <w:r>
        <w:t>This is not a straightforward nor necessarily intuitive topic</w:t>
      </w:r>
      <w:r w:rsidR="000B6610">
        <w:t>, for example,</w:t>
      </w:r>
      <w:r>
        <w:t xml:space="preserve"> f</w:t>
      </w:r>
      <w:r w:rsidRPr="00127011">
        <w:t>or uranium enrichments of less than 10%, an optimised heterogeneous arrangement of fuel and moderator is more reactive than a homogeneous arrangement.</w:t>
      </w:r>
      <w:r>
        <w:t xml:space="preserve"> </w:t>
      </w:r>
      <w:r w:rsidRPr="00127011">
        <w:t>This effect can also apply to Mixed Oxide (MOX) fuel.</w:t>
      </w:r>
      <w:r>
        <w:t xml:space="preserve"> </w:t>
      </w:r>
      <w:r w:rsidRPr="00127011">
        <w:t>For higher uranium enrichments, an optimised homogeneous arrangement of fuel and moderator can be more reactive than any practical heterogeneous arrangement.</w:t>
      </w:r>
    </w:p>
    <w:p w14:paraId="2E48BA0E" w14:textId="77777777" w:rsidR="00423A1A" w:rsidRPr="000B6610" w:rsidRDefault="00423A1A" w:rsidP="000B6610">
      <w:pPr>
        <w:pStyle w:val="F9-Paragraph"/>
        <w:numPr>
          <w:ilvl w:val="0"/>
          <w:numId w:val="0"/>
        </w:numPr>
        <w:rPr>
          <w:b/>
          <w:bCs/>
        </w:rPr>
      </w:pPr>
      <w:r w:rsidRPr="000B6610">
        <w:rPr>
          <w:b/>
          <w:bCs/>
        </w:rPr>
        <w:t>Temperature</w:t>
      </w:r>
    </w:p>
    <w:p w14:paraId="7355A807" w14:textId="33F24297" w:rsidR="00423A1A" w:rsidRPr="00133498" w:rsidRDefault="00423A1A" w:rsidP="000B6610">
      <w:pPr>
        <w:pStyle w:val="F9-Paragraph"/>
        <w:numPr>
          <w:ilvl w:val="0"/>
          <w:numId w:val="0"/>
        </w:numPr>
      </w:pPr>
      <w:r>
        <w:t>Standard reactor physics theory shows that temperature variations could affect criticality safety margins. The neutron multiplication factor of a system may increase or decrease significantly with temperature depending on competing parameters</w:t>
      </w:r>
      <w:r w:rsidR="004F598F">
        <w:t xml:space="preserve"> </w:t>
      </w:r>
      <w:sdt>
        <w:sdtPr>
          <w:id w:val="-2056922417"/>
          <w:citation/>
        </w:sdtPr>
        <w:sdtContent>
          <w:r w:rsidR="004F598F">
            <w:fldChar w:fldCharType="begin"/>
          </w:r>
          <w:r w:rsidR="004F598F">
            <w:instrText xml:space="preserve"> CITATION Woo \l 2057 </w:instrText>
          </w:r>
          <w:r w:rsidR="004F598F">
            <w:fldChar w:fldCharType="separate"/>
          </w:r>
          <w:r w:rsidR="004F598F" w:rsidRPr="004F598F">
            <w:rPr>
              <w:noProof/>
            </w:rPr>
            <w:t>[3]</w:t>
          </w:r>
          <w:r w:rsidR="004F598F">
            <w:fldChar w:fldCharType="end"/>
          </w:r>
        </w:sdtContent>
      </w:sdt>
      <w:r>
        <w:t>; therefore, inferences drawn from one fissile system may not apply to another. Consideration must be given to the effect of temperature changes on the reactivity of the particular system in question.</w:t>
      </w:r>
    </w:p>
    <w:sectPr w:rsidR="00423A1A" w:rsidRPr="00133498" w:rsidSect="00B23A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C25E9" w14:textId="77777777" w:rsidR="0037541C" w:rsidRDefault="0037541C" w:rsidP="007D199A">
      <w:pPr>
        <w:spacing w:after="0"/>
      </w:pPr>
      <w:r>
        <w:separator/>
      </w:r>
    </w:p>
    <w:p w14:paraId="1D47114C" w14:textId="77777777" w:rsidR="0037541C" w:rsidRDefault="0037541C"/>
  </w:endnote>
  <w:endnote w:type="continuationSeparator" w:id="0">
    <w:p w14:paraId="29E44E0B" w14:textId="77777777" w:rsidR="0037541C" w:rsidRDefault="0037541C" w:rsidP="007D199A">
      <w:pPr>
        <w:spacing w:after="0"/>
      </w:pPr>
      <w:r>
        <w:continuationSeparator/>
      </w:r>
    </w:p>
    <w:p w14:paraId="3692D516" w14:textId="77777777" w:rsidR="0037541C" w:rsidRDefault="003754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2BB8873" w:rsidR="007C3C1D" w:rsidRPr="008A58CE" w:rsidRDefault="006A525B" w:rsidP="007C3C1D">
    <w:pPr>
      <w:pStyle w:val="Footer"/>
      <w:jc w:val="left"/>
      <w:rPr>
        <w:sz w:val="20"/>
        <w:szCs w:val="20"/>
      </w:rPr>
    </w:pPr>
    <w:r w:rsidRPr="008A58CE">
      <w:rPr>
        <w:sz w:val="20"/>
        <w:szCs w:val="20"/>
      </w:rPr>
      <w:t>ONR-DOC-TEMP-</w:t>
    </w:r>
    <w:r w:rsidR="00821337" w:rsidRPr="008A58CE">
      <w:rPr>
        <w:sz w:val="20"/>
        <w:szCs w:val="20"/>
      </w:rPr>
      <w:t>003</w:t>
    </w:r>
    <w:r w:rsidRPr="008A58CE">
      <w:rPr>
        <w:sz w:val="20"/>
        <w:szCs w:val="20"/>
      </w:rPr>
      <w:t xml:space="preserve"> (Issue </w:t>
    </w:r>
    <w:r w:rsidR="00821337" w:rsidRPr="008A58CE">
      <w:rPr>
        <w:sz w:val="20"/>
        <w:szCs w:val="20"/>
      </w:rPr>
      <w:t>3</w:t>
    </w:r>
    <w:r w:rsidR="00B23A5E" w:rsidRPr="008A58CE">
      <w:rPr>
        <w:sz w:val="20"/>
        <w:szCs w:val="20"/>
      </w:rPr>
      <w:t>.1</w:t>
    </w:r>
    <w:r w:rsidRPr="008A58CE">
      <w:rPr>
        <w:sz w:val="20"/>
        <w:szCs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94EDD" w14:textId="11161CF2" w:rsidR="008A58CE" w:rsidRPr="008A58CE" w:rsidRDefault="008A58CE" w:rsidP="008A58CE">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5D2B1" w14:textId="77777777" w:rsidR="0037541C" w:rsidRPr="005E0344" w:rsidRDefault="0037541C" w:rsidP="005E0344">
      <w:pPr>
        <w:spacing w:after="120"/>
        <w:rPr>
          <w:color w:val="000000" w:themeColor="text2"/>
        </w:rPr>
      </w:pPr>
      <w:r w:rsidRPr="005E0344">
        <w:rPr>
          <w:color w:val="000000" w:themeColor="text2"/>
        </w:rPr>
        <w:separator/>
      </w:r>
    </w:p>
  </w:footnote>
  <w:footnote w:type="continuationSeparator" w:id="0">
    <w:p w14:paraId="0373CF72" w14:textId="77777777" w:rsidR="0037541C" w:rsidRPr="005E0344" w:rsidRDefault="0037541C" w:rsidP="0090581D">
      <w:pPr>
        <w:spacing w:after="120"/>
        <w:rPr>
          <w:color w:val="000000" w:themeColor="text2"/>
        </w:rPr>
      </w:pPr>
      <w:r w:rsidRPr="005E0344">
        <w:rPr>
          <w:color w:val="000000" w:themeColor="text2"/>
        </w:rPr>
        <w:continuationSeparator/>
      </w:r>
    </w:p>
    <w:p w14:paraId="0CE9F407" w14:textId="77777777" w:rsidR="0037541C" w:rsidRDefault="0037541C"/>
  </w:footnote>
  <w:footnote w:type="continuationNotice" w:id="1">
    <w:p w14:paraId="60BD385E" w14:textId="77777777" w:rsidR="0037541C" w:rsidRDefault="0037541C">
      <w:pPr>
        <w:spacing w:after="0"/>
      </w:pPr>
    </w:p>
    <w:p w14:paraId="562861C3" w14:textId="77777777" w:rsidR="0037541C" w:rsidRDefault="003754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46707F0" w:rsidR="00177666" w:rsidRPr="00CA6419" w:rsidRDefault="00CA6419" w:rsidP="009E0E52">
    <w:pPr>
      <w:pStyle w:val="Header"/>
      <w:rPr>
        <w:sz w:val="20"/>
        <w:szCs w:val="24"/>
      </w:rPr>
    </w:pPr>
    <w:r w:rsidRPr="00CA6419">
      <w:rPr>
        <w:sz w:val="20"/>
        <w:szCs w:val="24"/>
      </w:rPr>
      <w:t>ONR Technical Inspection Guide</w:t>
    </w:r>
    <w:r>
      <w:rPr>
        <w:sz w:val="20"/>
        <w:szCs w:val="24"/>
      </w:rPr>
      <w:t>:</w:t>
    </w:r>
    <w:r w:rsidRPr="00CA6419">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8C72D9" w:rsidRPr="00CA6419">
          <w:rPr>
            <w:sz w:val="20"/>
            <w:szCs w:val="24"/>
          </w:rPr>
          <w:t>Criticality Safety</w:t>
        </w:r>
      </w:sdtContent>
    </w:sdt>
    <w:r w:rsidR="004E3932" w:rsidRPr="00CA6419">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CD4E7C" w:rsidRPr="00CA6419">
          <w:rPr>
            <w:sz w:val="20"/>
            <w:szCs w:val="24"/>
          </w:rPr>
          <w:t>7</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06A39"/>
    <w:multiLevelType w:val="multilevel"/>
    <w:tmpl w:val="3858D28C"/>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E83E54"/>
    <w:multiLevelType w:val="hybridMultilevel"/>
    <w:tmpl w:val="9924979A"/>
    <w:lvl w:ilvl="0" w:tplc="880E2352">
      <w:start w:val="1"/>
      <w:numFmt w:val="decimal"/>
      <w:pStyle w:val="F9-Paragraph"/>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3B7A79"/>
    <w:multiLevelType w:val="multilevel"/>
    <w:tmpl w:val="10BC4DE4"/>
    <w:lvl w:ilvl="0">
      <w:start w:val="1"/>
      <w:numFmt w:val="decimal"/>
      <w:pStyle w:val="NumberedHeading"/>
      <w:lvlText w:val="%1."/>
      <w:lvlJc w:val="left"/>
      <w:pPr>
        <w:tabs>
          <w:tab w:val="num" w:pos="-31680"/>
        </w:tabs>
        <w:ind w:left="720" w:hanging="720"/>
      </w:pPr>
      <w:rPr>
        <w:rFonts w:hint="default"/>
      </w:rPr>
    </w:lvl>
    <w:lvl w:ilvl="1">
      <w:start w:val="1"/>
      <w:numFmt w:val="decimal"/>
      <w:pStyle w:val="NumberedParagraph"/>
      <w:lvlText w:val="%1.%2."/>
      <w:lvlJc w:val="left"/>
      <w:pPr>
        <w:tabs>
          <w:tab w:val="num" w:pos="-31680"/>
        </w:tabs>
        <w:ind w:left="720" w:hanging="7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1E284A8C"/>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0"/>
  </w:num>
  <w:num w:numId="12" w16cid:durableId="1085146277">
    <w:abstractNumId w:val="23"/>
  </w:num>
  <w:num w:numId="13" w16cid:durableId="989944809">
    <w:abstractNumId w:val="15"/>
  </w:num>
  <w:num w:numId="14" w16cid:durableId="1148547717">
    <w:abstractNumId w:val="11"/>
  </w:num>
  <w:num w:numId="15" w16cid:durableId="1619264317">
    <w:abstractNumId w:val="23"/>
    <w:lvlOverride w:ilvl="0">
      <w:startOverride w:val="1"/>
    </w:lvlOverride>
  </w:num>
  <w:num w:numId="16" w16cid:durableId="1717772705">
    <w:abstractNumId w:val="15"/>
    <w:lvlOverride w:ilvl="0">
      <w:startOverride w:val="1"/>
    </w:lvlOverride>
  </w:num>
  <w:num w:numId="17" w16cid:durableId="1421370352">
    <w:abstractNumId w:val="11"/>
    <w:lvlOverride w:ilvl="0">
      <w:startOverride w:val="1"/>
    </w:lvlOverride>
  </w:num>
  <w:num w:numId="18" w16cid:durableId="802893121">
    <w:abstractNumId w:val="22"/>
  </w:num>
  <w:num w:numId="19" w16cid:durableId="1666081420">
    <w:abstractNumId w:val="19"/>
  </w:num>
  <w:num w:numId="20" w16cid:durableId="874538197">
    <w:abstractNumId w:val="14"/>
  </w:num>
  <w:num w:numId="21" w16cid:durableId="2057311976">
    <w:abstractNumId w:val="20"/>
  </w:num>
  <w:num w:numId="22" w16cid:durableId="689793726">
    <w:abstractNumId w:val="13"/>
  </w:num>
  <w:num w:numId="23" w16cid:durableId="48653822">
    <w:abstractNumId w:val="24"/>
  </w:num>
  <w:num w:numId="24" w16cid:durableId="1603800266">
    <w:abstractNumId w:val="17"/>
  </w:num>
  <w:num w:numId="25" w16cid:durableId="1864591591">
    <w:abstractNumId w:val="16"/>
  </w:num>
  <w:num w:numId="26" w16cid:durableId="832574242">
    <w:abstractNumId w:val="21"/>
  </w:num>
  <w:num w:numId="27" w16cid:durableId="1391732823">
    <w:abstractNumId w:val="16"/>
    <w:lvlOverride w:ilvl="0">
      <w:startOverride w:val="1"/>
    </w:lvlOverride>
  </w:num>
  <w:num w:numId="28" w16cid:durableId="1057704017">
    <w:abstractNumId w:val="18"/>
  </w:num>
  <w:num w:numId="29" w16cid:durableId="6287017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22033"/>
    <w:rsid w:val="00024522"/>
    <w:rsid w:val="00024B2E"/>
    <w:rsid w:val="00027F4F"/>
    <w:rsid w:val="00030430"/>
    <w:rsid w:val="0003078E"/>
    <w:rsid w:val="00031B89"/>
    <w:rsid w:val="0003693D"/>
    <w:rsid w:val="0004440F"/>
    <w:rsid w:val="00052C8A"/>
    <w:rsid w:val="000548C8"/>
    <w:rsid w:val="00064A1B"/>
    <w:rsid w:val="00075605"/>
    <w:rsid w:val="00075C66"/>
    <w:rsid w:val="000817D4"/>
    <w:rsid w:val="00082879"/>
    <w:rsid w:val="00087AC1"/>
    <w:rsid w:val="00091EEA"/>
    <w:rsid w:val="0009225F"/>
    <w:rsid w:val="000A105C"/>
    <w:rsid w:val="000B6610"/>
    <w:rsid w:val="000C2DDC"/>
    <w:rsid w:val="000C5F5A"/>
    <w:rsid w:val="000D2FD4"/>
    <w:rsid w:val="000D3232"/>
    <w:rsid w:val="000D4708"/>
    <w:rsid w:val="000D4C57"/>
    <w:rsid w:val="000F1B7B"/>
    <w:rsid w:val="000F2ED4"/>
    <w:rsid w:val="001028E8"/>
    <w:rsid w:val="00122FCC"/>
    <w:rsid w:val="00124C2B"/>
    <w:rsid w:val="00126752"/>
    <w:rsid w:val="00130B30"/>
    <w:rsid w:val="00140E1C"/>
    <w:rsid w:val="00147AE4"/>
    <w:rsid w:val="001571E5"/>
    <w:rsid w:val="00177666"/>
    <w:rsid w:val="001849CA"/>
    <w:rsid w:val="00185410"/>
    <w:rsid w:val="00192352"/>
    <w:rsid w:val="001B0451"/>
    <w:rsid w:val="001B25D4"/>
    <w:rsid w:val="001B4D5A"/>
    <w:rsid w:val="001C4D63"/>
    <w:rsid w:val="001D0DE0"/>
    <w:rsid w:val="001D5AFF"/>
    <w:rsid w:val="001D74B4"/>
    <w:rsid w:val="001E03E1"/>
    <w:rsid w:val="001F059F"/>
    <w:rsid w:val="00200811"/>
    <w:rsid w:val="00200CA1"/>
    <w:rsid w:val="00210708"/>
    <w:rsid w:val="0021338D"/>
    <w:rsid w:val="00214D43"/>
    <w:rsid w:val="00221C01"/>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917FF"/>
    <w:rsid w:val="00292ADF"/>
    <w:rsid w:val="00296DBB"/>
    <w:rsid w:val="002A0DEC"/>
    <w:rsid w:val="002B1C53"/>
    <w:rsid w:val="002E0BE4"/>
    <w:rsid w:val="002E3B58"/>
    <w:rsid w:val="002E3E8A"/>
    <w:rsid w:val="002E5AB9"/>
    <w:rsid w:val="002E6A6A"/>
    <w:rsid w:val="002F3397"/>
    <w:rsid w:val="002F5117"/>
    <w:rsid w:val="0030380D"/>
    <w:rsid w:val="00312411"/>
    <w:rsid w:val="00323E71"/>
    <w:rsid w:val="00326F77"/>
    <w:rsid w:val="003401B0"/>
    <w:rsid w:val="00346C8E"/>
    <w:rsid w:val="00366F51"/>
    <w:rsid w:val="00367BD5"/>
    <w:rsid w:val="0037541C"/>
    <w:rsid w:val="00390327"/>
    <w:rsid w:val="00393B78"/>
    <w:rsid w:val="00394F45"/>
    <w:rsid w:val="003A01E9"/>
    <w:rsid w:val="003C0306"/>
    <w:rsid w:val="003C114C"/>
    <w:rsid w:val="003C465D"/>
    <w:rsid w:val="003C5C5C"/>
    <w:rsid w:val="003D0718"/>
    <w:rsid w:val="003D495D"/>
    <w:rsid w:val="003E098E"/>
    <w:rsid w:val="003E2FAE"/>
    <w:rsid w:val="00407CF7"/>
    <w:rsid w:val="00415ED6"/>
    <w:rsid w:val="00417CAF"/>
    <w:rsid w:val="00420A11"/>
    <w:rsid w:val="00422265"/>
    <w:rsid w:val="00423A1A"/>
    <w:rsid w:val="004373A7"/>
    <w:rsid w:val="00437D94"/>
    <w:rsid w:val="0044030C"/>
    <w:rsid w:val="004648A4"/>
    <w:rsid w:val="00471380"/>
    <w:rsid w:val="00493CF0"/>
    <w:rsid w:val="00494F0D"/>
    <w:rsid w:val="00496BFD"/>
    <w:rsid w:val="004A3DF2"/>
    <w:rsid w:val="004B7300"/>
    <w:rsid w:val="004C361D"/>
    <w:rsid w:val="004C4891"/>
    <w:rsid w:val="004D2AC2"/>
    <w:rsid w:val="004D2C89"/>
    <w:rsid w:val="004E3932"/>
    <w:rsid w:val="004F1E79"/>
    <w:rsid w:val="004F598F"/>
    <w:rsid w:val="004F5F33"/>
    <w:rsid w:val="0050103A"/>
    <w:rsid w:val="00511B0F"/>
    <w:rsid w:val="0055388E"/>
    <w:rsid w:val="005733DA"/>
    <w:rsid w:val="0057378F"/>
    <w:rsid w:val="005754AE"/>
    <w:rsid w:val="00576293"/>
    <w:rsid w:val="00577FB5"/>
    <w:rsid w:val="005852D1"/>
    <w:rsid w:val="005867A6"/>
    <w:rsid w:val="00587A22"/>
    <w:rsid w:val="0059299D"/>
    <w:rsid w:val="00595C8C"/>
    <w:rsid w:val="00597747"/>
    <w:rsid w:val="005A4CDD"/>
    <w:rsid w:val="005B57E4"/>
    <w:rsid w:val="005B5ABD"/>
    <w:rsid w:val="005C140A"/>
    <w:rsid w:val="005C1E52"/>
    <w:rsid w:val="005C3367"/>
    <w:rsid w:val="005C6763"/>
    <w:rsid w:val="005D3164"/>
    <w:rsid w:val="005E0344"/>
    <w:rsid w:val="005E440B"/>
    <w:rsid w:val="005F2C85"/>
    <w:rsid w:val="00605ADB"/>
    <w:rsid w:val="00611C9F"/>
    <w:rsid w:val="006248DE"/>
    <w:rsid w:val="00627555"/>
    <w:rsid w:val="006322A0"/>
    <w:rsid w:val="006361FD"/>
    <w:rsid w:val="0064226F"/>
    <w:rsid w:val="00642DDB"/>
    <w:rsid w:val="00653298"/>
    <w:rsid w:val="00655B5F"/>
    <w:rsid w:val="00663A7C"/>
    <w:rsid w:val="00667DF2"/>
    <w:rsid w:val="00670DF1"/>
    <w:rsid w:val="00671345"/>
    <w:rsid w:val="00672A9B"/>
    <w:rsid w:val="00675884"/>
    <w:rsid w:val="00696EE0"/>
    <w:rsid w:val="00697980"/>
    <w:rsid w:val="006A19EF"/>
    <w:rsid w:val="006A43D5"/>
    <w:rsid w:val="006A525B"/>
    <w:rsid w:val="006C045F"/>
    <w:rsid w:val="006C4196"/>
    <w:rsid w:val="006C63B0"/>
    <w:rsid w:val="006C76A2"/>
    <w:rsid w:val="006C792E"/>
    <w:rsid w:val="006D116C"/>
    <w:rsid w:val="006D74A2"/>
    <w:rsid w:val="006E7C42"/>
    <w:rsid w:val="006F168A"/>
    <w:rsid w:val="006F5076"/>
    <w:rsid w:val="006F6009"/>
    <w:rsid w:val="006F7E5F"/>
    <w:rsid w:val="0070321D"/>
    <w:rsid w:val="007068BA"/>
    <w:rsid w:val="00716AB1"/>
    <w:rsid w:val="00721D63"/>
    <w:rsid w:val="00724B2B"/>
    <w:rsid w:val="00732C7B"/>
    <w:rsid w:val="00734D2B"/>
    <w:rsid w:val="00737705"/>
    <w:rsid w:val="007408D4"/>
    <w:rsid w:val="007420AC"/>
    <w:rsid w:val="00742617"/>
    <w:rsid w:val="00742D96"/>
    <w:rsid w:val="007455BD"/>
    <w:rsid w:val="00783AFA"/>
    <w:rsid w:val="00785427"/>
    <w:rsid w:val="00790540"/>
    <w:rsid w:val="007968CA"/>
    <w:rsid w:val="007A43FF"/>
    <w:rsid w:val="007B3918"/>
    <w:rsid w:val="007C2F05"/>
    <w:rsid w:val="007C3C1D"/>
    <w:rsid w:val="007D199A"/>
    <w:rsid w:val="007D2EBE"/>
    <w:rsid w:val="007E1C07"/>
    <w:rsid w:val="007F24B6"/>
    <w:rsid w:val="00803D94"/>
    <w:rsid w:val="00821337"/>
    <w:rsid w:val="008229BA"/>
    <w:rsid w:val="00824151"/>
    <w:rsid w:val="00845390"/>
    <w:rsid w:val="0084601B"/>
    <w:rsid w:val="008606F0"/>
    <w:rsid w:val="00865489"/>
    <w:rsid w:val="0086553D"/>
    <w:rsid w:val="00873924"/>
    <w:rsid w:val="00874FEB"/>
    <w:rsid w:val="00881B6F"/>
    <w:rsid w:val="00882AA4"/>
    <w:rsid w:val="00883E22"/>
    <w:rsid w:val="00884E43"/>
    <w:rsid w:val="00887EC6"/>
    <w:rsid w:val="0089084C"/>
    <w:rsid w:val="00893409"/>
    <w:rsid w:val="00893D9F"/>
    <w:rsid w:val="008A2379"/>
    <w:rsid w:val="008A4329"/>
    <w:rsid w:val="008A578E"/>
    <w:rsid w:val="008A58CE"/>
    <w:rsid w:val="008B1519"/>
    <w:rsid w:val="008B7BCC"/>
    <w:rsid w:val="008C50C3"/>
    <w:rsid w:val="008C7094"/>
    <w:rsid w:val="008C72D9"/>
    <w:rsid w:val="008D2B97"/>
    <w:rsid w:val="008D49A5"/>
    <w:rsid w:val="008D6C81"/>
    <w:rsid w:val="008E6CF0"/>
    <w:rsid w:val="008E6CF9"/>
    <w:rsid w:val="008F1439"/>
    <w:rsid w:val="008F7051"/>
    <w:rsid w:val="00900E6F"/>
    <w:rsid w:val="009033A9"/>
    <w:rsid w:val="0090581D"/>
    <w:rsid w:val="0091439C"/>
    <w:rsid w:val="00920572"/>
    <w:rsid w:val="00920BF2"/>
    <w:rsid w:val="009349A9"/>
    <w:rsid w:val="00936C52"/>
    <w:rsid w:val="0095489B"/>
    <w:rsid w:val="00966FB9"/>
    <w:rsid w:val="009671CD"/>
    <w:rsid w:val="00972871"/>
    <w:rsid w:val="009751A9"/>
    <w:rsid w:val="00980F9C"/>
    <w:rsid w:val="0098632B"/>
    <w:rsid w:val="00997BFB"/>
    <w:rsid w:val="009A7348"/>
    <w:rsid w:val="009B462C"/>
    <w:rsid w:val="009B7FA3"/>
    <w:rsid w:val="009C1532"/>
    <w:rsid w:val="009C15F3"/>
    <w:rsid w:val="009C3689"/>
    <w:rsid w:val="009E07C2"/>
    <w:rsid w:val="009E0E52"/>
    <w:rsid w:val="009F72F9"/>
    <w:rsid w:val="00A00205"/>
    <w:rsid w:val="00A00AF0"/>
    <w:rsid w:val="00A14B5A"/>
    <w:rsid w:val="00A3567F"/>
    <w:rsid w:val="00A37698"/>
    <w:rsid w:val="00A41ED3"/>
    <w:rsid w:val="00A81D82"/>
    <w:rsid w:val="00A9118F"/>
    <w:rsid w:val="00A93E33"/>
    <w:rsid w:val="00AB3129"/>
    <w:rsid w:val="00AB6970"/>
    <w:rsid w:val="00AC1939"/>
    <w:rsid w:val="00AC7C05"/>
    <w:rsid w:val="00AD167C"/>
    <w:rsid w:val="00AD17C7"/>
    <w:rsid w:val="00AD4041"/>
    <w:rsid w:val="00AE302B"/>
    <w:rsid w:val="00B0248D"/>
    <w:rsid w:val="00B06F6C"/>
    <w:rsid w:val="00B16BE5"/>
    <w:rsid w:val="00B23A5E"/>
    <w:rsid w:val="00B259DF"/>
    <w:rsid w:val="00B44B1F"/>
    <w:rsid w:val="00B50894"/>
    <w:rsid w:val="00B64141"/>
    <w:rsid w:val="00B64E72"/>
    <w:rsid w:val="00B75672"/>
    <w:rsid w:val="00B77913"/>
    <w:rsid w:val="00B824FB"/>
    <w:rsid w:val="00B82646"/>
    <w:rsid w:val="00B97359"/>
    <w:rsid w:val="00B97A8F"/>
    <w:rsid w:val="00BA4E58"/>
    <w:rsid w:val="00BA7074"/>
    <w:rsid w:val="00BB7829"/>
    <w:rsid w:val="00BD1457"/>
    <w:rsid w:val="00BD7B61"/>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1831"/>
    <w:rsid w:val="00C953DF"/>
    <w:rsid w:val="00C963E6"/>
    <w:rsid w:val="00CA6419"/>
    <w:rsid w:val="00CD0401"/>
    <w:rsid w:val="00CD4E7C"/>
    <w:rsid w:val="00CD5401"/>
    <w:rsid w:val="00CE2709"/>
    <w:rsid w:val="00CE2D64"/>
    <w:rsid w:val="00CE6198"/>
    <w:rsid w:val="00CE6CD6"/>
    <w:rsid w:val="00CF51DB"/>
    <w:rsid w:val="00CF6230"/>
    <w:rsid w:val="00D017FC"/>
    <w:rsid w:val="00D0226A"/>
    <w:rsid w:val="00D13147"/>
    <w:rsid w:val="00D463FF"/>
    <w:rsid w:val="00D51D58"/>
    <w:rsid w:val="00D5715A"/>
    <w:rsid w:val="00D60BCB"/>
    <w:rsid w:val="00D71687"/>
    <w:rsid w:val="00D74813"/>
    <w:rsid w:val="00DA30BC"/>
    <w:rsid w:val="00DA69C2"/>
    <w:rsid w:val="00DA6D70"/>
    <w:rsid w:val="00DB6050"/>
    <w:rsid w:val="00DC2C34"/>
    <w:rsid w:val="00DE2C78"/>
    <w:rsid w:val="00DE2C87"/>
    <w:rsid w:val="00DE459A"/>
    <w:rsid w:val="00DE7C75"/>
    <w:rsid w:val="00DF27DA"/>
    <w:rsid w:val="00DF3917"/>
    <w:rsid w:val="00DF4DBE"/>
    <w:rsid w:val="00E02999"/>
    <w:rsid w:val="00E40820"/>
    <w:rsid w:val="00E4658F"/>
    <w:rsid w:val="00E54A67"/>
    <w:rsid w:val="00E61C0D"/>
    <w:rsid w:val="00E63EB4"/>
    <w:rsid w:val="00E66160"/>
    <w:rsid w:val="00E668C9"/>
    <w:rsid w:val="00E71329"/>
    <w:rsid w:val="00E8363B"/>
    <w:rsid w:val="00E84966"/>
    <w:rsid w:val="00E92383"/>
    <w:rsid w:val="00EA1B3A"/>
    <w:rsid w:val="00EA2109"/>
    <w:rsid w:val="00EB057A"/>
    <w:rsid w:val="00ED4D4E"/>
    <w:rsid w:val="00EE0C77"/>
    <w:rsid w:val="00EE4E54"/>
    <w:rsid w:val="00EF4334"/>
    <w:rsid w:val="00EF4499"/>
    <w:rsid w:val="00F3286B"/>
    <w:rsid w:val="00F436BB"/>
    <w:rsid w:val="00F47145"/>
    <w:rsid w:val="00F53D0B"/>
    <w:rsid w:val="00F545BF"/>
    <w:rsid w:val="00F6263C"/>
    <w:rsid w:val="00F659DF"/>
    <w:rsid w:val="00F71B56"/>
    <w:rsid w:val="00F832C8"/>
    <w:rsid w:val="00F84E39"/>
    <w:rsid w:val="00F873B3"/>
    <w:rsid w:val="00F87826"/>
    <w:rsid w:val="00FA00BE"/>
    <w:rsid w:val="00FA33FE"/>
    <w:rsid w:val="00FA42B9"/>
    <w:rsid w:val="00FA755A"/>
    <w:rsid w:val="00FB2B0F"/>
    <w:rsid w:val="00FB4F6B"/>
    <w:rsid w:val="00FB5FE1"/>
    <w:rsid w:val="00FC0E8D"/>
    <w:rsid w:val="00FC31D6"/>
    <w:rsid w:val="00FC46EF"/>
    <w:rsid w:val="00FD22BB"/>
    <w:rsid w:val="00FD2A1A"/>
    <w:rsid w:val="00FD31B3"/>
    <w:rsid w:val="00FD4204"/>
    <w:rsid w:val="00FF14E1"/>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3C5C5C"/>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3C5C5C"/>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3C5C5C"/>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B23A5E"/>
    <w:pPr>
      <w:numPr>
        <w:numId w:val="12"/>
      </w:numPr>
      <w:ind w:left="1134"/>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paragraph" w:customStyle="1" w:styleId="NumberedHeading">
    <w:name w:val="Numbered Heading"/>
    <w:basedOn w:val="Normal"/>
    <w:rsid w:val="00873924"/>
    <w:pPr>
      <w:keepNext/>
      <w:numPr>
        <w:numId w:val="28"/>
      </w:numPr>
      <w:overflowPunct w:val="0"/>
      <w:autoSpaceDE w:val="0"/>
      <w:autoSpaceDN w:val="0"/>
      <w:adjustRightInd w:val="0"/>
      <w:spacing w:line="240" w:lineRule="auto"/>
      <w:textAlignment w:val="baseline"/>
    </w:pPr>
    <w:rPr>
      <w:rFonts w:ascii="Arial Bold" w:eastAsia="Times New Roman" w:hAnsi="Arial Bold"/>
      <w:b/>
      <w:bCs/>
      <w:caps/>
      <w:color w:val="000000"/>
      <w:sz w:val="22"/>
      <w:szCs w:val="20"/>
      <w:lang w:bidi="ar-SA"/>
    </w:rPr>
  </w:style>
  <w:style w:type="paragraph" w:customStyle="1" w:styleId="NumberedParagraph">
    <w:name w:val="Numbered Paragraph"/>
    <w:basedOn w:val="Normal"/>
    <w:rsid w:val="00873924"/>
    <w:pPr>
      <w:numPr>
        <w:ilvl w:val="1"/>
        <w:numId w:val="28"/>
      </w:numPr>
      <w:spacing w:line="240" w:lineRule="auto"/>
      <w:jc w:val="both"/>
    </w:pPr>
    <w:rPr>
      <w:rFonts w:eastAsia="Times New Roman"/>
      <w:sz w:val="22"/>
      <w:lang w:bidi="ar-SA"/>
    </w:rPr>
  </w:style>
  <w:style w:type="character" w:customStyle="1" w:styleId="Heading7Char">
    <w:name w:val="Heading 7 Char"/>
    <w:basedOn w:val="DefaultParagraphFont"/>
    <w:link w:val="Heading7"/>
    <w:rsid w:val="003C5C5C"/>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3C5C5C"/>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3C5C5C"/>
    <w:rPr>
      <w:rFonts w:ascii="Arial" w:eastAsia="Times New Roman" w:hAnsi="Arial"/>
      <w:sz w:val="22"/>
      <w:szCs w:val="22"/>
      <w:lang w:eastAsia="en-US"/>
    </w:rPr>
  </w:style>
  <w:style w:type="paragraph" w:customStyle="1" w:styleId="TSHeadingNumbered1">
    <w:name w:val="TS Heading Numbered 1."/>
    <w:basedOn w:val="Normal"/>
    <w:rsid w:val="003C5C5C"/>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3C5C5C"/>
  </w:style>
  <w:style w:type="paragraph" w:customStyle="1" w:styleId="TSHeadingNumbered111">
    <w:name w:val="TS Heading Numbered 1.1.1"/>
    <w:basedOn w:val="TSHeadingNumbered1"/>
    <w:rsid w:val="003C5C5C"/>
  </w:style>
  <w:style w:type="paragraph" w:customStyle="1" w:styleId="TSHeadingNumbered1111">
    <w:name w:val="TS Heading Numbered 1.1.1.1"/>
    <w:basedOn w:val="TSHeadingNumbered1"/>
    <w:rsid w:val="003C5C5C"/>
  </w:style>
  <w:style w:type="paragraph" w:customStyle="1" w:styleId="TSNumberedParagraph11">
    <w:name w:val="TS Numbered Paragraph 1.1"/>
    <w:basedOn w:val="TSHeadingNumbered11"/>
    <w:rsid w:val="003C5C5C"/>
    <w:pPr>
      <w:numPr>
        <w:ilvl w:val="1"/>
      </w:numPr>
      <w:tabs>
        <w:tab w:val="num" w:pos="-31680"/>
      </w:tabs>
      <w:ind w:left="720" w:hanging="720"/>
    </w:pPr>
    <w:rPr>
      <w:rFonts w:ascii="Arial" w:hAnsi="Arial"/>
      <w:b w:val="0"/>
      <w:caps w:val="0"/>
    </w:rPr>
  </w:style>
  <w:style w:type="paragraph" w:customStyle="1" w:styleId="3-TAGmain1">
    <w:name w:val="3-TAGmain 1)"/>
    <w:basedOn w:val="Normal"/>
    <w:rsid w:val="00423A1A"/>
    <w:pPr>
      <w:autoSpaceDE w:val="0"/>
      <w:autoSpaceDN w:val="0"/>
      <w:adjustRightInd w:val="0"/>
      <w:spacing w:line="240" w:lineRule="auto"/>
      <w:ind w:left="2160" w:hanging="720"/>
    </w:pPr>
    <w:rPr>
      <w:rFonts w:eastAsia="Times New Roman"/>
      <w:szCs w:val="24"/>
      <w:lang w:val="en-US" w:bidi="ar-SA"/>
    </w:rPr>
  </w:style>
  <w:style w:type="paragraph" w:customStyle="1" w:styleId="4-TAGmaini">
    <w:name w:val="4-TAGmain i)"/>
    <w:basedOn w:val="Normal"/>
    <w:rsid w:val="00423A1A"/>
    <w:pPr>
      <w:autoSpaceDE w:val="0"/>
      <w:autoSpaceDN w:val="0"/>
      <w:adjustRightInd w:val="0"/>
      <w:spacing w:line="240" w:lineRule="auto"/>
      <w:ind w:left="2880" w:hanging="720"/>
    </w:pPr>
    <w:rPr>
      <w:rFonts w:eastAsia="Times New Roman"/>
      <w:szCs w:val="24"/>
      <w:lang w:val="en-US" w:bidi="ar-SA"/>
    </w:rPr>
  </w:style>
  <w:style w:type="paragraph" w:customStyle="1" w:styleId="1-TAGap1">
    <w:name w:val="1-TAGap1"/>
    <w:basedOn w:val="Normal"/>
    <w:rsid w:val="00423A1A"/>
    <w:pPr>
      <w:keepLines/>
      <w:autoSpaceDE w:val="0"/>
      <w:autoSpaceDN w:val="0"/>
      <w:adjustRightInd w:val="0"/>
      <w:spacing w:line="240" w:lineRule="auto"/>
    </w:pPr>
    <w:rPr>
      <w:rFonts w:eastAsia="Times New Roman"/>
      <w:b/>
      <w:bCs/>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190">
      <w:bodyDiv w:val="1"/>
      <w:marLeft w:val="0"/>
      <w:marRight w:val="0"/>
      <w:marTop w:val="0"/>
      <w:marBottom w:val="0"/>
      <w:divBdr>
        <w:top w:val="none" w:sz="0" w:space="0" w:color="auto"/>
        <w:left w:val="none" w:sz="0" w:space="0" w:color="auto"/>
        <w:bottom w:val="none" w:sz="0" w:space="0" w:color="auto"/>
        <w:right w:val="none" w:sz="0" w:space="0" w:color="auto"/>
      </w:divBdr>
    </w:div>
    <w:div w:id="61342266">
      <w:bodyDiv w:val="1"/>
      <w:marLeft w:val="0"/>
      <w:marRight w:val="0"/>
      <w:marTop w:val="0"/>
      <w:marBottom w:val="0"/>
      <w:divBdr>
        <w:top w:val="none" w:sz="0" w:space="0" w:color="auto"/>
        <w:left w:val="none" w:sz="0" w:space="0" w:color="auto"/>
        <w:bottom w:val="none" w:sz="0" w:space="0" w:color="auto"/>
        <w:right w:val="none" w:sz="0" w:space="0" w:color="auto"/>
      </w:divBdr>
    </w:div>
    <w:div w:id="8391744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8062780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1617738">
      <w:bodyDiv w:val="1"/>
      <w:marLeft w:val="0"/>
      <w:marRight w:val="0"/>
      <w:marTop w:val="0"/>
      <w:marBottom w:val="0"/>
      <w:divBdr>
        <w:top w:val="none" w:sz="0" w:space="0" w:color="auto"/>
        <w:left w:val="none" w:sz="0" w:space="0" w:color="auto"/>
        <w:bottom w:val="none" w:sz="0" w:space="0" w:color="auto"/>
        <w:right w:val="none" w:sz="0" w:space="0" w:color="auto"/>
      </w:divBdr>
    </w:div>
    <w:div w:id="288977885">
      <w:bodyDiv w:val="1"/>
      <w:marLeft w:val="0"/>
      <w:marRight w:val="0"/>
      <w:marTop w:val="0"/>
      <w:marBottom w:val="0"/>
      <w:divBdr>
        <w:top w:val="none" w:sz="0" w:space="0" w:color="auto"/>
        <w:left w:val="none" w:sz="0" w:space="0" w:color="auto"/>
        <w:bottom w:val="none" w:sz="0" w:space="0" w:color="auto"/>
        <w:right w:val="none" w:sz="0" w:space="0" w:color="auto"/>
      </w:divBdr>
    </w:div>
    <w:div w:id="333607478">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457382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3423905">
      <w:bodyDiv w:val="1"/>
      <w:marLeft w:val="0"/>
      <w:marRight w:val="0"/>
      <w:marTop w:val="0"/>
      <w:marBottom w:val="0"/>
      <w:divBdr>
        <w:top w:val="none" w:sz="0" w:space="0" w:color="auto"/>
        <w:left w:val="none" w:sz="0" w:space="0" w:color="auto"/>
        <w:bottom w:val="none" w:sz="0" w:space="0" w:color="auto"/>
        <w:right w:val="none" w:sz="0" w:space="0" w:color="auto"/>
      </w:divBdr>
    </w:div>
    <w:div w:id="467284719">
      <w:bodyDiv w:val="1"/>
      <w:marLeft w:val="0"/>
      <w:marRight w:val="0"/>
      <w:marTop w:val="0"/>
      <w:marBottom w:val="0"/>
      <w:divBdr>
        <w:top w:val="none" w:sz="0" w:space="0" w:color="auto"/>
        <w:left w:val="none" w:sz="0" w:space="0" w:color="auto"/>
        <w:bottom w:val="none" w:sz="0" w:space="0" w:color="auto"/>
        <w:right w:val="none" w:sz="0" w:space="0" w:color="auto"/>
      </w:divBdr>
    </w:div>
    <w:div w:id="494691549">
      <w:bodyDiv w:val="1"/>
      <w:marLeft w:val="0"/>
      <w:marRight w:val="0"/>
      <w:marTop w:val="0"/>
      <w:marBottom w:val="0"/>
      <w:divBdr>
        <w:top w:val="none" w:sz="0" w:space="0" w:color="auto"/>
        <w:left w:val="none" w:sz="0" w:space="0" w:color="auto"/>
        <w:bottom w:val="none" w:sz="0" w:space="0" w:color="auto"/>
        <w:right w:val="none" w:sz="0" w:space="0" w:color="auto"/>
      </w:divBdr>
    </w:div>
    <w:div w:id="51761840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01377634">
      <w:bodyDiv w:val="1"/>
      <w:marLeft w:val="0"/>
      <w:marRight w:val="0"/>
      <w:marTop w:val="0"/>
      <w:marBottom w:val="0"/>
      <w:divBdr>
        <w:top w:val="none" w:sz="0" w:space="0" w:color="auto"/>
        <w:left w:val="none" w:sz="0" w:space="0" w:color="auto"/>
        <w:bottom w:val="none" w:sz="0" w:space="0" w:color="auto"/>
        <w:right w:val="none" w:sz="0" w:space="0" w:color="auto"/>
      </w:divBdr>
    </w:div>
    <w:div w:id="645428894">
      <w:bodyDiv w:val="1"/>
      <w:marLeft w:val="0"/>
      <w:marRight w:val="0"/>
      <w:marTop w:val="0"/>
      <w:marBottom w:val="0"/>
      <w:divBdr>
        <w:top w:val="none" w:sz="0" w:space="0" w:color="auto"/>
        <w:left w:val="none" w:sz="0" w:space="0" w:color="auto"/>
        <w:bottom w:val="none" w:sz="0" w:space="0" w:color="auto"/>
        <w:right w:val="none" w:sz="0" w:space="0" w:color="auto"/>
      </w:divBdr>
    </w:div>
    <w:div w:id="660541723">
      <w:bodyDiv w:val="1"/>
      <w:marLeft w:val="0"/>
      <w:marRight w:val="0"/>
      <w:marTop w:val="0"/>
      <w:marBottom w:val="0"/>
      <w:divBdr>
        <w:top w:val="none" w:sz="0" w:space="0" w:color="auto"/>
        <w:left w:val="none" w:sz="0" w:space="0" w:color="auto"/>
        <w:bottom w:val="none" w:sz="0" w:space="0" w:color="auto"/>
        <w:right w:val="none" w:sz="0" w:space="0" w:color="auto"/>
      </w:divBdr>
    </w:div>
    <w:div w:id="777141563">
      <w:bodyDiv w:val="1"/>
      <w:marLeft w:val="0"/>
      <w:marRight w:val="0"/>
      <w:marTop w:val="0"/>
      <w:marBottom w:val="0"/>
      <w:divBdr>
        <w:top w:val="none" w:sz="0" w:space="0" w:color="auto"/>
        <w:left w:val="none" w:sz="0" w:space="0" w:color="auto"/>
        <w:bottom w:val="none" w:sz="0" w:space="0" w:color="auto"/>
        <w:right w:val="none" w:sz="0" w:space="0" w:color="auto"/>
      </w:divBdr>
    </w:div>
    <w:div w:id="785999487">
      <w:bodyDiv w:val="1"/>
      <w:marLeft w:val="0"/>
      <w:marRight w:val="0"/>
      <w:marTop w:val="0"/>
      <w:marBottom w:val="0"/>
      <w:divBdr>
        <w:top w:val="none" w:sz="0" w:space="0" w:color="auto"/>
        <w:left w:val="none" w:sz="0" w:space="0" w:color="auto"/>
        <w:bottom w:val="none" w:sz="0" w:space="0" w:color="auto"/>
        <w:right w:val="none" w:sz="0" w:space="0" w:color="auto"/>
      </w:divBdr>
    </w:div>
    <w:div w:id="902638133">
      <w:bodyDiv w:val="1"/>
      <w:marLeft w:val="0"/>
      <w:marRight w:val="0"/>
      <w:marTop w:val="0"/>
      <w:marBottom w:val="0"/>
      <w:divBdr>
        <w:top w:val="none" w:sz="0" w:space="0" w:color="auto"/>
        <w:left w:val="none" w:sz="0" w:space="0" w:color="auto"/>
        <w:bottom w:val="none" w:sz="0" w:space="0" w:color="auto"/>
        <w:right w:val="none" w:sz="0" w:space="0" w:color="auto"/>
      </w:divBdr>
    </w:div>
    <w:div w:id="913399253">
      <w:bodyDiv w:val="1"/>
      <w:marLeft w:val="0"/>
      <w:marRight w:val="0"/>
      <w:marTop w:val="0"/>
      <w:marBottom w:val="0"/>
      <w:divBdr>
        <w:top w:val="none" w:sz="0" w:space="0" w:color="auto"/>
        <w:left w:val="none" w:sz="0" w:space="0" w:color="auto"/>
        <w:bottom w:val="none" w:sz="0" w:space="0" w:color="auto"/>
        <w:right w:val="none" w:sz="0" w:space="0" w:color="auto"/>
      </w:divBdr>
    </w:div>
    <w:div w:id="953638321">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2030461">
      <w:bodyDiv w:val="1"/>
      <w:marLeft w:val="0"/>
      <w:marRight w:val="0"/>
      <w:marTop w:val="0"/>
      <w:marBottom w:val="0"/>
      <w:divBdr>
        <w:top w:val="none" w:sz="0" w:space="0" w:color="auto"/>
        <w:left w:val="none" w:sz="0" w:space="0" w:color="auto"/>
        <w:bottom w:val="none" w:sz="0" w:space="0" w:color="auto"/>
        <w:right w:val="none" w:sz="0" w:space="0" w:color="auto"/>
      </w:divBdr>
    </w:div>
    <w:div w:id="997078576">
      <w:bodyDiv w:val="1"/>
      <w:marLeft w:val="0"/>
      <w:marRight w:val="0"/>
      <w:marTop w:val="0"/>
      <w:marBottom w:val="0"/>
      <w:divBdr>
        <w:top w:val="none" w:sz="0" w:space="0" w:color="auto"/>
        <w:left w:val="none" w:sz="0" w:space="0" w:color="auto"/>
        <w:bottom w:val="none" w:sz="0" w:space="0" w:color="auto"/>
        <w:right w:val="none" w:sz="0" w:space="0" w:color="auto"/>
      </w:divBdr>
    </w:div>
    <w:div w:id="1053964993">
      <w:bodyDiv w:val="1"/>
      <w:marLeft w:val="0"/>
      <w:marRight w:val="0"/>
      <w:marTop w:val="0"/>
      <w:marBottom w:val="0"/>
      <w:divBdr>
        <w:top w:val="none" w:sz="0" w:space="0" w:color="auto"/>
        <w:left w:val="none" w:sz="0" w:space="0" w:color="auto"/>
        <w:bottom w:val="none" w:sz="0" w:space="0" w:color="auto"/>
        <w:right w:val="none" w:sz="0" w:space="0" w:color="auto"/>
      </w:divBdr>
    </w:div>
    <w:div w:id="105920499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18052817">
      <w:bodyDiv w:val="1"/>
      <w:marLeft w:val="0"/>
      <w:marRight w:val="0"/>
      <w:marTop w:val="0"/>
      <w:marBottom w:val="0"/>
      <w:divBdr>
        <w:top w:val="none" w:sz="0" w:space="0" w:color="auto"/>
        <w:left w:val="none" w:sz="0" w:space="0" w:color="auto"/>
        <w:bottom w:val="none" w:sz="0" w:space="0" w:color="auto"/>
        <w:right w:val="none" w:sz="0" w:space="0" w:color="auto"/>
      </w:divBdr>
    </w:div>
    <w:div w:id="1362319534">
      <w:bodyDiv w:val="1"/>
      <w:marLeft w:val="0"/>
      <w:marRight w:val="0"/>
      <w:marTop w:val="0"/>
      <w:marBottom w:val="0"/>
      <w:divBdr>
        <w:top w:val="none" w:sz="0" w:space="0" w:color="auto"/>
        <w:left w:val="none" w:sz="0" w:space="0" w:color="auto"/>
        <w:bottom w:val="none" w:sz="0" w:space="0" w:color="auto"/>
        <w:right w:val="none" w:sz="0" w:space="0" w:color="auto"/>
      </w:divBdr>
    </w:div>
    <w:div w:id="140202605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3714123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7917456">
      <w:bodyDiv w:val="1"/>
      <w:marLeft w:val="0"/>
      <w:marRight w:val="0"/>
      <w:marTop w:val="0"/>
      <w:marBottom w:val="0"/>
      <w:divBdr>
        <w:top w:val="none" w:sz="0" w:space="0" w:color="auto"/>
        <w:left w:val="none" w:sz="0" w:space="0" w:color="auto"/>
        <w:bottom w:val="none" w:sz="0" w:space="0" w:color="auto"/>
        <w:right w:val="none" w:sz="0" w:space="0" w:color="auto"/>
      </w:divBdr>
    </w:div>
    <w:div w:id="1481655689">
      <w:bodyDiv w:val="1"/>
      <w:marLeft w:val="0"/>
      <w:marRight w:val="0"/>
      <w:marTop w:val="0"/>
      <w:marBottom w:val="0"/>
      <w:divBdr>
        <w:top w:val="none" w:sz="0" w:space="0" w:color="auto"/>
        <w:left w:val="none" w:sz="0" w:space="0" w:color="auto"/>
        <w:bottom w:val="none" w:sz="0" w:space="0" w:color="auto"/>
        <w:right w:val="none" w:sz="0" w:space="0" w:color="auto"/>
      </w:divBdr>
    </w:div>
    <w:div w:id="1494684060">
      <w:bodyDiv w:val="1"/>
      <w:marLeft w:val="0"/>
      <w:marRight w:val="0"/>
      <w:marTop w:val="0"/>
      <w:marBottom w:val="0"/>
      <w:divBdr>
        <w:top w:val="none" w:sz="0" w:space="0" w:color="auto"/>
        <w:left w:val="none" w:sz="0" w:space="0" w:color="auto"/>
        <w:bottom w:val="none" w:sz="0" w:space="0" w:color="auto"/>
        <w:right w:val="none" w:sz="0" w:space="0" w:color="auto"/>
      </w:divBdr>
    </w:div>
    <w:div w:id="157635662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7011011">
      <w:bodyDiv w:val="1"/>
      <w:marLeft w:val="0"/>
      <w:marRight w:val="0"/>
      <w:marTop w:val="0"/>
      <w:marBottom w:val="0"/>
      <w:divBdr>
        <w:top w:val="none" w:sz="0" w:space="0" w:color="auto"/>
        <w:left w:val="none" w:sz="0" w:space="0" w:color="auto"/>
        <w:bottom w:val="none" w:sz="0" w:space="0" w:color="auto"/>
        <w:right w:val="none" w:sz="0" w:space="0" w:color="auto"/>
      </w:divBdr>
    </w:div>
    <w:div w:id="1744722716">
      <w:bodyDiv w:val="1"/>
      <w:marLeft w:val="0"/>
      <w:marRight w:val="0"/>
      <w:marTop w:val="0"/>
      <w:marBottom w:val="0"/>
      <w:divBdr>
        <w:top w:val="none" w:sz="0" w:space="0" w:color="auto"/>
        <w:left w:val="none" w:sz="0" w:space="0" w:color="auto"/>
        <w:bottom w:val="none" w:sz="0" w:space="0" w:color="auto"/>
        <w:right w:val="none" w:sz="0" w:space="0" w:color="auto"/>
      </w:divBdr>
    </w:div>
    <w:div w:id="1761098044">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174847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89950202">
      <w:bodyDiv w:val="1"/>
      <w:marLeft w:val="0"/>
      <w:marRight w:val="0"/>
      <w:marTop w:val="0"/>
      <w:marBottom w:val="0"/>
      <w:divBdr>
        <w:top w:val="none" w:sz="0" w:space="0" w:color="auto"/>
        <w:left w:val="none" w:sz="0" w:space="0" w:color="auto"/>
        <w:bottom w:val="none" w:sz="0" w:space="0" w:color="auto"/>
        <w:right w:val="none" w:sz="0" w:space="0" w:color="auto"/>
      </w:divBdr>
    </w:div>
    <w:div w:id="197390485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00E7"/>
    <w:rsid w:val="00183F29"/>
    <w:rsid w:val="002550FD"/>
    <w:rsid w:val="00333F8E"/>
    <w:rsid w:val="00350199"/>
    <w:rsid w:val="0060022D"/>
    <w:rsid w:val="007154C5"/>
    <w:rsid w:val="00764F6F"/>
    <w:rsid w:val="00835E07"/>
    <w:rsid w:val="00A657B0"/>
    <w:rsid w:val="00C17C1E"/>
    <w:rsid w:val="00C41BCC"/>
    <w:rsid w:val="00DD7BA4"/>
    <w:rsid w:val="00E27559"/>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b:Tag>
    <b:SourceType>ElectronicSource</b:SourceType>
    <b:Guid>{AB613ABE-E75D-4D6C-8790-21BFF9E32B05}</b:Guid>
    <b:Title>NS-TAST-GD-097 - Criticality Safety Assessment of Transport Packages</b:Title>
    <b:Author>
      <b:Author>
        <b:Corporate>ONR</b:Corporate>
      </b:Author>
    </b:Author>
    <b:RefOrder>2</b:RefOrder>
  </b:Source>
  <b:Source>
    <b:Tag>IAE145</b:Tag>
    <b:SourceType>ElectronicSource</b:SourceType>
    <b:Guid>{39088C9F-ED9A-4206-835A-EF60CB04226E}</b:Guid>
    <b:Author>
      <b:Author>
        <b:Corporate>IAEA</b:Corporate>
      </b:Author>
    </b:Author>
    <b:Title>IAEA Safety Standards – Specific Safety Guide No. SSG-27 – Criticality Safety in the Handling of Fissile Material</b:Title>
    <b:Year>2014</b:Year>
    <b:RefOrder>4</b:RefOrder>
  </b:Source>
  <b:Source>
    <b:Tag>ONR2013</b:Tag>
    <b:SourceType>DocumentFromInternetSite</b:SourceType>
    <b:Guid>{FB49E7F0-3C28-4054-AC45-401A407181C3}</b:Guid>
    <b:Author>
      <b:Author>
        <b:Corporate>ONR</b:Corporate>
      </b:Author>
    </b:Author>
    <b:Title>Safety Assessment Principles (SAPs) for Nuclear Facilities - 2014 Edition (Revision 1)</b:Title>
    <b:Year>2020</b:Year>
    <b:Month>January</b:Month>
    <b:URL>https://www.onr.org.uk/saps/saps2014.pdf</b:URL>
    <b:RefOrder>5</b:RefOrder>
  </b:Source>
  <b:Source>
    <b:Tag>ONR364</b:Tag>
    <b:SourceType>ElectronicSource</b:SourceType>
    <b:Guid>{C98968ED-BB5F-41F8-BC4C-27B66B32D9D4}</b:Guid>
    <b:Author>
      <b:Author>
        <b:Corporate>ONR</b:Corporate>
      </b:Author>
    </b:Author>
    <b:Title>NS-TAST-GD-041 - Criticality Safety</b:Title>
    <b:RefOrder>6</b:RefOrder>
  </b:Source>
  <b:Source>
    <b:Tag>ONR365</b:Tag>
    <b:SourceType>ElectronicSource</b:SourceType>
    <b:Guid>{294D5B0B-1B58-425A-87EE-1038955F7856}</b:Guid>
    <b:Author>
      <b:Author>
        <b:Corporate>ONR</b:Corporate>
      </b:Author>
    </b:Author>
    <b:Title>NS-TAST-GD-018 - Criticality Warning Systems</b:Title>
    <b:RefOrder>7</b:RefOrder>
  </b:Source>
  <b:Source>
    <b:Tag>Lil</b:Tag>
    <b:SourceType>Book</b:SourceType>
    <b:Guid>{E12D2062-FB76-43B5-801A-13F8EE9BED4A}</b:Guid>
    <b:Title>Nuclear Physics: Principles and Applications</b:Title>
    <b:Publisher>J Wiley and Sons Ltd</b:Publisher>
    <b:Author>
      <b:Author>
        <b:NameList>
          <b:Person>
            <b:Last>Lilley</b:Last>
            <b:First>J</b:First>
          </b:Person>
        </b:NameList>
      </b:Author>
    </b:Author>
    <b:RefOrder>8</b:RefOrder>
  </b:Source>
  <b:Source>
    <b:Tag>INL12</b:Tag>
    <b:SourceType>DocumentFromInternetSite</b:SourceType>
    <b:Guid>{6CBA33D5-870A-4DFD-AD5E-8E494E72157A}</b:Guid>
    <b:Title>Criticality Safety Basics for INL FMHs and CSOs (INL/EXT-06-01183, Revision 1)</b:Title>
    <b:Year>2012</b:Year>
    <b:Author>
      <b:Author>
        <b:Corporate>INL</b:Corporate>
      </b:Author>
    </b:Author>
    <b:Month>April</b:Month>
    <b:URL>http://inldigitallibrary.inl.gov/sti/5427214.pdf</b:URL>
    <b:RefOrder>9</b:RefOrder>
  </b:Source>
  <b:Source>
    <b:Tag>Los96</b:Tag>
    <b:SourceType>DocumentFromInternetSite</b:SourceType>
    <b:Guid>{E9D4A65B-E8B5-4B42-B287-A8A081B40F29}</b:Guid>
    <b:Title>Nuclear Criticality Safety Guide (LA-12808, UC-714)</b:Title>
    <b:Year>1996</b:Year>
    <b:Month>September</b:Month>
    <b:URL>https://digital.library.unt.edu/ark:/67531/metadc680802/m2/1/high_res_d/399709.pdf</b:URL>
    <b:Author>
      <b:Author>
        <b:Corporate>Los Alamos National Laboratory</b:Corporate>
      </b:Author>
    </b:Author>
    <b:RefOrder>10</b:RefOrder>
  </b:Source>
  <b:Source>
    <b:Tag>Los99</b:Tag>
    <b:SourceType>DocumentFromInternetSite</b:SourceType>
    <b:Guid>{B55E30B5-2634-45C6-AA2C-5419BB8FB7AD}</b:Guid>
    <b:Author>
      <b:Author>
        <b:Corporate>Los Alamos National Laboratory</b:Corporate>
      </b:Author>
    </b:Author>
    <b:Title>A Review of Criticality Accidents (LA-13638, 2000 Revision)</b:Title>
    <b:Year>1999</b:Year>
    <b:Month>August</b:Month>
    <b:URL>https://www.nrc.gov/docs/ML0037/ML003731912.pdf</b:URL>
    <b:RefOrder>11</b:RefOrder>
  </b:Source>
  <b:Source>
    <b:Tag>Cri72</b:Tag>
    <b:SourceType>DocumentFromInternetSite</b:SourceType>
    <b:Guid>{AECA6AF7-7062-4EEB-9EAD-8AF2F20450F9}</b:Guid>
    <b:Title>Criticality Control in Operations with Fissile Material (LA-3366, UC-41 &amp; 46)</b:Title>
    <b:Year>1972</b:Year>
    <b:Month>November</b:Month>
    <b:URL>https://inis.iaea.org/collection/NCLCollectionStore/_Public/04/061/4061236.pdf</b:URL>
    <b:Author>
      <b:Author>
        <b:Corporate>Los Alamos National Laboratory</b:Corporate>
      </b:Author>
    </b:Author>
    <b:RefOrder>12</b:RefOrder>
  </b:Source>
  <b:Source>
    <b:Tag>Woo</b:Tag>
    <b:SourceType>DocumentFromInternetSite</b:SourceType>
    <b:Guid>{E52EA8A8-E9B3-44CB-BAA5-AC151ED9E9E2}</b:Guid>
    <b:Author>
      <b:Author>
        <b:Corporate>Wood and ONR</b:Corporate>
      </b:Author>
    </b:Author>
    <b:Title>Research into the Effect of Temperature on the Criticality Safety of Fissile Systems (ONR352, 203171-AA-0022, Issue 2.0)</b:Title>
    <b:URL>https://www.onr.org.uk/documents/2019/onr-rrr-077.pdf</b:URL>
    <b:Year>2019</b:Year>
    <b:RefOrder>3</b:RefOrder>
  </b:Source>
  <b:Source>
    <b:Tag>ONR366</b:Tag>
    <b:SourceType>ElectronicSource</b:SourceType>
    <b:Guid>{B77BE4F7-8C0B-4232-A2C1-7D001B840DE6}</b:Guid>
    <b:Author>
      <b:Author>
        <b:Corporate>ONR</b:Corporate>
      </b:Author>
    </b:Author>
    <b:Title>NS-INSP-GD-053 - Annex 1 - Guidance on Conducting Criticality Safety-focused Inspections</b:Title>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B08650-59E8-4A6A-A99D-3078A5975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9</Pages>
  <Words>2103</Words>
  <Characters>11993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14068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Criticality Safety</dc:title>
  <dc:subject>[Subtitle or description]</dc:subject>
  <cp:keywords>[Key words separated by commas]</cp:keywords>
  <dc:description/>
  <cp:revision>2</cp:revision>
  <cp:lastPrinted>2016-11-28T11:35:00Z</cp:lastPrinted>
  <dcterms:created xsi:type="dcterms:W3CDTF">2023-08-29T12:26:00Z</dcterms:created>
  <dcterms:modified xsi:type="dcterms:W3CDTF">2023-08-29T12:26:00Z</dcterms:modified>
  <cp:contentStatus>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