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84"/>
        <w:gridCol w:w="7014"/>
      </w:tblGrid>
      <w:tr w:rsidR="006D3871" w:rsidRPr="00E74B66" w14:paraId="3B7206E0" w14:textId="77777777" w:rsidTr="006D3871">
        <w:tc>
          <w:tcPr>
            <w:tcW w:w="9198" w:type="dxa"/>
            <w:gridSpan w:val="2"/>
          </w:tcPr>
          <w:p w14:paraId="2437F5D8" w14:textId="0817A9B8" w:rsidR="007E118A" w:rsidRPr="00B33A72" w:rsidRDefault="006D3871" w:rsidP="0052443D">
            <w:pPr>
              <w:jc w:val="center"/>
              <w:rPr>
                <w:rFonts w:cs="Arial"/>
                <w:b/>
              </w:rPr>
            </w:pPr>
            <w:r w:rsidRPr="00B33A72">
              <w:rPr>
                <w:rFonts w:cs="Arial"/>
                <w:b/>
              </w:rPr>
              <w:t xml:space="preserve">ONR </w:t>
            </w:r>
            <w:r w:rsidR="007E118A" w:rsidRPr="00B33A72">
              <w:rPr>
                <w:rFonts w:cs="Arial"/>
                <w:b/>
              </w:rPr>
              <w:t xml:space="preserve">Chief Nuclear Inspector's (CNI) </w:t>
            </w:r>
            <w:r w:rsidRPr="00B33A72">
              <w:rPr>
                <w:rFonts w:cs="Arial"/>
                <w:b/>
              </w:rPr>
              <w:t xml:space="preserve">Independent Advisory Panel (IAP) </w:t>
            </w:r>
          </w:p>
          <w:p w14:paraId="3B7206DF" w14:textId="2DF17C3D" w:rsidR="006D3871" w:rsidRPr="00B33A72" w:rsidRDefault="006D3871" w:rsidP="0052443D">
            <w:pPr>
              <w:jc w:val="center"/>
              <w:rPr>
                <w:rFonts w:cs="Arial"/>
              </w:rPr>
            </w:pPr>
            <w:r w:rsidRPr="00B33A72">
              <w:rPr>
                <w:rFonts w:cs="Arial"/>
                <w:b/>
              </w:rPr>
              <w:t>Terms of Reference</w:t>
            </w:r>
          </w:p>
        </w:tc>
      </w:tr>
      <w:tr w:rsidR="006D3871" w:rsidRPr="00E74B66" w14:paraId="3B7206E3" w14:textId="77777777" w:rsidTr="00B33A72">
        <w:trPr>
          <w:trHeight w:val="132"/>
        </w:trPr>
        <w:tc>
          <w:tcPr>
            <w:tcW w:w="2184" w:type="dxa"/>
          </w:tcPr>
          <w:p w14:paraId="3B7206E1" w14:textId="7FBD9D5C" w:rsidR="006D3871" w:rsidRPr="00B33A72" w:rsidRDefault="002B474D" w:rsidP="0052443D">
            <w:pPr>
              <w:rPr>
                <w:rFonts w:cs="Arial"/>
              </w:rPr>
            </w:pPr>
            <w:r w:rsidRPr="00B33A72">
              <w:rPr>
                <w:rFonts w:cs="Arial"/>
              </w:rPr>
              <w:t>CM9 Reference</w:t>
            </w:r>
          </w:p>
        </w:tc>
        <w:tc>
          <w:tcPr>
            <w:tcW w:w="7014" w:type="dxa"/>
          </w:tcPr>
          <w:p w14:paraId="3B7206E2" w14:textId="00C0DBA1" w:rsidR="006D3871" w:rsidRPr="00B33A72" w:rsidRDefault="005C141A" w:rsidP="00385DB6">
            <w:pPr>
              <w:rPr>
                <w:rFonts w:cs="Arial"/>
              </w:rPr>
            </w:pPr>
            <w:r>
              <w:rPr>
                <w:rFonts w:cs="Arial"/>
              </w:rPr>
              <w:t>2023/21176</w:t>
            </w:r>
          </w:p>
        </w:tc>
      </w:tr>
      <w:tr w:rsidR="006D3871" w:rsidRPr="00E74B66" w14:paraId="3B7206E6" w14:textId="77777777" w:rsidTr="006D3871">
        <w:tc>
          <w:tcPr>
            <w:tcW w:w="2184" w:type="dxa"/>
          </w:tcPr>
          <w:p w14:paraId="3B7206E4" w14:textId="77777777" w:rsidR="006D3871" w:rsidRPr="00B33A72" w:rsidRDefault="006D3871" w:rsidP="0052443D">
            <w:pPr>
              <w:rPr>
                <w:rFonts w:cs="Arial"/>
              </w:rPr>
            </w:pPr>
            <w:r w:rsidRPr="00B33A72">
              <w:rPr>
                <w:rFonts w:cs="Arial"/>
              </w:rPr>
              <w:t>Date</w:t>
            </w:r>
          </w:p>
        </w:tc>
        <w:tc>
          <w:tcPr>
            <w:tcW w:w="7014" w:type="dxa"/>
          </w:tcPr>
          <w:p w14:paraId="3B7206E5" w14:textId="40167A60" w:rsidR="006D3871" w:rsidRPr="00B33A72" w:rsidRDefault="005108C1" w:rsidP="00385DB6">
            <w:pPr>
              <w:rPr>
                <w:rFonts w:cs="Arial"/>
              </w:rPr>
            </w:pPr>
            <w:r w:rsidRPr="00B33A72">
              <w:rPr>
                <w:rFonts w:cs="Arial"/>
              </w:rPr>
              <w:t>31 March 2</w:t>
            </w:r>
            <w:r w:rsidR="00385DB6" w:rsidRPr="00B33A72">
              <w:rPr>
                <w:rFonts w:cs="Arial"/>
              </w:rPr>
              <w:t>0</w:t>
            </w:r>
            <w:r w:rsidRPr="00B33A72">
              <w:rPr>
                <w:rFonts w:cs="Arial"/>
              </w:rPr>
              <w:t>23</w:t>
            </w:r>
          </w:p>
        </w:tc>
      </w:tr>
      <w:tr w:rsidR="006D3871" w:rsidRPr="00E74B66" w14:paraId="3B7206E9" w14:textId="77777777" w:rsidTr="006D3871">
        <w:tc>
          <w:tcPr>
            <w:tcW w:w="2184" w:type="dxa"/>
          </w:tcPr>
          <w:p w14:paraId="3B7206E7" w14:textId="77777777" w:rsidR="006D3871" w:rsidRPr="00B33A72" w:rsidRDefault="006D3871" w:rsidP="0052443D">
            <w:pPr>
              <w:rPr>
                <w:rFonts w:cs="Arial"/>
              </w:rPr>
            </w:pPr>
            <w:r w:rsidRPr="00B33A72">
              <w:rPr>
                <w:rFonts w:cs="Arial"/>
              </w:rPr>
              <w:t>Revision</w:t>
            </w:r>
          </w:p>
        </w:tc>
        <w:tc>
          <w:tcPr>
            <w:tcW w:w="7014" w:type="dxa"/>
          </w:tcPr>
          <w:p w14:paraId="3B7206E8" w14:textId="39617889" w:rsidR="006D3871" w:rsidRPr="00B33A72" w:rsidRDefault="00946EA6" w:rsidP="00385DB6">
            <w:pPr>
              <w:rPr>
                <w:rFonts w:cs="Arial"/>
              </w:rPr>
            </w:pPr>
            <w:r w:rsidRPr="00B33A72">
              <w:rPr>
                <w:rFonts w:cs="Arial"/>
              </w:rPr>
              <w:t xml:space="preserve">Revision </w:t>
            </w:r>
            <w:r w:rsidR="005108C1" w:rsidRPr="00B33A72">
              <w:rPr>
                <w:rFonts w:cs="Arial"/>
              </w:rPr>
              <w:t>3</w:t>
            </w:r>
          </w:p>
        </w:tc>
      </w:tr>
    </w:tbl>
    <w:p w14:paraId="3B7206ED" w14:textId="77777777" w:rsidR="006D3871" w:rsidRPr="00B33A72" w:rsidRDefault="006D3871" w:rsidP="006D3871">
      <w:pPr>
        <w:rPr>
          <w:rFonts w:cs="Arial"/>
        </w:rPr>
      </w:pPr>
    </w:p>
    <w:p w14:paraId="3B7206EE" w14:textId="144891C1" w:rsidR="006D3871" w:rsidRPr="00B33A72" w:rsidRDefault="006D3871" w:rsidP="00A67AD1">
      <w:pPr>
        <w:spacing w:after="120"/>
        <w:rPr>
          <w:rFonts w:cs="Arial"/>
        </w:rPr>
      </w:pPr>
      <w:r w:rsidRPr="00B33A72">
        <w:rPr>
          <w:rFonts w:cs="Arial"/>
        </w:rPr>
        <w:t xml:space="preserve">This document sets out the terms of reference and ways of working for </w:t>
      </w:r>
      <w:r w:rsidR="007E118A" w:rsidRPr="00B33A72">
        <w:rPr>
          <w:rFonts w:cs="Arial"/>
        </w:rPr>
        <w:t xml:space="preserve">the </w:t>
      </w:r>
      <w:r w:rsidR="00931C63" w:rsidRPr="00B33A72">
        <w:rPr>
          <w:rFonts w:cs="Arial"/>
        </w:rPr>
        <w:t xml:space="preserve">ONR </w:t>
      </w:r>
      <w:r w:rsidR="00690006" w:rsidRPr="00B33A72">
        <w:rPr>
          <w:rFonts w:cs="Arial"/>
        </w:rPr>
        <w:t>Chief Nuclear Inspector's</w:t>
      </w:r>
      <w:r w:rsidR="007E118A" w:rsidRPr="00B33A72">
        <w:rPr>
          <w:rFonts w:cs="Arial"/>
        </w:rPr>
        <w:t xml:space="preserve"> (CNI)</w:t>
      </w:r>
      <w:r w:rsidRPr="00B33A72">
        <w:rPr>
          <w:rFonts w:cs="Arial"/>
        </w:rPr>
        <w:t xml:space="preserve"> Independent Advisory Panel (IAP).</w:t>
      </w:r>
    </w:p>
    <w:p w14:paraId="6928E00B" w14:textId="77777777" w:rsidR="00931C63" w:rsidRPr="00B33A72" w:rsidRDefault="00931C63" w:rsidP="00B33A72">
      <w:pPr>
        <w:spacing w:after="120"/>
        <w:rPr>
          <w:rFonts w:cs="Arial"/>
        </w:rPr>
      </w:pPr>
    </w:p>
    <w:p w14:paraId="3B7206EF" w14:textId="77777777" w:rsidR="006D3871" w:rsidRPr="00B33A72" w:rsidRDefault="006D3871" w:rsidP="006D3871">
      <w:pPr>
        <w:spacing w:before="120" w:after="120"/>
        <w:rPr>
          <w:rFonts w:cs="Arial"/>
          <w:b/>
        </w:rPr>
      </w:pPr>
      <w:r w:rsidRPr="00B33A72">
        <w:rPr>
          <w:rFonts w:cs="Arial"/>
          <w:b/>
        </w:rPr>
        <w:t>CONTEXT</w:t>
      </w:r>
    </w:p>
    <w:p w14:paraId="3B7206F0" w14:textId="7B0F1747" w:rsidR="006D3871" w:rsidRPr="00B33A72" w:rsidRDefault="006D3871" w:rsidP="00B33A72">
      <w:pPr>
        <w:spacing w:after="120"/>
        <w:rPr>
          <w:rFonts w:cs="Arial"/>
        </w:rPr>
      </w:pPr>
      <w:r w:rsidRPr="00B33A72">
        <w:rPr>
          <w:rFonts w:cs="Arial"/>
        </w:rPr>
        <w:t xml:space="preserve">The </w:t>
      </w:r>
      <w:r w:rsidR="00CB6737" w:rsidRPr="00B33A72">
        <w:rPr>
          <w:rFonts w:cs="Arial"/>
        </w:rPr>
        <w:t>CNI IAP was established in 2016</w:t>
      </w:r>
      <w:r w:rsidR="00AE435E" w:rsidRPr="00B33A72">
        <w:rPr>
          <w:rFonts w:cs="Arial"/>
        </w:rPr>
        <w:t xml:space="preserve"> following</w:t>
      </w:r>
      <w:r w:rsidR="00CB6737" w:rsidRPr="00B33A72">
        <w:rPr>
          <w:rFonts w:cs="Arial"/>
        </w:rPr>
        <w:t xml:space="preserve"> </w:t>
      </w:r>
      <w:r w:rsidRPr="00B33A72">
        <w:rPr>
          <w:rFonts w:cs="Arial"/>
        </w:rPr>
        <w:t>commitment</w:t>
      </w:r>
      <w:r w:rsidR="00AE435E" w:rsidRPr="00B33A72">
        <w:rPr>
          <w:rFonts w:cs="Arial"/>
        </w:rPr>
        <w:t>s</w:t>
      </w:r>
      <w:r w:rsidRPr="00B33A72">
        <w:rPr>
          <w:rFonts w:cs="Arial"/>
        </w:rPr>
        <w:t xml:space="preserve"> made to the IAEA Integrated Regulatory Review Service (IRRS) mission in October 2013 and the House of Lords Select Committee on Science and Technology in 2012. </w:t>
      </w:r>
    </w:p>
    <w:p w14:paraId="5C5FDCDC" w14:textId="77777777" w:rsidR="00A67AD1" w:rsidRPr="00B33A72" w:rsidRDefault="00A67AD1" w:rsidP="006D4BDB">
      <w:pPr>
        <w:spacing w:before="120" w:after="120"/>
        <w:rPr>
          <w:rFonts w:cs="Arial"/>
          <w:b/>
        </w:rPr>
      </w:pPr>
    </w:p>
    <w:p w14:paraId="3B7206F4" w14:textId="64601B67" w:rsidR="006D3871" w:rsidRPr="00B33A72" w:rsidRDefault="006D3871" w:rsidP="00B33A72">
      <w:pPr>
        <w:spacing w:before="120" w:after="120"/>
        <w:rPr>
          <w:rFonts w:cs="Arial"/>
          <w:b/>
        </w:rPr>
      </w:pPr>
      <w:r w:rsidRPr="00B33A72">
        <w:rPr>
          <w:rFonts w:cs="Arial"/>
          <w:b/>
        </w:rPr>
        <w:t>IAP ROLE</w:t>
      </w:r>
    </w:p>
    <w:p w14:paraId="3B7206F5" w14:textId="0FE7EA08" w:rsidR="006D3871" w:rsidRPr="00B33A72" w:rsidRDefault="006D4BDB" w:rsidP="00B33A72">
      <w:pPr>
        <w:spacing w:after="120"/>
        <w:rPr>
          <w:rFonts w:cs="Arial"/>
        </w:rPr>
      </w:pPr>
      <w:r w:rsidRPr="00B33A72">
        <w:rPr>
          <w:rFonts w:cs="Arial"/>
        </w:rPr>
        <w:t xml:space="preserve">The IAP’s </w:t>
      </w:r>
      <w:r w:rsidR="00381528" w:rsidRPr="00B33A72">
        <w:rPr>
          <w:rFonts w:cs="Arial"/>
        </w:rPr>
        <w:t xml:space="preserve">overarching </w:t>
      </w:r>
      <w:r w:rsidRPr="00B33A72">
        <w:rPr>
          <w:rFonts w:cs="Arial"/>
        </w:rPr>
        <w:t xml:space="preserve">role is to ensure that ONR has access to independent external advice on a diverse range of nuclear </w:t>
      </w:r>
      <w:r w:rsidR="008F66EF" w:rsidRPr="00B33A72">
        <w:rPr>
          <w:rFonts w:cs="Arial"/>
        </w:rPr>
        <w:t>matters</w:t>
      </w:r>
      <w:r w:rsidRPr="00B33A72">
        <w:rPr>
          <w:rFonts w:cs="Arial"/>
        </w:rPr>
        <w:t>.</w:t>
      </w:r>
      <w:r w:rsidR="008F66EF" w:rsidRPr="00B33A72">
        <w:rPr>
          <w:rFonts w:cs="Arial"/>
        </w:rPr>
        <w:t xml:space="preserve"> This includes:</w:t>
      </w:r>
      <w:r w:rsidRPr="00B33A72">
        <w:rPr>
          <w:rFonts w:cs="Arial"/>
        </w:rPr>
        <w:t xml:space="preserve">  </w:t>
      </w:r>
    </w:p>
    <w:p w14:paraId="3B7206F6" w14:textId="77777777" w:rsidR="006D3871" w:rsidRPr="00B33A72" w:rsidRDefault="006D3871" w:rsidP="006D3871">
      <w:pPr>
        <w:numPr>
          <w:ilvl w:val="0"/>
          <w:numId w:val="33"/>
        </w:numPr>
        <w:rPr>
          <w:rFonts w:cs="Arial"/>
        </w:rPr>
      </w:pPr>
      <w:r w:rsidRPr="00B33A72">
        <w:rPr>
          <w:rFonts w:cs="Arial"/>
        </w:rPr>
        <w:t>To provide a forum in which experts representing a variety of technical perspectives may provide independent advice to inform ONR’s proposals for development of regulatory policies and strategies.</w:t>
      </w:r>
    </w:p>
    <w:p w14:paraId="3B7206F7" w14:textId="77777777" w:rsidR="006D3871" w:rsidRPr="00B33A72" w:rsidRDefault="006D3871" w:rsidP="006D3871">
      <w:pPr>
        <w:numPr>
          <w:ilvl w:val="0"/>
          <w:numId w:val="33"/>
        </w:numPr>
        <w:rPr>
          <w:rFonts w:cs="Arial"/>
        </w:rPr>
      </w:pPr>
      <w:r w:rsidRPr="00B33A72">
        <w:rPr>
          <w:rFonts w:cs="Arial"/>
        </w:rPr>
        <w:t>To identify and advise ONR on future developments in nuclear technologies and their potential implications for nuclear regulation.</w:t>
      </w:r>
    </w:p>
    <w:p w14:paraId="3B7206F8" w14:textId="1EB6337D" w:rsidR="006D3871" w:rsidRPr="00B33A72" w:rsidRDefault="006D3871" w:rsidP="006D3871">
      <w:pPr>
        <w:numPr>
          <w:ilvl w:val="0"/>
          <w:numId w:val="33"/>
        </w:numPr>
        <w:rPr>
          <w:rFonts w:cs="Arial"/>
        </w:rPr>
      </w:pPr>
      <w:r w:rsidRPr="00B33A72">
        <w:rPr>
          <w:rFonts w:cs="Arial"/>
        </w:rPr>
        <w:t>To advise on the adequacy and balance of the research needs identified by ONR and the work commissioned to meet them.</w:t>
      </w:r>
    </w:p>
    <w:p w14:paraId="3B7206F9" w14:textId="77777777" w:rsidR="006D3871" w:rsidRPr="00B33A72" w:rsidRDefault="006D3871" w:rsidP="006D3871">
      <w:pPr>
        <w:numPr>
          <w:ilvl w:val="0"/>
          <w:numId w:val="33"/>
        </w:numPr>
        <w:rPr>
          <w:rFonts w:cs="Arial"/>
        </w:rPr>
      </w:pPr>
      <w:r w:rsidRPr="00B33A72">
        <w:rPr>
          <w:rFonts w:cs="Arial"/>
        </w:rPr>
        <w:t xml:space="preserve">To facilitate ONR’s engagement with external centres of technical excellence. </w:t>
      </w:r>
    </w:p>
    <w:p w14:paraId="3B7206FA" w14:textId="77777777" w:rsidR="006D3871" w:rsidRPr="00B33A72" w:rsidRDefault="006D3871" w:rsidP="006D3871">
      <w:pPr>
        <w:rPr>
          <w:rFonts w:cs="Arial"/>
        </w:rPr>
      </w:pPr>
    </w:p>
    <w:p w14:paraId="3B7206FB" w14:textId="1AF41D68" w:rsidR="006D3871" w:rsidRPr="00B33A72" w:rsidRDefault="006D3871" w:rsidP="00A67AD1">
      <w:pPr>
        <w:spacing w:after="120"/>
        <w:rPr>
          <w:rFonts w:cs="Arial"/>
        </w:rPr>
      </w:pPr>
      <w:r w:rsidRPr="00B33A72">
        <w:rPr>
          <w:rFonts w:cs="Arial"/>
        </w:rPr>
        <w:t>The IAP will not be responsible for providing expert advice on specific technical matters as if required; ONR will establish single issue Technical Advisory Panels on an ad hoc basis to provide this function.</w:t>
      </w:r>
    </w:p>
    <w:p w14:paraId="3F1A0145" w14:textId="77777777" w:rsidR="003E30D9" w:rsidRPr="00B33A72" w:rsidRDefault="003E30D9" w:rsidP="003E30D9">
      <w:pPr>
        <w:spacing w:after="120"/>
        <w:rPr>
          <w:rFonts w:cs="Arial"/>
        </w:rPr>
      </w:pPr>
      <w:r w:rsidRPr="00B33A72">
        <w:rPr>
          <w:rFonts w:cs="Arial"/>
        </w:rPr>
        <w:t>The IAP will be chaired by either ONR’s Chief Nuclear Inspector or ONR’s Executive Director of Regulation and a dedicated secretariat will be provided to the panel by ONR staff.</w:t>
      </w:r>
    </w:p>
    <w:p w14:paraId="3B7206FC" w14:textId="77777777" w:rsidR="006D3871" w:rsidRPr="00B33A72" w:rsidRDefault="006D3871" w:rsidP="006D3871">
      <w:pPr>
        <w:rPr>
          <w:rFonts w:cs="Arial"/>
        </w:rPr>
      </w:pPr>
    </w:p>
    <w:p w14:paraId="3B7206FD" w14:textId="77777777" w:rsidR="006D3871" w:rsidRPr="00B33A72" w:rsidRDefault="006D3871" w:rsidP="006D3871">
      <w:pPr>
        <w:rPr>
          <w:rFonts w:cs="Arial"/>
          <w:b/>
        </w:rPr>
      </w:pPr>
      <w:r w:rsidRPr="00B33A72">
        <w:rPr>
          <w:rFonts w:cs="Arial"/>
          <w:b/>
        </w:rPr>
        <w:t>IAP RESPONSE TO PAPERS AND DISCUSSION TOPICS</w:t>
      </w:r>
    </w:p>
    <w:p w14:paraId="3B7206FE" w14:textId="77777777" w:rsidR="006D3871" w:rsidRPr="00B33A72" w:rsidRDefault="006D3871" w:rsidP="006D3871">
      <w:pPr>
        <w:rPr>
          <w:rFonts w:cs="Arial"/>
          <w:b/>
        </w:rPr>
      </w:pPr>
    </w:p>
    <w:tbl>
      <w:tblPr>
        <w:tblW w:w="10065" w:type="dxa"/>
        <w:tblInd w:w="-4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1843"/>
        <w:gridCol w:w="8222"/>
      </w:tblGrid>
      <w:tr w:rsidR="00394527" w:rsidRPr="00E74B66" w14:paraId="3B720701" w14:textId="77777777" w:rsidTr="00394527">
        <w:trPr>
          <w:trHeight w:val="400"/>
        </w:trPr>
        <w:tc>
          <w:tcPr>
            <w:tcW w:w="1843" w:type="dxa"/>
            <w:shd w:val="clear" w:color="auto" w:fill="auto"/>
            <w:tcMar>
              <w:top w:w="15" w:type="dxa"/>
              <w:left w:w="108" w:type="dxa"/>
              <w:bottom w:w="0" w:type="dxa"/>
              <w:right w:w="108" w:type="dxa"/>
            </w:tcMar>
            <w:hideMark/>
          </w:tcPr>
          <w:p w14:paraId="3B7206FF" w14:textId="77777777" w:rsidR="00394527" w:rsidRPr="00B33A72" w:rsidRDefault="00394527" w:rsidP="00394527">
            <w:pPr>
              <w:tabs>
                <w:tab w:val="left" w:pos="0"/>
                <w:tab w:val="left" w:pos="720"/>
              </w:tabs>
              <w:spacing w:before="120"/>
              <w:rPr>
                <w:rFonts w:cs="Arial"/>
                <w:lang w:eastAsia="en-GB"/>
              </w:rPr>
            </w:pPr>
            <w:r w:rsidRPr="00B33A72">
              <w:rPr>
                <w:rFonts w:cs="Arial"/>
                <w:b/>
                <w:bCs/>
                <w:kern w:val="24"/>
                <w:lang w:eastAsia="en-GB"/>
              </w:rPr>
              <w:t xml:space="preserve">IAP Response </w:t>
            </w:r>
          </w:p>
        </w:tc>
        <w:tc>
          <w:tcPr>
            <w:tcW w:w="8222" w:type="dxa"/>
            <w:shd w:val="clear" w:color="auto" w:fill="auto"/>
            <w:tcMar>
              <w:top w:w="15" w:type="dxa"/>
              <w:left w:w="108" w:type="dxa"/>
              <w:bottom w:w="0" w:type="dxa"/>
              <w:right w:w="108" w:type="dxa"/>
            </w:tcMar>
            <w:hideMark/>
          </w:tcPr>
          <w:p w14:paraId="3B720700" w14:textId="77777777" w:rsidR="00394527" w:rsidRPr="00B33A72" w:rsidRDefault="00394527" w:rsidP="00394527">
            <w:pPr>
              <w:tabs>
                <w:tab w:val="left" w:pos="720"/>
              </w:tabs>
              <w:spacing w:before="120"/>
              <w:ind w:left="720" w:hanging="720"/>
              <w:rPr>
                <w:rFonts w:cs="Arial"/>
                <w:lang w:eastAsia="en-GB"/>
              </w:rPr>
            </w:pPr>
            <w:r w:rsidRPr="00B33A72">
              <w:rPr>
                <w:rFonts w:cs="Arial"/>
                <w:b/>
                <w:bCs/>
                <w:kern w:val="24"/>
                <w:lang w:eastAsia="en-GB"/>
              </w:rPr>
              <w:t>Definition</w:t>
            </w:r>
          </w:p>
        </w:tc>
      </w:tr>
      <w:tr w:rsidR="00394527" w:rsidRPr="00E74B66" w14:paraId="3B720704" w14:textId="77777777" w:rsidTr="00394527">
        <w:trPr>
          <w:trHeight w:val="676"/>
        </w:trPr>
        <w:tc>
          <w:tcPr>
            <w:tcW w:w="1843" w:type="dxa"/>
            <w:shd w:val="clear" w:color="auto" w:fill="auto"/>
            <w:tcMar>
              <w:top w:w="15" w:type="dxa"/>
              <w:left w:w="108" w:type="dxa"/>
              <w:bottom w:w="0" w:type="dxa"/>
              <w:right w:w="108" w:type="dxa"/>
            </w:tcMar>
            <w:vAlign w:val="center"/>
            <w:hideMark/>
          </w:tcPr>
          <w:p w14:paraId="3B720702" w14:textId="77777777" w:rsidR="00394527" w:rsidRPr="00B33A72" w:rsidRDefault="00394527" w:rsidP="00394527">
            <w:pPr>
              <w:tabs>
                <w:tab w:val="left" w:pos="720"/>
              </w:tabs>
              <w:ind w:left="720" w:hanging="720"/>
              <w:rPr>
                <w:rFonts w:cs="Arial"/>
                <w:lang w:eastAsia="en-GB"/>
              </w:rPr>
            </w:pPr>
            <w:r w:rsidRPr="00B33A72">
              <w:rPr>
                <w:rFonts w:cs="Arial"/>
                <w:b/>
                <w:bCs/>
                <w:kern w:val="24"/>
                <w:lang w:eastAsia="en-GB"/>
              </w:rPr>
              <w:t>Agreed</w:t>
            </w:r>
          </w:p>
        </w:tc>
        <w:tc>
          <w:tcPr>
            <w:tcW w:w="8222" w:type="dxa"/>
            <w:shd w:val="clear" w:color="auto" w:fill="auto"/>
            <w:tcMar>
              <w:top w:w="15" w:type="dxa"/>
              <w:left w:w="108" w:type="dxa"/>
              <w:bottom w:w="0" w:type="dxa"/>
              <w:right w:w="108" w:type="dxa"/>
            </w:tcMar>
            <w:vAlign w:val="center"/>
            <w:hideMark/>
          </w:tcPr>
          <w:p w14:paraId="3B720703" w14:textId="77777777" w:rsidR="00394527" w:rsidRPr="00B33A72" w:rsidRDefault="00394527" w:rsidP="00B33A72">
            <w:pPr>
              <w:spacing w:after="120"/>
              <w:rPr>
                <w:rFonts w:cs="Arial"/>
              </w:rPr>
            </w:pPr>
            <w:r w:rsidRPr="00B33A72">
              <w:rPr>
                <w:rFonts w:cs="Arial"/>
              </w:rPr>
              <w:t>The IAP fully agrees and supports the approach to be taken and is not aware of other work being performed within this area.</w:t>
            </w:r>
          </w:p>
        </w:tc>
      </w:tr>
      <w:tr w:rsidR="00394527" w:rsidRPr="00E74B66" w14:paraId="3B720707" w14:textId="77777777" w:rsidTr="00394527">
        <w:trPr>
          <w:trHeight w:val="516"/>
        </w:trPr>
        <w:tc>
          <w:tcPr>
            <w:tcW w:w="1843" w:type="dxa"/>
            <w:shd w:val="clear" w:color="auto" w:fill="auto"/>
            <w:tcMar>
              <w:top w:w="15" w:type="dxa"/>
              <w:left w:w="108" w:type="dxa"/>
              <w:bottom w:w="0" w:type="dxa"/>
              <w:right w:w="108" w:type="dxa"/>
            </w:tcMar>
            <w:vAlign w:val="center"/>
            <w:hideMark/>
          </w:tcPr>
          <w:p w14:paraId="3B720705" w14:textId="77777777" w:rsidR="00394527" w:rsidRPr="00B33A72" w:rsidRDefault="00394527" w:rsidP="00394527">
            <w:pPr>
              <w:tabs>
                <w:tab w:val="left" w:pos="720"/>
              </w:tabs>
              <w:ind w:left="720" w:hanging="720"/>
              <w:rPr>
                <w:rFonts w:cs="Arial"/>
                <w:lang w:eastAsia="en-GB"/>
              </w:rPr>
            </w:pPr>
            <w:r w:rsidRPr="00B33A72">
              <w:rPr>
                <w:rFonts w:cs="Arial"/>
                <w:b/>
                <w:bCs/>
                <w:kern w:val="24"/>
                <w:lang w:eastAsia="en-GB"/>
              </w:rPr>
              <w:t>Accepted</w:t>
            </w:r>
          </w:p>
        </w:tc>
        <w:tc>
          <w:tcPr>
            <w:tcW w:w="8222" w:type="dxa"/>
            <w:shd w:val="clear" w:color="auto" w:fill="auto"/>
            <w:tcMar>
              <w:top w:w="15" w:type="dxa"/>
              <w:left w:w="108" w:type="dxa"/>
              <w:bottom w:w="0" w:type="dxa"/>
              <w:right w:w="108" w:type="dxa"/>
            </w:tcMar>
            <w:vAlign w:val="center"/>
            <w:hideMark/>
          </w:tcPr>
          <w:p w14:paraId="3B720706" w14:textId="77777777" w:rsidR="00394527" w:rsidRPr="00B33A72" w:rsidRDefault="00394527" w:rsidP="00B33A72">
            <w:pPr>
              <w:spacing w:after="120"/>
              <w:rPr>
                <w:rFonts w:cs="Arial"/>
              </w:rPr>
            </w:pPr>
            <w:r w:rsidRPr="00B33A72">
              <w:rPr>
                <w:rFonts w:cs="Arial"/>
              </w:rPr>
              <w:t xml:space="preserve">The IAP accepts the approach, but is aware of some work either completed or in progress that addresses or partly addresses this issue.  </w:t>
            </w:r>
          </w:p>
        </w:tc>
      </w:tr>
      <w:tr w:rsidR="00394527" w:rsidRPr="00E74B66" w14:paraId="3B72070A" w14:textId="77777777" w:rsidTr="00394527">
        <w:trPr>
          <w:trHeight w:val="852"/>
        </w:trPr>
        <w:tc>
          <w:tcPr>
            <w:tcW w:w="1843" w:type="dxa"/>
            <w:shd w:val="clear" w:color="auto" w:fill="auto"/>
            <w:tcMar>
              <w:top w:w="15" w:type="dxa"/>
              <w:left w:w="108" w:type="dxa"/>
              <w:bottom w:w="0" w:type="dxa"/>
              <w:right w:w="108" w:type="dxa"/>
            </w:tcMar>
            <w:vAlign w:val="center"/>
            <w:hideMark/>
          </w:tcPr>
          <w:p w14:paraId="3B720708" w14:textId="77777777" w:rsidR="00394527" w:rsidRPr="00B33A72" w:rsidRDefault="00394527" w:rsidP="00394527">
            <w:pPr>
              <w:tabs>
                <w:tab w:val="left" w:pos="720"/>
              </w:tabs>
              <w:ind w:left="720" w:hanging="720"/>
              <w:rPr>
                <w:rFonts w:cs="Arial"/>
                <w:lang w:eastAsia="en-GB"/>
              </w:rPr>
            </w:pPr>
            <w:r w:rsidRPr="00B33A72">
              <w:rPr>
                <w:rFonts w:cs="Arial"/>
                <w:b/>
                <w:bCs/>
                <w:kern w:val="24"/>
                <w:lang w:eastAsia="en-GB"/>
              </w:rPr>
              <w:t>Noted</w:t>
            </w:r>
          </w:p>
        </w:tc>
        <w:tc>
          <w:tcPr>
            <w:tcW w:w="8222" w:type="dxa"/>
            <w:shd w:val="clear" w:color="auto" w:fill="auto"/>
            <w:tcMar>
              <w:top w:w="15" w:type="dxa"/>
              <w:left w:w="108" w:type="dxa"/>
              <w:bottom w:w="0" w:type="dxa"/>
              <w:right w:w="108" w:type="dxa"/>
            </w:tcMar>
            <w:vAlign w:val="center"/>
            <w:hideMark/>
          </w:tcPr>
          <w:p w14:paraId="3B720709" w14:textId="77777777" w:rsidR="00394527" w:rsidRPr="00B33A72" w:rsidRDefault="00394527" w:rsidP="00B33A72">
            <w:pPr>
              <w:spacing w:after="120"/>
              <w:rPr>
                <w:rFonts w:cs="Arial"/>
              </w:rPr>
            </w:pPr>
            <w:r w:rsidRPr="00B33A72">
              <w:rPr>
                <w:rFonts w:cs="Arial"/>
              </w:rPr>
              <w:t>The IAP notes the approach, but it requires more thought by ONR prior to being incorporated.  For example, it may need further development and review against other priorities.</w:t>
            </w:r>
          </w:p>
        </w:tc>
      </w:tr>
      <w:tr w:rsidR="00394527" w:rsidRPr="00E74B66" w14:paraId="3B72070D" w14:textId="77777777" w:rsidTr="00394527">
        <w:trPr>
          <w:trHeight w:val="651"/>
        </w:trPr>
        <w:tc>
          <w:tcPr>
            <w:tcW w:w="1843" w:type="dxa"/>
            <w:shd w:val="clear" w:color="auto" w:fill="auto"/>
            <w:tcMar>
              <w:top w:w="15" w:type="dxa"/>
              <w:left w:w="108" w:type="dxa"/>
              <w:bottom w:w="0" w:type="dxa"/>
              <w:right w:w="108" w:type="dxa"/>
            </w:tcMar>
            <w:vAlign w:val="center"/>
            <w:hideMark/>
          </w:tcPr>
          <w:p w14:paraId="3B72070B" w14:textId="77777777" w:rsidR="00394527" w:rsidRPr="00B33A72" w:rsidRDefault="00394527" w:rsidP="00394527">
            <w:pPr>
              <w:tabs>
                <w:tab w:val="left" w:pos="283"/>
              </w:tabs>
              <w:rPr>
                <w:rFonts w:cs="Arial"/>
                <w:lang w:eastAsia="en-GB"/>
              </w:rPr>
            </w:pPr>
            <w:r w:rsidRPr="00B33A72">
              <w:rPr>
                <w:rFonts w:cs="Arial"/>
                <w:b/>
                <w:bCs/>
                <w:kern w:val="24"/>
                <w:lang w:eastAsia="en-GB"/>
              </w:rPr>
              <w:lastRenderedPageBreak/>
              <w:t>Not Accepted</w:t>
            </w:r>
          </w:p>
        </w:tc>
        <w:tc>
          <w:tcPr>
            <w:tcW w:w="8222" w:type="dxa"/>
            <w:shd w:val="clear" w:color="auto" w:fill="auto"/>
            <w:tcMar>
              <w:top w:w="15" w:type="dxa"/>
              <w:left w:w="108" w:type="dxa"/>
              <w:bottom w:w="0" w:type="dxa"/>
              <w:right w:w="108" w:type="dxa"/>
            </w:tcMar>
            <w:vAlign w:val="center"/>
            <w:hideMark/>
          </w:tcPr>
          <w:p w14:paraId="3B72070C" w14:textId="77777777" w:rsidR="00394527" w:rsidRPr="00B33A72" w:rsidRDefault="00394527" w:rsidP="00B33A72">
            <w:pPr>
              <w:spacing w:after="120"/>
              <w:rPr>
                <w:rFonts w:cs="Arial"/>
              </w:rPr>
            </w:pPr>
            <w:r w:rsidRPr="00B33A72">
              <w:rPr>
                <w:rFonts w:cs="Arial"/>
              </w:rPr>
              <w:t xml:space="preserve">The IAP does not agree with the approach and considers that it would not offer added value to ONR. </w:t>
            </w:r>
          </w:p>
        </w:tc>
      </w:tr>
    </w:tbl>
    <w:p w14:paraId="3B72070E" w14:textId="77777777" w:rsidR="006D3871" w:rsidRPr="00B33A72" w:rsidRDefault="006D3871" w:rsidP="006D3871">
      <w:pPr>
        <w:rPr>
          <w:rFonts w:cs="Arial"/>
        </w:rPr>
      </w:pPr>
    </w:p>
    <w:p w14:paraId="3B72070F" w14:textId="77777777" w:rsidR="006D3871" w:rsidRPr="00B33A72" w:rsidRDefault="006D3871" w:rsidP="006D3871">
      <w:pPr>
        <w:rPr>
          <w:rFonts w:cs="Arial"/>
        </w:rPr>
      </w:pPr>
    </w:p>
    <w:p w14:paraId="3B720710" w14:textId="77777777" w:rsidR="006D3871" w:rsidRPr="00B33A72" w:rsidRDefault="006D3871" w:rsidP="006D3871">
      <w:pPr>
        <w:rPr>
          <w:rFonts w:cs="Arial"/>
          <w:b/>
        </w:rPr>
      </w:pPr>
      <w:r w:rsidRPr="00B33A72">
        <w:rPr>
          <w:rFonts w:cs="Arial"/>
          <w:b/>
        </w:rPr>
        <w:t>PROVISION OF ADVICE AND POINTS FOR CONSIDERATION</w:t>
      </w:r>
    </w:p>
    <w:p w14:paraId="3B720711" w14:textId="77777777" w:rsidR="006D3871" w:rsidRPr="00B33A72" w:rsidRDefault="006D3871" w:rsidP="006D3871">
      <w:pPr>
        <w:rPr>
          <w:rFonts w:cs="Arial"/>
        </w:rPr>
      </w:pPr>
    </w:p>
    <w:tbl>
      <w:tblPr>
        <w:tblW w:w="10065" w:type="dxa"/>
        <w:tblInd w:w="-4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1843"/>
        <w:gridCol w:w="8222"/>
      </w:tblGrid>
      <w:tr w:rsidR="00394527" w:rsidRPr="00E74B66" w14:paraId="3B720714" w14:textId="77777777" w:rsidTr="00394527">
        <w:trPr>
          <w:trHeight w:val="311"/>
        </w:trPr>
        <w:tc>
          <w:tcPr>
            <w:tcW w:w="1843" w:type="dxa"/>
            <w:shd w:val="clear" w:color="auto" w:fill="auto"/>
            <w:tcMar>
              <w:top w:w="15" w:type="dxa"/>
              <w:left w:w="108" w:type="dxa"/>
              <w:bottom w:w="0" w:type="dxa"/>
              <w:right w:w="108" w:type="dxa"/>
            </w:tcMar>
            <w:hideMark/>
          </w:tcPr>
          <w:p w14:paraId="3B720712" w14:textId="77777777" w:rsidR="00394527" w:rsidRPr="00B33A72" w:rsidRDefault="00394527" w:rsidP="00394527">
            <w:pPr>
              <w:tabs>
                <w:tab w:val="left" w:pos="0"/>
                <w:tab w:val="left" w:pos="720"/>
              </w:tabs>
              <w:rPr>
                <w:rFonts w:cs="Arial"/>
                <w:b/>
                <w:bCs/>
                <w:kern w:val="24"/>
                <w:lang w:eastAsia="en-GB"/>
              </w:rPr>
            </w:pPr>
            <w:r w:rsidRPr="00B33A72">
              <w:rPr>
                <w:rFonts w:cs="Arial"/>
                <w:b/>
                <w:bCs/>
                <w:kern w:val="24"/>
                <w:lang w:eastAsia="en-GB"/>
              </w:rPr>
              <w:t xml:space="preserve">IAP Response </w:t>
            </w:r>
          </w:p>
        </w:tc>
        <w:tc>
          <w:tcPr>
            <w:tcW w:w="8222" w:type="dxa"/>
            <w:shd w:val="clear" w:color="auto" w:fill="auto"/>
            <w:tcMar>
              <w:top w:w="15" w:type="dxa"/>
              <w:left w:w="108" w:type="dxa"/>
              <w:bottom w:w="0" w:type="dxa"/>
              <w:right w:w="108" w:type="dxa"/>
            </w:tcMar>
            <w:hideMark/>
          </w:tcPr>
          <w:p w14:paraId="3B720713" w14:textId="77777777" w:rsidR="00394527" w:rsidRPr="00B33A72" w:rsidRDefault="00394527" w:rsidP="00394527">
            <w:pPr>
              <w:tabs>
                <w:tab w:val="left" w:pos="0"/>
                <w:tab w:val="left" w:pos="720"/>
              </w:tabs>
              <w:rPr>
                <w:rFonts w:cs="Arial"/>
                <w:b/>
                <w:bCs/>
                <w:kern w:val="24"/>
                <w:lang w:eastAsia="en-GB"/>
              </w:rPr>
            </w:pPr>
            <w:r w:rsidRPr="00B33A72">
              <w:rPr>
                <w:rFonts w:cs="Arial"/>
                <w:b/>
                <w:bCs/>
                <w:kern w:val="24"/>
                <w:lang w:eastAsia="en-GB"/>
              </w:rPr>
              <w:t>Definition</w:t>
            </w:r>
          </w:p>
        </w:tc>
      </w:tr>
      <w:tr w:rsidR="00394527" w:rsidRPr="00E74B66" w14:paraId="3B720717" w14:textId="77777777" w:rsidTr="00394527">
        <w:trPr>
          <w:trHeight w:val="821"/>
        </w:trPr>
        <w:tc>
          <w:tcPr>
            <w:tcW w:w="1843" w:type="dxa"/>
            <w:shd w:val="clear" w:color="auto" w:fill="auto"/>
            <w:tcMar>
              <w:top w:w="15" w:type="dxa"/>
              <w:left w:w="108" w:type="dxa"/>
              <w:bottom w:w="0" w:type="dxa"/>
              <w:right w:w="108" w:type="dxa"/>
            </w:tcMar>
            <w:vAlign w:val="center"/>
            <w:hideMark/>
          </w:tcPr>
          <w:p w14:paraId="3B720715" w14:textId="77777777" w:rsidR="00394527" w:rsidRPr="00B33A72" w:rsidRDefault="00394527" w:rsidP="00394527">
            <w:pPr>
              <w:tabs>
                <w:tab w:val="left" w:pos="0"/>
                <w:tab w:val="left" w:pos="720"/>
              </w:tabs>
              <w:rPr>
                <w:rFonts w:cs="Arial"/>
                <w:b/>
                <w:bCs/>
                <w:kern w:val="24"/>
                <w:lang w:eastAsia="en-GB"/>
              </w:rPr>
            </w:pPr>
            <w:r w:rsidRPr="00B33A72">
              <w:rPr>
                <w:rFonts w:cs="Arial"/>
                <w:b/>
                <w:bCs/>
                <w:kern w:val="24"/>
                <w:lang w:eastAsia="en-GB"/>
              </w:rPr>
              <w:t>Formal Advice</w:t>
            </w:r>
          </w:p>
        </w:tc>
        <w:tc>
          <w:tcPr>
            <w:tcW w:w="8222" w:type="dxa"/>
            <w:shd w:val="clear" w:color="auto" w:fill="auto"/>
            <w:tcMar>
              <w:top w:w="15" w:type="dxa"/>
              <w:left w:w="108" w:type="dxa"/>
              <w:bottom w:w="0" w:type="dxa"/>
              <w:right w:w="108" w:type="dxa"/>
            </w:tcMar>
            <w:vAlign w:val="center"/>
            <w:hideMark/>
          </w:tcPr>
          <w:p w14:paraId="3B720716" w14:textId="77777777" w:rsidR="00394527" w:rsidRPr="00B33A72" w:rsidRDefault="00394527" w:rsidP="00B33A72">
            <w:pPr>
              <w:spacing w:after="120"/>
              <w:rPr>
                <w:rFonts w:cs="Arial"/>
              </w:rPr>
            </w:pPr>
            <w:r w:rsidRPr="00B33A72">
              <w:rPr>
                <w:rFonts w:cs="Arial"/>
              </w:rPr>
              <w:t>The IAP considers aspects of the approach are of such significance that it needs to be captured by ONR formally.  Any rejection of this advice in whole or in part will be communicated to the IAP at future meetings.</w:t>
            </w:r>
          </w:p>
        </w:tc>
      </w:tr>
      <w:tr w:rsidR="00394527" w:rsidRPr="00E74B66" w14:paraId="3B72071A" w14:textId="77777777" w:rsidTr="00394527">
        <w:trPr>
          <w:trHeight w:val="559"/>
        </w:trPr>
        <w:tc>
          <w:tcPr>
            <w:tcW w:w="1843" w:type="dxa"/>
            <w:shd w:val="clear" w:color="auto" w:fill="auto"/>
            <w:tcMar>
              <w:top w:w="15" w:type="dxa"/>
              <w:left w:w="108" w:type="dxa"/>
              <w:bottom w:w="0" w:type="dxa"/>
              <w:right w:w="108" w:type="dxa"/>
            </w:tcMar>
            <w:vAlign w:val="center"/>
            <w:hideMark/>
          </w:tcPr>
          <w:p w14:paraId="3B720718" w14:textId="77777777" w:rsidR="00394527" w:rsidRPr="00B33A72" w:rsidRDefault="00394527" w:rsidP="00394527">
            <w:pPr>
              <w:tabs>
                <w:tab w:val="left" w:pos="0"/>
                <w:tab w:val="left" w:pos="720"/>
              </w:tabs>
              <w:rPr>
                <w:rFonts w:cs="Arial"/>
                <w:b/>
                <w:bCs/>
                <w:kern w:val="24"/>
                <w:lang w:eastAsia="en-GB"/>
              </w:rPr>
            </w:pPr>
            <w:r w:rsidRPr="00B33A72">
              <w:rPr>
                <w:rFonts w:cs="Arial"/>
                <w:b/>
                <w:bCs/>
                <w:kern w:val="24"/>
                <w:lang w:eastAsia="en-GB"/>
              </w:rPr>
              <w:t>Consideration</w:t>
            </w:r>
          </w:p>
        </w:tc>
        <w:tc>
          <w:tcPr>
            <w:tcW w:w="8222" w:type="dxa"/>
            <w:shd w:val="clear" w:color="auto" w:fill="auto"/>
            <w:tcMar>
              <w:top w:w="15" w:type="dxa"/>
              <w:left w:w="108" w:type="dxa"/>
              <w:bottom w:w="0" w:type="dxa"/>
              <w:right w:w="108" w:type="dxa"/>
            </w:tcMar>
            <w:vAlign w:val="center"/>
            <w:hideMark/>
          </w:tcPr>
          <w:p w14:paraId="3B720719" w14:textId="77777777" w:rsidR="00394527" w:rsidRPr="00B33A72" w:rsidRDefault="00394527" w:rsidP="00B33A72">
            <w:pPr>
              <w:spacing w:after="120"/>
              <w:rPr>
                <w:rFonts w:cs="Arial"/>
              </w:rPr>
            </w:pPr>
            <w:r w:rsidRPr="00B33A72">
              <w:rPr>
                <w:rFonts w:cs="Arial"/>
              </w:rPr>
              <w:t>The IAP considers that the approach is not of sufficient significance to warrant raising as formal advice and would raise as a point for consideration.  This will be considered by ONR management but will not require to be formally tracked.  Progress is not required to be presented at future IAP meetings.</w:t>
            </w:r>
          </w:p>
        </w:tc>
      </w:tr>
    </w:tbl>
    <w:p w14:paraId="3B72071B" w14:textId="77777777" w:rsidR="00394527" w:rsidRPr="00B33A72" w:rsidRDefault="00394527" w:rsidP="006D3871">
      <w:pPr>
        <w:rPr>
          <w:rFonts w:cs="Arial"/>
        </w:rPr>
      </w:pPr>
    </w:p>
    <w:p w14:paraId="3B72071C" w14:textId="58D9BA36" w:rsidR="00F255E1" w:rsidRPr="00B33A72" w:rsidRDefault="00F255E1" w:rsidP="00B33A72">
      <w:pPr>
        <w:spacing w:after="120"/>
        <w:rPr>
          <w:rFonts w:cs="Arial"/>
        </w:rPr>
      </w:pPr>
      <w:r w:rsidRPr="00B33A72">
        <w:rPr>
          <w:rFonts w:cs="Arial"/>
        </w:rPr>
        <w:t>ONR will endeavour to provide papers and presentations in support of the discussions no later than two weeks in advance of the meeting taking place.</w:t>
      </w:r>
    </w:p>
    <w:p w14:paraId="3B72071D" w14:textId="77777777" w:rsidR="00F255E1" w:rsidRPr="00B33A72" w:rsidRDefault="00F255E1" w:rsidP="006D3871">
      <w:pPr>
        <w:rPr>
          <w:rFonts w:cs="Arial"/>
        </w:rPr>
      </w:pPr>
    </w:p>
    <w:p w14:paraId="3B72071E" w14:textId="4924F861" w:rsidR="006D3871" w:rsidRDefault="006D3871" w:rsidP="006D3871">
      <w:pPr>
        <w:rPr>
          <w:rFonts w:cs="Arial"/>
          <w:b/>
        </w:rPr>
      </w:pPr>
      <w:r w:rsidRPr="00B33A72">
        <w:rPr>
          <w:rFonts w:cs="Arial"/>
          <w:b/>
        </w:rPr>
        <w:t>MEMBERSHIP OF IAP</w:t>
      </w:r>
    </w:p>
    <w:p w14:paraId="2A5971DD" w14:textId="77777777" w:rsidR="00E74B66" w:rsidRPr="00B33A72" w:rsidRDefault="00E74B66" w:rsidP="006D3871">
      <w:pPr>
        <w:rPr>
          <w:rFonts w:cs="Arial"/>
          <w:b/>
        </w:rPr>
      </w:pPr>
    </w:p>
    <w:p w14:paraId="3B720720" w14:textId="735EF064" w:rsidR="006D3871" w:rsidRPr="00B33A72" w:rsidRDefault="006D3871" w:rsidP="00B33A72">
      <w:pPr>
        <w:spacing w:after="120"/>
        <w:rPr>
          <w:rFonts w:cs="Arial"/>
        </w:rPr>
      </w:pPr>
      <w:r w:rsidRPr="00B33A72">
        <w:rPr>
          <w:rFonts w:cs="Arial"/>
        </w:rPr>
        <w:t>Members will be invited to join the IAP by the Chief Nuclear Inspector (CNI).  These appointments will be unfunded</w:t>
      </w:r>
      <w:r w:rsidR="007C30D4" w:rsidRPr="00B33A72">
        <w:rPr>
          <w:rFonts w:cs="Arial"/>
        </w:rPr>
        <w:t xml:space="preserve"> unless agreed otherwise at the discretion of the CNI</w:t>
      </w:r>
      <w:r w:rsidRPr="00B33A72">
        <w:rPr>
          <w:rFonts w:cs="Arial"/>
        </w:rPr>
        <w:t xml:space="preserve">.  In order to ensure continuity of membership and maintenance of ways of working, further appointments to, or removals from, the Panel </w:t>
      </w:r>
      <w:r w:rsidR="003961FB" w:rsidRPr="00B33A72">
        <w:rPr>
          <w:rFonts w:cs="Arial"/>
        </w:rPr>
        <w:t xml:space="preserve">will </w:t>
      </w:r>
      <w:r w:rsidRPr="00B33A72">
        <w:rPr>
          <w:rFonts w:cs="Arial"/>
        </w:rPr>
        <w:t xml:space="preserve">be made by the CNI.  </w:t>
      </w:r>
    </w:p>
    <w:p w14:paraId="3B720722" w14:textId="77777777" w:rsidR="006D3871" w:rsidRPr="00B33A72" w:rsidRDefault="006D3871" w:rsidP="006D3871">
      <w:pPr>
        <w:spacing w:after="120"/>
        <w:rPr>
          <w:rFonts w:cs="Arial"/>
        </w:rPr>
      </w:pPr>
      <w:r w:rsidRPr="00B33A72">
        <w:rPr>
          <w:rFonts w:cs="Arial"/>
        </w:rPr>
        <w:t>The membership of the IAP will be drawn from a range of sectors in order to provide credible, authoritative and expert advice. This is intended to ensure no one sector dominates discussion and guarantees the collective independence of the IAP.  Examples of the sectors invited to participate include:</w:t>
      </w:r>
    </w:p>
    <w:p w14:paraId="3B720723" w14:textId="77777777" w:rsidR="006D3871" w:rsidRPr="00B33A72" w:rsidRDefault="006D3871" w:rsidP="006D3871">
      <w:pPr>
        <w:numPr>
          <w:ilvl w:val="0"/>
          <w:numId w:val="34"/>
        </w:numPr>
        <w:rPr>
          <w:rFonts w:cs="Arial"/>
        </w:rPr>
      </w:pPr>
      <w:r w:rsidRPr="00B33A72">
        <w:rPr>
          <w:rFonts w:cs="Arial"/>
        </w:rPr>
        <w:t>universities with significant nuclear research centres and programmes and who are able to represent the wider academic nuclear research sector;</w:t>
      </w:r>
    </w:p>
    <w:p w14:paraId="3B720724" w14:textId="77777777" w:rsidR="006D3871" w:rsidRPr="00B33A72" w:rsidRDefault="006D3871" w:rsidP="006D3871">
      <w:pPr>
        <w:numPr>
          <w:ilvl w:val="0"/>
          <w:numId w:val="34"/>
        </w:numPr>
        <w:rPr>
          <w:rFonts w:cs="Arial"/>
        </w:rPr>
      </w:pPr>
      <w:r w:rsidRPr="00B33A72">
        <w:rPr>
          <w:rFonts w:cs="Arial"/>
        </w:rPr>
        <w:t>professional institutions with significant interests in nuclear matters;</w:t>
      </w:r>
    </w:p>
    <w:p w14:paraId="3B720725" w14:textId="62DC1776" w:rsidR="006D3871" w:rsidRPr="00B33A72" w:rsidRDefault="006D3871" w:rsidP="006D3871">
      <w:pPr>
        <w:numPr>
          <w:ilvl w:val="0"/>
          <w:numId w:val="34"/>
        </w:numPr>
        <w:rPr>
          <w:rFonts w:cs="Arial"/>
        </w:rPr>
      </w:pPr>
      <w:r w:rsidRPr="00B33A72">
        <w:rPr>
          <w:rFonts w:cs="Arial"/>
        </w:rPr>
        <w:t xml:space="preserve">companies and organisations who represent key elements of the UK nuclear industry (including facility operators, design houses and </w:t>
      </w:r>
      <w:r w:rsidR="00866996" w:rsidRPr="00B33A72">
        <w:rPr>
          <w:rFonts w:cs="Arial"/>
        </w:rPr>
        <w:t xml:space="preserve">engineering procurement </w:t>
      </w:r>
      <w:r w:rsidRPr="00B33A72">
        <w:rPr>
          <w:rFonts w:cs="Arial"/>
        </w:rPr>
        <w:t xml:space="preserve">and </w:t>
      </w:r>
      <w:r w:rsidR="00866996" w:rsidRPr="00B33A72">
        <w:rPr>
          <w:rFonts w:cs="Arial"/>
        </w:rPr>
        <w:t xml:space="preserve">construction </w:t>
      </w:r>
      <w:r w:rsidRPr="00B33A72">
        <w:rPr>
          <w:rFonts w:cs="Arial"/>
        </w:rPr>
        <w:t>contractors); and</w:t>
      </w:r>
    </w:p>
    <w:p w14:paraId="3B720726" w14:textId="7A067BD2" w:rsidR="006D3871" w:rsidRPr="00B33A72" w:rsidRDefault="00866996" w:rsidP="006D3871">
      <w:pPr>
        <w:numPr>
          <w:ilvl w:val="0"/>
          <w:numId w:val="34"/>
        </w:numPr>
        <w:rPr>
          <w:rFonts w:cs="Arial"/>
        </w:rPr>
      </w:pPr>
      <w:r w:rsidRPr="00B33A72">
        <w:rPr>
          <w:rFonts w:cs="Arial"/>
        </w:rPr>
        <w:t>government departments, agencies and public bodies (including regulators)</w:t>
      </w:r>
      <w:r w:rsidR="001D2C4B">
        <w:rPr>
          <w:rFonts w:cs="Arial"/>
        </w:rPr>
        <w:t>.</w:t>
      </w:r>
    </w:p>
    <w:p w14:paraId="31B5F038" w14:textId="77777777" w:rsidR="00C23430" w:rsidRDefault="00C23430" w:rsidP="00C23430">
      <w:pPr>
        <w:spacing w:after="120"/>
        <w:rPr>
          <w:rFonts w:cs="Arial"/>
        </w:rPr>
      </w:pPr>
    </w:p>
    <w:p w14:paraId="3B720728" w14:textId="0E5A1A77" w:rsidR="006D3871" w:rsidRPr="00B33A72" w:rsidRDefault="006D3871" w:rsidP="00B33A72">
      <w:pPr>
        <w:spacing w:after="120"/>
        <w:rPr>
          <w:rFonts w:cs="Arial"/>
        </w:rPr>
      </w:pPr>
      <w:r w:rsidRPr="00B33A72">
        <w:rPr>
          <w:rFonts w:cs="Arial"/>
        </w:rPr>
        <w:t xml:space="preserve">Members are appointed as individuals with recognised expertise and are expected to represent the wider interests of the nuclear sector and not just their employer. </w:t>
      </w:r>
    </w:p>
    <w:p w14:paraId="3B720729" w14:textId="77777777" w:rsidR="006D3871" w:rsidRPr="00B33A72" w:rsidRDefault="006D3871" w:rsidP="006D3871">
      <w:pPr>
        <w:rPr>
          <w:rFonts w:cs="Arial"/>
        </w:rPr>
      </w:pPr>
    </w:p>
    <w:p w14:paraId="3B72072A" w14:textId="77777777" w:rsidR="006D3871" w:rsidRPr="00B33A72" w:rsidRDefault="006D3871" w:rsidP="006D3871">
      <w:pPr>
        <w:spacing w:before="120" w:after="120"/>
        <w:rPr>
          <w:rFonts w:cs="Arial"/>
          <w:color w:val="000000"/>
        </w:rPr>
      </w:pPr>
      <w:r w:rsidRPr="00B33A72">
        <w:rPr>
          <w:rFonts w:cs="Arial"/>
          <w:color w:val="000000"/>
        </w:rPr>
        <w:t xml:space="preserve"> </w:t>
      </w:r>
    </w:p>
    <w:p w14:paraId="3B72072B" w14:textId="77777777" w:rsidR="006D3871" w:rsidRPr="00B33A72" w:rsidRDefault="006D3871" w:rsidP="006D3871">
      <w:pPr>
        <w:shd w:val="clear" w:color="auto" w:fill="FFFFFF"/>
        <w:spacing w:after="120"/>
        <w:textAlignment w:val="top"/>
        <w:outlineLvl w:val="0"/>
        <w:rPr>
          <w:rFonts w:cs="Arial"/>
          <w:b/>
        </w:rPr>
      </w:pPr>
      <w:r w:rsidRPr="00B33A72">
        <w:rPr>
          <w:rFonts w:cs="Arial"/>
          <w:color w:val="000000"/>
        </w:rPr>
        <w:br w:type="page"/>
      </w:r>
      <w:r w:rsidRPr="00B33A72">
        <w:rPr>
          <w:rFonts w:cs="Arial"/>
          <w:b/>
        </w:rPr>
        <w:lastRenderedPageBreak/>
        <w:t>About the Office for Nuclear Regulation (ONR)</w:t>
      </w:r>
    </w:p>
    <w:p w14:paraId="50F03B57" w14:textId="39CAC36B" w:rsidR="00BE185D" w:rsidRPr="00B33A72" w:rsidRDefault="00BE185D" w:rsidP="006D3871">
      <w:pPr>
        <w:spacing w:after="120"/>
        <w:rPr>
          <w:rFonts w:cs="Arial"/>
        </w:rPr>
      </w:pPr>
      <w:r w:rsidRPr="00B33A72">
        <w:rPr>
          <w:rFonts w:cs="Arial"/>
        </w:rPr>
        <w:t xml:space="preserve">ONR is the UK’s independent nuclear regulator, with the legal authority to regulate nuclear safety, security, nuclear site health &amp; safety, and safeguards at the 35 licensed nuclear sites in Great Britain. ONR also regulates the transport of civil nuclear and radioactive materials by road, rail, and inland waterways. </w:t>
      </w:r>
    </w:p>
    <w:p w14:paraId="3B72072D" w14:textId="18179E00" w:rsidR="006D3871" w:rsidRPr="00B33A72" w:rsidRDefault="006D3871" w:rsidP="006D3871">
      <w:pPr>
        <w:autoSpaceDE w:val="0"/>
        <w:autoSpaceDN w:val="0"/>
        <w:adjustRightInd w:val="0"/>
        <w:spacing w:after="120"/>
        <w:rPr>
          <w:rFonts w:cs="Arial"/>
          <w:color w:val="0000FF"/>
        </w:rPr>
      </w:pPr>
      <w:r w:rsidRPr="00B33A72">
        <w:rPr>
          <w:rFonts w:cs="Arial"/>
        </w:rPr>
        <w:t xml:space="preserve">Further information </w:t>
      </w:r>
      <w:r w:rsidR="008C1500" w:rsidRPr="00B33A72">
        <w:rPr>
          <w:rFonts w:cs="Arial"/>
        </w:rPr>
        <w:t xml:space="preserve">can be found on the </w:t>
      </w:r>
      <w:r w:rsidRPr="00B33A72">
        <w:rPr>
          <w:rFonts w:cs="Arial"/>
        </w:rPr>
        <w:t xml:space="preserve">ONR </w:t>
      </w:r>
      <w:r w:rsidR="008C1500" w:rsidRPr="00B33A72">
        <w:rPr>
          <w:rFonts w:cs="Arial"/>
        </w:rPr>
        <w:t>website</w:t>
      </w:r>
      <w:r w:rsidR="00BE185D" w:rsidRPr="00B33A72">
        <w:rPr>
          <w:rFonts w:cs="Arial"/>
        </w:rPr>
        <w:t>:</w:t>
      </w:r>
      <w:r w:rsidR="008C1500" w:rsidRPr="00B33A72">
        <w:rPr>
          <w:rFonts w:cs="Arial"/>
        </w:rPr>
        <w:t xml:space="preserve"> </w:t>
      </w:r>
      <w:hyperlink r:id="rId8" w:history="1">
        <w:r w:rsidR="008C1500" w:rsidRPr="00B33A72">
          <w:rPr>
            <w:rStyle w:val="Hyperlink"/>
            <w:rFonts w:cs="Arial"/>
          </w:rPr>
          <w:t>https://www.onr.org.uk/about.htm</w:t>
        </w:r>
      </w:hyperlink>
    </w:p>
    <w:p w14:paraId="3B72072E" w14:textId="77777777" w:rsidR="006D3871" w:rsidRPr="00B33A72" w:rsidRDefault="006D3871" w:rsidP="006D3871">
      <w:pPr>
        <w:autoSpaceDE w:val="0"/>
        <w:autoSpaceDN w:val="0"/>
        <w:adjustRightInd w:val="0"/>
        <w:spacing w:after="120"/>
        <w:rPr>
          <w:rFonts w:cs="Arial"/>
        </w:rPr>
      </w:pPr>
      <w:r w:rsidRPr="00B33A72">
        <w:rPr>
          <w:rFonts w:cs="Arial"/>
          <w:b/>
        </w:rPr>
        <w:t>Remuneration</w:t>
      </w:r>
      <w:r w:rsidRPr="00B33A72">
        <w:rPr>
          <w:rFonts w:cs="Arial"/>
        </w:rPr>
        <w:t xml:space="preserve">: The members will not receive payment from public funds during the period of their panel membership. </w:t>
      </w:r>
    </w:p>
    <w:p w14:paraId="3B72072F" w14:textId="527D1E18" w:rsidR="006D3871" w:rsidRPr="00B33A72" w:rsidRDefault="006D3871" w:rsidP="006D3871">
      <w:pPr>
        <w:autoSpaceDE w:val="0"/>
        <w:autoSpaceDN w:val="0"/>
        <w:adjustRightInd w:val="0"/>
        <w:spacing w:after="120"/>
        <w:rPr>
          <w:rFonts w:cs="Arial"/>
        </w:rPr>
      </w:pPr>
      <w:r w:rsidRPr="00B33A72">
        <w:rPr>
          <w:rFonts w:cs="Arial"/>
          <w:b/>
        </w:rPr>
        <w:t>Expenses</w:t>
      </w:r>
      <w:r w:rsidRPr="00B33A72">
        <w:rPr>
          <w:rFonts w:cs="Arial"/>
        </w:rPr>
        <w:t>: Panel members can claim all reasonable expenses for standard class travel, accommodation and subsistence in connection with their attendance at panel meetings</w:t>
      </w:r>
      <w:r w:rsidR="001D455A" w:rsidRPr="00B33A72">
        <w:rPr>
          <w:rFonts w:cs="Arial"/>
        </w:rPr>
        <w:t xml:space="preserve">. </w:t>
      </w:r>
      <w:r w:rsidR="00696C36" w:rsidRPr="00B33A72">
        <w:rPr>
          <w:rFonts w:cs="Arial"/>
        </w:rPr>
        <w:t xml:space="preserve">Any claimed expenses will need to </w:t>
      </w:r>
      <w:r w:rsidR="00D235BB" w:rsidRPr="00B33A72">
        <w:rPr>
          <w:rFonts w:cs="Arial"/>
        </w:rPr>
        <w:t>adhere with</w:t>
      </w:r>
      <w:r w:rsidR="00056DC6" w:rsidRPr="00B33A72">
        <w:rPr>
          <w:rFonts w:cs="Arial"/>
        </w:rPr>
        <w:t xml:space="preserve"> the </w:t>
      </w:r>
      <w:r w:rsidR="00C96620" w:rsidRPr="00B33A72">
        <w:rPr>
          <w:rFonts w:cs="Arial"/>
        </w:rPr>
        <w:t xml:space="preserve">extant </w:t>
      </w:r>
      <w:r w:rsidR="00D72C7F" w:rsidRPr="00B33A72">
        <w:rPr>
          <w:rFonts w:cs="Arial"/>
        </w:rPr>
        <w:t>‘</w:t>
      </w:r>
      <w:r w:rsidR="00056DC6" w:rsidRPr="00B33A72">
        <w:rPr>
          <w:rFonts w:cs="Arial"/>
        </w:rPr>
        <w:t>ONR Business Expenses Guidance Manual</w:t>
      </w:r>
      <w:r w:rsidR="00D72C7F" w:rsidRPr="00B33A72">
        <w:rPr>
          <w:rFonts w:cs="Arial"/>
        </w:rPr>
        <w:t>’</w:t>
      </w:r>
      <w:r w:rsidR="00696C36" w:rsidRPr="00B33A72">
        <w:rPr>
          <w:rFonts w:cs="Arial"/>
        </w:rPr>
        <w:t xml:space="preserve"> which </w:t>
      </w:r>
      <w:r w:rsidR="00D72C7F" w:rsidRPr="00B33A72">
        <w:rPr>
          <w:rFonts w:cs="Arial"/>
        </w:rPr>
        <w:t>will</w:t>
      </w:r>
      <w:r w:rsidR="00696C36" w:rsidRPr="00B33A72">
        <w:rPr>
          <w:rFonts w:cs="Arial"/>
        </w:rPr>
        <w:t xml:space="preserve"> be supplied on request</w:t>
      </w:r>
      <w:r w:rsidRPr="00B33A72">
        <w:rPr>
          <w:rFonts w:cs="Arial"/>
        </w:rPr>
        <w:t xml:space="preserve">. On request, IAP secretariat staff will book train tickets and accommodation direct so that panel members do not need to meet these costs in advance. Panel meetings </w:t>
      </w:r>
      <w:r w:rsidR="00C96620" w:rsidRPr="00B33A72">
        <w:rPr>
          <w:rFonts w:cs="Arial"/>
        </w:rPr>
        <w:t xml:space="preserve">will </w:t>
      </w:r>
      <w:r w:rsidRPr="00B33A72">
        <w:rPr>
          <w:rFonts w:cs="Arial"/>
        </w:rPr>
        <w:t>include refreshments throughout the day and lunch.</w:t>
      </w:r>
    </w:p>
    <w:p w14:paraId="3B720731" w14:textId="04CFD900" w:rsidR="006D3871" w:rsidRPr="00B33A72" w:rsidRDefault="006D3871" w:rsidP="006D3871">
      <w:pPr>
        <w:autoSpaceDE w:val="0"/>
        <w:autoSpaceDN w:val="0"/>
        <w:adjustRightInd w:val="0"/>
        <w:spacing w:after="120"/>
        <w:rPr>
          <w:rFonts w:cs="Arial"/>
        </w:rPr>
      </w:pPr>
      <w:r w:rsidRPr="00B33A72">
        <w:rPr>
          <w:rFonts w:cs="Arial"/>
          <w:b/>
        </w:rPr>
        <w:t>Support for Panel members</w:t>
      </w:r>
      <w:r w:rsidRPr="00B33A72">
        <w:rPr>
          <w:rFonts w:cs="Arial"/>
        </w:rPr>
        <w:t xml:space="preserve">:  All necessary support will be put in place to support panel members </w:t>
      </w:r>
      <w:r w:rsidR="00624298" w:rsidRPr="00B33A72">
        <w:rPr>
          <w:rFonts w:cs="Arial"/>
        </w:rPr>
        <w:t xml:space="preserve">and if </w:t>
      </w:r>
      <w:r w:rsidR="00C836EF" w:rsidRPr="00B33A72">
        <w:rPr>
          <w:rFonts w:cs="Arial"/>
        </w:rPr>
        <w:t>necessary,</w:t>
      </w:r>
      <w:r w:rsidR="00624298" w:rsidRPr="00B33A72">
        <w:rPr>
          <w:rFonts w:cs="Arial"/>
        </w:rPr>
        <w:t xml:space="preserve"> an Equality Impact Assessment (EIA)</w:t>
      </w:r>
      <w:r w:rsidR="00C836EF" w:rsidRPr="00B33A72">
        <w:rPr>
          <w:rFonts w:cs="Arial"/>
        </w:rPr>
        <w:t xml:space="preserve"> undertaken prior to meetings</w:t>
      </w:r>
      <w:r w:rsidR="00624298" w:rsidRPr="00B33A72">
        <w:rPr>
          <w:rFonts w:cs="Arial"/>
        </w:rPr>
        <w:t xml:space="preserve">. </w:t>
      </w:r>
      <w:r w:rsidRPr="00B33A72">
        <w:rPr>
          <w:rFonts w:cs="Arial"/>
        </w:rPr>
        <w:t>Hotels and conference centres used for panel meetings will be fully accessible for people with limited mobility. Panel</w:t>
      </w:r>
      <w:r w:rsidR="00A04DE8" w:rsidRPr="00B33A72">
        <w:rPr>
          <w:rFonts w:cs="Arial"/>
        </w:rPr>
        <w:t xml:space="preserve"> </w:t>
      </w:r>
      <w:r w:rsidR="000F78F3" w:rsidRPr="00B33A72">
        <w:rPr>
          <w:rFonts w:cs="Arial"/>
        </w:rPr>
        <w:t xml:space="preserve">members </w:t>
      </w:r>
      <w:r w:rsidRPr="00B33A72">
        <w:rPr>
          <w:rFonts w:cs="Arial"/>
        </w:rPr>
        <w:t xml:space="preserve">who need the support and attendance of a carer will have the carer’s travel and subsistence costs </w:t>
      </w:r>
      <w:r w:rsidR="006D2A68" w:rsidRPr="00B33A72">
        <w:rPr>
          <w:rFonts w:cs="Arial"/>
        </w:rPr>
        <w:t xml:space="preserve">reimbursed </w:t>
      </w:r>
      <w:r w:rsidRPr="00B33A72">
        <w:rPr>
          <w:rFonts w:cs="Arial"/>
        </w:rPr>
        <w:t>by ONR.</w:t>
      </w:r>
    </w:p>
    <w:p w14:paraId="3B720732" w14:textId="34C48674" w:rsidR="006D3871" w:rsidRPr="00B33A72" w:rsidRDefault="006D3871" w:rsidP="006D3871">
      <w:pPr>
        <w:autoSpaceDE w:val="0"/>
        <w:autoSpaceDN w:val="0"/>
        <w:adjustRightInd w:val="0"/>
        <w:spacing w:after="120"/>
        <w:rPr>
          <w:rFonts w:cs="Arial"/>
        </w:rPr>
      </w:pPr>
      <w:r w:rsidRPr="00B33A72">
        <w:rPr>
          <w:rFonts w:cs="Arial"/>
          <w:b/>
        </w:rPr>
        <w:t>Preparatory work &amp; meeting attendance</w:t>
      </w:r>
      <w:r w:rsidRPr="00B33A72">
        <w:rPr>
          <w:rFonts w:cs="Arial"/>
        </w:rPr>
        <w:t xml:space="preserve">:  IAP secretariat </w:t>
      </w:r>
      <w:r w:rsidR="00837F52" w:rsidRPr="00B33A72">
        <w:rPr>
          <w:rFonts w:cs="Arial"/>
        </w:rPr>
        <w:t xml:space="preserve">staff </w:t>
      </w:r>
      <w:r w:rsidRPr="00B33A72">
        <w:rPr>
          <w:rFonts w:cs="Arial"/>
        </w:rPr>
        <w:t xml:space="preserve">will ensure that panel members are informed about meeting dates and are provided with relevant documents in good time.  Regular attendance at meetings is a condition of continuing membership of the panel. Panel members unable to attend a meeting are asked to inform the IAP secretariat at the earliest opportunity. As members will be providing advice in a personal capacity, substitutes for absent members will not be allowed. Panel members who live too far from the meeting venue to complete their travel on the day of the meeting may stay overnight beforehand. This accommodation will be booked by secretariat staff on their behalf.  Panel members should prepare for panel meetings by reading the agenda papers in advance and raising any issues for clarification with the secretariat. </w:t>
      </w:r>
    </w:p>
    <w:p w14:paraId="3B720733" w14:textId="7266E57B" w:rsidR="006D3871" w:rsidRPr="00B33A72" w:rsidRDefault="006D3871" w:rsidP="006D3871">
      <w:pPr>
        <w:autoSpaceDE w:val="0"/>
        <w:autoSpaceDN w:val="0"/>
        <w:adjustRightInd w:val="0"/>
        <w:spacing w:after="120"/>
        <w:outlineLvl w:val="0"/>
        <w:rPr>
          <w:rFonts w:cs="Arial"/>
        </w:rPr>
      </w:pPr>
      <w:r w:rsidRPr="00B33A72">
        <w:rPr>
          <w:rFonts w:cs="Arial"/>
          <w:b/>
        </w:rPr>
        <w:t>Time commitment</w:t>
      </w:r>
      <w:r w:rsidRPr="00B33A72">
        <w:rPr>
          <w:rFonts w:cs="Arial"/>
        </w:rPr>
        <w:t xml:space="preserve">: Two scheduled meetings per year with associated </w:t>
      </w:r>
      <w:r w:rsidR="00897B4D" w:rsidRPr="00B33A72">
        <w:rPr>
          <w:rFonts w:cs="Arial"/>
        </w:rPr>
        <w:t xml:space="preserve">preparatory </w:t>
      </w:r>
      <w:r w:rsidRPr="00B33A72">
        <w:rPr>
          <w:rFonts w:cs="Arial"/>
        </w:rPr>
        <w:t xml:space="preserve">reading.  </w:t>
      </w:r>
    </w:p>
    <w:p w14:paraId="3B720734" w14:textId="4424C0A8" w:rsidR="006D3871" w:rsidRPr="00B33A72" w:rsidRDefault="006D3871" w:rsidP="006D3871">
      <w:pPr>
        <w:autoSpaceDE w:val="0"/>
        <w:autoSpaceDN w:val="0"/>
        <w:adjustRightInd w:val="0"/>
        <w:spacing w:after="120"/>
        <w:rPr>
          <w:rFonts w:cs="Arial"/>
        </w:rPr>
      </w:pPr>
      <w:r w:rsidRPr="00B33A72">
        <w:rPr>
          <w:rFonts w:cs="Arial"/>
          <w:b/>
        </w:rPr>
        <w:t>Tenure of office</w:t>
      </w:r>
      <w:r w:rsidRPr="00B33A72">
        <w:rPr>
          <w:rFonts w:cs="Arial"/>
        </w:rPr>
        <w:t xml:space="preserve">: The length of appointments will be </w:t>
      </w:r>
      <w:r w:rsidR="00897B4D" w:rsidRPr="00B33A72">
        <w:rPr>
          <w:rFonts w:cs="Arial"/>
        </w:rPr>
        <w:t>at the discretion of the CNI</w:t>
      </w:r>
      <w:r w:rsidRPr="00B33A72">
        <w:rPr>
          <w:rFonts w:cs="Arial"/>
        </w:rPr>
        <w:t xml:space="preserve">.  Continuity of contribution will be managed by replacement of panel members at staggered intervals.    </w:t>
      </w:r>
    </w:p>
    <w:p w14:paraId="3B720735" w14:textId="133F4E30" w:rsidR="006D3871" w:rsidRPr="00B33A72" w:rsidRDefault="006D3871" w:rsidP="006D3871">
      <w:pPr>
        <w:autoSpaceDE w:val="0"/>
        <w:autoSpaceDN w:val="0"/>
        <w:adjustRightInd w:val="0"/>
        <w:spacing w:after="120"/>
        <w:rPr>
          <w:rFonts w:cs="Arial"/>
        </w:rPr>
      </w:pPr>
      <w:r w:rsidRPr="00B33A72">
        <w:rPr>
          <w:rFonts w:cs="Arial"/>
          <w:b/>
        </w:rPr>
        <w:t>Security</w:t>
      </w:r>
      <w:r w:rsidRPr="00B33A72">
        <w:rPr>
          <w:rFonts w:cs="Arial"/>
        </w:rPr>
        <w:t xml:space="preserve">:  Members </w:t>
      </w:r>
      <w:r w:rsidR="00D81EFC" w:rsidRPr="00B33A72">
        <w:rPr>
          <w:rFonts w:cs="Arial"/>
        </w:rPr>
        <w:t>must</w:t>
      </w:r>
      <w:r w:rsidRPr="00B33A72">
        <w:rPr>
          <w:rFonts w:cs="Arial"/>
        </w:rPr>
        <w:t xml:space="preserve"> </w:t>
      </w:r>
      <w:r w:rsidR="00F074C1" w:rsidRPr="00B33A72">
        <w:rPr>
          <w:rFonts w:cs="Arial"/>
        </w:rPr>
        <w:t xml:space="preserve">have appropriate </w:t>
      </w:r>
      <w:r w:rsidR="00197462" w:rsidRPr="00B33A72">
        <w:rPr>
          <w:rFonts w:cs="Arial"/>
        </w:rPr>
        <w:t>levels of national security vetting (</w:t>
      </w:r>
      <w:proofErr w:type="gramStart"/>
      <w:r w:rsidR="00973845" w:rsidRPr="00B33A72">
        <w:rPr>
          <w:rFonts w:cs="Arial"/>
        </w:rPr>
        <w:t>i.e</w:t>
      </w:r>
      <w:r w:rsidR="00197462" w:rsidRPr="00B33A72">
        <w:rPr>
          <w:rFonts w:cs="Arial"/>
        </w:rPr>
        <w:t>.</w:t>
      </w:r>
      <w:proofErr w:type="gramEnd"/>
      <w:r w:rsidR="00197462" w:rsidRPr="00B33A72">
        <w:rPr>
          <w:rFonts w:cs="Arial"/>
        </w:rPr>
        <w:t xml:space="preserve"> CTC, SC or D</w:t>
      </w:r>
      <w:r w:rsidR="00973845" w:rsidRPr="00B33A72">
        <w:rPr>
          <w:rFonts w:cs="Arial"/>
        </w:rPr>
        <w:t>V</w:t>
      </w:r>
      <w:r w:rsidR="00197462" w:rsidRPr="00B33A72">
        <w:rPr>
          <w:rFonts w:cs="Arial"/>
        </w:rPr>
        <w:t>). Where mem</w:t>
      </w:r>
      <w:r w:rsidR="006D3B4C" w:rsidRPr="00B33A72">
        <w:rPr>
          <w:rFonts w:cs="Arial"/>
        </w:rPr>
        <w:t xml:space="preserve">bers do not have </w:t>
      </w:r>
      <w:r w:rsidR="00973845" w:rsidRPr="00B33A72">
        <w:rPr>
          <w:rFonts w:cs="Arial"/>
        </w:rPr>
        <w:t xml:space="preserve">any </w:t>
      </w:r>
      <w:r w:rsidR="006D3B4C" w:rsidRPr="00B33A72">
        <w:rPr>
          <w:rFonts w:cs="Arial"/>
        </w:rPr>
        <w:t>existing clearance</w:t>
      </w:r>
      <w:r w:rsidR="00C04108" w:rsidRPr="00B33A72">
        <w:rPr>
          <w:rFonts w:cs="Arial"/>
        </w:rPr>
        <w:t>,</w:t>
      </w:r>
      <w:r w:rsidR="00F074C1" w:rsidRPr="00B33A72">
        <w:rPr>
          <w:rFonts w:cs="Arial"/>
        </w:rPr>
        <w:t xml:space="preserve"> </w:t>
      </w:r>
      <w:r w:rsidR="00B00376" w:rsidRPr="00B33A72">
        <w:rPr>
          <w:rFonts w:cs="Arial"/>
        </w:rPr>
        <w:t xml:space="preserve">a </w:t>
      </w:r>
      <w:r w:rsidR="00D106B8" w:rsidRPr="00B33A72">
        <w:rPr>
          <w:rFonts w:cs="Arial"/>
        </w:rPr>
        <w:t>Baseline Personnel Security Standard (BPSS)</w:t>
      </w:r>
      <w:r w:rsidR="00E25B78" w:rsidRPr="00B33A72">
        <w:rPr>
          <w:rFonts w:cs="Arial"/>
        </w:rPr>
        <w:t xml:space="preserve"> check</w:t>
      </w:r>
      <w:r w:rsidR="00D106B8" w:rsidRPr="00B33A72">
        <w:rPr>
          <w:rFonts w:cs="Arial"/>
        </w:rPr>
        <w:t xml:space="preserve"> </w:t>
      </w:r>
      <w:r w:rsidR="00F16586" w:rsidRPr="00B33A72">
        <w:rPr>
          <w:rFonts w:cs="Arial"/>
        </w:rPr>
        <w:t xml:space="preserve">in line with ONR policy and </w:t>
      </w:r>
      <w:hyperlink r:id="rId9" w:history="1">
        <w:r w:rsidR="00F16586" w:rsidRPr="00B33A72">
          <w:rPr>
            <w:rStyle w:val="Hyperlink"/>
            <w:rFonts w:cs="Arial"/>
          </w:rPr>
          <w:t>government guidance</w:t>
        </w:r>
      </w:hyperlink>
      <w:r w:rsidR="00CA48E4" w:rsidRPr="00B33A72">
        <w:rPr>
          <w:rFonts w:cs="Arial"/>
        </w:rPr>
        <w:t xml:space="preserve"> will </w:t>
      </w:r>
      <w:r w:rsidR="000D2CDD" w:rsidRPr="00B33A72">
        <w:rPr>
          <w:rFonts w:cs="Arial"/>
        </w:rPr>
        <w:t xml:space="preserve">need to </w:t>
      </w:r>
      <w:r w:rsidR="00CA48E4" w:rsidRPr="00B33A72">
        <w:rPr>
          <w:rFonts w:cs="Arial"/>
        </w:rPr>
        <w:t>be undertaken</w:t>
      </w:r>
      <w:r w:rsidR="00F16586" w:rsidRPr="00B33A72">
        <w:rPr>
          <w:rFonts w:cs="Arial"/>
        </w:rPr>
        <w:t xml:space="preserve">. </w:t>
      </w:r>
      <w:r w:rsidR="003C7973" w:rsidRPr="00B33A72">
        <w:rPr>
          <w:rFonts w:cs="Arial"/>
        </w:rPr>
        <w:t>M</w:t>
      </w:r>
      <w:r w:rsidRPr="00B33A72">
        <w:rPr>
          <w:rFonts w:cs="Arial"/>
        </w:rPr>
        <w:t xml:space="preserve">anagement of </w:t>
      </w:r>
      <w:r w:rsidR="00636EA7" w:rsidRPr="00B33A72">
        <w:rPr>
          <w:rFonts w:cs="Arial"/>
        </w:rPr>
        <w:t>security vetting for panel</w:t>
      </w:r>
      <w:r w:rsidR="00636EA7" w:rsidRPr="00B33A72" w:rsidDel="00636EA7">
        <w:rPr>
          <w:rFonts w:cs="Arial"/>
        </w:rPr>
        <w:t xml:space="preserve"> </w:t>
      </w:r>
      <w:r w:rsidR="00636EA7" w:rsidRPr="00B33A72">
        <w:rPr>
          <w:rFonts w:cs="Arial"/>
        </w:rPr>
        <w:t xml:space="preserve">members </w:t>
      </w:r>
      <w:r w:rsidRPr="00B33A72">
        <w:rPr>
          <w:rFonts w:cs="Arial"/>
        </w:rPr>
        <w:t xml:space="preserve">will be undertaken by ONR staff. </w:t>
      </w:r>
      <w:r w:rsidR="00636EA7" w:rsidRPr="00B33A72">
        <w:rPr>
          <w:rFonts w:cs="Arial"/>
        </w:rPr>
        <w:t>All m</w:t>
      </w:r>
      <w:r w:rsidR="00433F0C" w:rsidRPr="00B33A72">
        <w:rPr>
          <w:rFonts w:cs="Arial"/>
        </w:rPr>
        <w:t>embers are expected to</w:t>
      </w:r>
      <w:r w:rsidR="00973845" w:rsidRPr="00B33A72">
        <w:rPr>
          <w:rFonts w:cs="Arial"/>
        </w:rPr>
        <w:t xml:space="preserve"> handle</w:t>
      </w:r>
      <w:r w:rsidR="00256A5C" w:rsidRPr="00B33A72">
        <w:rPr>
          <w:rFonts w:cs="Arial"/>
        </w:rPr>
        <w:t xml:space="preserve"> any sensitive</w:t>
      </w:r>
      <w:r w:rsidR="00115F1F" w:rsidRPr="00B33A72">
        <w:rPr>
          <w:rFonts w:cs="Arial"/>
        </w:rPr>
        <w:t xml:space="preserve"> nuclear</w:t>
      </w:r>
      <w:r w:rsidR="00433F0C" w:rsidRPr="00B33A72">
        <w:rPr>
          <w:rFonts w:cs="Arial"/>
        </w:rPr>
        <w:t xml:space="preserve"> </w:t>
      </w:r>
      <w:r w:rsidR="008562AE" w:rsidRPr="00B33A72">
        <w:rPr>
          <w:rFonts w:cs="Arial"/>
        </w:rPr>
        <w:t xml:space="preserve">information </w:t>
      </w:r>
      <w:r w:rsidR="00115F1F" w:rsidRPr="00B33A72">
        <w:rPr>
          <w:rFonts w:cs="Arial"/>
        </w:rPr>
        <w:t>shared with</w:t>
      </w:r>
      <w:r w:rsidR="003C7973" w:rsidRPr="00B33A72">
        <w:rPr>
          <w:rFonts w:cs="Arial"/>
        </w:rPr>
        <w:t xml:space="preserve"> the</w:t>
      </w:r>
      <w:r w:rsidR="00115F1F" w:rsidRPr="00B33A72">
        <w:rPr>
          <w:rFonts w:cs="Arial"/>
        </w:rPr>
        <w:t xml:space="preserve"> panel in accordance with </w:t>
      </w:r>
      <w:hyperlink r:id="rId10" w:history="1">
        <w:r w:rsidR="00115F1F" w:rsidRPr="00B33A72">
          <w:rPr>
            <w:rStyle w:val="Hyperlink"/>
            <w:rFonts w:cs="Arial"/>
          </w:rPr>
          <w:t>government guidance</w:t>
        </w:r>
      </w:hyperlink>
      <w:r w:rsidR="00115F1F" w:rsidRPr="00B33A72">
        <w:rPr>
          <w:rFonts w:cs="Arial"/>
        </w:rPr>
        <w:t xml:space="preserve">. </w:t>
      </w:r>
      <w:r w:rsidRPr="00B33A72">
        <w:rPr>
          <w:rFonts w:cs="Arial"/>
        </w:rPr>
        <w:t xml:space="preserve"> </w:t>
      </w:r>
    </w:p>
    <w:p w14:paraId="3B720736" w14:textId="730FD7B5" w:rsidR="006D3871" w:rsidRPr="00B33A72" w:rsidRDefault="00906894" w:rsidP="006D3871">
      <w:pPr>
        <w:autoSpaceDE w:val="0"/>
        <w:autoSpaceDN w:val="0"/>
        <w:adjustRightInd w:val="0"/>
        <w:spacing w:after="120"/>
        <w:rPr>
          <w:rFonts w:cs="Arial"/>
        </w:rPr>
      </w:pPr>
      <w:r w:rsidRPr="00B33A72">
        <w:rPr>
          <w:rFonts w:cs="Arial"/>
          <w:b/>
        </w:rPr>
        <w:t xml:space="preserve">Conflicts of </w:t>
      </w:r>
      <w:r w:rsidR="006D3871" w:rsidRPr="00B33A72">
        <w:rPr>
          <w:rFonts w:cs="Arial"/>
          <w:b/>
        </w:rPr>
        <w:t>Interest</w:t>
      </w:r>
      <w:r w:rsidR="006D3871" w:rsidRPr="00B33A72">
        <w:rPr>
          <w:rFonts w:cs="Arial"/>
        </w:rPr>
        <w:t xml:space="preserve">: </w:t>
      </w:r>
      <w:r w:rsidRPr="00B33A72">
        <w:rPr>
          <w:rFonts w:cs="Arial"/>
        </w:rPr>
        <w:t xml:space="preserve">All members </w:t>
      </w:r>
      <w:r w:rsidR="00E56D08" w:rsidRPr="00B33A72">
        <w:rPr>
          <w:rFonts w:cs="Arial"/>
        </w:rPr>
        <w:t>must be seen to be, honest and impartial</w:t>
      </w:r>
      <w:r w:rsidR="00F8316A" w:rsidRPr="00B33A72">
        <w:rPr>
          <w:rFonts w:cs="Arial"/>
        </w:rPr>
        <w:t xml:space="preserve"> in the discharge of their duties.</w:t>
      </w:r>
      <w:r w:rsidR="00E56D08" w:rsidRPr="00B33A72">
        <w:rPr>
          <w:rFonts w:cs="Arial"/>
        </w:rPr>
        <w:t xml:space="preserve"> </w:t>
      </w:r>
      <w:r w:rsidR="00157694" w:rsidRPr="00B33A72">
        <w:rPr>
          <w:rFonts w:cs="Arial"/>
        </w:rPr>
        <w:t xml:space="preserve">All </w:t>
      </w:r>
      <w:r w:rsidR="006D3871" w:rsidRPr="00B33A72">
        <w:rPr>
          <w:rFonts w:cs="Arial"/>
        </w:rPr>
        <w:t>conflict</w:t>
      </w:r>
      <w:r w:rsidR="00157694" w:rsidRPr="00B33A72">
        <w:rPr>
          <w:rFonts w:cs="Arial"/>
        </w:rPr>
        <w:t>s</w:t>
      </w:r>
      <w:r w:rsidR="006D3871" w:rsidRPr="00B33A72">
        <w:rPr>
          <w:rFonts w:cs="Arial"/>
        </w:rPr>
        <w:t xml:space="preserve"> of interest </w:t>
      </w:r>
      <w:r w:rsidR="0093371A" w:rsidRPr="00B33A72">
        <w:rPr>
          <w:rFonts w:cs="Arial"/>
        </w:rPr>
        <w:t xml:space="preserve">which may influence </w:t>
      </w:r>
      <w:r w:rsidR="007C269F" w:rsidRPr="00B33A72">
        <w:rPr>
          <w:rFonts w:cs="Arial"/>
        </w:rPr>
        <w:t xml:space="preserve">member </w:t>
      </w:r>
      <w:r w:rsidR="0093371A" w:rsidRPr="00B33A72">
        <w:rPr>
          <w:rFonts w:cs="Arial"/>
        </w:rPr>
        <w:t xml:space="preserve">dealings with others, impair </w:t>
      </w:r>
      <w:r w:rsidR="007C269F" w:rsidRPr="00B33A72">
        <w:rPr>
          <w:rFonts w:cs="Arial"/>
        </w:rPr>
        <w:t>their</w:t>
      </w:r>
      <w:r w:rsidR="0093371A" w:rsidRPr="00B33A72">
        <w:rPr>
          <w:rFonts w:cs="Arial"/>
        </w:rPr>
        <w:t xml:space="preserve"> ability to carry out </w:t>
      </w:r>
      <w:r w:rsidR="007C269F" w:rsidRPr="00B33A72">
        <w:rPr>
          <w:rFonts w:cs="Arial"/>
        </w:rPr>
        <w:t>their</w:t>
      </w:r>
      <w:r w:rsidR="0093371A" w:rsidRPr="00B33A72">
        <w:rPr>
          <w:rFonts w:cs="Arial"/>
        </w:rPr>
        <w:t xml:space="preserve"> job fairly, or, just as importantly, could </w:t>
      </w:r>
      <w:r w:rsidR="0093371A" w:rsidRPr="00B33A72">
        <w:rPr>
          <w:rFonts w:cs="Arial"/>
        </w:rPr>
        <w:lastRenderedPageBreak/>
        <w:t>be viewed by others as having an effect on your professional judgement</w:t>
      </w:r>
      <w:r w:rsidR="007C269F" w:rsidRPr="00B33A72">
        <w:rPr>
          <w:rFonts w:cs="Arial"/>
        </w:rPr>
        <w:t xml:space="preserve"> </w:t>
      </w:r>
      <w:r w:rsidR="00AE1A34" w:rsidRPr="00B33A72">
        <w:rPr>
          <w:rFonts w:cs="Arial"/>
        </w:rPr>
        <w:t>must be declared</w:t>
      </w:r>
      <w:r w:rsidR="007C269F" w:rsidRPr="00B33A72">
        <w:rPr>
          <w:rFonts w:cs="Arial"/>
        </w:rPr>
        <w:t>.</w:t>
      </w:r>
    </w:p>
    <w:p w14:paraId="3B720737" w14:textId="440167E2" w:rsidR="006D3871" w:rsidRPr="00B33A72" w:rsidRDefault="006D3871" w:rsidP="006D3871">
      <w:pPr>
        <w:autoSpaceDE w:val="0"/>
        <w:autoSpaceDN w:val="0"/>
        <w:adjustRightInd w:val="0"/>
        <w:spacing w:after="120"/>
        <w:rPr>
          <w:rFonts w:cs="Arial"/>
        </w:rPr>
      </w:pPr>
      <w:r w:rsidRPr="00B33A72">
        <w:rPr>
          <w:rFonts w:cs="Arial"/>
          <w:b/>
        </w:rPr>
        <w:t>Dissemination of information</w:t>
      </w:r>
      <w:r w:rsidRPr="00B33A72">
        <w:rPr>
          <w:rFonts w:cs="Arial"/>
        </w:rPr>
        <w:t xml:space="preserve">: </w:t>
      </w:r>
      <w:r w:rsidR="00013FB9" w:rsidRPr="00B33A72">
        <w:rPr>
          <w:rFonts w:eastAsia="Arial Unicode MS" w:cs="Arial"/>
          <w:lang w:eastAsia="ja-JP"/>
        </w:rPr>
        <w:t>B</w:t>
      </w:r>
      <w:r w:rsidRPr="00B33A72">
        <w:rPr>
          <w:rFonts w:eastAsia="Arial Unicode MS" w:cs="Arial"/>
          <w:lang w:eastAsia="ja-JP"/>
        </w:rPr>
        <w:t>oth ONR and</w:t>
      </w:r>
      <w:r w:rsidR="00BB3227" w:rsidRPr="00B33A72">
        <w:rPr>
          <w:rFonts w:eastAsia="Arial Unicode MS" w:cs="Arial"/>
          <w:lang w:eastAsia="ja-JP"/>
        </w:rPr>
        <w:t xml:space="preserve"> panel</w:t>
      </w:r>
      <w:r w:rsidRPr="00B33A72">
        <w:rPr>
          <w:rFonts w:eastAsia="Arial Unicode MS" w:cs="Arial"/>
          <w:lang w:eastAsia="ja-JP"/>
        </w:rPr>
        <w:t xml:space="preserve"> </w:t>
      </w:r>
      <w:r w:rsidR="00C36D28" w:rsidRPr="00B33A72">
        <w:rPr>
          <w:rFonts w:eastAsia="Arial Unicode MS" w:cs="Arial"/>
          <w:lang w:eastAsia="ja-JP"/>
        </w:rPr>
        <w:t xml:space="preserve">members </w:t>
      </w:r>
      <w:r w:rsidRPr="00B33A72">
        <w:rPr>
          <w:rFonts w:eastAsia="Arial Unicode MS" w:cs="Arial"/>
          <w:lang w:eastAsia="ja-JP"/>
        </w:rPr>
        <w:t xml:space="preserve">are expected to adhere to </w:t>
      </w:r>
      <w:r w:rsidRPr="00B33A72">
        <w:rPr>
          <w:rFonts w:cs="Arial"/>
        </w:rPr>
        <w:t xml:space="preserve">the </w:t>
      </w:r>
      <w:r w:rsidRPr="00B33A72">
        <w:rPr>
          <w:rFonts w:eastAsia="Arial Unicode MS" w:cs="Arial"/>
          <w:lang w:eastAsia="ja-JP"/>
        </w:rPr>
        <w:t>Principles of Scientific Advice (</w:t>
      </w:r>
      <w:r w:rsidR="00C36D28" w:rsidRPr="00B33A72">
        <w:rPr>
          <w:rFonts w:eastAsia="Arial Unicode MS" w:cs="Arial"/>
          <w:lang w:eastAsia="ja-JP"/>
        </w:rPr>
        <w:t>detailed in the next section</w:t>
      </w:r>
      <w:r w:rsidRPr="00B33A72">
        <w:rPr>
          <w:rFonts w:eastAsia="Arial Unicode MS" w:cs="Arial"/>
          <w:lang w:eastAsia="ja-JP"/>
        </w:rPr>
        <w:t>)</w:t>
      </w:r>
      <w:r w:rsidR="00BB3227" w:rsidRPr="00B33A72">
        <w:rPr>
          <w:rFonts w:eastAsia="Arial Unicode MS" w:cs="Arial"/>
          <w:lang w:eastAsia="ja-JP"/>
        </w:rPr>
        <w:t>.</w:t>
      </w:r>
      <w:r w:rsidRPr="00B33A72">
        <w:rPr>
          <w:rFonts w:eastAsia="Arial Unicode MS" w:cs="Arial"/>
          <w:lang w:eastAsia="ja-JP"/>
        </w:rPr>
        <w:t xml:space="preserve"> </w:t>
      </w:r>
      <w:r w:rsidRPr="00B33A72">
        <w:rPr>
          <w:rFonts w:cs="Arial"/>
        </w:rPr>
        <w:t>ONR will publish the minutes of meetings</w:t>
      </w:r>
      <w:r w:rsidRPr="00B33A72">
        <w:rPr>
          <w:rFonts w:eastAsia="Arial Unicode MS" w:cs="Arial"/>
          <w:lang w:eastAsia="ja-JP"/>
        </w:rPr>
        <w:t xml:space="preserve">. </w:t>
      </w:r>
    </w:p>
    <w:p w14:paraId="3B720738" w14:textId="31182159" w:rsidR="006D3871" w:rsidRPr="00B33A72" w:rsidRDefault="006D3871" w:rsidP="006D3871">
      <w:pPr>
        <w:autoSpaceDE w:val="0"/>
        <w:autoSpaceDN w:val="0"/>
        <w:adjustRightInd w:val="0"/>
        <w:spacing w:after="120"/>
        <w:rPr>
          <w:rFonts w:cs="Arial"/>
        </w:rPr>
      </w:pPr>
      <w:r w:rsidRPr="00B33A72">
        <w:rPr>
          <w:rFonts w:cs="Arial"/>
          <w:b/>
        </w:rPr>
        <w:t>Location of meetings</w:t>
      </w:r>
      <w:r w:rsidRPr="00B33A72">
        <w:rPr>
          <w:rFonts w:cs="Arial"/>
        </w:rPr>
        <w:t xml:space="preserve">: </w:t>
      </w:r>
      <w:r w:rsidR="00013FB9" w:rsidRPr="00B33A72">
        <w:rPr>
          <w:rFonts w:cs="Arial"/>
        </w:rPr>
        <w:t>T</w:t>
      </w:r>
      <w:r w:rsidRPr="00B33A72">
        <w:rPr>
          <w:rFonts w:cs="Arial"/>
        </w:rPr>
        <w:t xml:space="preserve">he majority of meetings </w:t>
      </w:r>
      <w:r w:rsidR="00013FB9" w:rsidRPr="00B33A72">
        <w:rPr>
          <w:rFonts w:cs="Arial"/>
        </w:rPr>
        <w:t xml:space="preserve">will be held </w:t>
      </w:r>
      <w:r w:rsidRPr="00B33A72">
        <w:rPr>
          <w:rFonts w:cs="Arial"/>
        </w:rPr>
        <w:t>at ONR’s London office</w:t>
      </w:r>
      <w:r w:rsidR="00A7591B" w:rsidRPr="00B33A72">
        <w:rPr>
          <w:rFonts w:cs="Arial"/>
        </w:rPr>
        <w:t xml:space="preserve"> but </w:t>
      </w:r>
      <w:r w:rsidR="008B5119" w:rsidRPr="00B33A72">
        <w:rPr>
          <w:rFonts w:cs="Arial"/>
        </w:rPr>
        <w:t xml:space="preserve">the location </w:t>
      </w:r>
      <w:r w:rsidR="006E3EAB" w:rsidRPr="00B33A72">
        <w:rPr>
          <w:rFonts w:cs="Arial"/>
        </w:rPr>
        <w:t xml:space="preserve">will </w:t>
      </w:r>
      <w:r w:rsidR="008B5119" w:rsidRPr="00B33A72">
        <w:rPr>
          <w:rFonts w:cs="Arial"/>
        </w:rPr>
        <w:t>vary</w:t>
      </w:r>
      <w:r w:rsidRPr="00B33A72">
        <w:rPr>
          <w:rFonts w:cs="Arial"/>
        </w:rPr>
        <w:t xml:space="preserve">.  </w:t>
      </w:r>
    </w:p>
    <w:p w14:paraId="3B720739" w14:textId="77777777" w:rsidR="006D3871" w:rsidRPr="00B33A72" w:rsidRDefault="006D3871" w:rsidP="006D3871">
      <w:pPr>
        <w:autoSpaceDE w:val="0"/>
        <w:autoSpaceDN w:val="0"/>
        <w:adjustRightInd w:val="0"/>
        <w:rPr>
          <w:rFonts w:cs="Arial"/>
        </w:rPr>
      </w:pPr>
    </w:p>
    <w:p w14:paraId="3B72073A" w14:textId="77777777" w:rsidR="006D3871" w:rsidRPr="00B33A72" w:rsidRDefault="006D3871" w:rsidP="006D3871">
      <w:pPr>
        <w:autoSpaceDE w:val="0"/>
        <w:autoSpaceDN w:val="0"/>
        <w:adjustRightInd w:val="0"/>
        <w:rPr>
          <w:rFonts w:cs="Arial"/>
        </w:rPr>
      </w:pPr>
    </w:p>
    <w:p w14:paraId="3B72073B" w14:textId="77777777" w:rsidR="006D3871" w:rsidRPr="00B33A72" w:rsidRDefault="006D3871" w:rsidP="006D3871">
      <w:pPr>
        <w:autoSpaceDE w:val="0"/>
        <w:autoSpaceDN w:val="0"/>
        <w:adjustRightInd w:val="0"/>
        <w:jc w:val="center"/>
        <w:rPr>
          <w:rFonts w:cs="Arial"/>
          <w:b/>
        </w:rPr>
      </w:pPr>
      <w:r w:rsidRPr="00B33A72">
        <w:rPr>
          <w:rFonts w:cs="Arial"/>
        </w:rPr>
        <w:br w:type="page"/>
      </w:r>
      <w:r w:rsidRPr="00B33A72">
        <w:rPr>
          <w:rFonts w:cs="Arial"/>
          <w:b/>
        </w:rPr>
        <w:lastRenderedPageBreak/>
        <w:t>Principles of Scientific Advice to Government</w:t>
      </w:r>
    </w:p>
    <w:p w14:paraId="3B72073C" w14:textId="05C4162C" w:rsidR="006D3871" w:rsidRPr="00B33A72" w:rsidRDefault="006D3871" w:rsidP="006D3871">
      <w:pPr>
        <w:shd w:val="clear" w:color="auto" w:fill="FFFFFF"/>
        <w:spacing w:before="100" w:beforeAutospacing="1" w:after="225"/>
        <w:rPr>
          <w:rFonts w:eastAsia="Arial Unicode MS" w:cs="Arial"/>
          <w:lang w:eastAsia="ja-JP"/>
        </w:rPr>
      </w:pPr>
      <w:r w:rsidRPr="00B33A72">
        <w:rPr>
          <w:rFonts w:eastAsia="Arial Unicode MS" w:cs="Arial"/>
          <w:lang w:eastAsia="ja-JP"/>
        </w:rPr>
        <w:t xml:space="preserve">The </w:t>
      </w:r>
      <w:hyperlink r:id="rId11" w:history="1">
        <w:r w:rsidR="00E64752" w:rsidRPr="00B33A72">
          <w:rPr>
            <w:rStyle w:val="Hyperlink"/>
            <w:rFonts w:eastAsia="Arial Unicode MS" w:cs="Arial"/>
            <w:lang w:eastAsia="ja-JP"/>
          </w:rPr>
          <w:t>p</w:t>
        </w:r>
        <w:r w:rsidRPr="00B33A72">
          <w:rPr>
            <w:rStyle w:val="Hyperlink"/>
            <w:rFonts w:eastAsia="Arial Unicode MS" w:cs="Arial"/>
            <w:lang w:eastAsia="ja-JP"/>
          </w:rPr>
          <w:t xml:space="preserve">rinciples of </w:t>
        </w:r>
        <w:r w:rsidR="00E64752" w:rsidRPr="00B33A72">
          <w:rPr>
            <w:rStyle w:val="Hyperlink"/>
            <w:rFonts w:eastAsia="Arial Unicode MS" w:cs="Arial"/>
            <w:lang w:eastAsia="ja-JP"/>
          </w:rPr>
          <w:t>s</w:t>
        </w:r>
        <w:r w:rsidRPr="00B33A72">
          <w:rPr>
            <w:rStyle w:val="Hyperlink"/>
            <w:rFonts w:eastAsia="Arial Unicode MS" w:cs="Arial"/>
            <w:lang w:eastAsia="ja-JP"/>
          </w:rPr>
          <w:t xml:space="preserve">cientific </w:t>
        </w:r>
        <w:r w:rsidR="00E64752" w:rsidRPr="00B33A72">
          <w:rPr>
            <w:rStyle w:val="Hyperlink"/>
            <w:rFonts w:eastAsia="Arial Unicode MS" w:cs="Arial"/>
            <w:lang w:eastAsia="ja-JP"/>
          </w:rPr>
          <w:t>a</w:t>
        </w:r>
        <w:r w:rsidRPr="00B33A72">
          <w:rPr>
            <w:rStyle w:val="Hyperlink"/>
            <w:rFonts w:eastAsia="Arial Unicode MS" w:cs="Arial"/>
            <w:lang w:eastAsia="ja-JP"/>
          </w:rPr>
          <w:t>dvice</w:t>
        </w:r>
      </w:hyperlink>
      <w:r w:rsidRPr="00B33A72">
        <w:rPr>
          <w:rFonts w:eastAsia="Arial Unicode MS" w:cs="Arial"/>
          <w:lang w:eastAsia="ja-JP"/>
        </w:rPr>
        <w:t xml:space="preserve"> set out the rules of engagement between </w:t>
      </w:r>
      <w:r w:rsidR="008A06A7" w:rsidRPr="00B33A72">
        <w:rPr>
          <w:rFonts w:eastAsia="Arial Unicode MS" w:cs="Arial"/>
          <w:lang w:eastAsia="ja-JP"/>
        </w:rPr>
        <w:t xml:space="preserve">government </w:t>
      </w:r>
      <w:r w:rsidRPr="00B33A72">
        <w:rPr>
          <w:rFonts w:eastAsia="Arial Unicode MS" w:cs="Arial"/>
          <w:lang w:eastAsia="ja-JP"/>
        </w:rPr>
        <w:t xml:space="preserve">and those who provide independent scientific and engineering advice. They provide a foundation on which independent scientific advisers and government departments should base their operations and interactions. </w:t>
      </w:r>
    </w:p>
    <w:p w14:paraId="3B72073E" w14:textId="656CB929" w:rsidR="006D3871" w:rsidRPr="00B33A72" w:rsidRDefault="006D3871" w:rsidP="006D3871">
      <w:pPr>
        <w:shd w:val="clear" w:color="auto" w:fill="FFFFFF"/>
        <w:spacing w:before="100" w:beforeAutospacing="1" w:after="225"/>
        <w:rPr>
          <w:rFonts w:eastAsia="Arial Unicode MS" w:cs="Arial"/>
          <w:lang w:eastAsia="ja-JP"/>
        </w:rPr>
      </w:pPr>
      <w:r w:rsidRPr="00B33A72">
        <w:rPr>
          <w:rFonts w:eastAsia="Arial Unicode MS" w:cs="Arial"/>
          <w:lang w:eastAsia="ja-JP"/>
        </w:rPr>
        <w:t xml:space="preserve">Whilst the IAP is not providing scientific advice to </w:t>
      </w:r>
      <w:r w:rsidR="008C5B6A" w:rsidRPr="00B33A72">
        <w:rPr>
          <w:rFonts w:eastAsia="Arial Unicode MS" w:cs="Arial"/>
          <w:lang w:eastAsia="ja-JP"/>
        </w:rPr>
        <w:t>government</w:t>
      </w:r>
      <w:r w:rsidRPr="00B33A72">
        <w:rPr>
          <w:rFonts w:eastAsia="Arial Unicode MS" w:cs="Arial"/>
          <w:lang w:eastAsia="ja-JP"/>
        </w:rPr>
        <w:t>, the intention is that wherever possible</w:t>
      </w:r>
      <w:r w:rsidR="008C5B6A" w:rsidRPr="00B33A72">
        <w:rPr>
          <w:rFonts w:eastAsia="Arial Unicode MS" w:cs="Arial"/>
          <w:lang w:eastAsia="ja-JP"/>
        </w:rPr>
        <w:t xml:space="preserve"> </w:t>
      </w:r>
      <w:r w:rsidRPr="00B33A72">
        <w:rPr>
          <w:rFonts w:eastAsia="Arial Unicode MS" w:cs="Arial"/>
          <w:lang w:eastAsia="ja-JP"/>
        </w:rPr>
        <w:t xml:space="preserve">members of the IAP will follow the principles of scientific advice to </w:t>
      </w:r>
      <w:r w:rsidR="008C5B6A" w:rsidRPr="00B33A72">
        <w:rPr>
          <w:rFonts w:eastAsia="Arial Unicode MS" w:cs="Arial"/>
          <w:lang w:eastAsia="ja-JP"/>
        </w:rPr>
        <w:t>g</w:t>
      </w:r>
      <w:r w:rsidRPr="00B33A72">
        <w:rPr>
          <w:rFonts w:eastAsia="Arial Unicode MS" w:cs="Arial"/>
          <w:lang w:eastAsia="ja-JP"/>
        </w:rPr>
        <w:t>overnment</w:t>
      </w:r>
      <w:r w:rsidR="00524B37" w:rsidRPr="00B33A72">
        <w:rPr>
          <w:rFonts w:eastAsia="Arial Unicode MS" w:cs="Arial"/>
          <w:lang w:eastAsia="ja-JP"/>
        </w:rPr>
        <w:t xml:space="preserve"> where applicable</w:t>
      </w:r>
      <w:r w:rsidRPr="00B33A72">
        <w:rPr>
          <w:rFonts w:eastAsia="Arial Unicode MS" w:cs="Arial"/>
          <w:lang w:eastAsia="ja-JP"/>
        </w:rPr>
        <w:t xml:space="preserve">. </w:t>
      </w:r>
    </w:p>
    <w:p w14:paraId="3B72073F" w14:textId="77777777" w:rsidR="006D3871" w:rsidRPr="00B33A72" w:rsidRDefault="006D3871" w:rsidP="006D3871">
      <w:pPr>
        <w:shd w:val="clear" w:color="auto" w:fill="FFFFFF"/>
        <w:spacing w:before="100" w:beforeAutospacing="1" w:after="225"/>
        <w:outlineLvl w:val="0"/>
        <w:rPr>
          <w:rFonts w:eastAsia="Arial Unicode MS" w:cs="Arial"/>
          <w:b/>
          <w:lang w:eastAsia="ja-JP"/>
        </w:rPr>
      </w:pPr>
      <w:r w:rsidRPr="00B33A72">
        <w:rPr>
          <w:rFonts w:eastAsia="Arial Unicode MS" w:cs="Arial"/>
          <w:b/>
          <w:lang w:eastAsia="ja-JP"/>
        </w:rPr>
        <w:t>Clear roles and responsibilities</w:t>
      </w:r>
    </w:p>
    <w:p w14:paraId="3B720740" w14:textId="77777777" w:rsidR="006D3871" w:rsidRPr="00B33A72" w:rsidRDefault="006D3871" w:rsidP="006D3871">
      <w:pPr>
        <w:numPr>
          <w:ilvl w:val="0"/>
          <w:numId w:val="35"/>
        </w:numPr>
        <w:shd w:val="clear" w:color="auto" w:fill="FFFFFF"/>
        <w:spacing w:before="100" w:beforeAutospacing="1" w:after="120"/>
        <w:rPr>
          <w:rFonts w:eastAsia="Arial Unicode MS" w:cs="Arial"/>
          <w:lang w:eastAsia="ja-JP"/>
        </w:rPr>
      </w:pPr>
      <w:r w:rsidRPr="00B33A72">
        <w:rPr>
          <w:rFonts w:eastAsia="Arial Unicode MS" w:cs="Arial"/>
          <w:lang w:eastAsia="ja-JP"/>
        </w:rPr>
        <w:t>Government should respect and value the academic freedom, professional status and expertise of its independent scientific advisers.</w:t>
      </w:r>
    </w:p>
    <w:p w14:paraId="3B720741" w14:textId="3486D900" w:rsidR="006D3871" w:rsidRPr="00B33A72" w:rsidRDefault="006D3871" w:rsidP="006D3871">
      <w:pPr>
        <w:numPr>
          <w:ilvl w:val="0"/>
          <w:numId w:val="35"/>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should respect the democratic mandate of the </w:t>
      </w:r>
      <w:r w:rsidR="008C5B6A" w:rsidRPr="00B33A72">
        <w:rPr>
          <w:rFonts w:eastAsia="Arial Unicode MS" w:cs="Arial"/>
          <w:lang w:eastAsia="ja-JP"/>
        </w:rPr>
        <w:t xml:space="preserve">government </w:t>
      </w:r>
      <w:r w:rsidRPr="00B33A72">
        <w:rPr>
          <w:rFonts w:eastAsia="Arial Unicode MS" w:cs="Arial"/>
          <w:lang w:eastAsia="ja-JP"/>
        </w:rPr>
        <w:t xml:space="preserve">to take decisions based on a wide range of factors and recognise that science is only part of the evidence that </w:t>
      </w:r>
      <w:r w:rsidR="008C5B6A" w:rsidRPr="00B33A72">
        <w:rPr>
          <w:rFonts w:eastAsia="Arial Unicode MS" w:cs="Arial"/>
          <w:lang w:eastAsia="ja-JP"/>
        </w:rPr>
        <w:t xml:space="preserve">government </w:t>
      </w:r>
      <w:r w:rsidRPr="00B33A72">
        <w:rPr>
          <w:rFonts w:eastAsia="Arial Unicode MS" w:cs="Arial"/>
          <w:lang w:eastAsia="ja-JP"/>
        </w:rPr>
        <w:t xml:space="preserve">must consider in developing policy. </w:t>
      </w:r>
    </w:p>
    <w:p w14:paraId="3B720742" w14:textId="77777777" w:rsidR="006D3871" w:rsidRPr="00B33A72" w:rsidRDefault="006D3871" w:rsidP="006D3871">
      <w:pPr>
        <w:numPr>
          <w:ilvl w:val="0"/>
          <w:numId w:val="35"/>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Government and its scientific advisers should not act to undermine mutual trust. </w:t>
      </w:r>
    </w:p>
    <w:p w14:paraId="3B720743" w14:textId="706AD96C" w:rsidR="006D3871" w:rsidRPr="00B33A72" w:rsidRDefault="006D3871" w:rsidP="006D3871">
      <w:pPr>
        <w:numPr>
          <w:ilvl w:val="0"/>
          <w:numId w:val="35"/>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Chairs of </w:t>
      </w:r>
      <w:r w:rsidR="008C5B6A" w:rsidRPr="00B33A72">
        <w:rPr>
          <w:rFonts w:eastAsia="Arial Unicode MS" w:cs="Arial"/>
          <w:lang w:eastAsia="ja-JP"/>
        </w:rPr>
        <w:t xml:space="preserve">scientific advisory committees </w:t>
      </w:r>
      <w:r w:rsidRPr="00B33A72">
        <w:rPr>
          <w:rFonts w:eastAsia="Arial Unicode MS" w:cs="Arial"/>
          <w:lang w:eastAsia="ja-JP"/>
        </w:rPr>
        <w:t xml:space="preserve">and </w:t>
      </w:r>
      <w:r w:rsidR="008C5B6A" w:rsidRPr="00B33A72">
        <w:rPr>
          <w:rFonts w:eastAsia="Arial Unicode MS" w:cs="Arial"/>
          <w:lang w:eastAsia="ja-JP"/>
        </w:rPr>
        <w:t xml:space="preserve">councils </w:t>
      </w:r>
      <w:r w:rsidRPr="00B33A72">
        <w:rPr>
          <w:rFonts w:eastAsia="Arial Unicode MS" w:cs="Arial"/>
          <w:lang w:eastAsia="ja-JP"/>
        </w:rPr>
        <w:t xml:space="preserve">have a particular responsibility to maintain open lines of communication with their sponsor department and its </w:t>
      </w:r>
      <w:r w:rsidR="00F1189D" w:rsidRPr="00B33A72">
        <w:rPr>
          <w:rFonts w:eastAsia="Arial Unicode MS" w:cs="Arial"/>
          <w:lang w:eastAsia="ja-JP"/>
        </w:rPr>
        <w:t>ministers</w:t>
      </w:r>
      <w:r w:rsidRPr="00B33A72">
        <w:rPr>
          <w:rFonts w:eastAsia="Arial Unicode MS" w:cs="Arial"/>
          <w:lang w:eastAsia="ja-JP"/>
        </w:rPr>
        <w:t xml:space="preserve">. </w:t>
      </w:r>
    </w:p>
    <w:p w14:paraId="3B720744" w14:textId="77777777" w:rsidR="006D3871" w:rsidRPr="00B33A72" w:rsidRDefault="006D3871" w:rsidP="006D3871">
      <w:pPr>
        <w:shd w:val="clear" w:color="auto" w:fill="FFFFFF"/>
        <w:spacing w:before="100" w:beforeAutospacing="1" w:after="225"/>
        <w:outlineLvl w:val="0"/>
        <w:rPr>
          <w:rFonts w:eastAsia="Arial Unicode MS" w:cs="Arial"/>
          <w:b/>
          <w:lang w:eastAsia="ja-JP"/>
        </w:rPr>
      </w:pPr>
      <w:r w:rsidRPr="00B33A72">
        <w:rPr>
          <w:rFonts w:eastAsia="Arial Unicode MS" w:cs="Arial"/>
          <w:b/>
          <w:lang w:eastAsia="ja-JP"/>
        </w:rPr>
        <w:t>Independence</w:t>
      </w:r>
    </w:p>
    <w:p w14:paraId="3B720745" w14:textId="77777777" w:rsidR="006D3871" w:rsidRPr="00B33A72" w:rsidRDefault="006D3871" w:rsidP="006D3871">
      <w:pPr>
        <w:numPr>
          <w:ilvl w:val="0"/>
          <w:numId w:val="36"/>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should be free from political interference with their work. </w:t>
      </w:r>
    </w:p>
    <w:p w14:paraId="3B720746" w14:textId="77777777" w:rsidR="006D3871" w:rsidRPr="00B33A72" w:rsidRDefault="006D3871" w:rsidP="006D3871">
      <w:pPr>
        <w:numPr>
          <w:ilvl w:val="0"/>
          <w:numId w:val="36"/>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are free to publish and present their research. </w:t>
      </w:r>
    </w:p>
    <w:p w14:paraId="3B720747" w14:textId="546F6997" w:rsidR="006D3871" w:rsidRPr="00B33A72" w:rsidRDefault="006D3871" w:rsidP="006D3871">
      <w:pPr>
        <w:numPr>
          <w:ilvl w:val="0"/>
          <w:numId w:val="36"/>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are free to communicate publicly their advice to </w:t>
      </w:r>
      <w:r w:rsidR="00F1189D" w:rsidRPr="00B33A72">
        <w:rPr>
          <w:rFonts w:eastAsia="Arial Unicode MS" w:cs="Arial"/>
          <w:lang w:eastAsia="ja-JP"/>
        </w:rPr>
        <w:t>government</w:t>
      </w:r>
      <w:r w:rsidRPr="00B33A72">
        <w:rPr>
          <w:rFonts w:eastAsia="Arial Unicode MS" w:cs="Arial"/>
          <w:lang w:eastAsia="ja-JP"/>
        </w:rPr>
        <w:t xml:space="preserve">, subject to normal confidentiality restrictions, including when it appears to be inconsistent with </w:t>
      </w:r>
      <w:r w:rsidR="00F1189D" w:rsidRPr="00B33A72">
        <w:rPr>
          <w:rFonts w:eastAsia="Arial Unicode MS" w:cs="Arial"/>
          <w:lang w:eastAsia="ja-JP"/>
        </w:rPr>
        <w:t xml:space="preserve">government </w:t>
      </w:r>
      <w:r w:rsidRPr="00B33A72">
        <w:rPr>
          <w:rFonts w:eastAsia="Arial Unicode MS" w:cs="Arial"/>
          <w:lang w:eastAsia="ja-JP"/>
        </w:rPr>
        <w:t xml:space="preserve">policy. </w:t>
      </w:r>
    </w:p>
    <w:p w14:paraId="3B720748" w14:textId="5132BBA4" w:rsidR="006D3871" w:rsidRPr="00B33A72" w:rsidRDefault="006D3871" w:rsidP="006D3871">
      <w:pPr>
        <w:numPr>
          <w:ilvl w:val="0"/>
          <w:numId w:val="36"/>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have the right to engage with the media and public independently of the </w:t>
      </w:r>
      <w:r w:rsidR="00F1189D" w:rsidRPr="00B33A72">
        <w:rPr>
          <w:rFonts w:eastAsia="Arial Unicode MS" w:cs="Arial"/>
          <w:lang w:eastAsia="ja-JP"/>
        </w:rPr>
        <w:t xml:space="preserve">government </w:t>
      </w:r>
      <w:r w:rsidRPr="00B33A72">
        <w:rPr>
          <w:rFonts w:eastAsia="Arial Unicode MS" w:cs="Arial"/>
          <w:lang w:eastAsia="ja-JP"/>
        </w:rPr>
        <w:t xml:space="preserve">and should seek independent media advice on substantive pieces of work. </w:t>
      </w:r>
    </w:p>
    <w:p w14:paraId="3B720749" w14:textId="77777777" w:rsidR="006D3871" w:rsidRPr="00B33A72" w:rsidRDefault="006D3871" w:rsidP="006D3871">
      <w:pPr>
        <w:numPr>
          <w:ilvl w:val="0"/>
          <w:numId w:val="36"/>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advisers should make clear in what capacity they are communicating. </w:t>
      </w:r>
    </w:p>
    <w:p w14:paraId="3B72074A" w14:textId="77777777" w:rsidR="006D3871" w:rsidRPr="00B33A72" w:rsidRDefault="006D3871" w:rsidP="006D3871">
      <w:pPr>
        <w:shd w:val="clear" w:color="auto" w:fill="FFFFFF"/>
        <w:spacing w:before="100" w:beforeAutospacing="1" w:after="225"/>
        <w:outlineLvl w:val="0"/>
        <w:rPr>
          <w:rFonts w:eastAsia="Arial Unicode MS" w:cs="Arial"/>
          <w:b/>
          <w:lang w:eastAsia="ja-JP"/>
        </w:rPr>
      </w:pPr>
      <w:r w:rsidRPr="00B33A72">
        <w:rPr>
          <w:rFonts w:eastAsia="Arial Unicode MS" w:cs="Arial"/>
          <w:b/>
          <w:lang w:eastAsia="ja-JP"/>
        </w:rPr>
        <w:t>Transparency and openness</w:t>
      </w:r>
    </w:p>
    <w:p w14:paraId="3B72074B" w14:textId="22557119" w:rsidR="006D3871" w:rsidRPr="00B33A72" w:rsidRDefault="006D3871" w:rsidP="006D3871">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Scientific advice to </w:t>
      </w:r>
      <w:r w:rsidR="00F1189D" w:rsidRPr="00B33A72">
        <w:rPr>
          <w:rFonts w:eastAsia="Arial Unicode MS" w:cs="Arial"/>
          <w:lang w:eastAsia="ja-JP"/>
        </w:rPr>
        <w:t xml:space="preserve">government </w:t>
      </w:r>
      <w:r w:rsidRPr="00B33A72">
        <w:rPr>
          <w:rFonts w:eastAsia="Arial Unicode MS" w:cs="Arial"/>
          <w:lang w:eastAsia="ja-JP"/>
        </w:rPr>
        <w:t xml:space="preserve">should be made publicly available unless there are over-riding reasons, such as national security or the facilitation of a crime, for not doing so. </w:t>
      </w:r>
    </w:p>
    <w:p w14:paraId="3B72074C" w14:textId="77777777" w:rsidR="006D3871" w:rsidRPr="00B33A72" w:rsidRDefault="006D3871" w:rsidP="006D3871">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Any requirement for independent advisers to sign non-disclosure agreements, for example for reasons of national security, should be publicly acknowledged and regularly reviewed. </w:t>
      </w:r>
    </w:p>
    <w:p w14:paraId="3B72074D" w14:textId="42E0A2D9" w:rsidR="006D3871" w:rsidRPr="00B33A72" w:rsidRDefault="006D3871" w:rsidP="006D3871">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 xml:space="preserve">The timing of the publication of independent scientific advice is a matter for the advisory body but should be discussed with the </w:t>
      </w:r>
      <w:r w:rsidR="006B5D26" w:rsidRPr="00B33A72">
        <w:rPr>
          <w:rFonts w:eastAsia="Arial Unicode MS" w:cs="Arial"/>
          <w:lang w:eastAsia="ja-JP"/>
        </w:rPr>
        <w:t xml:space="preserve">government </w:t>
      </w:r>
      <w:r w:rsidRPr="00B33A72">
        <w:rPr>
          <w:rFonts w:eastAsia="Arial Unicode MS" w:cs="Arial"/>
          <w:lang w:eastAsia="ja-JP"/>
        </w:rPr>
        <w:t xml:space="preserve">beforehand. </w:t>
      </w:r>
    </w:p>
    <w:p w14:paraId="5619DC3D" w14:textId="7A1E8169" w:rsidR="006B5D26" w:rsidRPr="00B33A72" w:rsidRDefault="006B5D26" w:rsidP="006B5D26">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Government should not prejudge the advice of independent advisers, nor should it criticise advice or reject it before its publication</w:t>
      </w:r>
      <w:r w:rsidR="00687257" w:rsidRPr="00B33A72">
        <w:rPr>
          <w:rFonts w:eastAsia="Arial Unicode MS" w:cs="Arial"/>
          <w:lang w:eastAsia="ja-JP"/>
        </w:rPr>
        <w:t>.</w:t>
      </w:r>
    </w:p>
    <w:p w14:paraId="392302CD" w14:textId="37BEF103" w:rsidR="006B5D26" w:rsidRPr="00B33A72" w:rsidRDefault="00687257" w:rsidP="006B5D26">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lastRenderedPageBreak/>
        <w:t>T</w:t>
      </w:r>
      <w:r w:rsidR="006B5D26" w:rsidRPr="00B33A72">
        <w:rPr>
          <w:rFonts w:eastAsia="Arial Unicode MS" w:cs="Arial"/>
          <w:lang w:eastAsia="ja-JP"/>
        </w:rPr>
        <w:t>he timing of the government’s response to scientific advice should demonstrably allow for proper consideration of that advice</w:t>
      </w:r>
      <w:r w:rsidRPr="00B33A72">
        <w:rPr>
          <w:rFonts w:eastAsia="Arial Unicode MS" w:cs="Arial"/>
          <w:lang w:eastAsia="ja-JP"/>
        </w:rPr>
        <w:t>.</w:t>
      </w:r>
    </w:p>
    <w:p w14:paraId="0F2F48DE" w14:textId="247831AE" w:rsidR="006B5D26" w:rsidRPr="00B33A72" w:rsidRDefault="00687257" w:rsidP="006B5D26">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G</w:t>
      </w:r>
      <w:r w:rsidR="006B5D26" w:rsidRPr="00B33A72">
        <w:rPr>
          <w:rFonts w:eastAsia="Arial Unicode MS" w:cs="Arial"/>
          <w:lang w:eastAsia="ja-JP"/>
        </w:rPr>
        <w:t>overnment should publicly explain the reasons for policy decisions, particularly when the decision is not consistent with scientific advice and in doing so, should accurately represent the evidence</w:t>
      </w:r>
      <w:r w:rsidRPr="00B33A72">
        <w:rPr>
          <w:rFonts w:eastAsia="Arial Unicode MS" w:cs="Arial"/>
          <w:lang w:eastAsia="ja-JP"/>
        </w:rPr>
        <w:t>.</w:t>
      </w:r>
    </w:p>
    <w:p w14:paraId="3E1124B2" w14:textId="5FD48475" w:rsidR="006B5D26" w:rsidRPr="00B33A72" w:rsidRDefault="00687257" w:rsidP="006B5D26">
      <w:pPr>
        <w:numPr>
          <w:ilvl w:val="0"/>
          <w:numId w:val="37"/>
        </w:numPr>
        <w:shd w:val="clear" w:color="auto" w:fill="FFFFFF"/>
        <w:spacing w:before="100" w:beforeAutospacing="1" w:after="120"/>
        <w:rPr>
          <w:rFonts w:eastAsia="Arial Unicode MS" w:cs="Arial"/>
          <w:lang w:eastAsia="ja-JP"/>
        </w:rPr>
      </w:pPr>
      <w:r w:rsidRPr="00B33A72">
        <w:rPr>
          <w:rFonts w:eastAsia="Arial Unicode MS" w:cs="Arial"/>
          <w:lang w:eastAsia="ja-JP"/>
        </w:rPr>
        <w:t>I</w:t>
      </w:r>
      <w:r w:rsidR="006B5D26" w:rsidRPr="00B33A72">
        <w:rPr>
          <w:rFonts w:eastAsia="Arial Unicode MS" w:cs="Arial"/>
          <w:lang w:eastAsia="ja-JP"/>
        </w:rPr>
        <w:t>f government is minded not to accept the advice of a Scientific Advisory Committee or Council the relevant minister should normally meet with the chair to discuss the issue before a final decision is made, particularly on matters of significant public interest</w:t>
      </w:r>
      <w:r w:rsidRPr="00B33A72">
        <w:rPr>
          <w:rFonts w:eastAsia="Arial Unicode MS" w:cs="Arial"/>
          <w:lang w:eastAsia="ja-JP"/>
        </w:rPr>
        <w:t>.</w:t>
      </w:r>
    </w:p>
    <w:p w14:paraId="38337AD5" w14:textId="77777777" w:rsidR="00B65F20" w:rsidRPr="00B33A72" w:rsidRDefault="00B65F20" w:rsidP="00B33A72">
      <w:pPr>
        <w:shd w:val="clear" w:color="auto" w:fill="FFFFFF"/>
        <w:spacing w:before="100" w:beforeAutospacing="1" w:after="120"/>
        <w:rPr>
          <w:rFonts w:eastAsia="Arial Unicode MS" w:cs="Arial"/>
          <w:lang w:eastAsia="ja-JP"/>
        </w:rPr>
      </w:pPr>
    </w:p>
    <w:sectPr w:rsidR="00B65F20" w:rsidRPr="00B33A72" w:rsidSect="00B33A72">
      <w:footerReference w:type="default" r:id="rId12"/>
      <w:headerReference w:type="first" r:id="rId13"/>
      <w:footerReference w:type="first" r:id="rId14"/>
      <w:type w:val="continuous"/>
      <w:pgSz w:w="11906" w:h="16838" w:code="9"/>
      <w:pgMar w:top="1134" w:right="1134" w:bottom="1134" w:left="1588" w:header="43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C9DE" w14:textId="77777777" w:rsidR="00BD6E55" w:rsidRDefault="00BD6E55">
      <w:r>
        <w:separator/>
      </w:r>
    </w:p>
  </w:endnote>
  <w:endnote w:type="continuationSeparator" w:id="0">
    <w:p w14:paraId="7F7E0C36" w14:textId="77777777" w:rsidR="00BD6E55" w:rsidRDefault="00BD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755" w14:textId="77777777" w:rsidR="00442770" w:rsidRDefault="00442770" w:rsidP="00442770">
    <w:pPr>
      <w:pStyle w:val="Footer"/>
      <w:tabs>
        <w:tab w:val="clear" w:pos="4153"/>
        <w:tab w:val="clear" w:pos="8306"/>
        <w:tab w:val="right" w:pos="9214"/>
      </w:tabs>
      <w:jc w:val="center"/>
      <w:rPr>
        <w:color w:val="006D68"/>
        <w:sz w:val="14"/>
        <w:szCs w:val="14"/>
      </w:rPr>
    </w:pPr>
  </w:p>
  <w:p w14:paraId="3B720756" w14:textId="77777777" w:rsidR="00C8795D" w:rsidRDefault="002B1531" w:rsidP="00487A22">
    <w:pPr>
      <w:pStyle w:val="Footer"/>
      <w:tabs>
        <w:tab w:val="clear" w:pos="4153"/>
        <w:tab w:val="clear" w:pos="8306"/>
        <w:tab w:val="right" w:pos="9214"/>
      </w:tabs>
      <w:rPr>
        <w:color w:val="006D68"/>
        <w:sz w:val="14"/>
        <w:szCs w:val="14"/>
      </w:rPr>
    </w:pPr>
    <w:r w:rsidRPr="00487A22">
      <w:rPr>
        <w:color w:val="006D68"/>
        <w:sz w:val="14"/>
        <w:szCs w:val="14"/>
      </w:rPr>
      <w:t>Office for Nuclear Regulation</w:t>
    </w:r>
  </w:p>
  <w:p w14:paraId="3B720757" w14:textId="707C00E5" w:rsidR="000357FB" w:rsidRDefault="00866996" w:rsidP="00487A22">
    <w:pPr>
      <w:pStyle w:val="Footer"/>
      <w:tabs>
        <w:tab w:val="clear" w:pos="4153"/>
        <w:tab w:val="clear" w:pos="8306"/>
        <w:tab w:val="right" w:pos="9214"/>
      </w:tabs>
      <w:rPr>
        <w:color w:val="006D68"/>
        <w:sz w:val="14"/>
        <w:szCs w:val="14"/>
      </w:rPr>
    </w:pPr>
    <w:r>
      <w:rPr>
        <w:color w:val="006D68"/>
        <w:sz w:val="14"/>
        <w:szCs w:val="14"/>
      </w:rPr>
      <w:t>Chief Nuclear Inspector’s Independent Advisory Panel – Terms of Reference</w:t>
    </w:r>
  </w:p>
  <w:p w14:paraId="3B720758" w14:textId="5B390945" w:rsidR="002B1531" w:rsidRPr="00487A22" w:rsidRDefault="00866996" w:rsidP="00487A22">
    <w:pPr>
      <w:pStyle w:val="Footer"/>
      <w:tabs>
        <w:tab w:val="clear" w:pos="4153"/>
        <w:tab w:val="clear" w:pos="8306"/>
        <w:tab w:val="right" w:pos="9214"/>
      </w:tabs>
      <w:rPr>
        <w:b/>
        <w:color w:val="006D68"/>
        <w:sz w:val="14"/>
        <w:szCs w:val="14"/>
      </w:rPr>
    </w:pPr>
    <w:r>
      <w:rPr>
        <w:color w:val="006D68"/>
        <w:sz w:val="14"/>
        <w:szCs w:val="14"/>
      </w:rPr>
      <w:t>S</w:t>
    </w:r>
    <w:r w:rsidR="00F663FA">
      <w:rPr>
        <w:color w:val="006D68"/>
        <w:sz w:val="14"/>
        <w:szCs w:val="14"/>
      </w:rPr>
      <w:t xml:space="preserve">ecretary </w:t>
    </w:r>
    <w:r>
      <w:rPr>
        <w:color w:val="006D68"/>
        <w:sz w:val="14"/>
        <w:szCs w:val="14"/>
      </w:rPr>
      <w:t>CM9</w:t>
    </w:r>
    <w:r w:rsidR="00F663FA">
      <w:rPr>
        <w:color w:val="006D68"/>
        <w:sz w:val="14"/>
        <w:szCs w:val="14"/>
      </w:rPr>
      <w:t xml:space="preserve"> Ref</w:t>
    </w:r>
    <w:r>
      <w:rPr>
        <w:color w:val="006D68"/>
        <w:sz w:val="14"/>
        <w:szCs w:val="14"/>
      </w:rPr>
      <w:t>erence</w:t>
    </w:r>
    <w:r w:rsidR="00F663FA">
      <w:rPr>
        <w:color w:val="006D68"/>
        <w:sz w:val="14"/>
        <w:szCs w:val="14"/>
      </w:rPr>
      <w:t xml:space="preserve">: 2016/471644        </w:t>
    </w:r>
    <w:r w:rsidR="00F663FA">
      <w:rPr>
        <w:color w:val="006D68"/>
        <w:sz w:val="14"/>
        <w:szCs w:val="14"/>
      </w:rPr>
      <w:tab/>
    </w:r>
    <w:r w:rsidR="00F663FA" w:rsidRPr="00487A22">
      <w:rPr>
        <w:b/>
        <w:color w:val="006D68"/>
        <w:sz w:val="14"/>
        <w:szCs w:val="14"/>
      </w:rPr>
      <w:t xml:space="preserve">Page </w:t>
    </w:r>
    <w:r w:rsidR="00F663FA" w:rsidRPr="00487A22">
      <w:rPr>
        <w:b/>
        <w:color w:val="006D68"/>
        <w:sz w:val="14"/>
        <w:szCs w:val="14"/>
      </w:rPr>
      <w:fldChar w:fldCharType="begin"/>
    </w:r>
    <w:r w:rsidR="00F663FA" w:rsidRPr="00487A22">
      <w:rPr>
        <w:b/>
        <w:color w:val="006D68"/>
        <w:sz w:val="14"/>
        <w:szCs w:val="14"/>
      </w:rPr>
      <w:instrText xml:space="preserve"> PAGE </w:instrText>
    </w:r>
    <w:r w:rsidR="00F663FA" w:rsidRPr="00487A22">
      <w:rPr>
        <w:b/>
        <w:color w:val="006D68"/>
        <w:sz w:val="14"/>
        <w:szCs w:val="14"/>
      </w:rPr>
      <w:fldChar w:fldCharType="separate"/>
    </w:r>
    <w:r w:rsidR="00473A29">
      <w:rPr>
        <w:b/>
        <w:noProof/>
        <w:color w:val="006D68"/>
        <w:sz w:val="14"/>
        <w:szCs w:val="14"/>
      </w:rPr>
      <w:t>2</w:t>
    </w:r>
    <w:r w:rsidR="00F663FA" w:rsidRPr="00487A22">
      <w:rPr>
        <w:b/>
        <w:color w:val="006D68"/>
        <w:sz w:val="14"/>
        <w:szCs w:val="14"/>
      </w:rPr>
      <w:fldChar w:fldCharType="end"/>
    </w:r>
    <w:r w:rsidR="00F663FA" w:rsidRPr="00487A22">
      <w:rPr>
        <w:b/>
        <w:color w:val="006D68"/>
        <w:sz w:val="14"/>
        <w:szCs w:val="14"/>
      </w:rPr>
      <w:t xml:space="preserve"> of </w:t>
    </w:r>
    <w:r w:rsidR="00F663FA" w:rsidRPr="00487A22">
      <w:rPr>
        <w:b/>
        <w:color w:val="006D68"/>
        <w:sz w:val="14"/>
        <w:szCs w:val="14"/>
      </w:rPr>
      <w:fldChar w:fldCharType="begin"/>
    </w:r>
    <w:r w:rsidR="00F663FA" w:rsidRPr="00487A22">
      <w:rPr>
        <w:b/>
        <w:color w:val="006D68"/>
        <w:sz w:val="14"/>
        <w:szCs w:val="14"/>
      </w:rPr>
      <w:instrText xml:space="preserve"> NUMPAGES </w:instrText>
    </w:r>
    <w:r w:rsidR="00F663FA" w:rsidRPr="00487A22">
      <w:rPr>
        <w:b/>
        <w:color w:val="006D68"/>
        <w:sz w:val="14"/>
        <w:szCs w:val="14"/>
      </w:rPr>
      <w:fldChar w:fldCharType="separate"/>
    </w:r>
    <w:r w:rsidR="00473A29">
      <w:rPr>
        <w:b/>
        <w:noProof/>
        <w:color w:val="006D68"/>
        <w:sz w:val="14"/>
        <w:szCs w:val="14"/>
      </w:rPr>
      <w:t>4</w:t>
    </w:r>
    <w:r w:rsidR="00F663FA"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75B" w14:textId="77777777" w:rsidR="00442770" w:rsidRDefault="00442770" w:rsidP="00442770">
    <w:pPr>
      <w:pStyle w:val="Footer"/>
      <w:tabs>
        <w:tab w:val="clear" w:pos="4153"/>
        <w:tab w:val="clear" w:pos="8306"/>
        <w:tab w:val="right" w:pos="9214"/>
      </w:tabs>
      <w:jc w:val="center"/>
      <w:rPr>
        <w:color w:val="006D68"/>
        <w:sz w:val="14"/>
        <w:szCs w:val="14"/>
      </w:rPr>
    </w:pPr>
  </w:p>
  <w:p w14:paraId="3B72075C" w14:textId="77777777" w:rsidR="00790DA1" w:rsidRDefault="00790DA1" w:rsidP="00790DA1">
    <w:pPr>
      <w:pStyle w:val="Footer"/>
      <w:tabs>
        <w:tab w:val="clear" w:pos="4153"/>
        <w:tab w:val="clear" w:pos="8306"/>
        <w:tab w:val="right" w:pos="9214"/>
      </w:tabs>
      <w:rPr>
        <w:color w:val="006D68"/>
        <w:sz w:val="14"/>
        <w:szCs w:val="14"/>
      </w:rPr>
    </w:pPr>
    <w:r w:rsidRPr="00487A22">
      <w:rPr>
        <w:color w:val="006D68"/>
        <w:sz w:val="14"/>
        <w:szCs w:val="14"/>
      </w:rPr>
      <w:t>Office for Nuclear Regulation</w:t>
    </w:r>
  </w:p>
  <w:p w14:paraId="3B72075D" w14:textId="77777777" w:rsidR="00790DA1" w:rsidRDefault="00385DB6" w:rsidP="00790DA1">
    <w:pPr>
      <w:pStyle w:val="Footer"/>
      <w:tabs>
        <w:tab w:val="clear" w:pos="4153"/>
        <w:tab w:val="clear" w:pos="8306"/>
        <w:tab w:val="right" w:pos="9214"/>
      </w:tabs>
      <w:rPr>
        <w:color w:val="006D68"/>
        <w:sz w:val="14"/>
        <w:szCs w:val="14"/>
      </w:rPr>
    </w:pPr>
    <w:r>
      <w:rPr>
        <w:color w:val="006D68"/>
        <w:sz w:val="14"/>
        <w:szCs w:val="14"/>
      </w:rPr>
      <w:t xml:space="preserve">CNI IAP </w:t>
    </w:r>
    <w:r w:rsidR="00790DA1">
      <w:rPr>
        <w:color w:val="006D68"/>
        <w:sz w:val="14"/>
        <w:szCs w:val="14"/>
      </w:rPr>
      <w:t xml:space="preserve">Terms of Reference </w:t>
    </w:r>
    <w:r>
      <w:rPr>
        <w:color w:val="006D68"/>
        <w:sz w:val="14"/>
        <w:szCs w:val="14"/>
      </w:rPr>
      <w:t>Revision 2</w:t>
    </w:r>
  </w:p>
  <w:p w14:paraId="3B72075E" w14:textId="77777777" w:rsidR="002B1531" w:rsidRPr="00B56CCE" w:rsidRDefault="00385DB6" w:rsidP="00385DB6">
    <w:pPr>
      <w:pStyle w:val="Footer"/>
      <w:tabs>
        <w:tab w:val="clear" w:pos="4153"/>
        <w:tab w:val="clear" w:pos="8306"/>
        <w:tab w:val="left" w:pos="2430"/>
        <w:tab w:val="right" w:pos="9214"/>
      </w:tabs>
      <w:rPr>
        <w:b/>
        <w:color w:val="006D68"/>
        <w:sz w:val="14"/>
        <w:szCs w:val="14"/>
      </w:rPr>
    </w:pPr>
    <w:r>
      <w:rPr>
        <w:color w:val="006D68"/>
        <w:sz w:val="14"/>
        <w:szCs w:val="14"/>
      </w:rPr>
      <w:t>TRIM Ref:</w:t>
    </w:r>
    <w:r w:rsidRPr="00385DB6">
      <w:rPr>
        <w:color w:val="006D68"/>
        <w:sz w:val="14"/>
        <w:szCs w:val="14"/>
      </w:rPr>
      <w:t xml:space="preserve"> 2016/471644</w:t>
    </w:r>
    <w:r w:rsidR="002B1531" w:rsidRPr="00B56CCE">
      <w:rPr>
        <w:color w:val="006D68"/>
        <w:sz w:val="14"/>
        <w:szCs w:val="14"/>
      </w:rPr>
      <w:tab/>
    </w:r>
    <w:r>
      <w:rPr>
        <w:color w:val="006D68"/>
        <w:sz w:val="14"/>
        <w:szCs w:val="14"/>
      </w:rPr>
      <w:tab/>
    </w:r>
    <w:r w:rsidR="002B1531" w:rsidRPr="00B56CCE">
      <w:rPr>
        <w:b/>
        <w:color w:val="006D68"/>
        <w:sz w:val="14"/>
        <w:szCs w:val="14"/>
      </w:rPr>
      <w:t xml:space="preserve">Page </w:t>
    </w:r>
    <w:r w:rsidR="002B1531" w:rsidRPr="00B56CCE">
      <w:rPr>
        <w:b/>
        <w:color w:val="006D68"/>
        <w:sz w:val="14"/>
        <w:szCs w:val="14"/>
      </w:rPr>
      <w:fldChar w:fldCharType="begin"/>
    </w:r>
    <w:r w:rsidR="002B1531" w:rsidRPr="00B56CCE">
      <w:rPr>
        <w:b/>
        <w:color w:val="006D68"/>
        <w:sz w:val="14"/>
        <w:szCs w:val="14"/>
      </w:rPr>
      <w:instrText xml:space="preserve"> PAGE </w:instrText>
    </w:r>
    <w:r w:rsidR="002B1531" w:rsidRPr="00B56CCE">
      <w:rPr>
        <w:b/>
        <w:color w:val="006D68"/>
        <w:sz w:val="14"/>
        <w:szCs w:val="14"/>
      </w:rPr>
      <w:fldChar w:fldCharType="separate"/>
    </w:r>
    <w:r w:rsidR="00473A29">
      <w:rPr>
        <w:b/>
        <w:noProof/>
        <w:color w:val="006D68"/>
        <w:sz w:val="14"/>
        <w:szCs w:val="14"/>
      </w:rPr>
      <w:t>1</w:t>
    </w:r>
    <w:r w:rsidR="002B1531" w:rsidRPr="00B56CCE">
      <w:rPr>
        <w:b/>
        <w:color w:val="006D68"/>
        <w:sz w:val="14"/>
        <w:szCs w:val="14"/>
      </w:rPr>
      <w:fldChar w:fldCharType="end"/>
    </w:r>
    <w:r w:rsidR="002B1531" w:rsidRPr="00B56CCE">
      <w:rPr>
        <w:b/>
        <w:color w:val="006D68"/>
        <w:sz w:val="14"/>
        <w:szCs w:val="14"/>
      </w:rPr>
      <w:t xml:space="preserve"> of </w:t>
    </w:r>
    <w:r w:rsidR="002B1531" w:rsidRPr="00B56CCE">
      <w:rPr>
        <w:b/>
        <w:color w:val="006D68"/>
        <w:sz w:val="14"/>
        <w:szCs w:val="14"/>
      </w:rPr>
      <w:fldChar w:fldCharType="begin"/>
    </w:r>
    <w:r w:rsidR="002B1531" w:rsidRPr="00B56CCE">
      <w:rPr>
        <w:b/>
        <w:color w:val="006D68"/>
        <w:sz w:val="14"/>
        <w:szCs w:val="14"/>
      </w:rPr>
      <w:instrText xml:space="preserve"> NUMPAGES </w:instrText>
    </w:r>
    <w:r w:rsidR="002B1531" w:rsidRPr="00B56CCE">
      <w:rPr>
        <w:b/>
        <w:color w:val="006D68"/>
        <w:sz w:val="14"/>
        <w:szCs w:val="14"/>
      </w:rPr>
      <w:fldChar w:fldCharType="separate"/>
    </w:r>
    <w:r w:rsidR="00473A29">
      <w:rPr>
        <w:b/>
        <w:noProof/>
        <w:color w:val="006D68"/>
        <w:sz w:val="14"/>
        <w:szCs w:val="14"/>
      </w:rPr>
      <w:t>1</w:t>
    </w:r>
    <w:r w:rsidR="002B1531"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F935" w14:textId="77777777" w:rsidR="00BD6E55" w:rsidRDefault="00BD6E55">
      <w:r>
        <w:separator/>
      </w:r>
    </w:p>
  </w:footnote>
  <w:footnote w:type="continuationSeparator" w:id="0">
    <w:p w14:paraId="7F39EAD5" w14:textId="77777777" w:rsidR="00BD6E55" w:rsidRDefault="00BD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759" w14:textId="77777777" w:rsidR="00272FB0" w:rsidRPr="002B1531" w:rsidRDefault="00502CF1" w:rsidP="006C01AC">
    <w:pPr>
      <w:pStyle w:val="Header"/>
      <w:rPr>
        <w:b/>
        <w:color w:val="000000"/>
      </w:rPr>
    </w:pPr>
    <w:r>
      <w:rPr>
        <w:noProof/>
        <w:lang w:eastAsia="en-GB"/>
      </w:rPr>
      <w:drawing>
        <wp:anchor distT="288290" distB="0" distL="288290" distR="114300" simplePos="0" relativeHeight="251657216" behindDoc="0" locked="0" layoutInCell="1" allowOverlap="0" wp14:anchorId="3B72075F" wp14:editId="3B720760">
          <wp:simplePos x="0" y="0"/>
          <wp:positionH relativeFrom="page">
            <wp:posOffset>231140</wp:posOffset>
          </wp:positionH>
          <wp:positionV relativeFrom="page">
            <wp:posOffset>280670</wp:posOffset>
          </wp:positionV>
          <wp:extent cx="6572250" cy="61912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r w:rsidR="002B1531">
      <w:rPr>
        <w:b/>
        <w:color w:val="006D68"/>
        <w:sz w:val="14"/>
        <w:szCs w:val="14"/>
      </w:rPr>
      <w:t>Title of publication</w:t>
    </w:r>
    <w:r w:rsidR="00272FB0" w:rsidRPr="00272FB0">
      <w:rPr>
        <w:b/>
        <w:color w:val="000000"/>
      </w:rPr>
      <w:t xml:space="preserve"> </w:t>
    </w:r>
  </w:p>
  <w:p w14:paraId="3B72075A" w14:textId="77777777" w:rsidR="002B1531" w:rsidRPr="00D55197" w:rsidRDefault="002B1531">
    <w:pPr>
      <w:pStyle w:val="Head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30CC8"/>
    <w:multiLevelType w:val="hybridMultilevel"/>
    <w:tmpl w:val="E92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E7208"/>
    <w:multiLevelType w:val="hybridMultilevel"/>
    <w:tmpl w:val="BE204B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437E41"/>
    <w:multiLevelType w:val="hybridMultilevel"/>
    <w:tmpl w:val="C122D25E"/>
    <w:lvl w:ilvl="0" w:tplc="DD42F09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313EF"/>
    <w:multiLevelType w:val="hybridMultilevel"/>
    <w:tmpl w:val="5B7A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19AD"/>
    <w:multiLevelType w:val="multilevel"/>
    <w:tmpl w:val="210C11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43C49AD"/>
    <w:multiLevelType w:val="hybridMultilevel"/>
    <w:tmpl w:val="497ED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00064"/>
    <w:multiLevelType w:val="hybridMultilevel"/>
    <w:tmpl w:val="6B4C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D2A05"/>
    <w:multiLevelType w:val="hybridMultilevel"/>
    <w:tmpl w:val="66F4FD3E"/>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95353"/>
    <w:multiLevelType w:val="hybridMultilevel"/>
    <w:tmpl w:val="C92C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3" w15:restartNumberingAfterBreak="0">
    <w:nsid w:val="2B9A7724"/>
    <w:multiLevelType w:val="hybridMultilevel"/>
    <w:tmpl w:val="C9AE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52C44"/>
    <w:multiLevelType w:val="hybridMultilevel"/>
    <w:tmpl w:val="BE0E8F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6"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7" w15:restartNumberingAfterBreak="0">
    <w:nsid w:val="3DE075C6"/>
    <w:multiLevelType w:val="hybridMultilevel"/>
    <w:tmpl w:val="132E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E094E"/>
    <w:multiLevelType w:val="hybridMultilevel"/>
    <w:tmpl w:val="5AA0F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D1EA3"/>
    <w:multiLevelType w:val="hybridMultilevel"/>
    <w:tmpl w:val="23EA3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15109"/>
    <w:multiLevelType w:val="hybridMultilevel"/>
    <w:tmpl w:val="3A9E1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20D01"/>
    <w:multiLevelType w:val="hybridMultilevel"/>
    <w:tmpl w:val="05F839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5CD1770A"/>
    <w:multiLevelType w:val="hybridMultilevel"/>
    <w:tmpl w:val="2D3E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569DA"/>
    <w:multiLevelType w:val="hybridMultilevel"/>
    <w:tmpl w:val="55843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8329B"/>
    <w:multiLevelType w:val="hybridMultilevel"/>
    <w:tmpl w:val="3F8A1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E5DE2"/>
    <w:multiLevelType w:val="hybridMultilevel"/>
    <w:tmpl w:val="FB0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8" w15:restartNumberingAfterBreak="0">
    <w:nsid w:val="706B0A2C"/>
    <w:multiLevelType w:val="hybridMultilevel"/>
    <w:tmpl w:val="E96A0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568C3"/>
    <w:multiLevelType w:val="hybridMultilevel"/>
    <w:tmpl w:val="775A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D2A21"/>
    <w:multiLevelType w:val="hybridMultilevel"/>
    <w:tmpl w:val="BE0E8F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055E55"/>
    <w:multiLevelType w:val="multilevel"/>
    <w:tmpl w:val="5048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CA70A0"/>
    <w:multiLevelType w:val="multilevel"/>
    <w:tmpl w:val="0A1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9C6001"/>
    <w:multiLevelType w:val="multilevel"/>
    <w:tmpl w:val="89C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480218">
    <w:abstractNumId w:val="12"/>
  </w:num>
  <w:num w:numId="2" w16cid:durableId="1432973862">
    <w:abstractNumId w:val="32"/>
  </w:num>
  <w:num w:numId="3" w16cid:durableId="479493689">
    <w:abstractNumId w:val="16"/>
  </w:num>
  <w:num w:numId="4" w16cid:durableId="51394254">
    <w:abstractNumId w:val="0"/>
  </w:num>
  <w:num w:numId="5" w16cid:durableId="110368975">
    <w:abstractNumId w:val="15"/>
  </w:num>
  <w:num w:numId="6" w16cid:durableId="360012832">
    <w:abstractNumId w:val="30"/>
  </w:num>
  <w:num w:numId="7" w16cid:durableId="177700616">
    <w:abstractNumId w:val="27"/>
  </w:num>
  <w:num w:numId="8" w16cid:durableId="192576218">
    <w:abstractNumId w:val="22"/>
  </w:num>
  <w:num w:numId="9" w16cid:durableId="1432310758">
    <w:abstractNumId w:val="31"/>
  </w:num>
  <w:num w:numId="10" w16cid:durableId="248776824">
    <w:abstractNumId w:val="1"/>
  </w:num>
  <w:num w:numId="11" w16cid:durableId="2076706864">
    <w:abstractNumId w:val="6"/>
  </w:num>
  <w:num w:numId="12" w16cid:durableId="1131943821">
    <w:abstractNumId w:val="26"/>
  </w:num>
  <w:num w:numId="13" w16cid:durableId="2020807857">
    <w:abstractNumId w:val="5"/>
  </w:num>
  <w:num w:numId="14" w16cid:durableId="277613045">
    <w:abstractNumId w:val="9"/>
  </w:num>
  <w:num w:numId="15" w16cid:durableId="711417428">
    <w:abstractNumId w:val="11"/>
  </w:num>
  <w:num w:numId="16" w16cid:durableId="1790857221">
    <w:abstractNumId w:val="13"/>
  </w:num>
  <w:num w:numId="17" w16cid:durableId="814033802">
    <w:abstractNumId w:val="23"/>
  </w:num>
  <w:num w:numId="18" w16cid:durableId="261032911">
    <w:abstractNumId w:val="17"/>
  </w:num>
  <w:num w:numId="19" w16cid:durableId="1876690816">
    <w:abstractNumId w:val="2"/>
  </w:num>
  <w:num w:numId="20" w16cid:durableId="1138109387">
    <w:abstractNumId w:val="7"/>
  </w:num>
  <w:num w:numId="21" w16cid:durableId="773283955">
    <w:abstractNumId w:val="29"/>
  </w:num>
  <w:num w:numId="22" w16cid:durableId="1654870177">
    <w:abstractNumId w:val="10"/>
  </w:num>
  <w:num w:numId="23" w16cid:durableId="1535460885">
    <w:abstractNumId w:val="4"/>
  </w:num>
  <w:num w:numId="24" w16cid:durableId="755128645">
    <w:abstractNumId w:val="19"/>
  </w:num>
  <w:num w:numId="25" w16cid:durableId="1168642370">
    <w:abstractNumId w:val="18"/>
  </w:num>
  <w:num w:numId="26" w16cid:durableId="1466239464">
    <w:abstractNumId w:val="25"/>
  </w:num>
  <w:num w:numId="27" w16cid:durableId="1920555899">
    <w:abstractNumId w:val="14"/>
  </w:num>
  <w:num w:numId="28" w16cid:durableId="1022168052">
    <w:abstractNumId w:val="33"/>
  </w:num>
  <w:num w:numId="29" w16cid:durableId="1885631022">
    <w:abstractNumId w:val="21"/>
  </w:num>
  <w:num w:numId="30" w16cid:durableId="403527417">
    <w:abstractNumId w:val="3"/>
  </w:num>
  <w:num w:numId="31" w16cid:durableId="217402238">
    <w:abstractNumId w:val="28"/>
  </w:num>
  <w:num w:numId="32" w16cid:durableId="803743225">
    <w:abstractNumId w:val="24"/>
  </w:num>
  <w:num w:numId="33" w16cid:durableId="1984461575">
    <w:abstractNumId w:val="20"/>
  </w:num>
  <w:num w:numId="34" w16cid:durableId="499736669">
    <w:abstractNumId w:val="8"/>
  </w:num>
  <w:num w:numId="35" w16cid:durableId="746733491">
    <w:abstractNumId w:val="34"/>
  </w:num>
  <w:num w:numId="36" w16cid:durableId="1700618988">
    <w:abstractNumId w:val="36"/>
  </w:num>
  <w:num w:numId="37" w16cid:durableId="5152662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37BB"/>
    <w:rsid w:val="00004C2B"/>
    <w:rsid w:val="0001345A"/>
    <w:rsid w:val="00013FB9"/>
    <w:rsid w:val="00023B19"/>
    <w:rsid w:val="00027833"/>
    <w:rsid w:val="00030D3C"/>
    <w:rsid w:val="000311E6"/>
    <w:rsid w:val="000357FB"/>
    <w:rsid w:val="00041D22"/>
    <w:rsid w:val="00046022"/>
    <w:rsid w:val="00056DC6"/>
    <w:rsid w:val="00067682"/>
    <w:rsid w:val="000715BD"/>
    <w:rsid w:val="00096F71"/>
    <w:rsid w:val="000A562F"/>
    <w:rsid w:val="000B3F41"/>
    <w:rsid w:val="000B4E40"/>
    <w:rsid w:val="000C4BEA"/>
    <w:rsid w:val="000D2CDD"/>
    <w:rsid w:val="000D6244"/>
    <w:rsid w:val="000E47D7"/>
    <w:rsid w:val="000F5B54"/>
    <w:rsid w:val="000F78F3"/>
    <w:rsid w:val="00101879"/>
    <w:rsid w:val="00102E4E"/>
    <w:rsid w:val="00104744"/>
    <w:rsid w:val="001101C0"/>
    <w:rsid w:val="001108C7"/>
    <w:rsid w:val="00115CBF"/>
    <w:rsid w:val="00115F1F"/>
    <w:rsid w:val="00116127"/>
    <w:rsid w:val="001200EB"/>
    <w:rsid w:val="00121278"/>
    <w:rsid w:val="00121C8F"/>
    <w:rsid w:val="00131ECC"/>
    <w:rsid w:val="00133326"/>
    <w:rsid w:val="00157694"/>
    <w:rsid w:val="00164622"/>
    <w:rsid w:val="00164881"/>
    <w:rsid w:val="00164F4F"/>
    <w:rsid w:val="00170A41"/>
    <w:rsid w:val="00182A69"/>
    <w:rsid w:val="00197462"/>
    <w:rsid w:val="001A5C69"/>
    <w:rsid w:val="001B2A78"/>
    <w:rsid w:val="001B4CDE"/>
    <w:rsid w:val="001C0860"/>
    <w:rsid w:val="001C0BE5"/>
    <w:rsid w:val="001C341C"/>
    <w:rsid w:val="001C3DB8"/>
    <w:rsid w:val="001C5666"/>
    <w:rsid w:val="001C73BF"/>
    <w:rsid w:val="001D2C4B"/>
    <w:rsid w:val="001D3ABC"/>
    <w:rsid w:val="001D455A"/>
    <w:rsid w:val="001D49C7"/>
    <w:rsid w:val="001E2067"/>
    <w:rsid w:val="00200CB7"/>
    <w:rsid w:val="0021074A"/>
    <w:rsid w:val="00216018"/>
    <w:rsid w:val="0023128F"/>
    <w:rsid w:val="00231BDD"/>
    <w:rsid w:val="002321DF"/>
    <w:rsid w:val="00234092"/>
    <w:rsid w:val="00240B2B"/>
    <w:rsid w:val="002451F6"/>
    <w:rsid w:val="00254524"/>
    <w:rsid w:val="00256A5C"/>
    <w:rsid w:val="002577BC"/>
    <w:rsid w:val="00272FB0"/>
    <w:rsid w:val="0027539D"/>
    <w:rsid w:val="0028356A"/>
    <w:rsid w:val="00293971"/>
    <w:rsid w:val="00293990"/>
    <w:rsid w:val="00297401"/>
    <w:rsid w:val="002B1531"/>
    <w:rsid w:val="002B474D"/>
    <w:rsid w:val="002B64B4"/>
    <w:rsid w:val="002C3437"/>
    <w:rsid w:val="002C4F98"/>
    <w:rsid w:val="002D7C40"/>
    <w:rsid w:val="002E39B1"/>
    <w:rsid w:val="002E6D3E"/>
    <w:rsid w:val="002F25D2"/>
    <w:rsid w:val="002F4AFE"/>
    <w:rsid w:val="00313D33"/>
    <w:rsid w:val="0031706E"/>
    <w:rsid w:val="00327C3F"/>
    <w:rsid w:val="0033262F"/>
    <w:rsid w:val="00340360"/>
    <w:rsid w:val="00353079"/>
    <w:rsid w:val="00357A50"/>
    <w:rsid w:val="00381528"/>
    <w:rsid w:val="0038273A"/>
    <w:rsid w:val="00382DA4"/>
    <w:rsid w:val="00385DB6"/>
    <w:rsid w:val="00394527"/>
    <w:rsid w:val="003961FB"/>
    <w:rsid w:val="003A7FA0"/>
    <w:rsid w:val="003C62F5"/>
    <w:rsid w:val="003C7973"/>
    <w:rsid w:val="003C7AF5"/>
    <w:rsid w:val="003D005E"/>
    <w:rsid w:val="003D6C2F"/>
    <w:rsid w:val="003E0A04"/>
    <w:rsid w:val="003E30D9"/>
    <w:rsid w:val="003E4293"/>
    <w:rsid w:val="003E66DF"/>
    <w:rsid w:val="00402E83"/>
    <w:rsid w:val="004063B1"/>
    <w:rsid w:val="00406413"/>
    <w:rsid w:val="00421A00"/>
    <w:rsid w:val="00431910"/>
    <w:rsid w:val="004327BD"/>
    <w:rsid w:val="00433F0C"/>
    <w:rsid w:val="00442770"/>
    <w:rsid w:val="00445B46"/>
    <w:rsid w:val="00446AB9"/>
    <w:rsid w:val="0046028E"/>
    <w:rsid w:val="00462947"/>
    <w:rsid w:val="00470C81"/>
    <w:rsid w:val="00473A29"/>
    <w:rsid w:val="00474C52"/>
    <w:rsid w:val="00480B1A"/>
    <w:rsid w:val="00486AB2"/>
    <w:rsid w:val="00487A22"/>
    <w:rsid w:val="00493F20"/>
    <w:rsid w:val="004947D9"/>
    <w:rsid w:val="0049738A"/>
    <w:rsid w:val="00497B59"/>
    <w:rsid w:val="004A1D5E"/>
    <w:rsid w:val="004A232B"/>
    <w:rsid w:val="004A3684"/>
    <w:rsid w:val="004B4C80"/>
    <w:rsid w:val="004D22D0"/>
    <w:rsid w:val="004D5DB0"/>
    <w:rsid w:val="004E49F9"/>
    <w:rsid w:val="004F24BC"/>
    <w:rsid w:val="004F52AC"/>
    <w:rsid w:val="004F6605"/>
    <w:rsid w:val="004F7E00"/>
    <w:rsid w:val="00502CF1"/>
    <w:rsid w:val="005108C1"/>
    <w:rsid w:val="00524B37"/>
    <w:rsid w:val="00526418"/>
    <w:rsid w:val="005322E6"/>
    <w:rsid w:val="00532728"/>
    <w:rsid w:val="00534642"/>
    <w:rsid w:val="00535AE7"/>
    <w:rsid w:val="00562F2F"/>
    <w:rsid w:val="005631D4"/>
    <w:rsid w:val="0056787C"/>
    <w:rsid w:val="00570616"/>
    <w:rsid w:val="00573A1D"/>
    <w:rsid w:val="00574A64"/>
    <w:rsid w:val="0058008B"/>
    <w:rsid w:val="005842F1"/>
    <w:rsid w:val="005963D9"/>
    <w:rsid w:val="0059686B"/>
    <w:rsid w:val="00597202"/>
    <w:rsid w:val="005A1570"/>
    <w:rsid w:val="005A2FBD"/>
    <w:rsid w:val="005A4F7B"/>
    <w:rsid w:val="005A50C3"/>
    <w:rsid w:val="005A5A87"/>
    <w:rsid w:val="005B3487"/>
    <w:rsid w:val="005B3DE5"/>
    <w:rsid w:val="005C141A"/>
    <w:rsid w:val="005C4CC2"/>
    <w:rsid w:val="005E02C0"/>
    <w:rsid w:val="005E0D88"/>
    <w:rsid w:val="006026A0"/>
    <w:rsid w:val="0061233E"/>
    <w:rsid w:val="00621ABA"/>
    <w:rsid w:val="00624298"/>
    <w:rsid w:val="00636EA7"/>
    <w:rsid w:val="0067095D"/>
    <w:rsid w:val="00687257"/>
    <w:rsid w:val="00690006"/>
    <w:rsid w:val="00696C36"/>
    <w:rsid w:val="00697D47"/>
    <w:rsid w:val="006B2DA6"/>
    <w:rsid w:val="006B5D26"/>
    <w:rsid w:val="006C01AC"/>
    <w:rsid w:val="006C08E9"/>
    <w:rsid w:val="006C5022"/>
    <w:rsid w:val="006D2A68"/>
    <w:rsid w:val="006D3871"/>
    <w:rsid w:val="006D3B4C"/>
    <w:rsid w:val="006D4BDB"/>
    <w:rsid w:val="006D4C8F"/>
    <w:rsid w:val="006E3EAB"/>
    <w:rsid w:val="006E6D55"/>
    <w:rsid w:val="006E7F57"/>
    <w:rsid w:val="006F0476"/>
    <w:rsid w:val="006F1199"/>
    <w:rsid w:val="007000E1"/>
    <w:rsid w:val="00701B3D"/>
    <w:rsid w:val="0071005A"/>
    <w:rsid w:val="00723BBA"/>
    <w:rsid w:val="007319AB"/>
    <w:rsid w:val="00737598"/>
    <w:rsid w:val="0074108D"/>
    <w:rsid w:val="00741409"/>
    <w:rsid w:val="00744C27"/>
    <w:rsid w:val="00744EB2"/>
    <w:rsid w:val="00752849"/>
    <w:rsid w:val="0075350F"/>
    <w:rsid w:val="00762CF1"/>
    <w:rsid w:val="007675B5"/>
    <w:rsid w:val="00790DA1"/>
    <w:rsid w:val="007A335F"/>
    <w:rsid w:val="007B4EE0"/>
    <w:rsid w:val="007C269F"/>
    <w:rsid w:val="007C30D4"/>
    <w:rsid w:val="007C618A"/>
    <w:rsid w:val="007D441A"/>
    <w:rsid w:val="007E118A"/>
    <w:rsid w:val="007F7246"/>
    <w:rsid w:val="008057DC"/>
    <w:rsid w:val="00812055"/>
    <w:rsid w:val="00837F52"/>
    <w:rsid w:val="00840728"/>
    <w:rsid w:val="008546F2"/>
    <w:rsid w:val="008562AE"/>
    <w:rsid w:val="00866996"/>
    <w:rsid w:val="00891423"/>
    <w:rsid w:val="00897B4D"/>
    <w:rsid w:val="008A06A7"/>
    <w:rsid w:val="008A31FD"/>
    <w:rsid w:val="008A7BDD"/>
    <w:rsid w:val="008B2F6A"/>
    <w:rsid w:val="008B5119"/>
    <w:rsid w:val="008C1500"/>
    <w:rsid w:val="008C5B6A"/>
    <w:rsid w:val="008D1E61"/>
    <w:rsid w:val="008D5EC6"/>
    <w:rsid w:val="008D7BF4"/>
    <w:rsid w:val="008D7E50"/>
    <w:rsid w:val="008E281C"/>
    <w:rsid w:val="008F366B"/>
    <w:rsid w:val="008F66EF"/>
    <w:rsid w:val="009029E3"/>
    <w:rsid w:val="00906894"/>
    <w:rsid w:val="0091041C"/>
    <w:rsid w:val="00914C69"/>
    <w:rsid w:val="009260B4"/>
    <w:rsid w:val="00931C63"/>
    <w:rsid w:val="00932851"/>
    <w:rsid w:val="00933045"/>
    <w:rsid w:val="0093371A"/>
    <w:rsid w:val="009363EA"/>
    <w:rsid w:val="00941F8C"/>
    <w:rsid w:val="00946EA6"/>
    <w:rsid w:val="00947CBD"/>
    <w:rsid w:val="00955F12"/>
    <w:rsid w:val="00964817"/>
    <w:rsid w:val="00966629"/>
    <w:rsid w:val="00973845"/>
    <w:rsid w:val="009825C9"/>
    <w:rsid w:val="00995C28"/>
    <w:rsid w:val="009A6DE6"/>
    <w:rsid w:val="009A71AE"/>
    <w:rsid w:val="009B55F3"/>
    <w:rsid w:val="009C4F81"/>
    <w:rsid w:val="009D0C87"/>
    <w:rsid w:val="009E05DB"/>
    <w:rsid w:val="009E1BBF"/>
    <w:rsid w:val="009E35E7"/>
    <w:rsid w:val="009E3D16"/>
    <w:rsid w:val="009E46AB"/>
    <w:rsid w:val="009F134B"/>
    <w:rsid w:val="009F1B6F"/>
    <w:rsid w:val="009F49EC"/>
    <w:rsid w:val="00A04DE8"/>
    <w:rsid w:val="00A0525A"/>
    <w:rsid w:val="00A05908"/>
    <w:rsid w:val="00A06D42"/>
    <w:rsid w:val="00A33592"/>
    <w:rsid w:val="00A35C2D"/>
    <w:rsid w:val="00A40CBF"/>
    <w:rsid w:val="00A442D1"/>
    <w:rsid w:val="00A51AF4"/>
    <w:rsid w:val="00A60AE0"/>
    <w:rsid w:val="00A64F5B"/>
    <w:rsid w:val="00A67AD1"/>
    <w:rsid w:val="00A7591B"/>
    <w:rsid w:val="00A7629E"/>
    <w:rsid w:val="00A94277"/>
    <w:rsid w:val="00A965A0"/>
    <w:rsid w:val="00AA1605"/>
    <w:rsid w:val="00AA3AAE"/>
    <w:rsid w:val="00AA48B6"/>
    <w:rsid w:val="00AB07C4"/>
    <w:rsid w:val="00AB2BB0"/>
    <w:rsid w:val="00AD00E0"/>
    <w:rsid w:val="00AD6F2A"/>
    <w:rsid w:val="00AE1A34"/>
    <w:rsid w:val="00AE435E"/>
    <w:rsid w:val="00AF685C"/>
    <w:rsid w:val="00B00376"/>
    <w:rsid w:val="00B0272B"/>
    <w:rsid w:val="00B23CA9"/>
    <w:rsid w:val="00B33A72"/>
    <w:rsid w:val="00B361C0"/>
    <w:rsid w:val="00B516EB"/>
    <w:rsid w:val="00B56CCE"/>
    <w:rsid w:val="00B60558"/>
    <w:rsid w:val="00B65F20"/>
    <w:rsid w:val="00B72342"/>
    <w:rsid w:val="00B72F51"/>
    <w:rsid w:val="00B81B18"/>
    <w:rsid w:val="00B95E11"/>
    <w:rsid w:val="00BA3F9D"/>
    <w:rsid w:val="00BB2DA0"/>
    <w:rsid w:val="00BB3227"/>
    <w:rsid w:val="00BB40CD"/>
    <w:rsid w:val="00BB60B1"/>
    <w:rsid w:val="00BC235F"/>
    <w:rsid w:val="00BC323E"/>
    <w:rsid w:val="00BD6E55"/>
    <w:rsid w:val="00BE185D"/>
    <w:rsid w:val="00BE42A4"/>
    <w:rsid w:val="00BF4E38"/>
    <w:rsid w:val="00C04108"/>
    <w:rsid w:val="00C20BA5"/>
    <w:rsid w:val="00C23430"/>
    <w:rsid w:val="00C25583"/>
    <w:rsid w:val="00C36D28"/>
    <w:rsid w:val="00C4530A"/>
    <w:rsid w:val="00C46E2A"/>
    <w:rsid w:val="00C75A1C"/>
    <w:rsid w:val="00C836EF"/>
    <w:rsid w:val="00C863DF"/>
    <w:rsid w:val="00C8795D"/>
    <w:rsid w:val="00C87D7D"/>
    <w:rsid w:val="00C96620"/>
    <w:rsid w:val="00CA3FF4"/>
    <w:rsid w:val="00CA48E4"/>
    <w:rsid w:val="00CB6737"/>
    <w:rsid w:val="00CB758E"/>
    <w:rsid w:val="00CD76A4"/>
    <w:rsid w:val="00CE3536"/>
    <w:rsid w:val="00CE5123"/>
    <w:rsid w:val="00CE5958"/>
    <w:rsid w:val="00CF1234"/>
    <w:rsid w:val="00CF66F7"/>
    <w:rsid w:val="00D103B8"/>
    <w:rsid w:val="00D106B8"/>
    <w:rsid w:val="00D1228D"/>
    <w:rsid w:val="00D12E07"/>
    <w:rsid w:val="00D16B2C"/>
    <w:rsid w:val="00D235BB"/>
    <w:rsid w:val="00D2646A"/>
    <w:rsid w:val="00D3061A"/>
    <w:rsid w:val="00D33760"/>
    <w:rsid w:val="00D50144"/>
    <w:rsid w:val="00D55080"/>
    <w:rsid w:val="00D55197"/>
    <w:rsid w:val="00D616D1"/>
    <w:rsid w:val="00D71B4F"/>
    <w:rsid w:val="00D72C7F"/>
    <w:rsid w:val="00D7747E"/>
    <w:rsid w:val="00D81060"/>
    <w:rsid w:val="00D81EFC"/>
    <w:rsid w:val="00D82D45"/>
    <w:rsid w:val="00D926F6"/>
    <w:rsid w:val="00D97EE3"/>
    <w:rsid w:val="00DB5125"/>
    <w:rsid w:val="00DC470C"/>
    <w:rsid w:val="00DC6611"/>
    <w:rsid w:val="00DD3DD0"/>
    <w:rsid w:val="00DD7860"/>
    <w:rsid w:val="00DE4417"/>
    <w:rsid w:val="00DF3697"/>
    <w:rsid w:val="00DF4204"/>
    <w:rsid w:val="00DF554B"/>
    <w:rsid w:val="00E1093F"/>
    <w:rsid w:val="00E12A39"/>
    <w:rsid w:val="00E21D01"/>
    <w:rsid w:val="00E25B78"/>
    <w:rsid w:val="00E329E6"/>
    <w:rsid w:val="00E43E02"/>
    <w:rsid w:val="00E522BA"/>
    <w:rsid w:val="00E56D08"/>
    <w:rsid w:val="00E56D1A"/>
    <w:rsid w:val="00E6234B"/>
    <w:rsid w:val="00E63FCA"/>
    <w:rsid w:val="00E64752"/>
    <w:rsid w:val="00E73FAE"/>
    <w:rsid w:val="00E74B66"/>
    <w:rsid w:val="00E86AD2"/>
    <w:rsid w:val="00E87C8C"/>
    <w:rsid w:val="00E90787"/>
    <w:rsid w:val="00EA5EB4"/>
    <w:rsid w:val="00EA7FDC"/>
    <w:rsid w:val="00ED5F2B"/>
    <w:rsid w:val="00EF7CEE"/>
    <w:rsid w:val="00F002FD"/>
    <w:rsid w:val="00F04106"/>
    <w:rsid w:val="00F074C1"/>
    <w:rsid w:val="00F1189D"/>
    <w:rsid w:val="00F11935"/>
    <w:rsid w:val="00F15686"/>
    <w:rsid w:val="00F16586"/>
    <w:rsid w:val="00F255E1"/>
    <w:rsid w:val="00F31C77"/>
    <w:rsid w:val="00F3435E"/>
    <w:rsid w:val="00F36593"/>
    <w:rsid w:val="00F663FA"/>
    <w:rsid w:val="00F71AB8"/>
    <w:rsid w:val="00F72678"/>
    <w:rsid w:val="00F8128E"/>
    <w:rsid w:val="00F8316A"/>
    <w:rsid w:val="00F908D6"/>
    <w:rsid w:val="00F93C0C"/>
    <w:rsid w:val="00F9560E"/>
    <w:rsid w:val="00F96BFF"/>
    <w:rsid w:val="00FA03CE"/>
    <w:rsid w:val="00FA5EAE"/>
    <w:rsid w:val="00FB50EE"/>
    <w:rsid w:val="00FB7CD6"/>
    <w:rsid w:val="00FD0C4A"/>
    <w:rsid w:val="00FE7E9D"/>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06DC"/>
  <w15:docId w15:val="{CD1421DF-5049-4207-B8B9-8870C11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C52"/>
    <w:rPr>
      <w:rFonts w:ascii="Arial" w:hAnsi="Arial"/>
      <w:sz w:val="24"/>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styleId="BalloonText">
    <w:name w:val="Balloon Text"/>
    <w:basedOn w:val="Normal"/>
    <w:link w:val="BalloonTextChar"/>
    <w:rsid w:val="002451F6"/>
    <w:rPr>
      <w:rFonts w:ascii="Tahoma" w:hAnsi="Tahoma" w:cs="Tahoma"/>
      <w:sz w:val="16"/>
      <w:szCs w:val="16"/>
    </w:rPr>
  </w:style>
  <w:style w:type="character" w:customStyle="1" w:styleId="BalloonTextChar">
    <w:name w:val="Balloon Text Char"/>
    <w:link w:val="BalloonText"/>
    <w:rsid w:val="002451F6"/>
    <w:rPr>
      <w:rFonts w:ascii="Tahoma" w:hAnsi="Tahoma" w:cs="Tahoma"/>
      <w:sz w:val="16"/>
      <w:szCs w:val="16"/>
      <w:lang w:eastAsia="en-US"/>
    </w:rPr>
  </w:style>
  <w:style w:type="character" w:styleId="CommentReference">
    <w:name w:val="annotation reference"/>
    <w:basedOn w:val="DefaultParagraphFont"/>
    <w:rsid w:val="005A4F7B"/>
    <w:rPr>
      <w:sz w:val="16"/>
      <w:szCs w:val="16"/>
    </w:rPr>
  </w:style>
  <w:style w:type="paragraph" w:styleId="CommentText">
    <w:name w:val="annotation text"/>
    <w:basedOn w:val="Normal"/>
    <w:link w:val="CommentTextChar"/>
    <w:rsid w:val="005A4F7B"/>
    <w:rPr>
      <w:sz w:val="20"/>
      <w:szCs w:val="20"/>
    </w:rPr>
  </w:style>
  <w:style w:type="character" w:customStyle="1" w:styleId="CommentTextChar">
    <w:name w:val="Comment Text Char"/>
    <w:basedOn w:val="DefaultParagraphFont"/>
    <w:link w:val="CommentText"/>
    <w:rsid w:val="005A4F7B"/>
    <w:rPr>
      <w:rFonts w:ascii="Arial" w:hAnsi="Arial"/>
      <w:lang w:eastAsia="en-US"/>
    </w:rPr>
  </w:style>
  <w:style w:type="paragraph" w:styleId="CommentSubject">
    <w:name w:val="annotation subject"/>
    <w:basedOn w:val="CommentText"/>
    <w:next w:val="CommentText"/>
    <w:link w:val="CommentSubjectChar"/>
    <w:rsid w:val="005A4F7B"/>
    <w:rPr>
      <w:b/>
      <w:bCs/>
    </w:rPr>
  </w:style>
  <w:style w:type="character" w:customStyle="1" w:styleId="CommentSubjectChar">
    <w:name w:val="Comment Subject Char"/>
    <w:basedOn w:val="CommentTextChar"/>
    <w:link w:val="CommentSubject"/>
    <w:rsid w:val="005A4F7B"/>
    <w:rPr>
      <w:rFonts w:ascii="Arial" w:hAnsi="Arial"/>
      <w:b/>
      <w:bCs/>
      <w:lang w:eastAsia="en-US"/>
    </w:rPr>
  </w:style>
  <w:style w:type="paragraph" w:styleId="ListParagraph">
    <w:name w:val="List Paragraph"/>
    <w:basedOn w:val="Normal"/>
    <w:uiPriority w:val="34"/>
    <w:qFormat/>
    <w:rsid w:val="00C863DF"/>
    <w:pPr>
      <w:ind w:left="720"/>
      <w:contextualSpacing/>
    </w:pPr>
  </w:style>
  <w:style w:type="paragraph" w:customStyle="1" w:styleId="Bodycopy">
    <w:name w:val="Body copy"/>
    <w:link w:val="BodycopyChar"/>
    <w:rsid w:val="006F0476"/>
    <w:rPr>
      <w:rFonts w:ascii="Arial" w:hAnsi="Arial" w:cs="Arial"/>
      <w:sz w:val="24"/>
      <w:szCs w:val="24"/>
    </w:rPr>
  </w:style>
  <w:style w:type="character" w:customStyle="1" w:styleId="BodycopyChar">
    <w:name w:val="Body copy Char"/>
    <w:link w:val="Bodycopy"/>
    <w:rsid w:val="006F0476"/>
    <w:rPr>
      <w:rFonts w:ascii="Arial" w:hAnsi="Arial" w:cs="Arial"/>
      <w:sz w:val="24"/>
      <w:szCs w:val="24"/>
    </w:rPr>
  </w:style>
  <w:style w:type="paragraph" w:customStyle="1" w:styleId="Subheading3">
    <w:name w:val="Subheading 3"/>
    <w:next w:val="Normal"/>
    <w:qFormat/>
    <w:rsid w:val="00762CF1"/>
    <w:rPr>
      <w:rFonts w:ascii="Arial" w:hAnsi="Arial" w:cs="Arial"/>
      <w:b/>
      <w:color w:val="7030A0"/>
      <w:sz w:val="28"/>
      <w:szCs w:val="28"/>
    </w:rPr>
  </w:style>
  <w:style w:type="paragraph" w:customStyle="1" w:styleId="Default">
    <w:name w:val="Default"/>
    <w:rsid w:val="00004C2B"/>
    <w:pPr>
      <w:autoSpaceDE w:val="0"/>
      <w:autoSpaceDN w:val="0"/>
      <w:adjustRightInd w:val="0"/>
    </w:pPr>
    <w:rPr>
      <w:rFonts w:ascii="Trebuchet MS" w:eastAsia="Calibri" w:hAnsi="Trebuchet MS" w:cs="Trebuchet MS"/>
      <w:color w:val="000000"/>
      <w:sz w:val="24"/>
      <w:szCs w:val="24"/>
      <w:lang w:eastAsia="en-US"/>
    </w:rPr>
  </w:style>
  <w:style w:type="paragraph" w:styleId="NormalWeb">
    <w:name w:val="Normal (Web)"/>
    <w:basedOn w:val="Normal"/>
    <w:uiPriority w:val="99"/>
    <w:unhideWhenUsed/>
    <w:rsid w:val="00394527"/>
    <w:pPr>
      <w:spacing w:before="100" w:beforeAutospacing="1" w:after="100" w:afterAutospacing="1"/>
    </w:pPr>
    <w:rPr>
      <w:rFonts w:ascii="Times New Roman" w:hAnsi="Times New Roman"/>
      <w:lang w:eastAsia="en-GB"/>
    </w:rPr>
  </w:style>
  <w:style w:type="paragraph" w:styleId="Revision">
    <w:name w:val="Revision"/>
    <w:hidden/>
    <w:uiPriority w:val="99"/>
    <w:semiHidden/>
    <w:rsid w:val="005108C1"/>
    <w:rPr>
      <w:rFonts w:ascii="Arial" w:hAnsi="Arial"/>
      <w:sz w:val="24"/>
      <w:szCs w:val="24"/>
      <w:lang w:eastAsia="en-US"/>
    </w:rPr>
  </w:style>
  <w:style w:type="character" w:styleId="Hyperlink">
    <w:name w:val="Hyperlink"/>
    <w:basedOn w:val="DefaultParagraphFont"/>
    <w:unhideWhenUsed/>
    <w:rsid w:val="008C1500"/>
    <w:rPr>
      <w:color w:val="0000FF" w:themeColor="hyperlink"/>
      <w:u w:val="single"/>
    </w:rPr>
  </w:style>
  <w:style w:type="character" w:styleId="UnresolvedMention">
    <w:name w:val="Unresolved Mention"/>
    <w:basedOn w:val="DefaultParagraphFont"/>
    <w:uiPriority w:val="99"/>
    <w:semiHidden/>
    <w:unhideWhenUsed/>
    <w:rsid w:val="008C1500"/>
    <w:rPr>
      <w:color w:val="605E5C"/>
      <w:shd w:val="clear" w:color="auto" w:fill="E1DFDD"/>
    </w:rPr>
  </w:style>
  <w:style w:type="character" w:styleId="FollowedHyperlink">
    <w:name w:val="FollowedHyperlink"/>
    <w:basedOn w:val="DefaultParagraphFont"/>
    <w:semiHidden/>
    <w:unhideWhenUsed/>
    <w:rsid w:val="00056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9002">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09177483">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0074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onr.org.uk/about.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ientific-advice-to-government-principles/principles-of-scientific-advice-to-govern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overnment-security-classifications" TargetMode="External"/><Relationship Id="rId4" Type="http://schemas.openxmlformats.org/officeDocument/2006/relationships/settings" Target="settings.xml"/><Relationship Id="rId9" Type="http://schemas.openxmlformats.org/officeDocument/2006/relationships/hyperlink" Target="https://www.gov.uk/government/publications/government-baseline-personnel-security-standar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DE44-F430-48AA-9082-63B8AE29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cp:revision>2</cp:revision>
  <cp:lastPrinted>2016-04-07T14:23:00Z</cp:lastPrinted>
  <dcterms:created xsi:type="dcterms:W3CDTF">2023-07-25T09:01:00Z</dcterms:created>
  <dcterms:modified xsi:type="dcterms:W3CDTF">2023-07-25T09:01:00Z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2023-02-23T15:45:38Z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9c1f7e13-cc4c-42a9-875a-09ce371311a1</vt:lpwstr>
  </property>
  <property fmtid="{D5CDD505-2E9C-101B-9397-08002B2CF9AE}" pid="9" name="MSIP_Label_9e5e003a-90eb-47c9-a506-ad47e7a0b281_ContentBits">
    <vt:lpwstr>0</vt:lpwstr>
  </property>
</Properties>
</file>