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2E5F" w14:textId="65744185" w:rsidR="006651A4" w:rsidRPr="006651A4" w:rsidRDefault="006651A4" w:rsidP="006651A4">
      <w:pPr>
        <w:pStyle w:val="Heading1"/>
        <w:ind w:left="-426"/>
        <w:rPr>
          <w:sz w:val="32"/>
          <w:szCs w:val="32"/>
        </w:rPr>
      </w:pPr>
      <w:r w:rsidRPr="006651A4">
        <w:rPr>
          <w:sz w:val="32"/>
          <w:szCs w:val="32"/>
        </w:rPr>
        <w:t>Agenda</w:t>
      </w:r>
      <w:r>
        <w:rPr>
          <w:sz w:val="32"/>
          <w:szCs w:val="32"/>
        </w:rPr>
        <w:t xml:space="preserve"> – 17 April 2024</w:t>
      </w:r>
    </w:p>
    <w:p w14:paraId="397FF350" w14:textId="77777777" w:rsidR="006651A4" w:rsidRPr="0083658F" w:rsidRDefault="006651A4" w:rsidP="006651A4">
      <w:pPr>
        <w:spacing w:after="240" w:line="252" w:lineRule="auto"/>
        <w:ind w:left="-426"/>
        <w:rPr>
          <w:rFonts w:eastAsiaTheme="minorHAnsi"/>
        </w:rPr>
      </w:pPr>
      <w:bookmarkStart w:id="0" w:name="_Toc72394973"/>
      <w:r w:rsidRPr="0083658F">
        <w:rPr>
          <w:rFonts w:eastAsiaTheme="minorHAnsi"/>
        </w:rPr>
        <w:t>*Please note this is an in-person meeting only.</w:t>
      </w:r>
    </w:p>
    <w:tbl>
      <w:tblPr>
        <w:tblStyle w:val="TableGrid"/>
        <w:tblW w:w="5453" w:type="pct"/>
        <w:tblInd w:w="-577" w:type="dxa"/>
        <w:tblBorders>
          <w:top w:val="single" w:sz="8" w:space="0" w:color="006D68"/>
          <w:left w:val="single" w:sz="8" w:space="0" w:color="006D68"/>
          <w:bottom w:val="single" w:sz="8" w:space="0" w:color="006D68"/>
          <w:right w:val="single" w:sz="8" w:space="0" w:color="006D68"/>
          <w:insideH w:val="single" w:sz="8" w:space="0" w:color="006D68"/>
          <w:insideV w:val="single" w:sz="8" w:space="0" w:color="006D68"/>
        </w:tblBorders>
        <w:tblLook w:val="04A0" w:firstRow="1" w:lastRow="0" w:firstColumn="1" w:lastColumn="0" w:noHBand="0" w:noVBand="1"/>
      </w:tblPr>
      <w:tblGrid>
        <w:gridCol w:w="697"/>
        <w:gridCol w:w="1560"/>
        <w:gridCol w:w="5840"/>
        <w:gridCol w:w="1725"/>
      </w:tblGrid>
      <w:tr w:rsidR="006651A4" w14:paraId="24CFCED4" w14:textId="77777777" w:rsidTr="00561C8F">
        <w:trPr>
          <w:trHeight w:hRule="exact" w:val="363"/>
        </w:trPr>
        <w:tc>
          <w:tcPr>
            <w:tcW w:w="355" w:type="pct"/>
            <w:tcBorders>
              <w:top w:val="single" w:sz="8" w:space="0" w:color="07716C"/>
              <w:left w:val="single" w:sz="8" w:space="0" w:color="07716C"/>
              <w:bottom w:val="single" w:sz="8" w:space="0" w:color="07716C"/>
              <w:right w:val="single" w:sz="8" w:space="0" w:color="FFFFFF" w:themeColor="background1"/>
            </w:tcBorders>
            <w:shd w:val="clear" w:color="auto" w:fill="006D68"/>
          </w:tcPr>
          <w:p w14:paraId="7CA62730" w14:textId="77777777" w:rsidR="006651A4" w:rsidRPr="008346ED" w:rsidRDefault="006651A4" w:rsidP="00561C8F">
            <w:pPr>
              <w:rPr>
                <w:rFonts w:cs="Arial"/>
                <w:bCs/>
                <w:color w:val="FFFFFF" w:themeColor="background1"/>
              </w:rPr>
            </w:pPr>
          </w:p>
        </w:tc>
        <w:tc>
          <w:tcPr>
            <w:tcW w:w="794" w:type="pct"/>
            <w:tcBorders>
              <w:top w:val="single" w:sz="8" w:space="0" w:color="07716C"/>
              <w:left w:val="single" w:sz="8" w:space="0" w:color="FFFFFF" w:themeColor="background1"/>
              <w:bottom w:val="single" w:sz="8" w:space="0" w:color="07716C"/>
              <w:right w:val="single" w:sz="8" w:space="0" w:color="FFFFFF" w:themeColor="background1"/>
            </w:tcBorders>
            <w:shd w:val="clear" w:color="auto" w:fill="006D68"/>
            <w:hideMark/>
          </w:tcPr>
          <w:p w14:paraId="0D3A688F" w14:textId="77777777" w:rsidR="006651A4" w:rsidRPr="008346ED" w:rsidRDefault="006651A4" w:rsidP="00561C8F">
            <w:pPr>
              <w:rPr>
                <w:rFonts w:cs="Arial"/>
                <w:bCs/>
                <w:color w:val="FFFFFF" w:themeColor="background1"/>
              </w:rPr>
            </w:pPr>
            <w:r w:rsidRPr="008346ED">
              <w:rPr>
                <w:rFonts w:cs="Arial"/>
                <w:bCs/>
                <w:color w:val="FFFFFF" w:themeColor="background1"/>
              </w:rPr>
              <w:t>Time</w:t>
            </w:r>
          </w:p>
        </w:tc>
        <w:tc>
          <w:tcPr>
            <w:tcW w:w="2973" w:type="pct"/>
            <w:tcBorders>
              <w:top w:val="single" w:sz="8" w:space="0" w:color="07716C"/>
              <w:left w:val="single" w:sz="8" w:space="0" w:color="FFFFFF" w:themeColor="background1"/>
              <w:bottom w:val="single" w:sz="8" w:space="0" w:color="07716C"/>
              <w:right w:val="single" w:sz="8" w:space="0" w:color="FFFFFF" w:themeColor="background1"/>
            </w:tcBorders>
            <w:shd w:val="clear" w:color="auto" w:fill="006D68"/>
            <w:hideMark/>
          </w:tcPr>
          <w:p w14:paraId="14C9DCD7" w14:textId="77777777" w:rsidR="006651A4" w:rsidRPr="008346ED" w:rsidRDefault="006651A4" w:rsidP="00561C8F">
            <w:pPr>
              <w:rPr>
                <w:rFonts w:cs="Arial"/>
                <w:bCs/>
                <w:color w:val="FFFFFF" w:themeColor="background1"/>
              </w:rPr>
            </w:pPr>
            <w:r w:rsidRPr="008346ED">
              <w:rPr>
                <w:rFonts w:cs="Arial"/>
                <w:bCs/>
                <w:color w:val="FFFFFF" w:themeColor="background1"/>
              </w:rPr>
              <w:t>Item</w:t>
            </w:r>
          </w:p>
        </w:tc>
        <w:tc>
          <w:tcPr>
            <w:tcW w:w="878" w:type="pct"/>
            <w:tcBorders>
              <w:top w:val="single" w:sz="8" w:space="0" w:color="07716C"/>
              <w:left w:val="single" w:sz="8" w:space="0" w:color="FFFFFF" w:themeColor="background1"/>
              <w:bottom w:val="single" w:sz="8" w:space="0" w:color="07716C"/>
              <w:right w:val="single" w:sz="8" w:space="0" w:color="07716C"/>
            </w:tcBorders>
            <w:shd w:val="clear" w:color="auto" w:fill="006D68"/>
            <w:hideMark/>
          </w:tcPr>
          <w:p w14:paraId="1F29E200" w14:textId="77777777" w:rsidR="006651A4" w:rsidRPr="008346ED" w:rsidRDefault="006651A4" w:rsidP="00561C8F">
            <w:pPr>
              <w:rPr>
                <w:rFonts w:cs="Arial"/>
                <w:bCs/>
                <w:color w:val="FFFFFF" w:themeColor="background1"/>
              </w:rPr>
            </w:pPr>
            <w:r w:rsidRPr="008346ED">
              <w:rPr>
                <w:rFonts w:cs="Arial"/>
                <w:bCs/>
                <w:color w:val="FFFFFF" w:themeColor="background1"/>
              </w:rPr>
              <w:t>Lead</w:t>
            </w:r>
          </w:p>
        </w:tc>
      </w:tr>
      <w:tr w:rsidR="006651A4" w14:paraId="18A965B3" w14:textId="77777777" w:rsidTr="00561C8F">
        <w:trPr>
          <w:trHeight w:hRule="exact" w:val="501"/>
        </w:trPr>
        <w:tc>
          <w:tcPr>
            <w:tcW w:w="5000" w:type="pct"/>
            <w:gridSpan w:val="4"/>
            <w:tcBorders>
              <w:top w:val="single" w:sz="8" w:space="0" w:color="07716C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533E50AA" w14:textId="77777777" w:rsidR="006651A4" w:rsidRPr="008346ED" w:rsidRDefault="006651A4" w:rsidP="00561C8F">
            <w:pPr>
              <w:rPr>
                <w:rFonts w:eastAsiaTheme="minorHAnsi" w:cs="Arial"/>
              </w:rPr>
            </w:pPr>
            <w:r w:rsidRPr="008346ED">
              <w:rPr>
                <w:rFonts w:eastAsiaTheme="minorHAnsi" w:cs="Arial"/>
              </w:rPr>
              <w:t>Tea/coffee available on arrival</w:t>
            </w:r>
          </w:p>
        </w:tc>
      </w:tr>
      <w:tr w:rsidR="006651A4" w14:paraId="560C1683" w14:textId="77777777" w:rsidTr="00561C8F">
        <w:trPr>
          <w:trHeight w:hRule="exact" w:val="1102"/>
        </w:trPr>
        <w:tc>
          <w:tcPr>
            <w:tcW w:w="355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35AF32A2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 w:rsidRPr="008346ED">
              <w:rPr>
                <w:rFonts w:cs="Arial"/>
              </w:rPr>
              <w:t>1.0</w:t>
            </w:r>
          </w:p>
        </w:tc>
        <w:tc>
          <w:tcPr>
            <w:tcW w:w="79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hideMark/>
          </w:tcPr>
          <w:p w14:paraId="1D3649F2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 w:rsidRPr="008346ED">
              <w:rPr>
                <w:rFonts w:cs="Arial"/>
              </w:rPr>
              <w:t>1030 – 1040</w:t>
            </w:r>
          </w:p>
        </w:tc>
        <w:tc>
          <w:tcPr>
            <w:tcW w:w="297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46BF7B44" w14:textId="77777777" w:rsidR="006651A4" w:rsidRPr="008346ED" w:rsidRDefault="006651A4" w:rsidP="00561C8F">
            <w:pPr>
              <w:spacing w:before="60" w:after="60" w:line="252" w:lineRule="auto"/>
              <w:rPr>
                <w:rFonts w:cs="Arial"/>
              </w:rPr>
            </w:pPr>
            <w:r w:rsidRPr="008346ED">
              <w:rPr>
                <w:rFonts w:cs="Arial"/>
              </w:rPr>
              <w:t>Welcome / introductions and matters arising</w:t>
            </w:r>
          </w:p>
        </w:tc>
        <w:tc>
          <w:tcPr>
            <w:tcW w:w="878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3AE8BBF1" w14:textId="77777777" w:rsidR="006651A4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 w:rsidRPr="008346ED">
              <w:rPr>
                <w:rFonts w:cs="Arial"/>
              </w:rPr>
              <w:t>Sarah Brown</w:t>
            </w:r>
            <w:r>
              <w:rPr>
                <w:rFonts w:cs="Arial"/>
              </w:rPr>
              <w:t xml:space="preserve"> </w:t>
            </w:r>
            <w:r w:rsidRPr="008346ED">
              <w:rPr>
                <w:rFonts w:cs="Arial"/>
              </w:rPr>
              <w:t>David Cullen</w:t>
            </w:r>
          </w:p>
          <w:p w14:paraId="0D7ED708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 w:rsidRPr="008346ED">
              <w:rPr>
                <w:rFonts w:cs="Arial"/>
              </w:rPr>
              <w:t>Dr Jill Sutcliffe</w:t>
            </w:r>
          </w:p>
        </w:tc>
      </w:tr>
      <w:tr w:rsidR="006651A4" w14:paraId="50B080D6" w14:textId="77777777" w:rsidTr="00561C8F">
        <w:trPr>
          <w:trHeight w:hRule="exact" w:val="3614"/>
        </w:trPr>
        <w:tc>
          <w:tcPr>
            <w:tcW w:w="355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28C879CE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 w:rsidRPr="008346ED">
              <w:rPr>
                <w:rFonts w:cs="Arial"/>
              </w:rPr>
              <w:t>2.0</w:t>
            </w:r>
          </w:p>
        </w:tc>
        <w:tc>
          <w:tcPr>
            <w:tcW w:w="79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2DF5A1FD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 w:rsidRPr="008346ED">
              <w:rPr>
                <w:rFonts w:cs="Arial"/>
              </w:rPr>
              <w:t>1040 – 1140</w:t>
            </w:r>
          </w:p>
        </w:tc>
        <w:tc>
          <w:tcPr>
            <w:tcW w:w="297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43542BB2" w14:textId="77777777" w:rsidR="006651A4" w:rsidRPr="008346ED" w:rsidRDefault="006651A4" w:rsidP="00561C8F">
            <w:pPr>
              <w:spacing w:before="60" w:after="240" w:line="252" w:lineRule="auto"/>
              <w:rPr>
                <w:rFonts w:cs="Arial"/>
              </w:rPr>
            </w:pPr>
            <w:r w:rsidRPr="008346ED">
              <w:rPr>
                <w:rFonts w:cs="Arial"/>
              </w:rPr>
              <w:t>Update from ONR Chief Executive and Chief Nuclear Inspector</w:t>
            </w:r>
          </w:p>
          <w:p w14:paraId="0F1D1BC4" w14:textId="77777777" w:rsidR="006651A4" w:rsidRPr="008346ED" w:rsidRDefault="006651A4" w:rsidP="006651A4">
            <w:pPr>
              <w:pStyle w:val="ListParagraph"/>
              <w:numPr>
                <w:ilvl w:val="0"/>
                <w:numId w:val="1"/>
              </w:numPr>
              <w:spacing w:before="60" w:after="60" w:line="252" w:lineRule="auto"/>
              <w:rPr>
                <w:rFonts w:ascii="Arial" w:hAnsi="Arial" w:cs="Arial"/>
                <w:sz w:val="24"/>
                <w:szCs w:val="24"/>
              </w:rPr>
            </w:pPr>
            <w:r w:rsidRPr="008346ED">
              <w:rPr>
                <w:rFonts w:ascii="Arial" w:hAnsi="Arial" w:cs="Arial"/>
                <w:sz w:val="24"/>
                <w:szCs w:val="24"/>
              </w:rPr>
              <w:t>AGRs, including life extensions and cracking</w:t>
            </w:r>
          </w:p>
          <w:p w14:paraId="6ABEE858" w14:textId="77777777" w:rsidR="006651A4" w:rsidRPr="008346ED" w:rsidRDefault="006651A4" w:rsidP="006651A4">
            <w:pPr>
              <w:pStyle w:val="ListParagraph"/>
              <w:numPr>
                <w:ilvl w:val="0"/>
                <w:numId w:val="1"/>
              </w:numPr>
              <w:spacing w:before="60" w:after="60" w:line="252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6ED">
              <w:rPr>
                <w:rFonts w:ascii="Arial" w:hAnsi="Arial" w:cs="Arial"/>
                <w:sz w:val="24"/>
                <w:szCs w:val="24"/>
              </w:rPr>
              <w:t>Taishan</w:t>
            </w:r>
            <w:proofErr w:type="spellEnd"/>
          </w:p>
          <w:p w14:paraId="38E47660" w14:textId="77777777" w:rsidR="006651A4" w:rsidRPr="008346ED" w:rsidRDefault="006651A4" w:rsidP="006651A4">
            <w:pPr>
              <w:pStyle w:val="ListParagraph"/>
              <w:numPr>
                <w:ilvl w:val="0"/>
                <w:numId w:val="1"/>
              </w:numPr>
              <w:spacing w:before="60" w:after="60" w:line="252" w:lineRule="auto"/>
              <w:rPr>
                <w:rFonts w:ascii="Arial" w:hAnsi="Arial" w:cs="Arial"/>
                <w:sz w:val="24"/>
                <w:szCs w:val="24"/>
              </w:rPr>
            </w:pPr>
            <w:r w:rsidRPr="008346ED">
              <w:rPr>
                <w:rFonts w:ascii="Arial" w:hAnsi="Arial" w:cs="Arial"/>
                <w:sz w:val="24"/>
                <w:szCs w:val="24"/>
              </w:rPr>
              <w:t xml:space="preserve">Sizewell C </w:t>
            </w:r>
          </w:p>
          <w:p w14:paraId="2F9E04C3" w14:textId="77777777" w:rsidR="006651A4" w:rsidRPr="008346ED" w:rsidRDefault="006651A4" w:rsidP="006651A4">
            <w:pPr>
              <w:pStyle w:val="ListParagraph"/>
              <w:numPr>
                <w:ilvl w:val="0"/>
                <w:numId w:val="1"/>
              </w:numPr>
              <w:spacing w:before="60" w:after="60" w:line="252" w:lineRule="auto"/>
              <w:rPr>
                <w:rFonts w:ascii="Arial" w:hAnsi="Arial" w:cs="Arial"/>
                <w:sz w:val="24"/>
                <w:szCs w:val="24"/>
              </w:rPr>
            </w:pPr>
            <w:r w:rsidRPr="008346ED">
              <w:rPr>
                <w:rFonts w:ascii="Arial" w:hAnsi="Arial" w:cs="Arial"/>
                <w:sz w:val="24"/>
                <w:szCs w:val="24"/>
              </w:rPr>
              <w:t>Sellafield cyber security concerns</w:t>
            </w:r>
          </w:p>
          <w:p w14:paraId="5C29760B" w14:textId="77777777" w:rsidR="006651A4" w:rsidRDefault="006651A4" w:rsidP="006651A4">
            <w:pPr>
              <w:pStyle w:val="ListParagraph"/>
              <w:numPr>
                <w:ilvl w:val="0"/>
                <w:numId w:val="1"/>
              </w:numPr>
              <w:spacing w:before="60" w:after="60" w:line="252" w:lineRule="auto"/>
              <w:rPr>
                <w:rFonts w:ascii="Arial" w:hAnsi="Arial" w:cs="Arial"/>
                <w:sz w:val="24"/>
                <w:szCs w:val="24"/>
              </w:rPr>
            </w:pPr>
            <w:r w:rsidRPr="008346ED">
              <w:rPr>
                <w:rFonts w:ascii="Arial" w:hAnsi="Arial" w:cs="Arial"/>
                <w:sz w:val="24"/>
                <w:szCs w:val="24"/>
              </w:rPr>
              <w:t xml:space="preserve">Zaporizhzhia power plant management </w:t>
            </w:r>
          </w:p>
          <w:p w14:paraId="3DA26F98" w14:textId="77777777" w:rsidR="006651A4" w:rsidRPr="00087712" w:rsidRDefault="006651A4" w:rsidP="00561C8F">
            <w:pPr>
              <w:spacing w:before="60" w:after="60" w:line="252" w:lineRule="auto"/>
              <w:rPr>
                <w:rFonts w:cs="Arial"/>
              </w:rPr>
            </w:pPr>
          </w:p>
          <w:p w14:paraId="1B9FEDC4" w14:textId="77777777" w:rsidR="006651A4" w:rsidRPr="00941CF2" w:rsidRDefault="006651A4" w:rsidP="00561C8F">
            <w:pPr>
              <w:spacing w:before="60" w:after="60" w:line="252" w:lineRule="auto"/>
              <w:rPr>
                <w:rFonts w:cs="Arial"/>
                <w:color w:val="07716C"/>
              </w:rPr>
            </w:pPr>
            <w:r w:rsidRPr="00941CF2">
              <w:rPr>
                <w:rFonts w:cs="Arial"/>
                <w:color w:val="07716C"/>
              </w:rPr>
              <w:t>30 minute presentation followed by Q&amp;A</w:t>
            </w:r>
          </w:p>
        </w:tc>
        <w:tc>
          <w:tcPr>
            <w:tcW w:w="878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61713FFC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 w:rsidRPr="008346ED">
              <w:rPr>
                <w:rFonts w:cs="Arial"/>
              </w:rPr>
              <w:t>Mark Foy (JS/DC to chair)</w:t>
            </w:r>
          </w:p>
        </w:tc>
      </w:tr>
      <w:tr w:rsidR="006651A4" w14:paraId="6F4B82D6" w14:textId="77777777" w:rsidTr="00561C8F">
        <w:trPr>
          <w:trHeight w:hRule="exact" w:val="933"/>
        </w:trPr>
        <w:tc>
          <w:tcPr>
            <w:tcW w:w="355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1E4B66DD" w14:textId="77777777" w:rsidR="006651A4" w:rsidRPr="00215295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302FA0">
              <w:rPr>
                <w:rFonts w:cs="Arial"/>
              </w:rPr>
              <w:t>.0</w:t>
            </w:r>
          </w:p>
        </w:tc>
        <w:tc>
          <w:tcPr>
            <w:tcW w:w="79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4DB5ECF3" w14:textId="77777777" w:rsidR="006651A4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1140 - 1210</w:t>
            </w:r>
          </w:p>
        </w:tc>
        <w:tc>
          <w:tcPr>
            <w:tcW w:w="297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574FF6C0" w14:textId="77777777" w:rsidR="006651A4" w:rsidRDefault="006651A4" w:rsidP="00561C8F">
            <w:pPr>
              <w:spacing w:before="60" w:after="60" w:line="252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</w:t>
            </w:r>
            <w:r>
              <w:rPr>
                <w:bCs/>
              </w:rPr>
              <w:t>pdate on s</w:t>
            </w:r>
            <w:r>
              <w:rPr>
                <w:rFonts w:cs="Arial"/>
                <w:bCs/>
              </w:rPr>
              <w:t>iting</w:t>
            </w:r>
          </w:p>
          <w:p w14:paraId="31BA00BD" w14:textId="77777777" w:rsidR="006651A4" w:rsidRPr="00215295" w:rsidRDefault="006651A4" w:rsidP="006651A4">
            <w:pPr>
              <w:pStyle w:val="ListParagraph"/>
              <w:numPr>
                <w:ilvl w:val="0"/>
                <w:numId w:val="2"/>
              </w:numPr>
              <w:spacing w:before="60" w:after="60" w:line="252" w:lineRule="auto"/>
              <w:rPr>
                <w:rFonts w:cs="Arial"/>
              </w:rPr>
            </w:pPr>
            <w:r w:rsidRPr="005B07B1">
              <w:rPr>
                <w:rFonts w:ascii="Arial" w:hAnsi="Arial" w:cs="Arial"/>
                <w:sz w:val="24"/>
                <w:szCs w:val="24"/>
              </w:rPr>
              <w:t>ONR’s</w:t>
            </w:r>
            <w:r w:rsidRPr="008679E2">
              <w:rPr>
                <w:rFonts w:ascii="Arial" w:hAnsi="Arial" w:cs="Arial"/>
                <w:bCs/>
                <w:sz w:val="24"/>
                <w:szCs w:val="24"/>
              </w:rPr>
              <w:t xml:space="preserve"> role in post-2025 approach to siting</w:t>
            </w:r>
          </w:p>
        </w:tc>
        <w:tc>
          <w:tcPr>
            <w:tcW w:w="878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47BB1618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 w:rsidRPr="008346ED">
              <w:rPr>
                <w:rFonts w:cs="Arial"/>
              </w:rPr>
              <w:t>Kobina Lokko</w:t>
            </w:r>
          </w:p>
        </w:tc>
      </w:tr>
      <w:tr w:rsidR="006651A4" w14:paraId="251E92F8" w14:textId="77777777" w:rsidTr="00561C8F">
        <w:trPr>
          <w:trHeight w:val="361"/>
        </w:trPr>
        <w:tc>
          <w:tcPr>
            <w:tcW w:w="355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3EE75011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 w:rsidRPr="008346ED">
              <w:rPr>
                <w:rFonts w:cs="Arial"/>
              </w:rPr>
              <w:t>4.0</w:t>
            </w:r>
          </w:p>
        </w:tc>
        <w:tc>
          <w:tcPr>
            <w:tcW w:w="79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4AF76D9F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 w:rsidRPr="008346ED">
              <w:rPr>
                <w:rFonts w:cs="Arial"/>
              </w:rPr>
              <w:t>1210 - 1310</w:t>
            </w:r>
          </w:p>
        </w:tc>
        <w:tc>
          <w:tcPr>
            <w:tcW w:w="297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1135579D" w14:textId="77777777" w:rsidR="006651A4" w:rsidRPr="008346ED" w:rsidRDefault="006651A4" w:rsidP="00561C8F">
            <w:pPr>
              <w:spacing w:before="60" w:after="60" w:line="252" w:lineRule="auto"/>
              <w:rPr>
                <w:rFonts w:cs="Arial"/>
                <w:b/>
                <w:bCs/>
              </w:rPr>
            </w:pPr>
            <w:r w:rsidRPr="008346ED">
              <w:rPr>
                <w:rFonts w:cs="Arial"/>
                <w:bCs/>
              </w:rPr>
              <w:t>Lunch</w:t>
            </w:r>
          </w:p>
        </w:tc>
        <w:tc>
          <w:tcPr>
            <w:tcW w:w="878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466ED643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  <w:color w:val="00696D"/>
              </w:rPr>
            </w:pPr>
            <w:r w:rsidRPr="008346ED">
              <w:rPr>
                <w:rFonts w:cs="Arial"/>
              </w:rPr>
              <w:t>All</w:t>
            </w:r>
          </w:p>
        </w:tc>
      </w:tr>
      <w:tr w:rsidR="006651A4" w14:paraId="0007DF63" w14:textId="77777777" w:rsidTr="00561C8F">
        <w:trPr>
          <w:trHeight w:val="361"/>
        </w:trPr>
        <w:tc>
          <w:tcPr>
            <w:tcW w:w="355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20F90AA3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 w:rsidRPr="008346ED">
              <w:rPr>
                <w:rFonts w:cs="Arial"/>
              </w:rPr>
              <w:t>5.0</w:t>
            </w:r>
          </w:p>
        </w:tc>
        <w:tc>
          <w:tcPr>
            <w:tcW w:w="79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0D19E131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1310 - 1320</w:t>
            </w:r>
          </w:p>
        </w:tc>
        <w:tc>
          <w:tcPr>
            <w:tcW w:w="297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34E0BD57" w14:textId="77777777" w:rsidR="006651A4" w:rsidRPr="008346ED" w:rsidRDefault="006651A4" w:rsidP="00561C8F">
            <w:pPr>
              <w:spacing w:before="60" w:after="60" w:line="252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Climate change workshops update</w:t>
            </w:r>
          </w:p>
        </w:tc>
        <w:tc>
          <w:tcPr>
            <w:tcW w:w="878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2CCC7059" w14:textId="77777777" w:rsidR="006651A4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Katy Attwater/</w:t>
            </w:r>
          </w:p>
          <w:p w14:paraId="39FED395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Rachel Grant</w:t>
            </w:r>
          </w:p>
        </w:tc>
      </w:tr>
      <w:tr w:rsidR="006651A4" w14:paraId="1327DAB3" w14:textId="77777777" w:rsidTr="00561C8F">
        <w:trPr>
          <w:trHeight w:val="402"/>
        </w:trPr>
        <w:tc>
          <w:tcPr>
            <w:tcW w:w="355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49118DCA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  <w:b/>
                <w:bCs/>
              </w:rPr>
            </w:pPr>
            <w:r w:rsidRPr="008346ED">
              <w:rPr>
                <w:rFonts w:cs="Arial"/>
              </w:rPr>
              <w:t>6.0</w:t>
            </w:r>
          </w:p>
        </w:tc>
        <w:tc>
          <w:tcPr>
            <w:tcW w:w="79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41795A65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1320</w:t>
            </w:r>
            <w:r w:rsidRPr="008346ED">
              <w:rPr>
                <w:rFonts w:cs="Arial"/>
              </w:rPr>
              <w:t xml:space="preserve"> - 1410</w:t>
            </w:r>
          </w:p>
        </w:tc>
        <w:tc>
          <w:tcPr>
            <w:tcW w:w="297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678DBE43" w14:textId="77777777" w:rsidR="006651A4" w:rsidRPr="008346ED" w:rsidRDefault="006651A4" w:rsidP="00561C8F">
            <w:pPr>
              <w:spacing w:before="60" w:after="60" w:line="252" w:lineRule="auto"/>
              <w:rPr>
                <w:rFonts w:cs="Arial"/>
              </w:rPr>
            </w:pPr>
            <w:r w:rsidRPr="008346ED">
              <w:rPr>
                <w:rFonts w:cs="Arial"/>
                <w:bCs/>
              </w:rPr>
              <w:t xml:space="preserve">ONR’s future strategy – collaborative session </w:t>
            </w:r>
          </w:p>
        </w:tc>
        <w:tc>
          <w:tcPr>
            <w:tcW w:w="878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43C90DEB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Sarah Brown</w:t>
            </w:r>
          </w:p>
        </w:tc>
      </w:tr>
      <w:tr w:rsidR="006651A4" w14:paraId="2251162F" w14:textId="77777777" w:rsidTr="00561C8F">
        <w:trPr>
          <w:trHeight w:val="465"/>
        </w:trPr>
        <w:tc>
          <w:tcPr>
            <w:tcW w:w="355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7AFDAED6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7</w:t>
            </w:r>
            <w:r w:rsidRPr="00215295">
              <w:rPr>
                <w:rFonts w:cs="Arial"/>
              </w:rPr>
              <w:t>.0</w:t>
            </w:r>
          </w:p>
        </w:tc>
        <w:tc>
          <w:tcPr>
            <w:tcW w:w="79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71292F37" w14:textId="77777777" w:rsidR="006651A4" w:rsidRPr="0098139E" w:rsidRDefault="006651A4" w:rsidP="00561C8F">
            <w:pPr>
              <w:spacing w:before="60" w:after="60" w:line="252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1410 - 1450</w:t>
            </w:r>
          </w:p>
        </w:tc>
        <w:tc>
          <w:tcPr>
            <w:tcW w:w="297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54054B56" w14:textId="77777777" w:rsidR="006651A4" w:rsidRPr="00215295" w:rsidRDefault="006651A4" w:rsidP="00561C8F">
            <w:pPr>
              <w:spacing w:before="60" w:after="60" w:line="252" w:lineRule="auto"/>
              <w:rPr>
                <w:rFonts w:cs="Arial"/>
              </w:rPr>
            </w:pPr>
            <w:r w:rsidRPr="00215295">
              <w:rPr>
                <w:rFonts w:cs="Arial"/>
              </w:rPr>
              <w:t>Update on ONR staffing and skills</w:t>
            </w:r>
          </w:p>
          <w:p w14:paraId="6A2813E8" w14:textId="77777777" w:rsidR="006651A4" w:rsidRPr="00215295" w:rsidRDefault="006651A4" w:rsidP="006651A4">
            <w:pPr>
              <w:pStyle w:val="ListParagraph"/>
              <w:numPr>
                <w:ilvl w:val="0"/>
                <w:numId w:val="2"/>
              </w:numPr>
              <w:spacing w:before="60" w:after="60" w:line="252" w:lineRule="auto"/>
              <w:rPr>
                <w:rFonts w:ascii="Arial" w:hAnsi="Arial" w:cs="Arial"/>
                <w:sz w:val="24"/>
                <w:szCs w:val="24"/>
              </w:rPr>
            </w:pPr>
            <w:r w:rsidRPr="00215295">
              <w:rPr>
                <w:rFonts w:ascii="Arial" w:hAnsi="Arial" w:cs="Arial"/>
                <w:sz w:val="24"/>
                <w:szCs w:val="24"/>
              </w:rPr>
              <w:t xml:space="preserve">Recruitment and retention </w:t>
            </w:r>
          </w:p>
          <w:p w14:paraId="1E909A2D" w14:textId="77777777" w:rsidR="006651A4" w:rsidRPr="005B07B1" w:rsidRDefault="006651A4" w:rsidP="006651A4">
            <w:pPr>
              <w:pStyle w:val="ListParagraph"/>
              <w:numPr>
                <w:ilvl w:val="0"/>
                <w:numId w:val="3"/>
              </w:numPr>
              <w:spacing w:before="60" w:after="60" w:line="25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07B1">
              <w:rPr>
                <w:rFonts w:ascii="Arial" w:hAnsi="Arial" w:cs="Arial"/>
                <w:sz w:val="24"/>
                <w:szCs w:val="24"/>
              </w:rPr>
              <w:t xml:space="preserve">ONR resource for </w:t>
            </w:r>
            <w:r w:rsidRPr="005B07B1">
              <w:rPr>
                <w:rStyle w:val="ui-provider"/>
                <w:rFonts w:ascii="Arial" w:hAnsi="Arial" w:cs="Arial"/>
                <w:sz w:val="24"/>
                <w:szCs w:val="24"/>
              </w:rPr>
              <w:t>future demands including roadmap commitments, national endeavour and regulation of AGR transition</w:t>
            </w:r>
          </w:p>
        </w:tc>
        <w:tc>
          <w:tcPr>
            <w:tcW w:w="878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2C778398" w14:textId="77777777" w:rsidR="006651A4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 w:rsidRPr="008346ED">
              <w:rPr>
                <w:rFonts w:cs="Arial"/>
              </w:rPr>
              <w:t>Al</w:t>
            </w:r>
            <w:r>
              <w:rPr>
                <w:rFonts w:cs="Arial"/>
              </w:rPr>
              <w:t>istair</w:t>
            </w:r>
            <w:r w:rsidRPr="008346ED">
              <w:rPr>
                <w:rFonts w:cs="Arial"/>
              </w:rPr>
              <w:t xml:space="preserve"> Hill</w:t>
            </w:r>
            <w:r>
              <w:rPr>
                <w:rFonts w:cs="Arial"/>
              </w:rPr>
              <w:t>e</w:t>
            </w:r>
            <w:r w:rsidRPr="008346ED">
              <w:rPr>
                <w:rFonts w:cs="Arial"/>
              </w:rPr>
              <w:t xml:space="preserve">ry / </w:t>
            </w:r>
          </w:p>
          <w:p w14:paraId="0000307F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Debbie Harrison-North</w:t>
            </w:r>
          </w:p>
        </w:tc>
      </w:tr>
      <w:tr w:rsidR="006651A4" w14:paraId="3CD9876B" w14:textId="77777777" w:rsidTr="00561C8F">
        <w:trPr>
          <w:trHeight w:val="431"/>
        </w:trPr>
        <w:tc>
          <w:tcPr>
            <w:tcW w:w="355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1BCCDCB3" w14:textId="77777777" w:rsidR="006651A4" w:rsidRPr="00302FA0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8346ED">
              <w:rPr>
                <w:rFonts w:cs="Arial"/>
              </w:rPr>
              <w:t>.0</w:t>
            </w:r>
          </w:p>
        </w:tc>
        <w:tc>
          <w:tcPr>
            <w:tcW w:w="79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1D3B7534" w14:textId="77777777" w:rsidR="006651A4" w:rsidRPr="00302FA0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 w:rsidRPr="00302FA0">
              <w:rPr>
                <w:rFonts w:cs="Arial"/>
              </w:rPr>
              <w:t>1450 - 1455</w:t>
            </w:r>
          </w:p>
        </w:tc>
        <w:tc>
          <w:tcPr>
            <w:tcW w:w="297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0D0C0BE2" w14:textId="77777777" w:rsidR="006651A4" w:rsidRPr="008346ED" w:rsidRDefault="006651A4" w:rsidP="00561C8F">
            <w:pPr>
              <w:spacing w:before="60" w:after="60" w:line="252" w:lineRule="auto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A</w:t>
            </w:r>
            <w:r>
              <w:rPr>
                <w:bCs/>
              </w:rPr>
              <w:t>OB</w:t>
            </w:r>
          </w:p>
        </w:tc>
        <w:tc>
          <w:tcPr>
            <w:tcW w:w="878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2230953A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Rachel Grant</w:t>
            </w:r>
          </w:p>
        </w:tc>
      </w:tr>
      <w:tr w:rsidR="006651A4" w14:paraId="561BD772" w14:textId="77777777" w:rsidTr="00561C8F">
        <w:trPr>
          <w:trHeight w:val="704"/>
        </w:trPr>
        <w:tc>
          <w:tcPr>
            <w:tcW w:w="355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002CFA4D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9.0</w:t>
            </w:r>
          </w:p>
        </w:tc>
        <w:tc>
          <w:tcPr>
            <w:tcW w:w="79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588B1B10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 w:rsidRPr="008346ED">
              <w:rPr>
                <w:rFonts w:cs="Arial"/>
              </w:rPr>
              <w:t>1455 - 1500</w:t>
            </w:r>
          </w:p>
        </w:tc>
        <w:tc>
          <w:tcPr>
            <w:tcW w:w="297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6B9A0C67" w14:textId="77777777" w:rsidR="006651A4" w:rsidRPr="008346ED" w:rsidRDefault="006651A4" w:rsidP="00561C8F">
            <w:pPr>
              <w:spacing w:before="60" w:after="60" w:line="252" w:lineRule="auto"/>
              <w:rPr>
                <w:rFonts w:cs="Arial"/>
              </w:rPr>
            </w:pPr>
            <w:r w:rsidRPr="008346ED">
              <w:rPr>
                <w:rFonts w:cs="Arial"/>
                <w:bCs/>
              </w:rPr>
              <w:t>Summary and close</w:t>
            </w:r>
          </w:p>
        </w:tc>
        <w:tc>
          <w:tcPr>
            <w:tcW w:w="878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0FDAC09C" w14:textId="77777777" w:rsidR="006651A4" w:rsidRPr="008346ED" w:rsidRDefault="006651A4" w:rsidP="00561C8F">
            <w:pPr>
              <w:spacing w:before="60" w:after="60" w:line="252" w:lineRule="auto"/>
              <w:jc w:val="center"/>
              <w:rPr>
                <w:rFonts w:cs="Arial"/>
              </w:rPr>
            </w:pPr>
            <w:r w:rsidRPr="008346ED">
              <w:rPr>
                <w:rFonts w:cs="Arial"/>
              </w:rPr>
              <w:t>Dr Jill Sutcliffe David Cullen Sarah Brown</w:t>
            </w:r>
          </w:p>
        </w:tc>
      </w:tr>
      <w:bookmarkEnd w:id="0"/>
    </w:tbl>
    <w:p w14:paraId="01439E61" w14:textId="77777777" w:rsidR="00332A9A" w:rsidRDefault="00332A9A"/>
    <w:sectPr w:rsidR="00332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8AA"/>
    <w:multiLevelType w:val="hybridMultilevel"/>
    <w:tmpl w:val="D13C9028"/>
    <w:lvl w:ilvl="0" w:tplc="387EA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16C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E63F2"/>
    <w:multiLevelType w:val="hybridMultilevel"/>
    <w:tmpl w:val="2B6E7D68"/>
    <w:lvl w:ilvl="0" w:tplc="387EA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16C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F097A"/>
    <w:multiLevelType w:val="hybridMultilevel"/>
    <w:tmpl w:val="8ABCD1F0"/>
    <w:lvl w:ilvl="0" w:tplc="387EA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16C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858751">
    <w:abstractNumId w:val="0"/>
  </w:num>
  <w:num w:numId="2" w16cid:durableId="764617658">
    <w:abstractNumId w:val="2"/>
  </w:num>
  <w:num w:numId="3" w16cid:durableId="1803882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A4"/>
    <w:rsid w:val="002A7BE1"/>
    <w:rsid w:val="00332A9A"/>
    <w:rsid w:val="006651A4"/>
    <w:rsid w:val="00E8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0579"/>
  <w15:chartTrackingRefBased/>
  <w15:docId w15:val="{A1305C4A-ED19-4FCB-A7CF-61C9D6CB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1A4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A7B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BE1"/>
    <w:rPr>
      <w:rFonts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6651A4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12,Colorful List - Accent 11,Normal numbered,List Paragraph11,OBC Bullet,Bullet 1"/>
    <w:basedOn w:val="Normal"/>
    <w:link w:val="ListParagraphChar"/>
    <w:uiPriority w:val="34"/>
    <w:qFormat/>
    <w:rsid w:val="006651A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12 Char,Normal numbered Char"/>
    <w:basedOn w:val="DefaultParagraphFont"/>
    <w:link w:val="ListParagraph"/>
    <w:uiPriority w:val="34"/>
    <w:locked/>
    <w:rsid w:val="006651A4"/>
    <w:rPr>
      <w:rFonts w:ascii="Calibri" w:eastAsia="Calibri" w:hAnsi="Calibri" w:cs="Times New Roman"/>
      <w:kern w:val="0"/>
      <w14:ligatures w14:val="none"/>
    </w:rPr>
  </w:style>
  <w:style w:type="character" w:customStyle="1" w:styleId="ui-provider">
    <w:name w:val="ui-provider"/>
    <w:basedOn w:val="DefaultParagraphFont"/>
    <w:rsid w:val="00665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2024-09-23T14:52:00Z</dcterms:created>
  <dcterms:modified xsi:type="dcterms:W3CDTF">2024-09-23T14:54:00Z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5e003a-90eb-47c9-a506-ad47e7a0b281_Enabled">
    <vt:lpwstr>true</vt:lpwstr>
  </property>
  <property fmtid="{D5CDD505-2E9C-101B-9397-08002B2CF9AE}" pid="3" name="MSIP_Label_9e5e003a-90eb-47c9-a506-ad47e7a0b281_SetDate">
    <vt:lpwstr>2024-09-23T14:54:07Z</vt:lpwstr>
  </property>
  <property fmtid="{D5CDD505-2E9C-101B-9397-08002B2CF9AE}" pid="4" name="MSIP_Label_9e5e003a-90eb-47c9-a506-ad47e7a0b281_Method">
    <vt:lpwstr>Privileged</vt:lpwstr>
  </property>
  <property fmtid="{D5CDD505-2E9C-101B-9397-08002B2CF9AE}" pid="5" name="MSIP_Label_9e5e003a-90eb-47c9-a506-ad47e7a0b281_Name">
    <vt:lpwstr>OFFICIAL</vt:lpwstr>
  </property>
  <property fmtid="{D5CDD505-2E9C-101B-9397-08002B2CF9AE}" pid="6" name="MSIP_Label_9e5e003a-90eb-47c9-a506-ad47e7a0b281_SiteId">
    <vt:lpwstr>742775df-8077-48d6-81d0-1e82a1f52cb8</vt:lpwstr>
  </property>
  <property fmtid="{D5CDD505-2E9C-101B-9397-08002B2CF9AE}" pid="7" name="MSIP_Label_9e5e003a-90eb-47c9-a506-ad47e7a0b281_ActionId">
    <vt:lpwstr>9050bd62-5786-4709-9c64-566e0edc9a20</vt:lpwstr>
  </property>
  <property fmtid="{D5CDD505-2E9C-101B-9397-08002B2CF9AE}" pid="8" name="MSIP_Label_9e5e003a-90eb-47c9-a506-ad47e7a0b281_ContentBits">
    <vt:lpwstr>0</vt:lpwstr>
  </property>
</Properties>
</file>