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9963" w14:textId="77777777" w:rsidR="00C10B8A" w:rsidRPr="00D901A4" w:rsidRDefault="00C10B8A" w:rsidP="00E2267D">
      <w:pPr>
        <w:jc w:val="center"/>
        <w:rPr>
          <w:rFonts w:ascii="Arial" w:hAnsi="Arial" w:cs="Arial"/>
          <w:b/>
        </w:rPr>
      </w:pPr>
      <w:r w:rsidRPr="00D901A4">
        <w:rPr>
          <w:rFonts w:ascii="Arial" w:hAnsi="Arial" w:cs="Arial"/>
          <w:b/>
        </w:rPr>
        <w:t xml:space="preserve">Minutes of the ONR Board </w:t>
      </w:r>
    </w:p>
    <w:p w14:paraId="6E243EE2" w14:textId="77777777" w:rsidR="00C10B8A" w:rsidRPr="00D901A4" w:rsidRDefault="00C10B8A" w:rsidP="00E2267D">
      <w:pPr>
        <w:jc w:val="center"/>
        <w:rPr>
          <w:rFonts w:ascii="Arial" w:hAnsi="Arial" w:cs="Arial"/>
          <w:b/>
        </w:rPr>
      </w:pPr>
      <w:r w:rsidRPr="00D901A4">
        <w:rPr>
          <w:rFonts w:ascii="Arial" w:hAnsi="Arial" w:cs="Arial"/>
          <w:b/>
        </w:rPr>
        <w:t>6 December 2023</w:t>
      </w:r>
    </w:p>
    <w:p w14:paraId="7F8D4EB9" w14:textId="77777777" w:rsidR="00C10B8A" w:rsidRPr="00D901A4" w:rsidRDefault="00C10B8A" w:rsidP="00E2267D">
      <w:pPr>
        <w:jc w:val="center"/>
        <w:rPr>
          <w:rFonts w:ascii="Arial" w:hAnsi="Arial" w:cs="Arial"/>
          <w:b/>
        </w:rPr>
      </w:pPr>
      <w:r w:rsidRPr="00D901A4">
        <w:rPr>
          <w:rFonts w:ascii="Arial" w:hAnsi="Arial" w:cs="Arial"/>
          <w:b/>
        </w:rPr>
        <w:t xml:space="preserve"> MS Teams and Boardroom, Windsor House</w:t>
      </w:r>
    </w:p>
    <w:p w14:paraId="6B11FB54" w14:textId="77777777" w:rsidR="00C10B8A" w:rsidRPr="00D901A4" w:rsidRDefault="00C10B8A" w:rsidP="00E2267D">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C10B8A" w:rsidRPr="00D901A4" w14:paraId="76D8A026" w14:textId="77777777" w:rsidTr="00A41B00">
        <w:tc>
          <w:tcPr>
            <w:tcW w:w="4395" w:type="dxa"/>
          </w:tcPr>
          <w:p w14:paraId="2BE3A38D" w14:textId="77777777" w:rsidR="00C10B8A" w:rsidRPr="00D901A4" w:rsidRDefault="00C10B8A" w:rsidP="00E2267D">
            <w:pPr>
              <w:rPr>
                <w:rFonts w:ascii="Arial" w:hAnsi="Arial" w:cs="Arial"/>
                <w:b/>
              </w:rPr>
            </w:pPr>
            <w:r w:rsidRPr="00D901A4">
              <w:rPr>
                <w:rFonts w:ascii="Arial" w:hAnsi="Arial" w:cs="Arial"/>
                <w:b/>
              </w:rPr>
              <w:t xml:space="preserve">Present: </w:t>
            </w:r>
          </w:p>
          <w:p w14:paraId="57063090" w14:textId="77777777" w:rsidR="00C10B8A" w:rsidRPr="00D901A4" w:rsidRDefault="00C10B8A" w:rsidP="00E2267D">
            <w:pPr>
              <w:rPr>
                <w:rFonts w:ascii="Arial" w:hAnsi="Arial" w:cs="Arial"/>
              </w:rPr>
            </w:pPr>
            <w:r w:rsidRPr="00D901A4">
              <w:rPr>
                <w:rFonts w:ascii="Arial" w:hAnsi="Arial" w:cs="Arial"/>
              </w:rPr>
              <w:t>Mark McAllister - Chair</w:t>
            </w:r>
            <w:r w:rsidRPr="00D901A4">
              <w:rPr>
                <w:rFonts w:ascii="Arial" w:hAnsi="Arial" w:cs="Arial"/>
              </w:rPr>
              <w:tab/>
            </w:r>
          </w:p>
          <w:p w14:paraId="4917659F" w14:textId="77777777" w:rsidR="00C10B8A" w:rsidRPr="00D901A4" w:rsidRDefault="00C10B8A" w:rsidP="00E2267D">
            <w:pPr>
              <w:rPr>
                <w:rFonts w:ascii="Arial" w:hAnsi="Arial" w:cs="Arial"/>
              </w:rPr>
            </w:pPr>
            <w:r w:rsidRPr="00D901A4">
              <w:rPr>
                <w:rFonts w:ascii="Arial" w:hAnsi="Arial" w:cs="Arial"/>
              </w:rPr>
              <w:t>Tracey Matthews - Non-Executive Director</w:t>
            </w:r>
          </w:p>
          <w:p w14:paraId="21A271DC" w14:textId="77777777" w:rsidR="00C10B8A" w:rsidRPr="00D901A4" w:rsidRDefault="00C10B8A" w:rsidP="00E2267D">
            <w:pPr>
              <w:rPr>
                <w:rFonts w:ascii="Arial" w:hAnsi="Arial" w:cs="Arial"/>
              </w:rPr>
            </w:pPr>
            <w:r w:rsidRPr="00D901A4">
              <w:rPr>
                <w:rFonts w:ascii="Arial" w:hAnsi="Arial" w:cs="Arial"/>
              </w:rPr>
              <w:t>Jean Llewellyn - Non-Executive Director</w:t>
            </w:r>
          </w:p>
          <w:p w14:paraId="6FF6CA61" w14:textId="6798B0C6" w:rsidR="00C10B8A" w:rsidRPr="00D901A4" w:rsidRDefault="00C10B8A" w:rsidP="00E2267D">
            <w:pPr>
              <w:rPr>
                <w:rFonts w:ascii="Arial" w:hAnsi="Arial" w:cs="Arial"/>
              </w:rPr>
            </w:pPr>
            <w:r w:rsidRPr="00D901A4">
              <w:rPr>
                <w:rFonts w:ascii="Arial" w:hAnsi="Arial" w:cs="Arial"/>
              </w:rPr>
              <w:t>J</w:t>
            </w:r>
            <w:r w:rsidR="0073328E" w:rsidRPr="00D901A4">
              <w:rPr>
                <w:rFonts w:ascii="Arial" w:hAnsi="Arial" w:cs="Arial"/>
              </w:rPr>
              <w:t>a</w:t>
            </w:r>
            <w:r w:rsidRPr="00D901A4">
              <w:rPr>
                <w:rFonts w:ascii="Arial" w:hAnsi="Arial" w:cs="Arial"/>
              </w:rPr>
              <w:t>net Wilson - Non-Executive Director</w:t>
            </w:r>
          </w:p>
          <w:p w14:paraId="69BED3B0" w14:textId="36134B21" w:rsidR="00C10B8A" w:rsidRPr="00D901A4" w:rsidRDefault="00C10B8A" w:rsidP="00E2267D">
            <w:pPr>
              <w:rPr>
                <w:rFonts w:ascii="Arial" w:hAnsi="Arial" w:cs="Arial"/>
              </w:rPr>
            </w:pPr>
            <w:r w:rsidRPr="00D901A4">
              <w:rPr>
                <w:rFonts w:ascii="Arial" w:hAnsi="Arial" w:cs="Arial"/>
              </w:rPr>
              <w:t>Sue Gray - Non-Executive Director</w:t>
            </w:r>
          </w:p>
          <w:p w14:paraId="5C1203F3" w14:textId="25E078B4" w:rsidR="0073328E" w:rsidRPr="00D901A4" w:rsidRDefault="0073328E" w:rsidP="00E2267D">
            <w:pPr>
              <w:rPr>
                <w:rFonts w:ascii="Arial" w:hAnsi="Arial" w:cs="Arial"/>
              </w:rPr>
            </w:pPr>
            <w:r w:rsidRPr="00D901A4">
              <w:rPr>
                <w:rFonts w:ascii="Arial" w:hAnsi="Arial" w:cs="Arial"/>
              </w:rPr>
              <w:t xml:space="preserve">Mark Foy- Chief Executive and </w:t>
            </w:r>
            <w:r w:rsidR="00144568" w:rsidRPr="00D901A4">
              <w:rPr>
                <w:rFonts w:ascii="Arial" w:hAnsi="Arial" w:cs="Arial"/>
              </w:rPr>
              <w:t>Chief Nuclear Inspector</w:t>
            </w:r>
          </w:p>
          <w:p w14:paraId="58CBE8DE" w14:textId="7F4D85C6" w:rsidR="00C10B8A" w:rsidRPr="00D901A4" w:rsidRDefault="00C10B8A" w:rsidP="00E2267D">
            <w:pPr>
              <w:rPr>
                <w:rFonts w:ascii="Arial" w:hAnsi="Arial" w:cs="Arial"/>
              </w:rPr>
            </w:pPr>
            <w:r w:rsidRPr="00D901A4">
              <w:rPr>
                <w:rFonts w:ascii="Arial" w:hAnsi="Arial" w:cs="Arial"/>
              </w:rPr>
              <w:t xml:space="preserve">Sarah High – Deputy Chief Executive </w:t>
            </w:r>
          </w:p>
          <w:p w14:paraId="21B17600" w14:textId="77777777" w:rsidR="00C10B8A" w:rsidRPr="00D901A4" w:rsidRDefault="00C10B8A" w:rsidP="00E2267D">
            <w:pPr>
              <w:rPr>
                <w:rFonts w:ascii="Arial" w:hAnsi="Arial" w:cs="Arial"/>
              </w:rPr>
            </w:pPr>
            <w:r w:rsidRPr="00D901A4">
              <w:rPr>
                <w:rFonts w:ascii="Arial" w:hAnsi="Arial" w:cs="Arial"/>
              </w:rPr>
              <w:t xml:space="preserve">Donald Urquhart – Executive Director of Regulation </w:t>
            </w:r>
          </w:p>
          <w:p w14:paraId="3008A050" w14:textId="77777777" w:rsidR="00C10B8A" w:rsidRPr="00D901A4" w:rsidRDefault="00C10B8A" w:rsidP="00E2267D">
            <w:pPr>
              <w:rPr>
                <w:rFonts w:ascii="Arial" w:hAnsi="Arial" w:cs="Arial"/>
              </w:rPr>
            </w:pPr>
          </w:p>
        </w:tc>
        <w:tc>
          <w:tcPr>
            <w:tcW w:w="4631" w:type="dxa"/>
          </w:tcPr>
          <w:p w14:paraId="55FAED62" w14:textId="77777777" w:rsidR="00C10B8A" w:rsidRPr="00D901A4" w:rsidRDefault="00C10B8A" w:rsidP="00E2267D">
            <w:pPr>
              <w:rPr>
                <w:rFonts w:ascii="Arial" w:hAnsi="Arial" w:cs="Arial"/>
                <w:b/>
              </w:rPr>
            </w:pPr>
            <w:r w:rsidRPr="00D901A4">
              <w:rPr>
                <w:rFonts w:ascii="Arial" w:hAnsi="Arial" w:cs="Arial"/>
                <w:b/>
              </w:rPr>
              <w:t>In Attendance:</w:t>
            </w:r>
          </w:p>
          <w:p w14:paraId="1671BE04" w14:textId="77777777" w:rsidR="00C10B8A" w:rsidRPr="00D901A4" w:rsidRDefault="00C10B8A" w:rsidP="00E2267D">
            <w:pPr>
              <w:rPr>
                <w:rFonts w:ascii="Arial" w:hAnsi="Arial" w:cs="Arial"/>
              </w:rPr>
            </w:pPr>
            <w:r w:rsidRPr="00D901A4">
              <w:rPr>
                <w:rFonts w:ascii="Arial" w:hAnsi="Arial" w:cs="Arial"/>
              </w:rPr>
              <w:t xml:space="preserve">Dave Caton, HR Director </w:t>
            </w:r>
          </w:p>
          <w:p w14:paraId="6571F978" w14:textId="0F992BB7" w:rsidR="00594AAC" w:rsidRDefault="00C10B8A" w:rsidP="00594AAC">
            <w:pPr>
              <w:rPr>
                <w:rFonts w:ascii="Arial" w:hAnsi="Arial" w:cs="Arial"/>
              </w:rPr>
            </w:pPr>
            <w:r w:rsidRPr="00D901A4">
              <w:rPr>
                <w:rFonts w:ascii="Arial" w:hAnsi="Arial" w:cs="Arial"/>
              </w:rPr>
              <w:t xml:space="preserve">Rachel Grant, Director of Policy and Communications </w:t>
            </w:r>
            <w:r w:rsidR="006B254B">
              <w:rPr>
                <w:rFonts w:ascii="Arial" w:hAnsi="Arial" w:cs="Arial"/>
              </w:rPr>
              <w:t>(P&amp;C)</w:t>
            </w:r>
          </w:p>
          <w:p w14:paraId="41E077B4" w14:textId="31EABD63" w:rsidR="00013410" w:rsidRDefault="008471F1" w:rsidP="00594AAC">
            <w:pPr>
              <w:rPr>
                <w:rFonts w:ascii="Arial" w:hAnsi="Arial" w:cs="Arial"/>
              </w:rPr>
            </w:pPr>
            <w:r>
              <w:rPr>
                <w:rFonts w:ascii="Arial" w:hAnsi="Arial" w:cs="Arial"/>
              </w:rPr>
              <w:t xml:space="preserve">Paul Dicks, </w:t>
            </w:r>
            <w:r w:rsidRPr="008471F1">
              <w:rPr>
                <w:rFonts w:ascii="Arial" w:hAnsi="Arial" w:cs="Arial"/>
              </w:rPr>
              <w:t>Director of Regulation</w:t>
            </w:r>
            <w:r w:rsidR="00AA071C">
              <w:rPr>
                <w:rFonts w:ascii="Arial" w:hAnsi="Arial" w:cs="Arial"/>
              </w:rPr>
              <w:t xml:space="preserve"> -Sellafie</w:t>
            </w:r>
            <w:r w:rsidR="00FE0B10">
              <w:rPr>
                <w:rFonts w:ascii="Arial" w:hAnsi="Arial" w:cs="Arial"/>
              </w:rPr>
              <w:t>ld Decommissioning</w:t>
            </w:r>
            <w:r w:rsidR="00812B6E">
              <w:rPr>
                <w:rFonts w:ascii="Arial" w:hAnsi="Arial" w:cs="Arial"/>
              </w:rPr>
              <w:t xml:space="preserve"> Fuel and Waste</w:t>
            </w:r>
          </w:p>
          <w:p w14:paraId="1DB55687" w14:textId="4F5043C5" w:rsidR="00013410" w:rsidRDefault="008471F1" w:rsidP="00594AAC">
            <w:pPr>
              <w:rPr>
                <w:rFonts w:ascii="Arial" w:hAnsi="Arial" w:cs="Arial"/>
              </w:rPr>
            </w:pPr>
            <w:r>
              <w:rPr>
                <w:rFonts w:ascii="Arial" w:hAnsi="Arial" w:cs="Arial"/>
              </w:rPr>
              <w:t>Alan Wylie,</w:t>
            </w:r>
            <w:r w:rsidR="00D36A88">
              <w:rPr>
                <w:rFonts w:ascii="Arial" w:hAnsi="Arial" w:cs="Arial"/>
              </w:rPr>
              <w:t xml:space="preserve"> </w:t>
            </w:r>
            <w:r w:rsidR="00D36A88" w:rsidRPr="00D36A88">
              <w:rPr>
                <w:rFonts w:ascii="Arial" w:hAnsi="Arial" w:cs="Arial"/>
              </w:rPr>
              <w:t>Nuc</w:t>
            </w:r>
            <w:r w:rsidR="009A29E6">
              <w:rPr>
                <w:rFonts w:ascii="Arial" w:hAnsi="Arial" w:cs="Arial"/>
              </w:rPr>
              <w:t>lear</w:t>
            </w:r>
            <w:r w:rsidR="00D36A88" w:rsidRPr="00D36A88">
              <w:rPr>
                <w:rFonts w:ascii="Arial" w:hAnsi="Arial" w:cs="Arial"/>
              </w:rPr>
              <w:t xml:space="preserve"> Safety Op</w:t>
            </w:r>
            <w:r w:rsidR="00C26E1B">
              <w:rPr>
                <w:rFonts w:ascii="Arial" w:hAnsi="Arial" w:cs="Arial"/>
              </w:rPr>
              <w:t>eration</w:t>
            </w:r>
            <w:r w:rsidR="00365C82">
              <w:rPr>
                <w:rFonts w:ascii="Arial" w:hAnsi="Arial" w:cs="Arial"/>
              </w:rPr>
              <w:t xml:space="preserve">al </w:t>
            </w:r>
            <w:r w:rsidR="00D36A88" w:rsidRPr="00D36A88">
              <w:rPr>
                <w:rFonts w:ascii="Arial" w:hAnsi="Arial" w:cs="Arial"/>
              </w:rPr>
              <w:t>Inspection</w:t>
            </w:r>
          </w:p>
          <w:p w14:paraId="38077374" w14:textId="7D02F4AA" w:rsidR="00013410" w:rsidRDefault="00CA0D7A" w:rsidP="00594AAC">
            <w:pPr>
              <w:rPr>
                <w:rFonts w:ascii="Arial" w:hAnsi="Arial" w:cs="Arial"/>
              </w:rPr>
            </w:pPr>
            <w:r>
              <w:rPr>
                <w:rFonts w:ascii="Arial" w:hAnsi="Arial" w:cs="Arial"/>
              </w:rPr>
              <w:t>Paul Fyfe,</w:t>
            </w:r>
            <w:r w:rsidR="00E041E4">
              <w:rPr>
                <w:rFonts w:ascii="Arial" w:hAnsi="Arial" w:cs="Arial"/>
              </w:rPr>
              <w:t xml:space="preserve"> </w:t>
            </w:r>
            <w:r w:rsidR="00E041E4" w:rsidRPr="00E041E4">
              <w:rPr>
                <w:rFonts w:ascii="Arial" w:hAnsi="Arial" w:cs="Arial"/>
              </w:rPr>
              <w:t>Director - Nuclear Security and Safeguards</w:t>
            </w:r>
          </w:p>
          <w:p w14:paraId="753F74AD" w14:textId="0428C4A3" w:rsidR="00005498" w:rsidRPr="00013410" w:rsidRDefault="00013410" w:rsidP="00594AAC">
            <w:pPr>
              <w:rPr>
                <w:rFonts w:ascii="Arial" w:hAnsi="Arial" w:cs="Arial"/>
              </w:rPr>
            </w:pPr>
            <w:r w:rsidRPr="00013410">
              <w:rPr>
                <w:rFonts w:ascii="Arial" w:hAnsi="Arial" w:cs="Arial"/>
              </w:rPr>
              <w:t>Kobina Lokko, P</w:t>
            </w:r>
            <w:r w:rsidR="006B254B">
              <w:rPr>
                <w:rFonts w:ascii="Arial" w:hAnsi="Arial" w:cs="Arial"/>
              </w:rPr>
              <w:t>&amp;C</w:t>
            </w:r>
          </w:p>
          <w:p w14:paraId="4AC1B972" w14:textId="060C3C87" w:rsidR="00097CC9" w:rsidRDefault="00097CC9" w:rsidP="00594AAC">
            <w:pPr>
              <w:rPr>
                <w:rFonts w:ascii="Arial" w:hAnsi="Arial" w:cs="Arial"/>
              </w:rPr>
            </w:pPr>
            <w:r>
              <w:rPr>
                <w:rFonts w:ascii="Arial" w:hAnsi="Arial" w:cs="Arial"/>
              </w:rPr>
              <w:t>Ian B</w:t>
            </w:r>
            <w:r w:rsidR="00283A37">
              <w:rPr>
                <w:rFonts w:ascii="Arial" w:hAnsi="Arial" w:cs="Arial"/>
              </w:rPr>
              <w:t xml:space="preserve">arlow, </w:t>
            </w:r>
            <w:r w:rsidR="00283A37" w:rsidRPr="00283A37">
              <w:rPr>
                <w:rFonts w:ascii="Arial" w:hAnsi="Arial" w:cs="Arial"/>
              </w:rPr>
              <w:t>Head of Transport Competent Authority</w:t>
            </w:r>
          </w:p>
          <w:p w14:paraId="4CD14B8B" w14:textId="758A53D4" w:rsidR="00097CC9" w:rsidRDefault="00005498" w:rsidP="00005498">
            <w:pPr>
              <w:rPr>
                <w:rFonts w:ascii="Arial" w:hAnsi="Arial" w:cs="Arial"/>
              </w:rPr>
            </w:pPr>
            <w:r>
              <w:rPr>
                <w:rFonts w:ascii="Arial" w:hAnsi="Arial" w:cs="Arial"/>
              </w:rPr>
              <w:t>Sarah Brown, Head of Policy</w:t>
            </w:r>
          </w:p>
          <w:p w14:paraId="3F80D20E" w14:textId="54B3E4FB" w:rsidR="00097CC9" w:rsidRPr="00D901A4" w:rsidRDefault="00097CC9" w:rsidP="00594AAC">
            <w:pPr>
              <w:rPr>
                <w:rFonts w:ascii="Arial" w:hAnsi="Arial" w:cs="Arial"/>
              </w:rPr>
            </w:pPr>
            <w:r>
              <w:rPr>
                <w:rFonts w:ascii="Arial" w:hAnsi="Arial" w:cs="Arial"/>
              </w:rPr>
              <w:t>Leanne</w:t>
            </w:r>
            <w:r w:rsidR="00283A37">
              <w:rPr>
                <w:rFonts w:ascii="Arial" w:hAnsi="Arial" w:cs="Arial"/>
              </w:rPr>
              <w:t xml:space="preserve"> Weild, </w:t>
            </w:r>
            <w:r w:rsidR="00283A37" w:rsidRPr="00283A37">
              <w:rPr>
                <w:rFonts w:ascii="Arial" w:hAnsi="Arial" w:cs="Arial"/>
              </w:rPr>
              <w:t>Head of Finance &amp; Commercial</w:t>
            </w:r>
          </w:p>
          <w:p w14:paraId="1DB0EB4C" w14:textId="77777777" w:rsidR="00C10B8A" w:rsidRPr="00D901A4" w:rsidRDefault="00C10B8A" w:rsidP="00E2267D">
            <w:pPr>
              <w:rPr>
                <w:rFonts w:ascii="Arial" w:hAnsi="Arial" w:cs="Arial"/>
              </w:rPr>
            </w:pPr>
          </w:p>
          <w:p w14:paraId="273F842C" w14:textId="77777777" w:rsidR="00C10B8A" w:rsidRPr="00D901A4" w:rsidRDefault="00C10B8A" w:rsidP="00E2267D">
            <w:pPr>
              <w:rPr>
                <w:rFonts w:ascii="Arial" w:hAnsi="Arial" w:cs="Arial"/>
                <w:b/>
                <w:bCs/>
              </w:rPr>
            </w:pPr>
            <w:r w:rsidRPr="00D901A4">
              <w:rPr>
                <w:rFonts w:ascii="Arial" w:hAnsi="Arial" w:cs="Arial"/>
                <w:b/>
                <w:bCs/>
              </w:rPr>
              <w:t xml:space="preserve">Observers: </w:t>
            </w:r>
          </w:p>
          <w:p w14:paraId="4ABE635A" w14:textId="5B7085E4" w:rsidR="00C10B8A" w:rsidRDefault="00731668" w:rsidP="00E2267D">
            <w:pPr>
              <w:rPr>
                <w:rFonts w:ascii="Arial" w:hAnsi="Arial" w:cs="Arial"/>
              </w:rPr>
            </w:pPr>
            <w:r w:rsidRPr="00D901A4">
              <w:rPr>
                <w:rFonts w:ascii="Arial" w:hAnsi="Arial" w:cs="Arial"/>
              </w:rPr>
              <w:t>Michael C</w:t>
            </w:r>
            <w:r w:rsidR="00147D35" w:rsidRPr="00D901A4">
              <w:rPr>
                <w:rFonts w:ascii="Arial" w:hAnsi="Arial" w:cs="Arial"/>
              </w:rPr>
              <w:t>onnolly, D</w:t>
            </w:r>
            <w:r w:rsidR="0094001E">
              <w:rPr>
                <w:rFonts w:ascii="Arial" w:hAnsi="Arial" w:cs="Arial"/>
              </w:rPr>
              <w:t xml:space="preserve">ivisional </w:t>
            </w:r>
            <w:r w:rsidR="00147D35" w:rsidRPr="00D901A4">
              <w:rPr>
                <w:rFonts w:ascii="Arial" w:hAnsi="Arial" w:cs="Arial"/>
              </w:rPr>
              <w:t>D</w:t>
            </w:r>
            <w:r w:rsidR="0094001E">
              <w:rPr>
                <w:rFonts w:ascii="Arial" w:hAnsi="Arial" w:cs="Arial"/>
              </w:rPr>
              <w:t xml:space="preserve">elivery </w:t>
            </w:r>
            <w:r w:rsidR="00147D35" w:rsidRPr="00D901A4">
              <w:rPr>
                <w:rFonts w:ascii="Arial" w:hAnsi="Arial" w:cs="Arial"/>
              </w:rPr>
              <w:t>S</w:t>
            </w:r>
            <w:r w:rsidR="0094001E">
              <w:rPr>
                <w:rFonts w:ascii="Arial" w:hAnsi="Arial" w:cs="Arial"/>
              </w:rPr>
              <w:t>upport</w:t>
            </w:r>
            <w:r w:rsidR="00147D35" w:rsidRPr="00D901A4">
              <w:rPr>
                <w:rFonts w:ascii="Arial" w:hAnsi="Arial" w:cs="Arial"/>
              </w:rPr>
              <w:t xml:space="preserve"> Team Leader, New Reactors</w:t>
            </w:r>
          </w:p>
          <w:p w14:paraId="77C5623A" w14:textId="4A5BA1C2" w:rsidR="001D1EAE" w:rsidRPr="00D901A4" w:rsidRDefault="001D1EAE" w:rsidP="00E2267D">
            <w:pPr>
              <w:rPr>
                <w:rFonts w:ascii="Arial" w:hAnsi="Arial" w:cs="Arial"/>
              </w:rPr>
            </w:pPr>
            <w:r>
              <w:rPr>
                <w:rFonts w:ascii="Arial" w:hAnsi="Arial" w:cs="Arial"/>
              </w:rPr>
              <w:t>Dame Judith Hackitt</w:t>
            </w:r>
            <w:r w:rsidR="0094001E">
              <w:rPr>
                <w:rFonts w:ascii="Arial" w:hAnsi="Arial" w:cs="Arial"/>
              </w:rPr>
              <w:t xml:space="preserve">, </w:t>
            </w:r>
            <w:r w:rsidR="00AD4119">
              <w:rPr>
                <w:rFonts w:ascii="Arial" w:hAnsi="Arial" w:cs="Arial"/>
              </w:rPr>
              <w:t>Incoming Interim Chair</w:t>
            </w:r>
            <w:r w:rsidR="00023CC8">
              <w:rPr>
                <w:rFonts w:ascii="Arial" w:hAnsi="Arial" w:cs="Arial"/>
              </w:rPr>
              <w:t xml:space="preserve"> (Items </w:t>
            </w:r>
            <w:r w:rsidR="00F53F56">
              <w:rPr>
                <w:rFonts w:ascii="Arial" w:hAnsi="Arial" w:cs="Arial"/>
              </w:rPr>
              <w:t>7</w:t>
            </w:r>
            <w:r w:rsidR="00AD4119">
              <w:rPr>
                <w:rFonts w:ascii="Arial" w:hAnsi="Arial" w:cs="Arial"/>
              </w:rPr>
              <w:t>-</w:t>
            </w:r>
            <w:r w:rsidR="00F53F56">
              <w:rPr>
                <w:rFonts w:ascii="Arial" w:hAnsi="Arial" w:cs="Arial"/>
              </w:rPr>
              <w:t>11</w:t>
            </w:r>
            <w:r w:rsidR="00AD4119">
              <w:rPr>
                <w:rFonts w:ascii="Arial" w:hAnsi="Arial" w:cs="Arial"/>
              </w:rPr>
              <w:t>)</w:t>
            </w:r>
          </w:p>
          <w:p w14:paraId="04F64599" w14:textId="77777777" w:rsidR="00C10B8A" w:rsidRPr="00D901A4" w:rsidRDefault="00C10B8A" w:rsidP="00E2267D">
            <w:pPr>
              <w:rPr>
                <w:rFonts w:ascii="Arial" w:hAnsi="Arial" w:cs="Arial"/>
              </w:rPr>
            </w:pPr>
          </w:p>
        </w:tc>
      </w:tr>
    </w:tbl>
    <w:p w14:paraId="201A42DE" w14:textId="347E9554" w:rsidR="00467635" w:rsidRPr="00D901A4" w:rsidRDefault="00C10B8A" w:rsidP="00E2267D">
      <w:pPr>
        <w:rPr>
          <w:rFonts w:ascii="Arial" w:hAnsi="Arial" w:cs="Arial"/>
          <w:bCs/>
        </w:rPr>
      </w:pPr>
      <w:r w:rsidRPr="00D901A4">
        <w:rPr>
          <w:rFonts w:ascii="Arial" w:hAnsi="Arial" w:cs="Arial"/>
          <w:b/>
        </w:rPr>
        <w:t xml:space="preserve">Secretariat: </w:t>
      </w:r>
      <w:r w:rsidRPr="00D901A4">
        <w:rPr>
          <w:rFonts w:ascii="Arial" w:hAnsi="Arial" w:cs="Arial"/>
          <w:bCs/>
        </w:rPr>
        <w:t>Nidhi Misri, Head of Corporate Governance and Compliance (Board Secretary)</w:t>
      </w:r>
    </w:p>
    <w:p w14:paraId="77337421" w14:textId="0BFB142C" w:rsidR="00C10B8A" w:rsidRPr="00D901A4" w:rsidRDefault="00C10B8A" w:rsidP="00E2267D">
      <w:pPr>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7884"/>
      </w:tblGrid>
      <w:tr w:rsidR="000A5AC2" w:rsidRPr="00D901A4" w14:paraId="3390E441" w14:textId="77777777" w:rsidTr="00442BB7">
        <w:tc>
          <w:tcPr>
            <w:tcW w:w="1142" w:type="dxa"/>
          </w:tcPr>
          <w:p w14:paraId="1D59C22B" w14:textId="77777777" w:rsidR="000A5AC2" w:rsidRPr="00D901A4" w:rsidRDefault="000A5AC2" w:rsidP="00E2267D">
            <w:pPr>
              <w:tabs>
                <w:tab w:val="left" w:pos="5347"/>
              </w:tabs>
              <w:rPr>
                <w:rFonts w:ascii="Arial" w:hAnsi="Arial" w:cs="Arial"/>
                <w:b/>
              </w:rPr>
            </w:pPr>
            <w:r w:rsidRPr="00D901A4">
              <w:rPr>
                <w:rFonts w:ascii="Arial" w:hAnsi="Arial" w:cs="Arial"/>
                <w:b/>
              </w:rPr>
              <w:t>1</w:t>
            </w:r>
          </w:p>
        </w:tc>
        <w:tc>
          <w:tcPr>
            <w:tcW w:w="7884" w:type="dxa"/>
          </w:tcPr>
          <w:p w14:paraId="177ABECB" w14:textId="77777777" w:rsidR="000A5AC2" w:rsidRPr="00D901A4" w:rsidRDefault="000A5AC2" w:rsidP="00E2267D">
            <w:pPr>
              <w:tabs>
                <w:tab w:val="left" w:pos="5347"/>
              </w:tabs>
              <w:rPr>
                <w:rFonts w:ascii="Arial" w:hAnsi="Arial" w:cs="Arial"/>
                <w:b/>
              </w:rPr>
            </w:pPr>
            <w:r w:rsidRPr="00D901A4">
              <w:rPr>
                <w:rFonts w:ascii="Arial" w:hAnsi="Arial" w:cs="Arial"/>
                <w:b/>
              </w:rPr>
              <w:t xml:space="preserve">Welcome, Apologies for Absence and Declarations of Interest </w:t>
            </w:r>
          </w:p>
          <w:p w14:paraId="5AF63D0C" w14:textId="77777777" w:rsidR="000A5AC2" w:rsidRPr="00D901A4" w:rsidRDefault="000A5AC2" w:rsidP="00E2267D">
            <w:pPr>
              <w:tabs>
                <w:tab w:val="left" w:pos="5347"/>
              </w:tabs>
              <w:rPr>
                <w:rFonts w:ascii="Arial" w:hAnsi="Arial" w:cs="Arial"/>
                <w:b/>
              </w:rPr>
            </w:pPr>
          </w:p>
        </w:tc>
      </w:tr>
      <w:tr w:rsidR="000A5AC2" w:rsidRPr="00D901A4" w14:paraId="0B576307" w14:textId="77777777" w:rsidTr="00442BB7">
        <w:tc>
          <w:tcPr>
            <w:tcW w:w="1142" w:type="dxa"/>
          </w:tcPr>
          <w:p w14:paraId="589164DC" w14:textId="77777777" w:rsidR="000A5AC2" w:rsidRPr="00D901A4" w:rsidRDefault="000A5AC2" w:rsidP="00E2267D">
            <w:pPr>
              <w:tabs>
                <w:tab w:val="left" w:pos="5347"/>
              </w:tabs>
              <w:rPr>
                <w:rFonts w:ascii="Arial" w:hAnsi="Arial" w:cs="Arial"/>
              </w:rPr>
            </w:pPr>
            <w:r w:rsidRPr="00D901A4">
              <w:rPr>
                <w:rFonts w:ascii="Arial" w:hAnsi="Arial" w:cs="Arial"/>
              </w:rPr>
              <w:t>1.1</w:t>
            </w:r>
          </w:p>
          <w:p w14:paraId="5CD71E31" w14:textId="77777777" w:rsidR="000A5AC2" w:rsidRPr="00D901A4" w:rsidRDefault="000A5AC2" w:rsidP="00E2267D">
            <w:pPr>
              <w:tabs>
                <w:tab w:val="left" w:pos="5347"/>
              </w:tabs>
              <w:rPr>
                <w:rFonts w:ascii="Arial" w:hAnsi="Arial" w:cs="Arial"/>
              </w:rPr>
            </w:pPr>
          </w:p>
        </w:tc>
        <w:tc>
          <w:tcPr>
            <w:tcW w:w="7884" w:type="dxa"/>
          </w:tcPr>
          <w:p w14:paraId="6698A6A0" w14:textId="77777777" w:rsidR="000A5AC2" w:rsidRDefault="000A5AC2"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eastAsia="Arial" w:hAnsi="Arial" w:cs="Arial"/>
                <w:bCs/>
                <w:color w:val="auto"/>
              </w:rPr>
            </w:pPr>
            <w:r w:rsidRPr="00D901A4">
              <w:rPr>
                <w:rFonts w:ascii="Arial" w:eastAsia="Arial" w:hAnsi="Arial" w:cs="Arial"/>
                <w:bCs/>
                <w:color w:val="auto"/>
              </w:rPr>
              <w:t>The Chair welcomed everyone to the meeting. An apology for absence had been received on behalf of Sarika Patel, Non-Executive Director and Geoff Hawker, Finance Director.</w:t>
            </w:r>
          </w:p>
          <w:p w14:paraId="43AE2893" w14:textId="44B212B6" w:rsidR="00BC0353" w:rsidRPr="00D901A4" w:rsidRDefault="00BC0353"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hAnsi="Arial" w:cs="Arial"/>
              </w:rPr>
            </w:pPr>
          </w:p>
        </w:tc>
      </w:tr>
      <w:tr w:rsidR="000A5AC2" w:rsidRPr="00D901A4" w14:paraId="7883C0BE" w14:textId="77777777" w:rsidTr="00442BB7">
        <w:tc>
          <w:tcPr>
            <w:tcW w:w="1142" w:type="dxa"/>
          </w:tcPr>
          <w:p w14:paraId="7EA358AF" w14:textId="77777777" w:rsidR="000A5AC2" w:rsidRPr="00D901A4" w:rsidRDefault="000A5AC2" w:rsidP="00E2267D">
            <w:pPr>
              <w:tabs>
                <w:tab w:val="left" w:pos="5347"/>
              </w:tabs>
              <w:rPr>
                <w:rFonts w:ascii="Arial" w:hAnsi="Arial" w:cs="Arial"/>
              </w:rPr>
            </w:pPr>
            <w:r w:rsidRPr="00D901A4">
              <w:rPr>
                <w:rFonts w:ascii="Arial" w:hAnsi="Arial" w:cs="Arial"/>
              </w:rPr>
              <w:t>1.2</w:t>
            </w:r>
          </w:p>
        </w:tc>
        <w:tc>
          <w:tcPr>
            <w:tcW w:w="7884" w:type="dxa"/>
          </w:tcPr>
          <w:p w14:paraId="5B8E3A2B" w14:textId="77777777" w:rsidR="000A5AC2" w:rsidRPr="00D901A4" w:rsidRDefault="000A5AC2"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r w:rsidRPr="00D901A4">
              <w:rPr>
                <w:rFonts w:ascii="Arial" w:eastAsia="Arial" w:hAnsi="Arial" w:cs="Arial"/>
                <w:bCs/>
                <w:color w:val="auto"/>
              </w:rPr>
              <w:t>There were no declarations of interest.</w:t>
            </w:r>
          </w:p>
          <w:p w14:paraId="7A5A628D" w14:textId="77777777" w:rsidR="000A5AC2" w:rsidRPr="00D901A4" w:rsidRDefault="000A5AC2"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p>
        </w:tc>
      </w:tr>
      <w:tr w:rsidR="000A5AC2" w:rsidRPr="00D901A4" w14:paraId="2BE6D30E" w14:textId="77777777" w:rsidTr="00442BB7">
        <w:tc>
          <w:tcPr>
            <w:tcW w:w="1142" w:type="dxa"/>
          </w:tcPr>
          <w:p w14:paraId="71862D3C" w14:textId="77777777" w:rsidR="000A5AC2" w:rsidRPr="00D901A4" w:rsidRDefault="000A5AC2" w:rsidP="00E2267D">
            <w:pPr>
              <w:tabs>
                <w:tab w:val="left" w:pos="5347"/>
              </w:tabs>
              <w:rPr>
                <w:rFonts w:ascii="Arial" w:hAnsi="Arial" w:cs="Arial"/>
                <w:b/>
              </w:rPr>
            </w:pPr>
            <w:r w:rsidRPr="00D901A4">
              <w:rPr>
                <w:rFonts w:ascii="Arial" w:hAnsi="Arial" w:cs="Arial"/>
                <w:b/>
              </w:rPr>
              <w:t>2</w:t>
            </w:r>
          </w:p>
        </w:tc>
        <w:tc>
          <w:tcPr>
            <w:tcW w:w="7884" w:type="dxa"/>
          </w:tcPr>
          <w:p w14:paraId="43824C82" w14:textId="7E761A60" w:rsidR="000A5AC2" w:rsidRPr="00D901A4" w:rsidRDefault="000A5AC2" w:rsidP="00E2267D">
            <w:pPr>
              <w:tabs>
                <w:tab w:val="left" w:pos="5347"/>
              </w:tabs>
              <w:rPr>
                <w:rFonts w:ascii="Arial" w:hAnsi="Arial" w:cs="Arial"/>
                <w:b/>
              </w:rPr>
            </w:pPr>
            <w:r w:rsidRPr="00D901A4">
              <w:rPr>
                <w:rFonts w:ascii="Arial" w:hAnsi="Arial" w:cs="Arial"/>
                <w:b/>
              </w:rPr>
              <w:t xml:space="preserve">Minutes, </w:t>
            </w:r>
            <w:r w:rsidR="00815624">
              <w:rPr>
                <w:rFonts w:ascii="Arial" w:hAnsi="Arial" w:cs="Arial"/>
                <w:b/>
              </w:rPr>
              <w:t>m</w:t>
            </w:r>
            <w:r w:rsidRPr="00D901A4">
              <w:rPr>
                <w:rFonts w:ascii="Arial" w:hAnsi="Arial" w:cs="Arial"/>
                <w:b/>
              </w:rPr>
              <w:t xml:space="preserve">atters </w:t>
            </w:r>
            <w:r w:rsidR="00815624">
              <w:rPr>
                <w:rFonts w:ascii="Arial" w:hAnsi="Arial" w:cs="Arial"/>
                <w:b/>
              </w:rPr>
              <w:t>a</w:t>
            </w:r>
            <w:r w:rsidRPr="00D901A4">
              <w:rPr>
                <w:rFonts w:ascii="Arial" w:hAnsi="Arial" w:cs="Arial"/>
                <w:b/>
              </w:rPr>
              <w:t xml:space="preserve">rising and </w:t>
            </w:r>
            <w:r w:rsidR="00815624">
              <w:rPr>
                <w:rFonts w:ascii="Arial" w:hAnsi="Arial" w:cs="Arial"/>
                <w:b/>
              </w:rPr>
              <w:t>a</w:t>
            </w:r>
            <w:r w:rsidRPr="00D901A4">
              <w:rPr>
                <w:rFonts w:ascii="Arial" w:hAnsi="Arial" w:cs="Arial"/>
                <w:b/>
              </w:rPr>
              <w:t xml:space="preserve">ction </w:t>
            </w:r>
            <w:r w:rsidR="00815624">
              <w:rPr>
                <w:rFonts w:ascii="Arial" w:hAnsi="Arial" w:cs="Arial"/>
                <w:b/>
              </w:rPr>
              <w:t>p</w:t>
            </w:r>
            <w:r w:rsidRPr="00D901A4">
              <w:rPr>
                <w:rFonts w:ascii="Arial" w:hAnsi="Arial" w:cs="Arial"/>
                <w:b/>
              </w:rPr>
              <w:t xml:space="preserve">oints </w:t>
            </w:r>
          </w:p>
          <w:p w14:paraId="78BDFED9" w14:textId="77777777" w:rsidR="000A5AC2" w:rsidRPr="00D901A4" w:rsidRDefault="000A5AC2" w:rsidP="00E2267D">
            <w:pPr>
              <w:tabs>
                <w:tab w:val="left" w:pos="5347"/>
              </w:tabs>
              <w:rPr>
                <w:rFonts w:ascii="Arial" w:hAnsi="Arial" w:cs="Arial"/>
                <w:b/>
              </w:rPr>
            </w:pPr>
          </w:p>
        </w:tc>
      </w:tr>
      <w:tr w:rsidR="000A5AC2" w:rsidRPr="00D901A4" w14:paraId="5CE35502" w14:textId="77777777" w:rsidTr="00442BB7">
        <w:tc>
          <w:tcPr>
            <w:tcW w:w="1142" w:type="dxa"/>
          </w:tcPr>
          <w:p w14:paraId="513B7C41" w14:textId="77777777" w:rsidR="000A5AC2" w:rsidRPr="00D901A4" w:rsidRDefault="000A5AC2" w:rsidP="00E2267D">
            <w:pPr>
              <w:tabs>
                <w:tab w:val="left" w:pos="5347"/>
              </w:tabs>
              <w:rPr>
                <w:rFonts w:ascii="Arial" w:hAnsi="Arial" w:cs="Arial"/>
              </w:rPr>
            </w:pPr>
            <w:r w:rsidRPr="00D901A4">
              <w:rPr>
                <w:rFonts w:ascii="Arial" w:hAnsi="Arial" w:cs="Arial"/>
              </w:rPr>
              <w:t>2.1</w:t>
            </w:r>
          </w:p>
        </w:tc>
        <w:tc>
          <w:tcPr>
            <w:tcW w:w="7884" w:type="dxa"/>
          </w:tcPr>
          <w:p w14:paraId="53071384" w14:textId="77777777" w:rsidR="000A5AC2" w:rsidRPr="00D901A4" w:rsidRDefault="000A5AC2" w:rsidP="00E2267D">
            <w:pPr>
              <w:contextualSpacing/>
              <w:rPr>
                <w:rFonts w:ascii="Arial" w:hAnsi="Arial"/>
                <w:bCs/>
                <w:color w:val="000000" w:themeColor="text1"/>
                <w:szCs w:val="20"/>
                <w:lang w:eastAsia="en-US"/>
              </w:rPr>
            </w:pPr>
            <w:r w:rsidRPr="00D901A4">
              <w:rPr>
                <w:rFonts w:ascii="Arial" w:hAnsi="Arial"/>
                <w:bCs/>
                <w:color w:val="000000" w:themeColor="text1"/>
                <w:szCs w:val="20"/>
                <w:lang w:eastAsia="en-US"/>
              </w:rPr>
              <w:t>The minutes of the meeting held on 27 September 2023 were approved as a correct record.</w:t>
            </w:r>
          </w:p>
          <w:p w14:paraId="022B9442" w14:textId="65002E8F" w:rsidR="000A5AC2" w:rsidRPr="00D901A4" w:rsidRDefault="000A5AC2" w:rsidP="00E2267D">
            <w:pPr>
              <w:contextualSpacing/>
              <w:rPr>
                <w:rFonts w:ascii="Arial" w:hAnsi="Arial"/>
                <w:bCs/>
                <w:color w:val="000000" w:themeColor="text1"/>
                <w:szCs w:val="20"/>
                <w:lang w:eastAsia="en-US"/>
              </w:rPr>
            </w:pPr>
          </w:p>
        </w:tc>
      </w:tr>
      <w:tr w:rsidR="000A5AC2" w:rsidRPr="00D901A4" w14:paraId="7CA64719" w14:textId="77777777" w:rsidTr="008C531E">
        <w:trPr>
          <w:trHeight w:val="399"/>
        </w:trPr>
        <w:tc>
          <w:tcPr>
            <w:tcW w:w="1142" w:type="dxa"/>
          </w:tcPr>
          <w:p w14:paraId="12C0835C" w14:textId="5D1B9999" w:rsidR="000A5AC2" w:rsidRPr="00D901A4" w:rsidRDefault="000A5AC2" w:rsidP="00E2267D">
            <w:pPr>
              <w:tabs>
                <w:tab w:val="left" w:pos="5347"/>
              </w:tabs>
              <w:rPr>
                <w:rFonts w:ascii="Arial" w:hAnsi="Arial" w:cs="Arial"/>
              </w:rPr>
            </w:pPr>
            <w:r w:rsidRPr="00D901A4">
              <w:rPr>
                <w:rFonts w:ascii="Arial" w:hAnsi="Arial" w:cs="Arial"/>
              </w:rPr>
              <w:t>2.2</w:t>
            </w:r>
          </w:p>
        </w:tc>
        <w:tc>
          <w:tcPr>
            <w:tcW w:w="7884" w:type="dxa"/>
          </w:tcPr>
          <w:p w14:paraId="0C970C83" w14:textId="77777777" w:rsidR="000A5AC2" w:rsidRDefault="000A5AC2" w:rsidP="00E2267D">
            <w:pPr>
              <w:rPr>
                <w:rFonts w:ascii="Arial" w:hAnsi="Arial" w:cs="Arial"/>
                <w:bCs/>
              </w:rPr>
            </w:pPr>
            <w:r w:rsidRPr="00D901A4">
              <w:rPr>
                <w:rFonts w:ascii="Arial" w:hAnsi="Arial" w:cs="Arial"/>
                <w:bCs/>
              </w:rPr>
              <w:t>The Board noted that all actions were either complete or on track.</w:t>
            </w:r>
          </w:p>
          <w:p w14:paraId="1FD4A8D6" w14:textId="77777777" w:rsidR="00BC0353" w:rsidRDefault="00BC0353" w:rsidP="00E2267D">
            <w:pPr>
              <w:rPr>
                <w:rFonts w:ascii="Arial" w:hAnsi="Arial" w:cs="Arial"/>
                <w:bCs/>
              </w:rPr>
            </w:pPr>
          </w:p>
          <w:p w14:paraId="79D25E42" w14:textId="77777777" w:rsidR="00BC0353" w:rsidRDefault="00BC0353" w:rsidP="00E2267D">
            <w:pPr>
              <w:rPr>
                <w:rFonts w:ascii="Arial" w:hAnsi="Arial" w:cs="Arial"/>
                <w:bCs/>
              </w:rPr>
            </w:pPr>
          </w:p>
          <w:p w14:paraId="6CE01A49" w14:textId="77777777" w:rsidR="00BC0353" w:rsidRDefault="00BC0353" w:rsidP="00E2267D">
            <w:pPr>
              <w:rPr>
                <w:rFonts w:ascii="Arial" w:hAnsi="Arial" w:cs="Arial"/>
                <w:bCs/>
              </w:rPr>
            </w:pPr>
          </w:p>
          <w:p w14:paraId="521D6D82" w14:textId="77777777" w:rsidR="00BC0353" w:rsidRDefault="00BC0353" w:rsidP="00E2267D">
            <w:pPr>
              <w:rPr>
                <w:rFonts w:ascii="Arial" w:hAnsi="Arial" w:cs="Arial"/>
                <w:bCs/>
              </w:rPr>
            </w:pPr>
          </w:p>
          <w:p w14:paraId="7E7C2BB9" w14:textId="77777777" w:rsidR="00BC0353" w:rsidRPr="00D901A4" w:rsidRDefault="00BC0353" w:rsidP="00E2267D">
            <w:pPr>
              <w:rPr>
                <w:rFonts w:ascii="Arial" w:hAnsi="Arial" w:cs="Arial"/>
                <w:bCs/>
              </w:rPr>
            </w:pPr>
          </w:p>
        </w:tc>
      </w:tr>
      <w:tr w:rsidR="008C531E" w:rsidRPr="00D901A4" w14:paraId="6E520564" w14:textId="77777777" w:rsidTr="008C531E">
        <w:trPr>
          <w:trHeight w:val="399"/>
        </w:trPr>
        <w:tc>
          <w:tcPr>
            <w:tcW w:w="1142" w:type="dxa"/>
          </w:tcPr>
          <w:p w14:paraId="07813B12" w14:textId="77777777" w:rsidR="008C531E" w:rsidRPr="00D901A4" w:rsidRDefault="008C531E" w:rsidP="00E2267D">
            <w:pPr>
              <w:tabs>
                <w:tab w:val="left" w:pos="5347"/>
              </w:tabs>
              <w:rPr>
                <w:rFonts w:ascii="Arial" w:hAnsi="Arial" w:cs="Arial"/>
                <w:b/>
                <w:bCs/>
              </w:rPr>
            </w:pPr>
            <w:r w:rsidRPr="00D901A4">
              <w:rPr>
                <w:rFonts w:ascii="Arial" w:hAnsi="Arial" w:cs="Arial"/>
                <w:b/>
                <w:bCs/>
              </w:rPr>
              <w:lastRenderedPageBreak/>
              <w:t>3</w:t>
            </w:r>
          </w:p>
          <w:p w14:paraId="0DC6A9FC" w14:textId="77777777" w:rsidR="008C531E" w:rsidRPr="00D901A4" w:rsidRDefault="008C531E" w:rsidP="00E2267D">
            <w:pPr>
              <w:rPr>
                <w:rFonts w:ascii="Arial" w:hAnsi="Arial" w:cs="Arial"/>
              </w:rPr>
            </w:pPr>
          </w:p>
          <w:p w14:paraId="517943E3" w14:textId="25E7366F" w:rsidR="008C531E" w:rsidRPr="00D901A4" w:rsidRDefault="008C531E" w:rsidP="00E2267D">
            <w:pPr>
              <w:rPr>
                <w:rFonts w:ascii="Arial" w:hAnsi="Arial" w:cs="Arial"/>
              </w:rPr>
            </w:pPr>
            <w:r w:rsidRPr="00D901A4">
              <w:rPr>
                <w:rFonts w:ascii="Arial" w:hAnsi="Arial" w:cs="Arial"/>
              </w:rPr>
              <w:t xml:space="preserve">3.1 </w:t>
            </w:r>
          </w:p>
        </w:tc>
        <w:tc>
          <w:tcPr>
            <w:tcW w:w="7884" w:type="dxa"/>
          </w:tcPr>
          <w:p w14:paraId="4959E061" w14:textId="09488BCE" w:rsidR="008C531E" w:rsidRPr="00D901A4" w:rsidRDefault="008C531E" w:rsidP="00E2267D">
            <w:pPr>
              <w:tabs>
                <w:tab w:val="left" w:pos="5347"/>
              </w:tabs>
              <w:rPr>
                <w:rFonts w:ascii="Arial" w:hAnsi="Arial" w:cs="Arial"/>
                <w:b/>
              </w:rPr>
            </w:pPr>
            <w:r w:rsidRPr="00D901A4">
              <w:rPr>
                <w:rFonts w:ascii="Arial" w:hAnsi="Arial" w:cs="Arial"/>
                <w:b/>
              </w:rPr>
              <w:t xml:space="preserve">Chair’s </w:t>
            </w:r>
            <w:r w:rsidR="00815624">
              <w:rPr>
                <w:rFonts w:ascii="Arial" w:hAnsi="Arial" w:cs="Arial"/>
                <w:b/>
              </w:rPr>
              <w:t>r</w:t>
            </w:r>
            <w:r w:rsidRPr="00D901A4">
              <w:rPr>
                <w:rFonts w:ascii="Arial" w:hAnsi="Arial" w:cs="Arial"/>
                <w:b/>
              </w:rPr>
              <w:t>eport</w:t>
            </w:r>
          </w:p>
          <w:p w14:paraId="0DDF6161" w14:textId="77777777" w:rsidR="008C531E" w:rsidRPr="00D901A4" w:rsidRDefault="008C531E" w:rsidP="00E2267D">
            <w:pPr>
              <w:tabs>
                <w:tab w:val="left" w:pos="5347"/>
              </w:tabs>
              <w:rPr>
                <w:rFonts w:ascii="Arial" w:hAnsi="Arial" w:cs="Arial"/>
                <w:b/>
              </w:rPr>
            </w:pPr>
          </w:p>
          <w:p w14:paraId="32201691" w14:textId="77777777" w:rsidR="008C531E" w:rsidRPr="00D901A4" w:rsidRDefault="008C531E" w:rsidP="00E2267D">
            <w:pPr>
              <w:tabs>
                <w:tab w:val="left" w:pos="5347"/>
              </w:tabs>
              <w:rPr>
                <w:rFonts w:ascii="Arial" w:hAnsi="Arial" w:cs="Arial"/>
                <w:bCs/>
              </w:rPr>
            </w:pPr>
            <w:r w:rsidRPr="00D901A4">
              <w:rPr>
                <w:rFonts w:ascii="Arial" w:hAnsi="Arial" w:cs="Arial"/>
                <w:bCs/>
              </w:rPr>
              <w:t>The Chair provided an update on activity since the September Board meeting. This was his last Board meeting as Chair of ONR and he thanked board members for their contributions over the last few years. He noted the advancement at Board level in engagement with stakeholders which had made a big difference. Bringing together nuclear partners had provided a great forum for strategic conversations which would continue.</w:t>
            </w:r>
          </w:p>
          <w:p w14:paraId="342E4677" w14:textId="77777777" w:rsidR="008C531E" w:rsidRPr="00D901A4" w:rsidRDefault="008C531E" w:rsidP="00E2267D">
            <w:pPr>
              <w:rPr>
                <w:rFonts w:ascii="Arial" w:hAnsi="Arial" w:cs="Arial"/>
                <w:bCs/>
              </w:rPr>
            </w:pPr>
          </w:p>
        </w:tc>
      </w:tr>
      <w:tr w:rsidR="008C531E" w:rsidRPr="00D901A4" w14:paraId="3D499A5D" w14:textId="77777777" w:rsidTr="008C531E">
        <w:trPr>
          <w:trHeight w:val="399"/>
        </w:trPr>
        <w:tc>
          <w:tcPr>
            <w:tcW w:w="1142" w:type="dxa"/>
          </w:tcPr>
          <w:p w14:paraId="02ADAA39" w14:textId="6E3FB300" w:rsidR="008C531E" w:rsidRPr="00D901A4" w:rsidRDefault="008C531E" w:rsidP="00E2267D">
            <w:pPr>
              <w:tabs>
                <w:tab w:val="left" w:pos="5347"/>
              </w:tabs>
              <w:rPr>
                <w:rFonts w:ascii="Arial" w:hAnsi="Arial" w:cs="Arial"/>
              </w:rPr>
            </w:pPr>
            <w:r w:rsidRPr="00D901A4">
              <w:rPr>
                <w:rFonts w:ascii="Arial" w:hAnsi="Arial" w:cs="Arial"/>
              </w:rPr>
              <w:t>3.2</w:t>
            </w:r>
          </w:p>
        </w:tc>
        <w:tc>
          <w:tcPr>
            <w:tcW w:w="7884" w:type="dxa"/>
          </w:tcPr>
          <w:p w14:paraId="1CC2F931" w14:textId="33050432" w:rsidR="008C531E" w:rsidRPr="00D901A4" w:rsidRDefault="008C531E" w:rsidP="00E2267D">
            <w:pPr>
              <w:tabs>
                <w:tab w:val="left" w:pos="5347"/>
              </w:tabs>
              <w:rPr>
                <w:rFonts w:ascii="Arial" w:hAnsi="Arial" w:cs="Arial"/>
                <w:bCs/>
              </w:rPr>
            </w:pPr>
            <w:r w:rsidRPr="00D901A4">
              <w:rPr>
                <w:rFonts w:ascii="Arial" w:hAnsi="Arial" w:cs="Arial"/>
                <w:bCs/>
              </w:rPr>
              <w:t>He noted the work of</w:t>
            </w:r>
            <w:r w:rsidR="00EA425F">
              <w:rPr>
                <w:rFonts w:ascii="Arial" w:hAnsi="Arial" w:cs="Arial"/>
                <w:bCs/>
              </w:rPr>
              <w:t xml:space="preserve"> </w:t>
            </w:r>
            <w:r w:rsidR="00372DFB">
              <w:rPr>
                <w:rFonts w:ascii="Arial" w:hAnsi="Arial" w:cs="Arial"/>
                <w:bCs/>
              </w:rPr>
              <w:t xml:space="preserve">officials and partnership teams at ONR’s Sponsor </w:t>
            </w:r>
            <w:r w:rsidR="00447E90">
              <w:rPr>
                <w:rFonts w:ascii="Arial" w:hAnsi="Arial" w:cs="Arial"/>
                <w:bCs/>
              </w:rPr>
              <w:t>Department,</w:t>
            </w:r>
            <w:r w:rsidRPr="00D901A4">
              <w:rPr>
                <w:rFonts w:ascii="Arial" w:hAnsi="Arial" w:cs="Arial"/>
                <w:bCs/>
              </w:rPr>
              <w:t xml:space="preserve"> </w:t>
            </w:r>
            <w:r w:rsidR="00887F46">
              <w:rPr>
                <w:rFonts w:ascii="Arial" w:hAnsi="Arial" w:cs="Arial"/>
                <w:bCs/>
              </w:rPr>
              <w:t>the Department for Work and Pensions (</w:t>
            </w:r>
            <w:r w:rsidRPr="00D901A4">
              <w:rPr>
                <w:rFonts w:ascii="Arial" w:hAnsi="Arial" w:cs="Arial"/>
                <w:bCs/>
              </w:rPr>
              <w:t>DWP</w:t>
            </w:r>
            <w:r w:rsidR="00887F46">
              <w:rPr>
                <w:rFonts w:ascii="Arial" w:hAnsi="Arial" w:cs="Arial"/>
                <w:bCs/>
              </w:rPr>
              <w:t>)</w:t>
            </w:r>
            <w:r w:rsidRPr="00D901A4">
              <w:rPr>
                <w:rFonts w:ascii="Arial" w:hAnsi="Arial" w:cs="Arial"/>
                <w:bCs/>
              </w:rPr>
              <w:t xml:space="preserve"> and </w:t>
            </w:r>
            <w:r w:rsidR="00447E90">
              <w:rPr>
                <w:rFonts w:ascii="Arial" w:hAnsi="Arial" w:cs="Arial"/>
                <w:bCs/>
              </w:rPr>
              <w:t xml:space="preserve">the Department for Energy Security </w:t>
            </w:r>
            <w:r w:rsidR="00643CBE">
              <w:rPr>
                <w:rFonts w:ascii="Arial" w:hAnsi="Arial" w:cs="Arial"/>
                <w:bCs/>
              </w:rPr>
              <w:t>and Net Zero (</w:t>
            </w:r>
            <w:r w:rsidRPr="00D901A4">
              <w:rPr>
                <w:rFonts w:ascii="Arial" w:hAnsi="Arial" w:cs="Arial"/>
                <w:bCs/>
              </w:rPr>
              <w:t>DE</w:t>
            </w:r>
            <w:r w:rsidR="00643CBE">
              <w:rPr>
                <w:rFonts w:ascii="Arial" w:hAnsi="Arial" w:cs="Arial"/>
                <w:bCs/>
              </w:rPr>
              <w:t>S</w:t>
            </w:r>
            <w:r w:rsidRPr="00D901A4">
              <w:rPr>
                <w:rFonts w:ascii="Arial" w:hAnsi="Arial" w:cs="Arial"/>
                <w:bCs/>
              </w:rPr>
              <w:t>NZ</w:t>
            </w:r>
            <w:r w:rsidR="00643CBE">
              <w:rPr>
                <w:rFonts w:ascii="Arial" w:hAnsi="Arial" w:cs="Arial"/>
                <w:bCs/>
              </w:rPr>
              <w:t>)</w:t>
            </w:r>
            <w:r w:rsidRPr="00D901A4">
              <w:rPr>
                <w:rFonts w:ascii="Arial" w:hAnsi="Arial" w:cs="Arial"/>
                <w:bCs/>
              </w:rPr>
              <w:t xml:space="preserve"> who had worked to support the Board during his tenure as Chair of ONR.</w:t>
            </w:r>
          </w:p>
          <w:p w14:paraId="5B67EF06" w14:textId="77777777" w:rsidR="008C531E" w:rsidRPr="00D901A4" w:rsidRDefault="008C531E" w:rsidP="00E2267D">
            <w:pPr>
              <w:tabs>
                <w:tab w:val="left" w:pos="5347"/>
              </w:tabs>
              <w:rPr>
                <w:rFonts w:ascii="Arial" w:hAnsi="Arial" w:cs="Arial"/>
                <w:b/>
              </w:rPr>
            </w:pPr>
          </w:p>
        </w:tc>
      </w:tr>
      <w:tr w:rsidR="0097193F" w:rsidRPr="00D901A4" w14:paraId="376739F6" w14:textId="77777777" w:rsidTr="008C531E">
        <w:trPr>
          <w:trHeight w:val="399"/>
        </w:trPr>
        <w:tc>
          <w:tcPr>
            <w:tcW w:w="1142" w:type="dxa"/>
          </w:tcPr>
          <w:p w14:paraId="051FB799" w14:textId="3585AAC2" w:rsidR="0097193F" w:rsidRPr="0097193F" w:rsidRDefault="0097193F" w:rsidP="00E2267D">
            <w:pPr>
              <w:tabs>
                <w:tab w:val="left" w:pos="5347"/>
              </w:tabs>
              <w:rPr>
                <w:rFonts w:ascii="Arial" w:hAnsi="Arial" w:cs="Arial"/>
                <w:b/>
                <w:bCs/>
              </w:rPr>
            </w:pPr>
            <w:r w:rsidRPr="0097193F">
              <w:rPr>
                <w:rFonts w:ascii="Arial" w:hAnsi="Arial" w:cs="Arial"/>
                <w:b/>
                <w:bCs/>
              </w:rPr>
              <w:t xml:space="preserve">4. </w:t>
            </w:r>
          </w:p>
        </w:tc>
        <w:tc>
          <w:tcPr>
            <w:tcW w:w="7884" w:type="dxa"/>
          </w:tcPr>
          <w:p w14:paraId="63F49344" w14:textId="6CCDAA84" w:rsidR="0097193F" w:rsidRPr="0097193F" w:rsidRDefault="0097193F" w:rsidP="00E2267D">
            <w:pPr>
              <w:tabs>
                <w:tab w:val="left" w:pos="5347"/>
              </w:tabs>
              <w:rPr>
                <w:rFonts w:ascii="Arial" w:hAnsi="Arial" w:cs="Arial"/>
                <w:b/>
              </w:rPr>
            </w:pPr>
            <w:r w:rsidRPr="0097193F">
              <w:rPr>
                <w:rFonts w:ascii="Arial" w:hAnsi="Arial" w:cs="Arial"/>
                <w:b/>
              </w:rPr>
              <w:t xml:space="preserve">Executive Board </w:t>
            </w:r>
            <w:r w:rsidR="00815624">
              <w:rPr>
                <w:rFonts w:ascii="Arial" w:hAnsi="Arial" w:cs="Arial"/>
                <w:b/>
              </w:rPr>
              <w:t>r</w:t>
            </w:r>
            <w:r w:rsidRPr="0097193F">
              <w:rPr>
                <w:rFonts w:ascii="Arial" w:hAnsi="Arial" w:cs="Arial"/>
                <w:b/>
              </w:rPr>
              <w:t>eport</w:t>
            </w:r>
          </w:p>
          <w:p w14:paraId="2CD30B5A" w14:textId="77777777" w:rsidR="0097193F" w:rsidRPr="00D901A4" w:rsidRDefault="0097193F" w:rsidP="00E2267D">
            <w:pPr>
              <w:tabs>
                <w:tab w:val="left" w:pos="5347"/>
              </w:tabs>
              <w:rPr>
                <w:rFonts w:ascii="Arial" w:hAnsi="Arial" w:cs="Arial"/>
                <w:bCs/>
              </w:rPr>
            </w:pPr>
          </w:p>
        </w:tc>
      </w:tr>
      <w:tr w:rsidR="0097193F" w:rsidRPr="00D901A4" w14:paraId="55C30C86" w14:textId="77777777" w:rsidTr="008C531E">
        <w:trPr>
          <w:trHeight w:val="399"/>
        </w:trPr>
        <w:tc>
          <w:tcPr>
            <w:tcW w:w="1142" w:type="dxa"/>
          </w:tcPr>
          <w:p w14:paraId="765F329A" w14:textId="56EF0D37" w:rsidR="0097193F" w:rsidRPr="0097193F" w:rsidRDefault="0097193F" w:rsidP="00E2267D">
            <w:pPr>
              <w:tabs>
                <w:tab w:val="left" w:pos="5347"/>
              </w:tabs>
              <w:rPr>
                <w:rFonts w:ascii="Arial" w:hAnsi="Arial" w:cs="Arial"/>
              </w:rPr>
            </w:pPr>
            <w:r w:rsidRPr="0097193F">
              <w:rPr>
                <w:rFonts w:ascii="Arial" w:hAnsi="Arial" w:cs="Arial"/>
              </w:rPr>
              <w:t>4.1</w:t>
            </w:r>
          </w:p>
        </w:tc>
        <w:tc>
          <w:tcPr>
            <w:tcW w:w="7884" w:type="dxa"/>
          </w:tcPr>
          <w:p w14:paraId="1338A1CF" w14:textId="13C43E2F" w:rsidR="0097193F" w:rsidRPr="00D901A4" w:rsidRDefault="0097193F" w:rsidP="00E2267D">
            <w:pPr>
              <w:tabs>
                <w:tab w:val="left" w:pos="5347"/>
              </w:tabs>
              <w:rPr>
                <w:rFonts w:ascii="Arial" w:hAnsi="Arial" w:cs="Arial"/>
                <w:bCs/>
              </w:rPr>
            </w:pPr>
            <w:r w:rsidRPr="00D901A4">
              <w:rPr>
                <w:rFonts w:ascii="Arial" w:hAnsi="Arial" w:cs="Arial"/>
                <w:bCs/>
              </w:rPr>
              <w:t xml:space="preserve">The Chief Executive and Chief Nuclear Inspector </w:t>
            </w:r>
            <w:r w:rsidR="00744773">
              <w:rPr>
                <w:rFonts w:ascii="Arial" w:hAnsi="Arial" w:cs="Arial"/>
                <w:bCs/>
              </w:rPr>
              <w:t xml:space="preserve">(CE/CNI) </w:t>
            </w:r>
            <w:r w:rsidRPr="00D901A4">
              <w:rPr>
                <w:rFonts w:ascii="Arial" w:hAnsi="Arial" w:cs="Arial"/>
                <w:bCs/>
              </w:rPr>
              <w:t>presented the summary report on key strategic, operational and financial matters and respective summary assessments from the ONR Executive Team (OET).</w:t>
            </w:r>
          </w:p>
          <w:p w14:paraId="3D2529D8" w14:textId="77777777" w:rsidR="0097193F" w:rsidRPr="0097193F" w:rsidRDefault="0097193F" w:rsidP="00E2267D">
            <w:pPr>
              <w:tabs>
                <w:tab w:val="left" w:pos="5347"/>
              </w:tabs>
              <w:rPr>
                <w:rFonts w:ascii="Arial" w:hAnsi="Arial" w:cs="Arial"/>
                <w:b/>
              </w:rPr>
            </w:pPr>
          </w:p>
        </w:tc>
      </w:tr>
      <w:tr w:rsidR="0097193F" w:rsidRPr="00D901A4" w14:paraId="5184D41E" w14:textId="77777777" w:rsidTr="008C531E">
        <w:trPr>
          <w:trHeight w:val="399"/>
        </w:trPr>
        <w:tc>
          <w:tcPr>
            <w:tcW w:w="1142" w:type="dxa"/>
          </w:tcPr>
          <w:p w14:paraId="6874AF64" w14:textId="69FE5C1A" w:rsidR="0097193F" w:rsidRPr="0097193F" w:rsidRDefault="0097193F" w:rsidP="00E2267D">
            <w:pPr>
              <w:tabs>
                <w:tab w:val="left" w:pos="5347"/>
              </w:tabs>
              <w:rPr>
                <w:rFonts w:ascii="Arial" w:hAnsi="Arial" w:cs="Arial"/>
              </w:rPr>
            </w:pPr>
            <w:r>
              <w:rPr>
                <w:rFonts w:ascii="Arial" w:hAnsi="Arial" w:cs="Arial"/>
              </w:rPr>
              <w:t>4.2</w:t>
            </w:r>
          </w:p>
        </w:tc>
        <w:tc>
          <w:tcPr>
            <w:tcW w:w="7884" w:type="dxa"/>
          </w:tcPr>
          <w:p w14:paraId="2670760A" w14:textId="77777777" w:rsidR="0097193F" w:rsidRPr="00D901A4" w:rsidRDefault="0097193F" w:rsidP="00E2267D">
            <w:pPr>
              <w:tabs>
                <w:tab w:val="left" w:pos="5347"/>
              </w:tabs>
              <w:rPr>
                <w:rFonts w:ascii="Arial" w:hAnsi="Arial" w:cs="Arial"/>
                <w:bCs/>
              </w:rPr>
            </w:pPr>
            <w:r w:rsidRPr="00D901A4">
              <w:rPr>
                <w:rFonts w:ascii="Arial" w:hAnsi="Arial" w:cs="Arial"/>
                <w:bCs/>
              </w:rPr>
              <w:t>He reported on the focus ONR was applying on efficiencies that was beginning to deliver benefits that covered both productivity and cash releasing efficiencies.</w:t>
            </w:r>
          </w:p>
          <w:p w14:paraId="5F7974DB" w14:textId="77777777" w:rsidR="0097193F" w:rsidRPr="00D901A4" w:rsidRDefault="0097193F" w:rsidP="00E2267D">
            <w:pPr>
              <w:tabs>
                <w:tab w:val="left" w:pos="5347"/>
              </w:tabs>
              <w:rPr>
                <w:rFonts w:ascii="Arial" w:hAnsi="Arial" w:cs="Arial"/>
                <w:bCs/>
              </w:rPr>
            </w:pPr>
          </w:p>
        </w:tc>
      </w:tr>
      <w:tr w:rsidR="0097193F" w:rsidRPr="00D901A4" w14:paraId="38A6B55E" w14:textId="77777777" w:rsidTr="008C531E">
        <w:trPr>
          <w:trHeight w:val="399"/>
        </w:trPr>
        <w:tc>
          <w:tcPr>
            <w:tcW w:w="1142" w:type="dxa"/>
          </w:tcPr>
          <w:p w14:paraId="6FCA6594" w14:textId="373B6779" w:rsidR="0097193F" w:rsidRPr="0097193F" w:rsidRDefault="0097193F" w:rsidP="00E2267D">
            <w:pPr>
              <w:tabs>
                <w:tab w:val="left" w:pos="5347"/>
              </w:tabs>
              <w:rPr>
                <w:rFonts w:ascii="Arial" w:hAnsi="Arial" w:cs="Arial"/>
              </w:rPr>
            </w:pPr>
            <w:r>
              <w:rPr>
                <w:rFonts w:ascii="Arial" w:hAnsi="Arial" w:cs="Arial"/>
              </w:rPr>
              <w:t>4.3</w:t>
            </w:r>
          </w:p>
        </w:tc>
        <w:tc>
          <w:tcPr>
            <w:tcW w:w="7884" w:type="dxa"/>
          </w:tcPr>
          <w:p w14:paraId="47DD5566" w14:textId="0658CF57" w:rsidR="0097193F" w:rsidRDefault="005329C4" w:rsidP="00E2267D">
            <w:pPr>
              <w:tabs>
                <w:tab w:val="left" w:pos="5347"/>
              </w:tabs>
              <w:rPr>
                <w:rFonts w:ascii="Arial" w:hAnsi="Arial" w:cs="Arial"/>
                <w:bCs/>
              </w:rPr>
            </w:pPr>
            <w:r>
              <w:rPr>
                <w:rFonts w:ascii="Arial" w:hAnsi="Arial" w:cs="Arial"/>
                <w:bCs/>
              </w:rPr>
              <w:t>He referred to</w:t>
            </w:r>
            <w:r w:rsidR="0097193F" w:rsidRPr="00D901A4">
              <w:rPr>
                <w:rFonts w:ascii="Arial" w:hAnsi="Arial" w:cs="Arial"/>
                <w:bCs/>
              </w:rPr>
              <w:t xml:space="preserve"> recent announcements on changes to the senior leadership of the organisation. The Executive Director of Regulation </w:t>
            </w:r>
            <w:r>
              <w:rPr>
                <w:rFonts w:ascii="Arial" w:hAnsi="Arial" w:cs="Arial"/>
                <w:bCs/>
              </w:rPr>
              <w:t xml:space="preserve">(EDR) </w:t>
            </w:r>
            <w:r w:rsidR="0097193F" w:rsidRPr="00D901A4">
              <w:rPr>
                <w:rFonts w:ascii="Arial" w:hAnsi="Arial" w:cs="Arial"/>
                <w:bCs/>
              </w:rPr>
              <w:t xml:space="preserve">would be taking partial retirement and moving to a new role within ONR. The Director of </w:t>
            </w:r>
            <w:r w:rsidR="00387805">
              <w:rPr>
                <w:rFonts w:ascii="Arial" w:hAnsi="Arial" w:cs="Arial"/>
                <w:bCs/>
              </w:rPr>
              <w:t>Regulation</w:t>
            </w:r>
            <w:r w:rsidR="00AD6632">
              <w:rPr>
                <w:rFonts w:ascii="Arial" w:hAnsi="Arial" w:cs="Arial"/>
                <w:bCs/>
              </w:rPr>
              <w:t>,</w:t>
            </w:r>
            <w:r w:rsidR="0097193F" w:rsidRPr="00D901A4">
              <w:rPr>
                <w:rFonts w:ascii="Arial" w:hAnsi="Arial" w:cs="Arial"/>
                <w:bCs/>
              </w:rPr>
              <w:t xml:space="preserve"> </w:t>
            </w:r>
            <w:r w:rsidR="00AD6632">
              <w:rPr>
                <w:rFonts w:ascii="Arial" w:hAnsi="Arial" w:cs="Arial"/>
              </w:rPr>
              <w:t xml:space="preserve">Operating Facilities Division </w:t>
            </w:r>
            <w:r w:rsidR="0097193F" w:rsidRPr="00D901A4">
              <w:rPr>
                <w:rFonts w:ascii="Arial" w:hAnsi="Arial" w:cs="Arial"/>
                <w:bCs/>
              </w:rPr>
              <w:t xml:space="preserve">had accepted a position with </w:t>
            </w:r>
            <w:r w:rsidR="004A612A">
              <w:rPr>
                <w:rFonts w:ascii="Arial" w:hAnsi="Arial" w:cs="Arial"/>
                <w:bCs/>
              </w:rPr>
              <w:t>International Atomic Energy Agency (</w:t>
            </w:r>
            <w:r w:rsidR="0097193F" w:rsidRPr="00D901A4">
              <w:rPr>
                <w:rFonts w:ascii="Arial" w:hAnsi="Arial" w:cs="Arial"/>
                <w:bCs/>
              </w:rPr>
              <w:t>IAEA</w:t>
            </w:r>
            <w:r w:rsidR="004A612A">
              <w:rPr>
                <w:rFonts w:ascii="Arial" w:hAnsi="Arial" w:cs="Arial"/>
                <w:bCs/>
              </w:rPr>
              <w:t>)</w:t>
            </w:r>
            <w:r w:rsidR="0097193F" w:rsidRPr="00D901A4">
              <w:rPr>
                <w:rFonts w:ascii="Arial" w:hAnsi="Arial" w:cs="Arial"/>
                <w:bCs/>
              </w:rPr>
              <w:t xml:space="preserve"> in Vienna. Interim arrangements were being worked through and would be delivered through the ongoing Organisation Review</w:t>
            </w:r>
            <w:r w:rsidR="009D29B0">
              <w:rPr>
                <w:rFonts w:ascii="Arial" w:hAnsi="Arial" w:cs="Arial"/>
                <w:bCs/>
              </w:rPr>
              <w:t xml:space="preserve"> (OR)</w:t>
            </w:r>
            <w:r w:rsidR="0097193F" w:rsidRPr="00D901A4">
              <w:rPr>
                <w:rFonts w:ascii="Arial" w:hAnsi="Arial" w:cs="Arial"/>
                <w:bCs/>
              </w:rPr>
              <w:t>.</w:t>
            </w:r>
          </w:p>
          <w:p w14:paraId="42A7C112" w14:textId="5190B7D3" w:rsidR="00BC0353" w:rsidRPr="00D901A4" w:rsidRDefault="00BC0353" w:rsidP="00E2267D">
            <w:pPr>
              <w:tabs>
                <w:tab w:val="left" w:pos="5347"/>
              </w:tabs>
              <w:rPr>
                <w:rFonts w:ascii="Arial" w:hAnsi="Arial" w:cs="Arial"/>
                <w:bCs/>
              </w:rPr>
            </w:pPr>
          </w:p>
        </w:tc>
      </w:tr>
      <w:tr w:rsidR="0097193F" w:rsidRPr="00D901A4" w14:paraId="0C6A2227" w14:textId="77777777" w:rsidTr="008C531E">
        <w:trPr>
          <w:trHeight w:val="399"/>
        </w:trPr>
        <w:tc>
          <w:tcPr>
            <w:tcW w:w="1142" w:type="dxa"/>
          </w:tcPr>
          <w:p w14:paraId="05CE5B13" w14:textId="6CE48213" w:rsidR="0097193F" w:rsidRPr="0097193F" w:rsidRDefault="0097193F" w:rsidP="00E2267D">
            <w:pPr>
              <w:tabs>
                <w:tab w:val="left" w:pos="5347"/>
              </w:tabs>
              <w:rPr>
                <w:rFonts w:ascii="Arial" w:hAnsi="Arial" w:cs="Arial"/>
              </w:rPr>
            </w:pPr>
            <w:r>
              <w:rPr>
                <w:rFonts w:ascii="Arial" w:hAnsi="Arial" w:cs="Arial"/>
              </w:rPr>
              <w:t>4.4</w:t>
            </w:r>
          </w:p>
        </w:tc>
        <w:tc>
          <w:tcPr>
            <w:tcW w:w="7884" w:type="dxa"/>
          </w:tcPr>
          <w:p w14:paraId="46A8FD07" w14:textId="77777777" w:rsidR="0097193F" w:rsidRDefault="0097193F" w:rsidP="00E2267D">
            <w:pPr>
              <w:tabs>
                <w:tab w:val="left" w:pos="5347"/>
              </w:tabs>
              <w:rPr>
                <w:rFonts w:ascii="Arial" w:hAnsi="Arial" w:cs="Arial"/>
                <w:bCs/>
              </w:rPr>
            </w:pPr>
            <w:r w:rsidRPr="00D901A4">
              <w:rPr>
                <w:rFonts w:ascii="Arial" w:hAnsi="Arial" w:cs="Arial"/>
                <w:bCs/>
              </w:rPr>
              <w:t>In discussion the Board:</w:t>
            </w:r>
          </w:p>
          <w:p w14:paraId="7FFD31AF" w14:textId="77777777" w:rsidR="0097193F" w:rsidRDefault="0097193F" w:rsidP="00E2267D">
            <w:pPr>
              <w:tabs>
                <w:tab w:val="left" w:pos="5347"/>
              </w:tabs>
              <w:rPr>
                <w:rFonts w:ascii="Arial" w:hAnsi="Arial" w:cs="Arial"/>
                <w:bCs/>
              </w:rPr>
            </w:pPr>
          </w:p>
          <w:p w14:paraId="2F6800A2" w14:textId="77777777" w:rsidR="0097193F" w:rsidRPr="00D901A4" w:rsidRDefault="0097193F" w:rsidP="00E2267D">
            <w:pPr>
              <w:pStyle w:val="ListParagraph"/>
              <w:numPr>
                <w:ilvl w:val="0"/>
                <w:numId w:val="12"/>
              </w:numPr>
              <w:tabs>
                <w:tab w:val="left" w:pos="5347"/>
              </w:tabs>
              <w:rPr>
                <w:rFonts w:ascii="Arial" w:hAnsi="Arial" w:cs="Arial"/>
                <w:bCs/>
              </w:rPr>
            </w:pPr>
            <w:r w:rsidRPr="00D901A4">
              <w:rPr>
                <w:rFonts w:ascii="Arial" w:hAnsi="Arial" w:cs="Arial"/>
                <w:bCs/>
              </w:rPr>
              <w:t>Discussed succession planning both internally and externally and the ways to create stability within the organisation.</w:t>
            </w:r>
          </w:p>
          <w:p w14:paraId="43ED1CA5" w14:textId="4AB85BE2" w:rsidR="0097193F" w:rsidRPr="00D901A4" w:rsidRDefault="0097193F" w:rsidP="00E2267D">
            <w:pPr>
              <w:pStyle w:val="ListParagraph"/>
              <w:numPr>
                <w:ilvl w:val="0"/>
                <w:numId w:val="12"/>
              </w:numPr>
              <w:tabs>
                <w:tab w:val="left" w:pos="5347"/>
              </w:tabs>
              <w:rPr>
                <w:rFonts w:ascii="Arial" w:hAnsi="Arial" w:cs="Arial"/>
                <w:bCs/>
              </w:rPr>
            </w:pPr>
            <w:r w:rsidRPr="00D901A4">
              <w:rPr>
                <w:rFonts w:ascii="Arial" w:hAnsi="Arial" w:cs="Arial"/>
                <w:bCs/>
              </w:rPr>
              <w:t xml:space="preserve">Noted the opportunities to look at spans of control </w:t>
            </w:r>
            <w:r w:rsidR="00F8312D">
              <w:rPr>
                <w:rFonts w:ascii="Arial" w:hAnsi="Arial" w:cs="Arial"/>
                <w:bCs/>
              </w:rPr>
              <w:t>to</w:t>
            </w:r>
            <w:r w:rsidRPr="00D901A4">
              <w:rPr>
                <w:rFonts w:ascii="Arial" w:hAnsi="Arial" w:cs="Arial"/>
                <w:bCs/>
              </w:rPr>
              <w:t xml:space="preserve"> creat</w:t>
            </w:r>
            <w:r w:rsidR="00F8312D">
              <w:rPr>
                <w:rFonts w:ascii="Arial" w:hAnsi="Arial" w:cs="Arial"/>
                <w:bCs/>
              </w:rPr>
              <w:t>e</w:t>
            </w:r>
            <w:r w:rsidRPr="00D901A4">
              <w:rPr>
                <w:rFonts w:ascii="Arial" w:hAnsi="Arial" w:cs="Arial"/>
                <w:bCs/>
              </w:rPr>
              <w:t xml:space="preserve"> attractive roles that staff would want to move into.</w:t>
            </w:r>
          </w:p>
          <w:p w14:paraId="7A70BEF4" w14:textId="2D46F9A2" w:rsidR="0097193F" w:rsidRPr="00D901A4" w:rsidRDefault="0097193F" w:rsidP="00E2267D">
            <w:pPr>
              <w:pStyle w:val="ListParagraph"/>
              <w:numPr>
                <w:ilvl w:val="0"/>
                <w:numId w:val="12"/>
              </w:numPr>
              <w:tabs>
                <w:tab w:val="left" w:pos="5347"/>
              </w:tabs>
              <w:rPr>
                <w:rFonts w:ascii="Arial" w:hAnsi="Arial" w:cs="Arial"/>
                <w:bCs/>
              </w:rPr>
            </w:pPr>
            <w:r w:rsidRPr="00D901A4">
              <w:rPr>
                <w:rFonts w:ascii="Arial" w:hAnsi="Arial" w:cs="Arial"/>
                <w:bCs/>
              </w:rPr>
              <w:t xml:space="preserve">Noted the work of the </w:t>
            </w:r>
            <w:r w:rsidR="009D29B0">
              <w:rPr>
                <w:rFonts w:ascii="Arial" w:hAnsi="Arial" w:cs="Arial"/>
                <w:bCs/>
              </w:rPr>
              <w:t>OR</w:t>
            </w:r>
            <w:r w:rsidRPr="00D901A4">
              <w:rPr>
                <w:rFonts w:ascii="Arial" w:hAnsi="Arial" w:cs="Arial"/>
                <w:bCs/>
              </w:rPr>
              <w:t xml:space="preserve"> and the impact this would have on the structure of ONR.</w:t>
            </w:r>
          </w:p>
          <w:p w14:paraId="525A8EC0" w14:textId="77777777" w:rsidR="0097193F" w:rsidRPr="00D901A4" w:rsidRDefault="0097193F" w:rsidP="00E2267D">
            <w:pPr>
              <w:pStyle w:val="ListParagraph"/>
              <w:numPr>
                <w:ilvl w:val="0"/>
                <w:numId w:val="12"/>
              </w:numPr>
              <w:tabs>
                <w:tab w:val="left" w:pos="5347"/>
              </w:tabs>
              <w:rPr>
                <w:rFonts w:ascii="Arial" w:hAnsi="Arial" w:cs="Arial"/>
                <w:bCs/>
              </w:rPr>
            </w:pPr>
            <w:r w:rsidRPr="00D901A4">
              <w:rPr>
                <w:rFonts w:ascii="Arial" w:hAnsi="Arial" w:cs="Arial"/>
                <w:bCs/>
              </w:rPr>
              <w:t>Noted the continuing challenge of funding with DWP and the levy arrangements. A working group was in place to look at future funding arrangements.</w:t>
            </w:r>
          </w:p>
          <w:p w14:paraId="77233C2E" w14:textId="28602C78" w:rsidR="0097193F" w:rsidRPr="00D901A4" w:rsidRDefault="0097193F" w:rsidP="00E2267D">
            <w:pPr>
              <w:pStyle w:val="ListParagraph"/>
              <w:numPr>
                <w:ilvl w:val="0"/>
                <w:numId w:val="12"/>
              </w:numPr>
              <w:tabs>
                <w:tab w:val="left" w:pos="5347"/>
              </w:tabs>
              <w:rPr>
                <w:rFonts w:ascii="Arial" w:hAnsi="Arial" w:cs="Arial"/>
                <w:bCs/>
              </w:rPr>
            </w:pPr>
            <w:r w:rsidRPr="00D901A4">
              <w:rPr>
                <w:rFonts w:ascii="Arial" w:hAnsi="Arial" w:cs="Arial"/>
                <w:bCs/>
              </w:rPr>
              <w:t xml:space="preserve">Noted that the publication of the </w:t>
            </w:r>
            <w:r w:rsidR="00CE17A4">
              <w:rPr>
                <w:rFonts w:ascii="Arial" w:hAnsi="Arial" w:cs="Arial"/>
                <w:bCs/>
              </w:rPr>
              <w:t xml:space="preserve">Civil </w:t>
            </w:r>
            <w:r w:rsidRPr="00D901A4">
              <w:rPr>
                <w:rFonts w:ascii="Arial" w:hAnsi="Arial" w:cs="Arial"/>
                <w:bCs/>
              </w:rPr>
              <w:t>Nuclear Road</w:t>
            </w:r>
            <w:r w:rsidR="00CE17A4">
              <w:rPr>
                <w:rFonts w:ascii="Arial" w:hAnsi="Arial" w:cs="Arial"/>
                <w:bCs/>
              </w:rPr>
              <w:t>m</w:t>
            </w:r>
            <w:r w:rsidRPr="00D901A4">
              <w:rPr>
                <w:rFonts w:ascii="Arial" w:hAnsi="Arial" w:cs="Arial"/>
                <w:bCs/>
              </w:rPr>
              <w:t>ap had been delayed and would likely be published in January 2024.</w:t>
            </w:r>
          </w:p>
          <w:p w14:paraId="1DC8A826" w14:textId="77777777" w:rsidR="0097193F" w:rsidRDefault="0097193F" w:rsidP="00E2267D">
            <w:pPr>
              <w:pStyle w:val="ListParagraph"/>
              <w:numPr>
                <w:ilvl w:val="0"/>
                <w:numId w:val="12"/>
              </w:numPr>
              <w:tabs>
                <w:tab w:val="left" w:pos="5347"/>
              </w:tabs>
              <w:rPr>
                <w:rFonts w:ascii="Arial" w:hAnsi="Arial" w:cs="Arial"/>
                <w:bCs/>
              </w:rPr>
            </w:pPr>
            <w:r w:rsidRPr="00D901A4">
              <w:rPr>
                <w:rFonts w:ascii="Arial" w:hAnsi="Arial" w:cs="Arial"/>
                <w:bCs/>
              </w:rPr>
              <w:t>Noted early engagement from the new DWP minister and their interest in ONR.</w:t>
            </w:r>
          </w:p>
          <w:p w14:paraId="5AA970A3" w14:textId="207D76F0" w:rsidR="0097193F" w:rsidRPr="00D901A4" w:rsidRDefault="0097193F" w:rsidP="00E2267D">
            <w:pPr>
              <w:pStyle w:val="ListParagraph"/>
              <w:numPr>
                <w:ilvl w:val="0"/>
                <w:numId w:val="12"/>
              </w:numPr>
              <w:tabs>
                <w:tab w:val="left" w:pos="5347"/>
              </w:tabs>
              <w:rPr>
                <w:rFonts w:ascii="Arial" w:hAnsi="Arial" w:cs="Arial"/>
                <w:bCs/>
              </w:rPr>
            </w:pPr>
            <w:r w:rsidRPr="00D901A4">
              <w:rPr>
                <w:rFonts w:ascii="Arial" w:hAnsi="Arial" w:cs="Arial"/>
                <w:bCs/>
              </w:rPr>
              <w:lastRenderedPageBreak/>
              <w:t xml:space="preserve">Noted upcoming publication of the Gender Pay Gap report which highlighted a </w:t>
            </w:r>
            <w:r w:rsidR="00FD6943">
              <w:rPr>
                <w:rFonts w:ascii="Arial" w:hAnsi="Arial" w:cs="Arial"/>
                <w:bCs/>
              </w:rPr>
              <w:t xml:space="preserve">continuing </w:t>
            </w:r>
            <w:r w:rsidR="00186FA5">
              <w:rPr>
                <w:rFonts w:ascii="Arial" w:hAnsi="Arial" w:cs="Arial"/>
                <w:bCs/>
              </w:rPr>
              <w:t xml:space="preserve">disparity caused by historic </w:t>
            </w:r>
            <w:r w:rsidR="004E3B50">
              <w:rPr>
                <w:rFonts w:ascii="Arial" w:hAnsi="Arial" w:cs="Arial"/>
                <w:bCs/>
              </w:rPr>
              <w:t>demog</w:t>
            </w:r>
            <w:r w:rsidR="008242B3">
              <w:rPr>
                <w:rFonts w:ascii="Arial" w:hAnsi="Arial" w:cs="Arial"/>
                <w:bCs/>
              </w:rPr>
              <w:t xml:space="preserve">raphic </w:t>
            </w:r>
            <w:r w:rsidR="00186FA5">
              <w:rPr>
                <w:rFonts w:ascii="Arial" w:hAnsi="Arial" w:cs="Arial"/>
                <w:bCs/>
              </w:rPr>
              <w:t xml:space="preserve">issues </w:t>
            </w:r>
            <w:r w:rsidR="00F3147E">
              <w:rPr>
                <w:rFonts w:ascii="Arial" w:hAnsi="Arial" w:cs="Arial"/>
                <w:bCs/>
              </w:rPr>
              <w:t xml:space="preserve">in the nuclear industry meaning </w:t>
            </w:r>
            <w:r w:rsidR="0081576A" w:rsidRPr="0081576A">
              <w:rPr>
                <w:rFonts w:ascii="Arial" w:hAnsi="Arial" w:cs="Arial"/>
                <w:bCs/>
              </w:rPr>
              <w:t>more men in technical roles</w:t>
            </w:r>
            <w:r w:rsidR="0081576A">
              <w:rPr>
                <w:rFonts w:ascii="Arial" w:hAnsi="Arial" w:cs="Arial"/>
                <w:bCs/>
              </w:rPr>
              <w:t xml:space="preserve"> at ONR are currently</w:t>
            </w:r>
            <w:r w:rsidR="0081576A" w:rsidRPr="0081576A">
              <w:rPr>
                <w:rFonts w:ascii="Arial" w:hAnsi="Arial" w:cs="Arial"/>
                <w:bCs/>
              </w:rPr>
              <w:t xml:space="preserve"> towards the top of the pay scales due to longer service</w:t>
            </w:r>
            <w:r w:rsidRPr="00D901A4">
              <w:rPr>
                <w:rFonts w:ascii="Arial" w:hAnsi="Arial" w:cs="Arial"/>
                <w:bCs/>
              </w:rPr>
              <w:t>. ONR had a clear position on how these were being addresse</w:t>
            </w:r>
            <w:r w:rsidR="0038622C">
              <w:rPr>
                <w:rFonts w:ascii="Arial" w:hAnsi="Arial" w:cs="Arial"/>
                <w:bCs/>
              </w:rPr>
              <w:t>d</w:t>
            </w:r>
            <w:r w:rsidRPr="00D901A4">
              <w:rPr>
                <w:rFonts w:ascii="Arial" w:hAnsi="Arial" w:cs="Arial"/>
                <w:bCs/>
              </w:rPr>
              <w:t xml:space="preserve"> but that this was not an equal pay issue</w:t>
            </w:r>
            <w:r>
              <w:rPr>
                <w:rFonts w:ascii="Arial" w:hAnsi="Arial" w:cs="Arial"/>
                <w:bCs/>
              </w:rPr>
              <w:t>.</w:t>
            </w:r>
          </w:p>
          <w:p w14:paraId="58889FDF" w14:textId="5BFFD0E1" w:rsidR="0097193F" w:rsidRPr="00D901A4" w:rsidRDefault="0097193F" w:rsidP="00E2267D">
            <w:pPr>
              <w:tabs>
                <w:tab w:val="left" w:pos="5347"/>
              </w:tabs>
              <w:rPr>
                <w:rFonts w:ascii="Arial" w:hAnsi="Arial" w:cs="Arial"/>
                <w:bCs/>
              </w:rPr>
            </w:pPr>
          </w:p>
        </w:tc>
      </w:tr>
      <w:tr w:rsidR="0097193F" w:rsidRPr="00D901A4" w14:paraId="05F3DF5F" w14:textId="77777777" w:rsidTr="008C531E">
        <w:trPr>
          <w:trHeight w:val="399"/>
        </w:trPr>
        <w:tc>
          <w:tcPr>
            <w:tcW w:w="1142" w:type="dxa"/>
          </w:tcPr>
          <w:p w14:paraId="5A6CD2FC" w14:textId="4CA7ACC9" w:rsidR="0097193F" w:rsidRPr="0097193F" w:rsidRDefault="0097193F" w:rsidP="00E2267D">
            <w:pPr>
              <w:tabs>
                <w:tab w:val="left" w:pos="5347"/>
              </w:tabs>
              <w:rPr>
                <w:rFonts w:ascii="Arial" w:hAnsi="Arial" w:cs="Arial"/>
              </w:rPr>
            </w:pPr>
            <w:r>
              <w:rPr>
                <w:rFonts w:ascii="Arial" w:hAnsi="Arial" w:cs="Arial"/>
              </w:rPr>
              <w:lastRenderedPageBreak/>
              <w:t>4.5</w:t>
            </w:r>
          </w:p>
        </w:tc>
        <w:tc>
          <w:tcPr>
            <w:tcW w:w="7884" w:type="dxa"/>
          </w:tcPr>
          <w:p w14:paraId="77CCF24F" w14:textId="7060C5F6" w:rsidR="0097193F" w:rsidRPr="0097193F" w:rsidRDefault="0097193F" w:rsidP="00E2267D">
            <w:pPr>
              <w:tabs>
                <w:tab w:val="left" w:pos="5347"/>
              </w:tabs>
              <w:rPr>
                <w:rFonts w:ascii="Arial" w:hAnsi="Arial" w:cs="Arial"/>
                <w:bCs/>
              </w:rPr>
            </w:pPr>
            <w:r w:rsidRPr="0097193F">
              <w:rPr>
                <w:rFonts w:ascii="Arial" w:hAnsi="Arial" w:cs="Arial"/>
                <w:bCs/>
              </w:rPr>
              <w:t xml:space="preserve">The </w:t>
            </w:r>
            <w:r w:rsidR="003A1153">
              <w:rPr>
                <w:rFonts w:ascii="Arial" w:hAnsi="Arial" w:cs="Arial"/>
                <w:bCs/>
              </w:rPr>
              <w:t>Deputy Chief E</w:t>
            </w:r>
            <w:r w:rsidR="009C5B3B">
              <w:rPr>
                <w:rFonts w:ascii="Arial" w:hAnsi="Arial" w:cs="Arial"/>
                <w:bCs/>
              </w:rPr>
              <w:t>x</w:t>
            </w:r>
            <w:r w:rsidR="003A1153">
              <w:rPr>
                <w:rFonts w:ascii="Arial" w:hAnsi="Arial" w:cs="Arial"/>
                <w:bCs/>
              </w:rPr>
              <w:t>ecutive (</w:t>
            </w:r>
            <w:r w:rsidRPr="0097193F">
              <w:rPr>
                <w:rFonts w:ascii="Arial" w:hAnsi="Arial" w:cs="Arial"/>
                <w:bCs/>
              </w:rPr>
              <w:t>DCE</w:t>
            </w:r>
            <w:r w:rsidR="003A1153">
              <w:rPr>
                <w:rFonts w:ascii="Arial" w:hAnsi="Arial" w:cs="Arial"/>
                <w:bCs/>
              </w:rPr>
              <w:t>)</w:t>
            </w:r>
            <w:r w:rsidRPr="0097193F">
              <w:rPr>
                <w:rFonts w:ascii="Arial" w:hAnsi="Arial" w:cs="Arial"/>
                <w:bCs/>
              </w:rPr>
              <w:t xml:space="preserve"> outlined the significant planning activity on the OR to establish timescales for the three main workstreams</w:t>
            </w:r>
            <w:r w:rsidR="00F029BD">
              <w:rPr>
                <w:rFonts w:ascii="Arial" w:hAnsi="Arial" w:cs="Arial"/>
                <w:bCs/>
              </w:rPr>
              <w:t>:</w:t>
            </w:r>
            <w:r w:rsidRPr="0097193F">
              <w:rPr>
                <w:rFonts w:ascii="Arial" w:hAnsi="Arial" w:cs="Arial"/>
                <w:bCs/>
              </w:rPr>
              <w:t xml:space="preserve"> pay and grading, organisational structure and integration. </w:t>
            </w:r>
          </w:p>
          <w:p w14:paraId="1BE6F28E" w14:textId="77777777" w:rsidR="0097193F" w:rsidRPr="00D901A4" w:rsidRDefault="0097193F" w:rsidP="00E2267D">
            <w:pPr>
              <w:tabs>
                <w:tab w:val="left" w:pos="5347"/>
              </w:tabs>
              <w:rPr>
                <w:rFonts w:ascii="Arial" w:hAnsi="Arial" w:cs="Arial"/>
                <w:bCs/>
              </w:rPr>
            </w:pPr>
          </w:p>
        </w:tc>
      </w:tr>
      <w:tr w:rsidR="0097193F" w:rsidRPr="00D901A4" w14:paraId="3111DD46" w14:textId="77777777" w:rsidTr="008C531E">
        <w:trPr>
          <w:trHeight w:val="399"/>
        </w:trPr>
        <w:tc>
          <w:tcPr>
            <w:tcW w:w="1142" w:type="dxa"/>
          </w:tcPr>
          <w:p w14:paraId="631FE07F" w14:textId="1494454B" w:rsidR="0097193F" w:rsidRPr="0097193F" w:rsidRDefault="0097193F" w:rsidP="00E2267D">
            <w:pPr>
              <w:tabs>
                <w:tab w:val="left" w:pos="5347"/>
              </w:tabs>
              <w:rPr>
                <w:rFonts w:ascii="Arial" w:hAnsi="Arial" w:cs="Arial"/>
              </w:rPr>
            </w:pPr>
            <w:r>
              <w:rPr>
                <w:rFonts w:ascii="Arial" w:hAnsi="Arial" w:cs="Arial"/>
              </w:rPr>
              <w:t>4.6</w:t>
            </w:r>
          </w:p>
        </w:tc>
        <w:tc>
          <w:tcPr>
            <w:tcW w:w="7884" w:type="dxa"/>
          </w:tcPr>
          <w:p w14:paraId="2E2DA70C" w14:textId="77777777" w:rsidR="0097193F" w:rsidRPr="00D901A4" w:rsidRDefault="0097193F" w:rsidP="00E2267D">
            <w:pPr>
              <w:tabs>
                <w:tab w:val="left" w:pos="5347"/>
              </w:tabs>
              <w:rPr>
                <w:rFonts w:ascii="Arial" w:hAnsi="Arial" w:cs="Arial"/>
                <w:bCs/>
              </w:rPr>
            </w:pPr>
            <w:r w:rsidRPr="00D901A4">
              <w:rPr>
                <w:rFonts w:ascii="Arial" w:hAnsi="Arial" w:cs="Arial"/>
                <w:bCs/>
              </w:rPr>
              <w:t>In discussion the Board:</w:t>
            </w:r>
          </w:p>
          <w:p w14:paraId="286E52A0" w14:textId="77777777" w:rsidR="0097193F" w:rsidRPr="00D901A4" w:rsidRDefault="0097193F" w:rsidP="00E2267D">
            <w:pPr>
              <w:tabs>
                <w:tab w:val="left" w:pos="5347"/>
              </w:tabs>
              <w:rPr>
                <w:rFonts w:ascii="Arial" w:hAnsi="Arial" w:cs="Arial"/>
                <w:bCs/>
              </w:rPr>
            </w:pPr>
          </w:p>
          <w:p w14:paraId="2B6480BE" w14:textId="77777777" w:rsidR="0097193F" w:rsidRPr="00D901A4" w:rsidRDefault="0097193F" w:rsidP="00E2267D">
            <w:pPr>
              <w:pStyle w:val="ListParagraph"/>
              <w:numPr>
                <w:ilvl w:val="0"/>
                <w:numId w:val="19"/>
              </w:numPr>
              <w:tabs>
                <w:tab w:val="left" w:pos="5347"/>
              </w:tabs>
              <w:rPr>
                <w:rFonts w:ascii="Arial" w:hAnsi="Arial" w:cs="Arial"/>
                <w:bCs/>
              </w:rPr>
            </w:pPr>
            <w:r w:rsidRPr="00D901A4">
              <w:rPr>
                <w:rFonts w:ascii="Arial" w:hAnsi="Arial" w:cs="Arial"/>
                <w:bCs/>
              </w:rPr>
              <w:t>Discussed the role of trade unions in the pay and grading workstream.</w:t>
            </w:r>
          </w:p>
          <w:p w14:paraId="49ABD0D7" w14:textId="77777777" w:rsidR="0097193F" w:rsidRPr="00D901A4" w:rsidRDefault="0097193F" w:rsidP="00E2267D">
            <w:pPr>
              <w:pStyle w:val="ListParagraph"/>
              <w:numPr>
                <w:ilvl w:val="0"/>
                <w:numId w:val="19"/>
              </w:numPr>
              <w:tabs>
                <w:tab w:val="left" w:pos="5347"/>
              </w:tabs>
              <w:rPr>
                <w:rFonts w:ascii="Arial" w:hAnsi="Arial" w:cs="Arial"/>
                <w:bCs/>
              </w:rPr>
            </w:pPr>
            <w:r w:rsidRPr="00D901A4">
              <w:rPr>
                <w:rFonts w:ascii="Arial" w:hAnsi="Arial" w:cs="Arial"/>
                <w:bCs/>
              </w:rPr>
              <w:t>Noted that the Annual Report and Accounts had been successfully laid and ONR’s request to publish the 2024-25 report pre-recess.</w:t>
            </w:r>
          </w:p>
          <w:p w14:paraId="5F779D72" w14:textId="08489062" w:rsidR="0097193F" w:rsidRPr="00D901A4" w:rsidRDefault="0097193F" w:rsidP="00E2267D">
            <w:pPr>
              <w:pStyle w:val="ListParagraph"/>
              <w:numPr>
                <w:ilvl w:val="0"/>
                <w:numId w:val="19"/>
              </w:numPr>
              <w:tabs>
                <w:tab w:val="left" w:pos="5347"/>
              </w:tabs>
              <w:rPr>
                <w:rFonts w:ascii="Arial" w:hAnsi="Arial" w:cs="Arial"/>
                <w:bCs/>
              </w:rPr>
            </w:pPr>
            <w:r w:rsidRPr="00D901A4">
              <w:rPr>
                <w:rFonts w:ascii="Arial" w:hAnsi="Arial" w:cs="Arial"/>
                <w:bCs/>
              </w:rPr>
              <w:t>Noted the significant work of staff with ONR in working with DE</w:t>
            </w:r>
            <w:r w:rsidR="00F029BD">
              <w:rPr>
                <w:rFonts w:ascii="Arial" w:hAnsi="Arial" w:cs="Arial"/>
                <w:bCs/>
              </w:rPr>
              <w:t>S</w:t>
            </w:r>
            <w:r w:rsidRPr="00D901A4">
              <w:rPr>
                <w:rFonts w:ascii="Arial" w:hAnsi="Arial" w:cs="Arial"/>
                <w:bCs/>
              </w:rPr>
              <w:t>NZ on the development of the nuclear roadmap.</w:t>
            </w:r>
          </w:p>
          <w:p w14:paraId="0AE01A59" w14:textId="6F890F33" w:rsidR="0097193F" w:rsidRPr="00D901A4" w:rsidRDefault="0097193F" w:rsidP="00E2267D">
            <w:pPr>
              <w:pStyle w:val="ListParagraph"/>
              <w:numPr>
                <w:ilvl w:val="0"/>
                <w:numId w:val="19"/>
              </w:numPr>
              <w:tabs>
                <w:tab w:val="left" w:pos="5347"/>
              </w:tabs>
              <w:rPr>
                <w:rFonts w:ascii="Arial" w:hAnsi="Arial" w:cs="Arial"/>
                <w:bCs/>
              </w:rPr>
            </w:pPr>
            <w:r w:rsidRPr="00D901A4">
              <w:rPr>
                <w:rFonts w:ascii="Arial" w:hAnsi="Arial" w:cs="Arial"/>
                <w:bCs/>
              </w:rPr>
              <w:t>Noted the significant step forwards taken on the Environment Social Governance strategy which had been taken to OET</w:t>
            </w:r>
            <w:r w:rsidR="00D46EB2">
              <w:rPr>
                <w:rFonts w:ascii="Arial" w:hAnsi="Arial" w:cs="Arial"/>
                <w:bCs/>
              </w:rPr>
              <w:t>,</w:t>
            </w:r>
            <w:r w:rsidRPr="00D901A4">
              <w:rPr>
                <w:rFonts w:ascii="Arial" w:hAnsi="Arial" w:cs="Arial"/>
                <w:bCs/>
              </w:rPr>
              <w:t xml:space="preserve"> and discussed ways that ONR could invite focus and advocacy by weaving it into its corporate plans.</w:t>
            </w:r>
          </w:p>
          <w:p w14:paraId="58F45947" w14:textId="77777777" w:rsidR="0097193F" w:rsidRPr="0097193F" w:rsidRDefault="0097193F" w:rsidP="00E2267D">
            <w:pPr>
              <w:tabs>
                <w:tab w:val="left" w:pos="5347"/>
              </w:tabs>
              <w:rPr>
                <w:rFonts w:ascii="Arial" w:hAnsi="Arial" w:cs="Arial"/>
                <w:bCs/>
              </w:rPr>
            </w:pPr>
          </w:p>
        </w:tc>
      </w:tr>
      <w:tr w:rsidR="0097193F" w:rsidRPr="00D901A4" w14:paraId="0A43DCAB" w14:textId="77777777" w:rsidTr="008C531E">
        <w:trPr>
          <w:trHeight w:val="399"/>
        </w:trPr>
        <w:tc>
          <w:tcPr>
            <w:tcW w:w="1142" w:type="dxa"/>
          </w:tcPr>
          <w:p w14:paraId="068453C8" w14:textId="40A6A984" w:rsidR="0097193F" w:rsidRPr="0097193F" w:rsidRDefault="0097193F" w:rsidP="00E2267D">
            <w:pPr>
              <w:tabs>
                <w:tab w:val="left" w:pos="5347"/>
              </w:tabs>
              <w:rPr>
                <w:rFonts w:ascii="Arial" w:hAnsi="Arial" w:cs="Arial"/>
              </w:rPr>
            </w:pPr>
            <w:r>
              <w:rPr>
                <w:rFonts w:ascii="Arial" w:hAnsi="Arial" w:cs="Arial"/>
              </w:rPr>
              <w:t>4.7</w:t>
            </w:r>
          </w:p>
        </w:tc>
        <w:tc>
          <w:tcPr>
            <w:tcW w:w="7884" w:type="dxa"/>
          </w:tcPr>
          <w:p w14:paraId="29DF9913" w14:textId="040C53C4" w:rsidR="0097193F" w:rsidRDefault="0097193F" w:rsidP="00E2267D">
            <w:pPr>
              <w:tabs>
                <w:tab w:val="left" w:pos="5347"/>
              </w:tabs>
              <w:rPr>
                <w:rFonts w:ascii="Arial" w:hAnsi="Arial" w:cs="Arial"/>
                <w:bCs/>
              </w:rPr>
            </w:pPr>
            <w:r w:rsidRPr="00D901A4">
              <w:rPr>
                <w:rFonts w:ascii="Arial" w:hAnsi="Arial" w:cs="Arial"/>
                <w:bCs/>
              </w:rPr>
              <w:t>The EDR provided an update to the Board on the N</w:t>
            </w:r>
            <w:r w:rsidR="007C6776">
              <w:rPr>
                <w:rFonts w:ascii="Arial" w:hAnsi="Arial" w:cs="Arial"/>
                <w:bCs/>
              </w:rPr>
              <w:t xml:space="preserve">uclear </w:t>
            </w:r>
            <w:r w:rsidRPr="00D901A4">
              <w:rPr>
                <w:rFonts w:ascii="Arial" w:hAnsi="Arial" w:cs="Arial"/>
                <w:bCs/>
              </w:rPr>
              <w:t>D</w:t>
            </w:r>
            <w:r w:rsidR="007C6776">
              <w:rPr>
                <w:rFonts w:ascii="Arial" w:hAnsi="Arial" w:cs="Arial"/>
                <w:bCs/>
              </w:rPr>
              <w:t>ecom</w:t>
            </w:r>
            <w:r w:rsidR="00700530">
              <w:rPr>
                <w:rFonts w:ascii="Arial" w:hAnsi="Arial" w:cs="Arial"/>
                <w:bCs/>
              </w:rPr>
              <w:t xml:space="preserve">missioning </w:t>
            </w:r>
            <w:r w:rsidRPr="00D901A4">
              <w:rPr>
                <w:rFonts w:ascii="Arial" w:hAnsi="Arial" w:cs="Arial"/>
                <w:bCs/>
              </w:rPr>
              <w:t>A</w:t>
            </w:r>
            <w:r w:rsidR="00700530">
              <w:rPr>
                <w:rFonts w:ascii="Arial" w:hAnsi="Arial" w:cs="Arial"/>
                <w:bCs/>
              </w:rPr>
              <w:t>uthority</w:t>
            </w:r>
            <w:r w:rsidRPr="00D901A4">
              <w:rPr>
                <w:rFonts w:ascii="Arial" w:hAnsi="Arial" w:cs="Arial"/>
                <w:bCs/>
              </w:rPr>
              <w:t xml:space="preserve"> </w:t>
            </w:r>
            <w:r w:rsidR="00E53E5D">
              <w:rPr>
                <w:rFonts w:ascii="Arial" w:hAnsi="Arial" w:cs="Arial"/>
                <w:bCs/>
              </w:rPr>
              <w:t xml:space="preserve">(NDA) </w:t>
            </w:r>
            <w:r w:rsidRPr="00D901A4">
              <w:rPr>
                <w:rFonts w:ascii="Arial" w:hAnsi="Arial" w:cs="Arial"/>
                <w:bCs/>
              </w:rPr>
              <w:t>leadership event and the second Annual Review of Regulation (AROR) which had recently taken place.</w:t>
            </w:r>
          </w:p>
          <w:p w14:paraId="1D8ECC64" w14:textId="7C35753D" w:rsidR="00594AAC" w:rsidRPr="00D901A4" w:rsidRDefault="00594AAC" w:rsidP="00E2267D">
            <w:pPr>
              <w:tabs>
                <w:tab w:val="left" w:pos="5347"/>
              </w:tabs>
              <w:rPr>
                <w:rFonts w:ascii="Arial" w:hAnsi="Arial" w:cs="Arial"/>
                <w:bCs/>
              </w:rPr>
            </w:pPr>
          </w:p>
        </w:tc>
      </w:tr>
      <w:tr w:rsidR="0097193F" w:rsidRPr="00D901A4" w14:paraId="20B1AA08" w14:textId="77777777" w:rsidTr="008C531E">
        <w:trPr>
          <w:trHeight w:val="399"/>
        </w:trPr>
        <w:tc>
          <w:tcPr>
            <w:tcW w:w="1142" w:type="dxa"/>
          </w:tcPr>
          <w:p w14:paraId="5EACFA79" w14:textId="2D344F2D" w:rsidR="0097193F" w:rsidRPr="0097193F" w:rsidRDefault="0097193F" w:rsidP="00E2267D">
            <w:pPr>
              <w:tabs>
                <w:tab w:val="left" w:pos="5347"/>
              </w:tabs>
              <w:rPr>
                <w:rFonts w:ascii="Arial" w:hAnsi="Arial" w:cs="Arial"/>
              </w:rPr>
            </w:pPr>
            <w:r>
              <w:rPr>
                <w:rFonts w:ascii="Arial" w:hAnsi="Arial" w:cs="Arial"/>
              </w:rPr>
              <w:t>4.8</w:t>
            </w:r>
          </w:p>
        </w:tc>
        <w:tc>
          <w:tcPr>
            <w:tcW w:w="7884" w:type="dxa"/>
          </w:tcPr>
          <w:p w14:paraId="196F5A95" w14:textId="47D471DC" w:rsidR="0097193F" w:rsidRDefault="0097193F" w:rsidP="00E2267D">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 </w:t>
            </w:r>
          </w:p>
          <w:p w14:paraId="5FCD15B2" w14:textId="77777777" w:rsidR="00594AAC" w:rsidRDefault="00594AAC" w:rsidP="00E2267D">
            <w:pPr>
              <w:tabs>
                <w:tab w:val="left" w:pos="5347"/>
              </w:tabs>
              <w:rPr>
                <w:rFonts w:ascii="Arial" w:hAnsi="Arial" w:cs="Arial"/>
                <w:bCs/>
              </w:rPr>
            </w:pPr>
          </w:p>
          <w:p w14:paraId="14179578" w14:textId="387C98AE" w:rsidR="0097193F" w:rsidRDefault="00E47CE1" w:rsidP="00E2267D">
            <w:pPr>
              <w:pStyle w:val="ListParagraph"/>
              <w:numPr>
                <w:ilvl w:val="0"/>
                <w:numId w:val="20"/>
              </w:numPr>
              <w:tabs>
                <w:tab w:val="left" w:pos="5347"/>
              </w:tabs>
              <w:rPr>
                <w:rFonts w:ascii="Arial" w:hAnsi="Arial" w:cs="Arial"/>
                <w:bCs/>
              </w:rPr>
            </w:pPr>
            <w:r>
              <w:rPr>
                <w:rFonts w:ascii="Arial" w:hAnsi="Arial" w:cs="Arial"/>
                <w:bCs/>
              </w:rPr>
              <w:t>N</w:t>
            </w:r>
            <w:r w:rsidR="0097193F" w:rsidRPr="00D901A4">
              <w:rPr>
                <w:rFonts w:ascii="Arial" w:hAnsi="Arial" w:cs="Arial"/>
                <w:bCs/>
              </w:rPr>
              <w:t xml:space="preserve">oted that the strategic direction of the </w:t>
            </w:r>
            <w:r w:rsidR="00B71FF0">
              <w:rPr>
                <w:rFonts w:ascii="Arial" w:hAnsi="Arial" w:cs="Arial"/>
                <w:bCs/>
              </w:rPr>
              <w:t>R</w:t>
            </w:r>
            <w:r w:rsidR="0097193F" w:rsidRPr="00D901A4">
              <w:rPr>
                <w:rFonts w:ascii="Arial" w:hAnsi="Arial" w:cs="Arial"/>
                <w:bCs/>
              </w:rPr>
              <w:t xml:space="preserve">egulatory </w:t>
            </w:r>
            <w:r w:rsidR="00B71FF0">
              <w:rPr>
                <w:rFonts w:ascii="Arial" w:hAnsi="Arial" w:cs="Arial"/>
                <w:bCs/>
              </w:rPr>
              <w:t>D</w:t>
            </w:r>
            <w:r w:rsidR="0097193F" w:rsidRPr="00D901A4">
              <w:rPr>
                <w:rFonts w:ascii="Arial" w:hAnsi="Arial" w:cs="Arial"/>
                <w:bCs/>
              </w:rPr>
              <w:t>irector</w:t>
            </w:r>
            <w:r w:rsidR="00B71FF0">
              <w:rPr>
                <w:rFonts w:ascii="Arial" w:hAnsi="Arial" w:cs="Arial"/>
                <w:bCs/>
              </w:rPr>
              <w:t>ate</w:t>
            </w:r>
            <w:r w:rsidR="0097193F" w:rsidRPr="00D901A4">
              <w:rPr>
                <w:rFonts w:ascii="Arial" w:hAnsi="Arial" w:cs="Arial"/>
                <w:bCs/>
              </w:rPr>
              <w:t xml:space="preserve"> was reviewed in light of </w:t>
            </w:r>
            <w:r w:rsidR="00E2732F">
              <w:rPr>
                <w:rFonts w:ascii="Arial" w:hAnsi="Arial" w:cs="Arial"/>
                <w:bCs/>
              </w:rPr>
              <w:t xml:space="preserve">the </w:t>
            </w:r>
            <w:r w:rsidR="0097193F" w:rsidRPr="00D901A4">
              <w:rPr>
                <w:rFonts w:ascii="Arial" w:hAnsi="Arial" w:cs="Arial"/>
                <w:bCs/>
              </w:rPr>
              <w:t>feedback from internal and external stakeholders at AROR.</w:t>
            </w:r>
          </w:p>
          <w:p w14:paraId="3827A4E4" w14:textId="3D33CB35" w:rsidR="0097193F" w:rsidRPr="00D901A4" w:rsidRDefault="0097193F" w:rsidP="00E2267D">
            <w:pPr>
              <w:pStyle w:val="ListParagraph"/>
              <w:numPr>
                <w:ilvl w:val="0"/>
                <w:numId w:val="20"/>
              </w:numPr>
              <w:tabs>
                <w:tab w:val="left" w:pos="5347"/>
              </w:tabs>
              <w:rPr>
                <w:rFonts w:ascii="Arial" w:hAnsi="Arial" w:cs="Arial"/>
                <w:bCs/>
              </w:rPr>
            </w:pPr>
            <w:r w:rsidRPr="00D901A4">
              <w:rPr>
                <w:rFonts w:ascii="Arial" w:hAnsi="Arial" w:cs="Arial"/>
                <w:bCs/>
              </w:rPr>
              <w:t xml:space="preserve">Noted the openness of senior industry </w:t>
            </w:r>
            <w:r w:rsidRPr="00AA57F1">
              <w:rPr>
                <w:rFonts w:ascii="Arial" w:hAnsi="Arial" w:cs="Arial"/>
                <w:bCs/>
              </w:rPr>
              <w:t>representatives</w:t>
            </w:r>
            <w:r w:rsidRPr="00D901A4">
              <w:rPr>
                <w:rFonts w:ascii="Arial" w:hAnsi="Arial" w:cs="Arial"/>
                <w:bCs/>
              </w:rPr>
              <w:t xml:space="preserve"> and their positive reflections on ONR regulation, contribution and approach to developing strategic senior relationships.</w:t>
            </w:r>
          </w:p>
          <w:p w14:paraId="21D52951" w14:textId="77777777" w:rsidR="0097193F" w:rsidRDefault="0097193F" w:rsidP="00E2267D">
            <w:pPr>
              <w:pStyle w:val="ListParagraph"/>
              <w:numPr>
                <w:ilvl w:val="0"/>
                <w:numId w:val="20"/>
              </w:numPr>
              <w:tabs>
                <w:tab w:val="left" w:pos="5347"/>
              </w:tabs>
              <w:rPr>
                <w:rFonts w:ascii="Arial" w:hAnsi="Arial" w:cs="Arial"/>
                <w:bCs/>
              </w:rPr>
            </w:pPr>
            <w:r w:rsidRPr="00D901A4">
              <w:rPr>
                <w:rFonts w:ascii="Arial" w:hAnsi="Arial" w:cs="Arial"/>
                <w:bCs/>
              </w:rPr>
              <w:t>Noted the current recruitment position and opportunities to learn from other sectors.</w:t>
            </w:r>
          </w:p>
          <w:p w14:paraId="2D11D8AA" w14:textId="59C6270E" w:rsidR="00594AAC" w:rsidRPr="006D1A47" w:rsidRDefault="00594AAC" w:rsidP="00594AAC">
            <w:pPr>
              <w:pStyle w:val="ListParagraph"/>
              <w:tabs>
                <w:tab w:val="left" w:pos="5347"/>
              </w:tabs>
              <w:ind w:left="785"/>
              <w:rPr>
                <w:rFonts w:ascii="Arial" w:hAnsi="Arial" w:cs="Arial"/>
                <w:bCs/>
              </w:rPr>
            </w:pPr>
          </w:p>
        </w:tc>
      </w:tr>
      <w:tr w:rsidR="004057BA" w:rsidRPr="00D901A4" w14:paraId="6BEBB6AF" w14:textId="77777777" w:rsidTr="008C531E">
        <w:trPr>
          <w:trHeight w:val="399"/>
        </w:trPr>
        <w:tc>
          <w:tcPr>
            <w:tcW w:w="1142" w:type="dxa"/>
          </w:tcPr>
          <w:p w14:paraId="0DBBC9FE" w14:textId="4B4FB8F0" w:rsidR="004057BA" w:rsidRDefault="004057BA" w:rsidP="00E2267D">
            <w:pPr>
              <w:tabs>
                <w:tab w:val="left" w:pos="5347"/>
              </w:tabs>
              <w:rPr>
                <w:rFonts w:ascii="Arial" w:hAnsi="Arial" w:cs="Arial"/>
              </w:rPr>
            </w:pPr>
            <w:r w:rsidRPr="006D1A47">
              <w:rPr>
                <w:rFonts w:ascii="Arial" w:hAnsi="Arial" w:cs="Arial"/>
                <w:bCs/>
              </w:rPr>
              <w:t>4.9</w:t>
            </w:r>
          </w:p>
        </w:tc>
        <w:tc>
          <w:tcPr>
            <w:tcW w:w="7884" w:type="dxa"/>
          </w:tcPr>
          <w:p w14:paraId="62270CCC" w14:textId="77777777" w:rsidR="004057BA" w:rsidRDefault="004057BA" w:rsidP="00E2267D">
            <w:pPr>
              <w:tabs>
                <w:tab w:val="left" w:pos="5347"/>
              </w:tabs>
              <w:rPr>
                <w:rFonts w:ascii="Arial" w:hAnsi="Arial" w:cs="Arial"/>
                <w:bCs/>
              </w:rPr>
            </w:pPr>
            <w:r w:rsidRPr="004057BA">
              <w:rPr>
                <w:rFonts w:ascii="Arial" w:hAnsi="Arial" w:cs="Arial"/>
                <w:bCs/>
              </w:rPr>
              <w:t>The Board noted the information.</w:t>
            </w:r>
          </w:p>
          <w:p w14:paraId="7840E059" w14:textId="4846FD75" w:rsidR="004057BA" w:rsidRPr="00D901A4" w:rsidRDefault="004057BA" w:rsidP="00E2267D">
            <w:pPr>
              <w:tabs>
                <w:tab w:val="left" w:pos="5347"/>
              </w:tabs>
              <w:rPr>
                <w:rFonts w:ascii="Arial" w:hAnsi="Arial" w:cs="Arial"/>
                <w:bCs/>
              </w:rPr>
            </w:pPr>
          </w:p>
        </w:tc>
      </w:tr>
      <w:tr w:rsidR="004057BA" w:rsidRPr="00D901A4" w14:paraId="55783B4C" w14:textId="77777777" w:rsidTr="008C531E">
        <w:trPr>
          <w:trHeight w:val="399"/>
        </w:trPr>
        <w:tc>
          <w:tcPr>
            <w:tcW w:w="1142" w:type="dxa"/>
          </w:tcPr>
          <w:p w14:paraId="6C2FBE71" w14:textId="0F22CB40" w:rsidR="004057BA" w:rsidRPr="004057BA" w:rsidRDefault="004057BA" w:rsidP="00E2267D">
            <w:pPr>
              <w:tabs>
                <w:tab w:val="left" w:pos="5347"/>
              </w:tabs>
              <w:rPr>
                <w:rFonts w:ascii="Arial" w:hAnsi="Arial" w:cs="Arial"/>
                <w:b/>
                <w:bCs/>
              </w:rPr>
            </w:pPr>
            <w:r w:rsidRPr="004057BA">
              <w:rPr>
                <w:rFonts w:ascii="Arial" w:hAnsi="Arial" w:cs="Arial"/>
                <w:b/>
                <w:bCs/>
              </w:rPr>
              <w:t>5</w:t>
            </w:r>
          </w:p>
        </w:tc>
        <w:tc>
          <w:tcPr>
            <w:tcW w:w="7884" w:type="dxa"/>
          </w:tcPr>
          <w:p w14:paraId="5465E43F" w14:textId="6A88D63A" w:rsidR="004057BA" w:rsidRDefault="004057BA" w:rsidP="00E2267D">
            <w:pPr>
              <w:tabs>
                <w:tab w:val="left" w:pos="5347"/>
              </w:tabs>
              <w:rPr>
                <w:rFonts w:ascii="Arial" w:hAnsi="Arial" w:cs="Arial"/>
                <w:b/>
              </w:rPr>
            </w:pPr>
            <w:r w:rsidRPr="00D901A4">
              <w:rPr>
                <w:rFonts w:ascii="Arial" w:hAnsi="Arial" w:cs="Arial"/>
                <w:b/>
              </w:rPr>
              <w:t xml:space="preserve">Regulation of Sellafield – </w:t>
            </w:r>
            <w:r w:rsidR="00815624">
              <w:rPr>
                <w:rFonts w:ascii="Arial" w:hAnsi="Arial" w:cs="Arial"/>
                <w:b/>
              </w:rPr>
              <w:t>u</w:t>
            </w:r>
            <w:r w:rsidRPr="00D901A4">
              <w:rPr>
                <w:rFonts w:ascii="Arial" w:hAnsi="Arial" w:cs="Arial"/>
                <w:b/>
              </w:rPr>
              <w:t>pdate</w:t>
            </w:r>
          </w:p>
          <w:p w14:paraId="7EA9DC60" w14:textId="2D38EC3E" w:rsidR="004057BA" w:rsidRPr="00D901A4" w:rsidRDefault="004057BA" w:rsidP="00E2267D">
            <w:pPr>
              <w:tabs>
                <w:tab w:val="left" w:pos="5347"/>
              </w:tabs>
              <w:rPr>
                <w:rFonts w:ascii="Arial" w:hAnsi="Arial" w:cs="Arial"/>
                <w:bCs/>
              </w:rPr>
            </w:pPr>
          </w:p>
        </w:tc>
      </w:tr>
      <w:tr w:rsidR="004057BA" w:rsidRPr="00D901A4" w14:paraId="0A513E8C" w14:textId="77777777" w:rsidTr="008C531E">
        <w:trPr>
          <w:trHeight w:val="399"/>
        </w:trPr>
        <w:tc>
          <w:tcPr>
            <w:tcW w:w="1142" w:type="dxa"/>
          </w:tcPr>
          <w:p w14:paraId="245E1B5B" w14:textId="22700142" w:rsidR="004057BA" w:rsidRDefault="004057BA" w:rsidP="00E2267D">
            <w:pPr>
              <w:tabs>
                <w:tab w:val="left" w:pos="5347"/>
              </w:tabs>
              <w:rPr>
                <w:rFonts w:ascii="Arial" w:hAnsi="Arial" w:cs="Arial"/>
              </w:rPr>
            </w:pPr>
            <w:r>
              <w:rPr>
                <w:rFonts w:ascii="Arial" w:hAnsi="Arial" w:cs="Arial"/>
              </w:rPr>
              <w:t>5.1</w:t>
            </w:r>
          </w:p>
        </w:tc>
        <w:tc>
          <w:tcPr>
            <w:tcW w:w="7884" w:type="dxa"/>
          </w:tcPr>
          <w:p w14:paraId="53559DF9" w14:textId="52CC8977" w:rsidR="004057BA" w:rsidRDefault="004057BA" w:rsidP="004057BA">
            <w:pPr>
              <w:tabs>
                <w:tab w:val="left" w:pos="5347"/>
              </w:tabs>
              <w:rPr>
                <w:rFonts w:ascii="Arial" w:hAnsi="Arial" w:cs="Arial"/>
                <w:bCs/>
              </w:rPr>
            </w:pPr>
            <w:r w:rsidRPr="00D901A4">
              <w:rPr>
                <w:rFonts w:ascii="Arial" w:hAnsi="Arial" w:cs="Arial"/>
                <w:bCs/>
              </w:rPr>
              <w:t>The CE/CNI updated the Board on ONR</w:t>
            </w:r>
            <w:r>
              <w:rPr>
                <w:rFonts w:ascii="Arial" w:hAnsi="Arial" w:cs="Arial"/>
                <w:bCs/>
              </w:rPr>
              <w:t>’</w:t>
            </w:r>
            <w:r w:rsidRPr="00D901A4">
              <w:rPr>
                <w:rFonts w:ascii="Arial" w:hAnsi="Arial" w:cs="Arial"/>
                <w:bCs/>
              </w:rPr>
              <w:t>s position in relation to the issues highlighted in recent articles about Sellafield published in the Guardian, specifically the article associated with cyber</w:t>
            </w:r>
            <w:r w:rsidR="006629FF">
              <w:rPr>
                <w:rFonts w:ascii="Arial" w:hAnsi="Arial" w:cs="Arial"/>
                <w:bCs/>
              </w:rPr>
              <w:t xml:space="preserve"> </w:t>
            </w:r>
            <w:r w:rsidRPr="00D901A4">
              <w:rPr>
                <w:rFonts w:ascii="Arial" w:hAnsi="Arial" w:cs="Arial"/>
                <w:bCs/>
              </w:rPr>
              <w:t>security on the site.</w:t>
            </w:r>
          </w:p>
          <w:p w14:paraId="6466B26D" w14:textId="77777777" w:rsidR="004057BA" w:rsidRDefault="004057BA" w:rsidP="00E2267D">
            <w:pPr>
              <w:tabs>
                <w:tab w:val="left" w:pos="5347"/>
              </w:tabs>
              <w:rPr>
                <w:rFonts w:ascii="Arial" w:hAnsi="Arial" w:cs="Arial"/>
                <w:bCs/>
              </w:rPr>
            </w:pPr>
          </w:p>
          <w:p w14:paraId="41A0029D" w14:textId="77777777" w:rsidR="00BC0353" w:rsidRDefault="00BC0353" w:rsidP="00E2267D">
            <w:pPr>
              <w:tabs>
                <w:tab w:val="left" w:pos="5347"/>
              </w:tabs>
              <w:rPr>
                <w:rFonts w:ascii="Arial" w:hAnsi="Arial" w:cs="Arial"/>
                <w:bCs/>
              </w:rPr>
            </w:pPr>
          </w:p>
          <w:p w14:paraId="02B860F3" w14:textId="77777777" w:rsidR="00BC0353" w:rsidRDefault="00BC0353" w:rsidP="00E2267D">
            <w:pPr>
              <w:tabs>
                <w:tab w:val="left" w:pos="5347"/>
              </w:tabs>
              <w:rPr>
                <w:rFonts w:ascii="Arial" w:hAnsi="Arial" w:cs="Arial"/>
                <w:bCs/>
              </w:rPr>
            </w:pPr>
          </w:p>
          <w:p w14:paraId="494C2C6D" w14:textId="77777777" w:rsidR="00BC0353" w:rsidRPr="00D901A4" w:rsidRDefault="00BC0353" w:rsidP="00E2267D">
            <w:pPr>
              <w:tabs>
                <w:tab w:val="left" w:pos="5347"/>
              </w:tabs>
              <w:rPr>
                <w:rFonts w:ascii="Arial" w:hAnsi="Arial" w:cs="Arial"/>
                <w:bCs/>
              </w:rPr>
            </w:pPr>
          </w:p>
        </w:tc>
      </w:tr>
      <w:tr w:rsidR="004057BA" w:rsidRPr="00D901A4" w14:paraId="1A6410D6" w14:textId="77777777" w:rsidTr="008C531E">
        <w:trPr>
          <w:trHeight w:val="399"/>
        </w:trPr>
        <w:tc>
          <w:tcPr>
            <w:tcW w:w="1142" w:type="dxa"/>
          </w:tcPr>
          <w:p w14:paraId="4A06787E" w14:textId="7D1AF558" w:rsidR="004057BA" w:rsidRDefault="004057BA" w:rsidP="00E2267D">
            <w:pPr>
              <w:tabs>
                <w:tab w:val="left" w:pos="5347"/>
              </w:tabs>
              <w:rPr>
                <w:rFonts w:ascii="Arial" w:hAnsi="Arial" w:cs="Arial"/>
              </w:rPr>
            </w:pPr>
            <w:r>
              <w:rPr>
                <w:rFonts w:ascii="Arial" w:hAnsi="Arial" w:cs="Arial"/>
              </w:rPr>
              <w:lastRenderedPageBreak/>
              <w:t>5.2</w:t>
            </w:r>
          </w:p>
        </w:tc>
        <w:tc>
          <w:tcPr>
            <w:tcW w:w="7884" w:type="dxa"/>
          </w:tcPr>
          <w:p w14:paraId="7391516D" w14:textId="77777777" w:rsidR="004057BA" w:rsidRDefault="004057BA" w:rsidP="004057BA">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p>
          <w:p w14:paraId="28EDAB59" w14:textId="77777777" w:rsidR="004057BA" w:rsidRDefault="004057BA" w:rsidP="004057BA">
            <w:pPr>
              <w:tabs>
                <w:tab w:val="left" w:pos="5347"/>
              </w:tabs>
              <w:rPr>
                <w:rFonts w:ascii="Arial" w:hAnsi="Arial" w:cs="Arial"/>
                <w:bCs/>
              </w:rPr>
            </w:pPr>
          </w:p>
          <w:p w14:paraId="40D34CC6" w14:textId="77777777" w:rsidR="004057BA" w:rsidRPr="00D901A4" w:rsidRDefault="004057BA" w:rsidP="004057BA">
            <w:pPr>
              <w:pStyle w:val="ListParagraph"/>
              <w:numPr>
                <w:ilvl w:val="0"/>
                <w:numId w:val="6"/>
              </w:numPr>
              <w:tabs>
                <w:tab w:val="left" w:pos="5347"/>
              </w:tabs>
              <w:rPr>
                <w:rFonts w:ascii="Arial" w:hAnsi="Arial" w:cs="Arial"/>
                <w:bCs/>
              </w:rPr>
            </w:pPr>
            <w:r w:rsidRPr="00D901A4">
              <w:rPr>
                <w:rFonts w:ascii="Arial" w:hAnsi="Arial" w:cs="Arial"/>
                <w:bCs/>
              </w:rPr>
              <w:t>Discussed opportunities for journalists to visit the Sellafield site.</w:t>
            </w:r>
          </w:p>
          <w:p w14:paraId="053520CC" w14:textId="77777777" w:rsidR="004057BA" w:rsidRDefault="004057BA" w:rsidP="004057BA">
            <w:pPr>
              <w:pStyle w:val="ListParagraph"/>
              <w:numPr>
                <w:ilvl w:val="0"/>
                <w:numId w:val="6"/>
              </w:numPr>
              <w:tabs>
                <w:tab w:val="left" w:pos="5347"/>
              </w:tabs>
              <w:rPr>
                <w:rFonts w:ascii="Arial" w:hAnsi="Arial" w:cs="Arial"/>
                <w:bCs/>
              </w:rPr>
            </w:pPr>
            <w:r w:rsidRPr="00D901A4">
              <w:rPr>
                <w:rFonts w:ascii="Arial" w:hAnsi="Arial" w:cs="Arial"/>
                <w:bCs/>
              </w:rPr>
              <w:t>Noted that much of the content of the article was existing information within the public domain.</w:t>
            </w:r>
          </w:p>
          <w:p w14:paraId="75495C3A" w14:textId="77777777" w:rsidR="004057BA" w:rsidRPr="00D901A4" w:rsidRDefault="004057BA" w:rsidP="00E2267D">
            <w:pPr>
              <w:tabs>
                <w:tab w:val="left" w:pos="5347"/>
              </w:tabs>
              <w:rPr>
                <w:rFonts w:ascii="Arial" w:hAnsi="Arial" w:cs="Arial"/>
                <w:bCs/>
              </w:rPr>
            </w:pPr>
          </w:p>
        </w:tc>
      </w:tr>
      <w:tr w:rsidR="004057BA" w:rsidRPr="00D901A4" w14:paraId="116FEBB6" w14:textId="77777777" w:rsidTr="008C531E">
        <w:trPr>
          <w:trHeight w:val="399"/>
        </w:trPr>
        <w:tc>
          <w:tcPr>
            <w:tcW w:w="1142" w:type="dxa"/>
          </w:tcPr>
          <w:p w14:paraId="447CE633" w14:textId="48EE2A2A" w:rsidR="004057BA" w:rsidRDefault="004057BA" w:rsidP="00E2267D">
            <w:pPr>
              <w:tabs>
                <w:tab w:val="left" w:pos="5347"/>
              </w:tabs>
              <w:rPr>
                <w:rFonts w:ascii="Arial" w:hAnsi="Arial" w:cs="Arial"/>
              </w:rPr>
            </w:pPr>
            <w:r>
              <w:rPr>
                <w:rFonts w:ascii="Arial" w:hAnsi="Arial" w:cs="Arial"/>
              </w:rPr>
              <w:t>5.3</w:t>
            </w:r>
          </w:p>
        </w:tc>
        <w:tc>
          <w:tcPr>
            <w:tcW w:w="7884" w:type="dxa"/>
          </w:tcPr>
          <w:p w14:paraId="73D45FD3" w14:textId="1E922B6E" w:rsidR="004057BA" w:rsidRPr="00D901A4" w:rsidRDefault="004057BA" w:rsidP="004057BA">
            <w:pPr>
              <w:tabs>
                <w:tab w:val="left" w:pos="5347"/>
              </w:tabs>
              <w:rPr>
                <w:rFonts w:ascii="Arial" w:hAnsi="Arial" w:cs="Arial"/>
                <w:bCs/>
              </w:rPr>
            </w:pPr>
            <w:r w:rsidRPr="00D901A4">
              <w:rPr>
                <w:rFonts w:ascii="Arial" w:hAnsi="Arial" w:cs="Arial"/>
                <w:bCs/>
              </w:rPr>
              <w:t>The Director of Regulation</w:t>
            </w:r>
            <w:r>
              <w:rPr>
                <w:rFonts w:ascii="Arial" w:hAnsi="Arial" w:cs="Arial"/>
                <w:bCs/>
              </w:rPr>
              <w:t>, Sellafield Decommissioning Fuel and Waste</w:t>
            </w:r>
            <w:r w:rsidRPr="00D901A4">
              <w:rPr>
                <w:rFonts w:ascii="Arial" w:hAnsi="Arial" w:cs="Arial"/>
                <w:bCs/>
              </w:rPr>
              <w:t xml:space="preserve"> introduced the </w:t>
            </w:r>
            <w:r w:rsidR="006E7AA8">
              <w:rPr>
                <w:rFonts w:ascii="Arial" w:hAnsi="Arial" w:cs="Arial"/>
                <w:bCs/>
              </w:rPr>
              <w:t>d</w:t>
            </w:r>
            <w:r w:rsidRPr="00D901A4">
              <w:rPr>
                <w:rFonts w:ascii="Arial" w:hAnsi="Arial" w:cs="Arial"/>
                <w:bCs/>
              </w:rPr>
              <w:t xml:space="preserve">eep </w:t>
            </w:r>
            <w:r w:rsidR="006E7AA8">
              <w:rPr>
                <w:rFonts w:ascii="Arial" w:hAnsi="Arial" w:cs="Arial"/>
                <w:bCs/>
              </w:rPr>
              <w:t>d</w:t>
            </w:r>
            <w:r w:rsidRPr="00D901A4">
              <w:rPr>
                <w:rFonts w:ascii="Arial" w:hAnsi="Arial" w:cs="Arial"/>
                <w:bCs/>
              </w:rPr>
              <w:t>ive on Sellafield and provided an overview of strategy and strategic priorities, corporate and directorate milestones, achievements and learning opportunities.</w:t>
            </w:r>
          </w:p>
          <w:p w14:paraId="069807CD" w14:textId="77777777" w:rsidR="004057BA" w:rsidRPr="00D901A4" w:rsidRDefault="004057BA" w:rsidP="00E2267D">
            <w:pPr>
              <w:tabs>
                <w:tab w:val="left" w:pos="5347"/>
              </w:tabs>
              <w:rPr>
                <w:rFonts w:ascii="Arial" w:hAnsi="Arial" w:cs="Arial"/>
                <w:bCs/>
              </w:rPr>
            </w:pPr>
          </w:p>
        </w:tc>
      </w:tr>
      <w:tr w:rsidR="004057BA" w:rsidRPr="00D901A4" w14:paraId="5B9CD401" w14:textId="77777777" w:rsidTr="008C531E">
        <w:trPr>
          <w:trHeight w:val="399"/>
        </w:trPr>
        <w:tc>
          <w:tcPr>
            <w:tcW w:w="1142" w:type="dxa"/>
          </w:tcPr>
          <w:p w14:paraId="25DCE7EF" w14:textId="6F92434A" w:rsidR="004057BA" w:rsidRDefault="004057BA" w:rsidP="00E2267D">
            <w:pPr>
              <w:tabs>
                <w:tab w:val="left" w:pos="5347"/>
              </w:tabs>
              <w:rPr>
                <w:rFonts w:ascii="Arial" w:hAnsi="Arial" w:cs="Arial"/>
              </w:rPr>
            </w:pPr>
            <w:r>
              <w:rPr>
                <w:rFonts w:ascii="Arial" w:hAnsi="Arial" w:cs="Arial"/>
              </w:rPr>
              <w:t>5.4</w:t>
            </w:r>
          </w:p>
        </w:tc>
        <w:tc>
          <w:tcPr>
            <w:tcW w:w="7884" w:type="dxa"/>
          </w:tcPr>
          <w:p w14:paraId="1BCA5AB3" w14:textId="77777777" w:rsidR="004057BA" w:rsidRPr="00D901A4" w:rsidRDefault="004057BA" w:rsidP="004057BA">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3D0643D1" w14:textId="77777777" w:rsidR="004057BA" w:rsidRPr="00D901A4" w:rsidRDefault="004057BA" w:rsidP="004057BA">
            <w:pPr>
              <w:tabs>
                <w:tab w:val="left" w:pos="5347"/>
              </w:tabs>
              <w:rPr>
                <w:rFonts w:ascii="Arial" w:hAnsi="Arial" w:cs="Arial"/>
                <w:bCs/>
              </w:rPr>
            </w:pPr>
          </w:p>
          <w:p w14:paraId="34648B02" w14:textId="77777777" w:rsidR="004057BA" w:rsidRPr="00D901A4" w:rsidRDefault="004057BA" w:rsidP="004057BA">
            <w:pPr>
              <w:pStyle w:val="ListParagraph"/>
              <w:numPr>
                <w:ilvl w:val="0"/>
                <w:numId w:val="22"/>
              </w:numPr>
              <w:tabs>
                <w:tab w:val="left" w:pos="5347"/>
              </w:tabs>
              <w:rPr>
                <w:rFonts w:ascii="Arial" w:hAnsi="Arial" w:cs="Arial"/>
                <w:bCs/>
              </w:rPr>
            </w:pPr>
            <w:r w:rsidRPr="00D901A4">
              <w:rPr>
                <w:rFonts w:ascii="Arial" w:hAnsi="Arial" w:cs="Arial"/>
                <w:bCs/>
              </w:rPr>
              <w:t>Noted the focus on strategy and risks.</w:t>
            </w:r>
          </w:p>
          <w:p w14:paraId="10359CA7" w14:textId="77777777" w:rsidR="004057BA" w:rsidRPr="00D901A4" w:rsidRDefault="004057BA" w:rsidP="004057BA">
            <w:pPr>
              <w:pStyle w:val="ListParagraph"/>
              <w:numPr>
                <w:ilvl w:val="0"/>
                <w:numId w:val="22"/>
              </w:numPr>
              <w:tabs>
                <w:tab w:val="left" w:pos="5347"/>
              </w:tabs>
              <w:rPr>
                <w:rFonts w:ascii="Arial" w:hAnsi="Arial" w:cs="Arial"/>
                <w:bCs/>
              </w:rPr>
            </w:pPr>
            <w:r w:rsidRPr="00D901A4">
              <w:rPr>
                <w:rFonts w:ascii="Arial" w:hAnsi="Arial" w:cs="Arial"/>
                <w:bCs/>
              </w:rPr>
              <w:t>Discussed a recent awayday where the team had reflected on the approach to entering delivery and cross prioritisation.</w:t>
            </w:r>
            <w:r>
              <w:rPr>
                <w:rFonts w:ascii="Arial" w:hAnsi="Arial" w:cs="Arial"/>
                <w:bCs/>
              </w:rPr>
              <w:t xml:space="preserve"> </w:t>
            </w:r>
          </w:p>
          <w:p w14:paraId="73C76CBC" w14:textId="77777777" w:rsidR="004057BA" w:rsidRPr="00D901A4" w:rsidRDefault="004057BA" w:rsidP="004057BA">
            <w:pPr>
              <w:pStyle w:val="ListParagraph"/>
              <w:numPr>
                <w:ilvl w:val="0"/>
                <w:numId w:val="22"/>
              </w:numPr>
              <w:tabs>
                <w:tab w:val="left" w:pos="5347"/>
              </w:tabs>
              <w:rPr>
                <w:rFonts w:ascii="Arial" w:hAnsi="Arial" w:cs="Arial"/>
                <w:bCs/>
              </w:rPr>
            </w:pPr>
            <w:r w:rsidRPr="00D901A4">
              <w:rPr>
                <w:rFonts w:ascii="Arial" w:hAnsi="Arial" w:cs="Arial"/>
                <w:bCs/>
              </w:rPr>
              <w:t>Discussed the strength of the Sellafield management team which had undergone changes.</w:t>
            </w:r>
          </w:p>
          <w:p w14:paraId="44A35FBC" w14:textId="77777777" w:rsidR="004057BA" w:rsidRPr="00D901A4" w:rsidRDefault="004057BA" w:rsidP="004057BA">
            <w:pPr>
              <w:pStyle w:val="ListParagraph"/>
              <w:numPr>
                <w:ilvl w:val="0"/>
                <w:numId w:val="22"/>
              </w:numPr>
              <w:tabs>
                <w:tab w:val="left" w:pos="5347"/>
              </w:tabs>
              <w:rPr>
                <w:rFonts w:ascii="Arial" w:hAnsi="Arial" w:cs="Arial"/>
                <w:bCs/>
              </w:rPr>
            </w:pPr>
            <w:r w:rsidRPr="00D901A4">
              <w:rPr>
                <w:rFonts w:ascii="Arial" w:hAnsi="Arial" w:cs="Arial"/>
                <w:bCs/>
              </w:rPr>
              <w:t>Discussed the corporate and directorate milestones and the risks to delivering these on time given their close proximity to the end of the financial year.</w:t>
            </w:r>
          </w:p>
          <w:p w14:paraId="4A9C7774" w14:textId="77777777" w:rsidR="004057BA" w:rsidRDefault="004057BA" w:rsidP="004057BA">
            <w:pPr>
              <w:pStyle w:val="ListParagraph"/>
              <w:numPr>
                <w:ilvl w:val="0"/>
                <w:numId w:val="22"/>
              </w:numPr>
              <w:tabs>
                <w:tab w:val="left" w:pos="5347"/>
              </w:tabs>
              <w:rPr>
                <w:rFonts w:ascii="Arial" w:hAnsi="Arial" w:cs="Arial"/>
                <w:bCs/>
              </w:rPr>
            </w:pPr>
            <w:r w:rsidRPr="00D901A4">
              <w:rPr>
                <w:rFonts w:ascii="Arial" w:hAnsi="Arial" w:cs="Arial"/>
                <w:bCs/>
              </w:rPr>
              <w:t>Noted engagement and relationship with Sellafield and the N</w:t>
            </w:r>
            <w:r>
              <w:rPr>
                <w:rFonts w:ascii="Arial" w:hAnsi="Arial" w:cs="Arial"/>
                <w:bCs/>
              </w:rPr>
              <w:t>DA</w:t>
            </w:r>
            <w:r w:rsidRPr="00D901A4">
              <w:rPr>
                <w:rFonts w:ascii="Arial" w:hAnsi="Arial" w:cs="Arial"/>
                <w:bCs/>
              </w:rPr>
              <w:t xml:space="preserve"> and how ONR could support them in getting the right focus.</w:t>
            </w:r>
          </w:p>
          <w:p w14:paraId="6F9F73E8" w14:textId="5FF3C245" w:rsidR="004057BA" w:rsidRPr="00961166" w:rsidRDefault="004057BA" w:rsidP="004057BA">
            <w:pPr>
              <w:pStyle w:val="ListParagraph"/>
              <w:numPr>
                <w:ilvl w:val="0"/>
                <w:numId w:val="22"/>
              </w:numPr>
              <w:tabs>
                <w:tab w:val="left" w:pos="5347"/>
              </w:tabs>
              <w:rPr>
                <w:rFonts w:ascii="Arial" w:hAnsi="Arial" w:cs="Arial"/>
                <w:bCs/>
              </w:rPr>
            </w:pPr>
            <w:r w:rsidRPr="00961166">
              <w:rPr>
                <w:rFonts w:ascii="Arial" w:hAnsi="Arial" w:cs="Arial"/>
                <w:bCs/>
              </w:rPr>
              <w:t xml:space="preserve">Noted that Sellafield and NDA had attended the September Security Committee meeting to present their plans to address  </w:t>
            </w:r>
            <w:r w:rsidR="006629FF">
              <w:rPr>
                <w:rFonts w:ascii="Arial" w:hAnsi="Arial" w:cs="Arial"/>
                <w:bCs/>
              </w:rPr>
              <w:t>c</w:t>
            </w:r>
            <w:r w:rsidRPr="00961166">
              <w:rPr>
                <w:rFonts w:ascii="Arial" w:hAnsi="Arial" w:cs="Arial"/>
                <w:bCs/>
              </w:rPr>
              <w:t xml:space="preserve">yber </w:t>
            </w:r>
            <w:r w:rsidR="006629FF">
              <w:rPr>
                <w:rFonts w:ascii="Arial" w:hAnsi="Arial" w:cs="Arial"/>
                <w:bCs/>
              </w:rPr>
              <w:t>s</w:t>
            </w:r>
            <w:r w:rsidRPr="00961166">
              <w:rPr>
                <w:rFonts w:ascii="Arial" w:hAnsi="Arial" w:cs="Arial"/>
                <w:bCs/>
              </w:rPr>
              <w:t>ecurity challenges</w:t>
            </w:r>
            <w:r>
              <w:rPr>
                <w:rFonts w:ascii="Arial" w:hAnsi="Arial" w:cs="Arial"/>
                <w:bCs/>
              </w:rPr>
              <w:t>.</w:t>
            </w:r>
          </w:p>
          <w:p w14:paraId="532E7228" w14:textId="77777777" w:rsidR="004057BA" w:rsidRPr="00D901A4" w:rsidRDefault="004057BA" w:rsidP="004057BA">
            <w:pPr>
              <w:pStyle w:val="ListParagraph"/>
              <w:numPr>
                <w:ilvl w:val="0"/>
                <w:numId w:val="22"/>
              </w:numPr>
              <w:tabs>
                <w:tab w:val="left" w:pos="5347"/>
              </w:tabs>
              <w:rPr>
                <w:rFonts w:ascii="Arial" w:hAnsi="Arial" w:cs="Arial"/>
                <w:bCs/>
              </w:rPr>
            </w:pPr>
            <w:r w:rsidRPr="00D901A4">
              <w:rPr>
                <w:rFonts w:ascii="Arial" w:hAnsi="Arial" w:cs="Arial"/>
                <w:bCs/>
              </w:rPr>
              <w:t>Noted the strong approach to integration and the cultural changes at Sellafield.</w:t>
            </w:r>
          </w:p>
          <w:p w14:paraId="26BA7EBD" w14:textId="77777777" w:rsidR="004057BA" w:rsidRPr="00D901A4" w:rsidRDefault="004057BA" w:rsidP="00E2267D">
            <w:pPr>
              <w:tabs>
                <w:tab w:val="left" w:pos="5347"/>
              </w:tabs>
              <w:rPr>
                <w:rFonts w:ascii="Arial" w:hAnsi="Arial" w:cs="Arial"/>
                <w:bCs/>
              </w:rPr>
            </w:pPr>
          </w:p>
        </w:tc>
      </w:tr>
      <w:tr w:rsidR="004057BA" w:rsidRPr="00D901A4" w14:paraId="282A1696" w14:textId="77777777" w:rsidTr="008C531E">
        <w:trPr>
          <w:trHeight w:val="399"/>
        </w:trPr>
        <w:tc>
          <w:tcPr>
            <w:tcW w:w="1142" w:type="dxa"/>
          </w:tcPr>
          <w:p w14:paraId="5EDE7593" w14:textId="44D2A485" w:rsidR="004057BA" w:rsidRPr="004057BA" w:rsidRDefault="004057BA" w:rsidP="00E2267D">
            <w:pPr>
              <w:tabs>
                <w:tab w:val="left" w:pos="5347"/>
              </w:tabs>
              <w:rPr>
                <w:rFonts w:ascii="Arial" w:hAnsi="Arial" w:cs="Arial"/>
                <w:b/>
                <w:bCs/>
              </w:rPr>
            </w:pPr>
            <w:r w:rsidRPr="004057BA">
              <w:rPr>
                <w:rFonts w:ascii="Arial" w:hAnsi="Arial" w:cs="Arial"/>
                <w:b/>
                <w:bCs/>
              </w:rPr>
              <w:t>6</w:t>
            </w:r>
          </w:p>
        </w:tc>
        <w:tc>
          <w:tcPr>
            <w:tcW w:w="7884" w:type="dxa"/>
          </w:tcPr>
          <w:p w14:paraId="22166A54" w14:textId="7FDD7FE6" w:rsidR="004057BA" w:rsidRPr="004057BA" w:rsidRDefault="004057BA" w:rsidP="004057BA">
            <w:pPr>
              <w:tabs>
                <w:tab w:val="left" w:pos="5347"/>
              </w:tabs>
              <w:rPr>
                <w:rFonts w:ascii="Arial" w:hAnsi="Arial" w:cs="Arial"/>
                <w:b/>
              </w:rPr>
            </w:pPr>
            <w:r w:rsidRPr="004057BA">
              <w:rPr>
                <w:rFonts w:ascii="Arial" w:hAnsi="Arial" w:cs="Arial"/>
                <w:b/>
              </w:rPr>
              <w:t xml:space="preserve">Alliance Manchester Business School (AMBS) Cultural Assessment </w:t>
            </w:r>
            <w:r w:rsidR="00815624">
              <w:rPr>
                <w:rFonts w:ascii="Arial" w:hAnsi="Arial" w:cs="Arial"/>
                <w:b/>
              </w:rPr>
              <w:t>r</w:t>
            </w:r>
            <w:r w:rsidRPr="004057BA">
              <w:rPr>
                <w:rFonts w:ascii="Arial" w:hAnsi="Arial" w:cs="Arial"/>
                <w:b/>
              </w:rPr>
              <w:t>eport</w:t>
            </w:r>
          </w:p>
          <w:p w14:paraId="17516205" w14:textId="77777777" w:rsidR="004057BA" w:rsidRPr="00D901A4" w:rsidRDefault="004057BA" w:rsidP="00E2267D">
            <w:pPr>
              <w:tabs>
                <w:tab w:val="left" w:pos="5347"/>
              </w:tabs>
              <w:rPr>
                <w:rFonts w:ascii="Arial" w:hAnsi="Arial" w:cs="Arial"/>
                <w:bCs/>
              </w:rPr>
            </w:pPr>
          </w:p>
        </w:tc>
      </w:tr>
      <w:tr w:rsidR="004057BA" w:rsidRPr="00D901A4" w14:paraId="01D629BB" w14:textId="77777777" w:rsidTr="008C531E">
        <w:trPr>
          <w:trHeight w:val="399"/>
        </w:trPr>
        <w:tc>
          <w:tcPr>
            <w:tcW w:w="1142" w:type="dxa"/>
          </w:tcPr>
          <w:p w14:paraId="0B29EF49" w14:textId="260BD334" w:rsidR="004057BA" w:rsidRDefault="004057BA" w:rsidP="00E2267D">
            <w:pPr>
              <w:tabs>
                <w:tab w:val="left" w:pos="5347"/>
              </w:tabs>
              <w:rPr>
                <w:rFonts w:ascii="Arial" w:hAnsi="Arial" w:cs="Arial"/>
              </w:rPr>
            </w:pPr>
            <w:r>
              <w:rPr>
                <w:rFonts w:ascii="Arial" w:hAnsi="Arial" w:cs="Arial"/>
              </w:rPr>
              <w:t>6.1</w:t>
            </w:r>
          </w:p>
        </w:tc>
        <w:tc>
          <w:tcPr>
            <w:tcW w:w="7884" w:type="dxa"/>
          </w:tcPr>
          <w:p w14:paraId="0CAB17F6" w14:textId="77777777" w:rsidR="004057BA" w:rsidRDefault="004057BA" w:rsidP="004057BA">
            <w:pPr>
              <w:tabs>
                <w:tab w:val="left" w:pos="5347"/>
              </w:tabs>
              <w:rPr>
                <w:rFonts w:ascii="Arial" w:hAnsi="Arial" w:cs="Arial"/>
                <w:bCs/>
              </w:rPr>
            </w:pPr>
            <w:r w:rsidRPr="00D901A4">
              <w:rPr>
                <w:rFonts w:ascii="Arial" w:hAnsi="Arial" w:cs="Arial"/>
                <w:bCs/>
              </w:rPr>
              <w:t>The C</w:t>
            </w:r>
            <w:r>
              <w:rPr>
                <w:rFonts w:ascii="Arial" w:hAnsi="Arial" w:cs="Arial"/>
                <w:bCs/>
              </w:rPr>
              <w:t>E/CNI</w:t>
            </w:r>
            <w:r w:rsidRPr="00D901A4">
              <w:rPr>
                <w:rFonts w:ascii="Arial" w:hAnsi="Arial" w:cs="Arial"/>
                <w:bCs/>
              </w:rPr>
              <w:t xml:space="preserve"> introduced the report which formally documented ONR’s response to the findings of the independent culture assessment and sought Board approval on its content. The Board were also invited to comment on the adequacy of ONR’s overall response to the conclusions of the AMBS report and provide a steer on any additional activity that it may be beneficial to undertake.</w:t>
            </w:r>
          </w:p>
          <w:p w14:paraId="62CD878D" w14:textId="77777777" w:rsidR="004057BA" w:rsidRPr="00D901A4" w:rsidRDefault="004057BA" w:rsidP="00E2267D">
            <w:pPr>
              <w:tabs>
                <w:tab w:val="left" w:pos="5347"/>
              </w:tabs>
              <w:rPr>
                <w:rFonts w:ascii="Arial" w:hAnsi="Arial" w:cs="Arial"/>
                <w:bCs/>
              </w:rPr>
            </w:pPr>
          </w:p>
        </w:tc>
      </w:tr>
      <w:tr w:rsidR="004057BA" w:rsidRPr="00D901A4" w14:paraId="4868B5DE" w14:textId="77777777" w:rsidTr="008C531E">
        <w:trPr>
          <w:trHeight w:val="399"/>
        </w:trPr>
        <w:tc>
          <w:tcPr>
            <w:tcW w:w="1142" w:type="dxa"/>
          </w:tcPr>
          <w:p w14:paraId="752D116E" w14:textId="2C4BDB60" w:rsidR="004057BA" w:rsidRDefault="004057BA" w:rsidP="00E2267D">
            <w:pPr>
              <w:tabs>
                <w:tab w:val="left" w:pos="5347"/>
              </w:tabs>
              <w:rPr>
                <w:rFonts w:ascii="Arial" w:hAnsi="Arial" w:cs="Arial"/>
              </w:rPr>
            </w:pPr>
            <w:r>
              <w:rPr>
                <w:rFonts w:ascii="Arial" w:hAnsi="Arial" w:cs="Arial"/>
              </w:rPr>
              <w:t>6.2</w:t>
            </w:r>
          </w:p>
        </w:tc>
        <w:tc>
          <w:tcPr>
            <w:tcW w:w="7884" w:type="dxa"/>
          </w:tcPr>
          <w:p w14:paraId="0E44F460" w14:textId="77777777" w:rsidR="004057BA" w:rsidRDefault="004057BA" w:rsidP="004057BA">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065FC0B9" w14:textId="77777777" w:rsidR="004057BA" w:rsidRPr="00D901A4" w:rsidRDefault="004057BA" w:rsidP="004057BA">
            <w:pPr>
              <w:tabs>
                <w:tab w:val="left" w:pos="5347"/>
              </w:tabs>
              <w:rPr>
                <w:rFonts w:ascii="Arial" w:hAnsi="Arial" w:cs="Arial"/>
                <w:bCs/>
              </w:rPr>
            </w:pPr>
          </w:p>
          <w:p w14:paraId="22713560" w14:textId="77777777" w:rsidR="004057BA" w:rsidRPr="00D901A4" w:rsidRDefault="004057BA" w:rsidP="004057BA">
            <w:pPr>
              <w:pStyle w:val="Default"/>
              <w:numPr>
                <w:ilvl w:val="0"/>
                <w:numId w:val="13"/>
              </w:numPr>
            </w:pPr>
            <w:r w:rsidRPr="00D901A4">
              <w:t>Approved the content in the report.</w:t>
            </w:r>
          </w:p>
          <w:p w14:paraId="6C19783E" w14:textId="77777777" w:rsidR="004057BA" w:rsidRPr="00D901A4" w:rsidRDefault="004057BA" w:rsidP="004057BA">
            <w:pPr>
              <w:pStyle w:val="Default"/>
              <w:numPr>
                <w:ilvl w:val="0"/>
                <w:numId w:val="13"/>
              </w:numPr>
            </w:pPr>
            <w:r w:rsidRPr="007966F1">
              <w:t>Noted that good progress had been made in addressing the issues arising but</w:t>
            </w:r>
            <w:r w:rsidRPr="00D901A4">
              <w:t xml:space="preserve"> maintaining momentum would be key.</w:t>
            </w:r>
          </w:p>
          <w:p w14:paraId="2826D098" w14:textId="77777777" w:rsidR="004057BA" w:rsidRPr="00D901A4" w:rsidRDefault="004057BA" w:rsidP="004057BA">
            <w:pPr>
              <w:pStyle w:val="Default"/>
              <w:numPr>
                <w:ilvl w:val="0"/>
                <w:numId w:val="13"/>
              </w:numPr>
            </w:pPr>
            <w:r w:rsidRPr="00D901A4">
              <w:t xml:space="preserve">The Board highlighted the need for these cultural learnings to be taken into account as part of the ongoing work on the </w:t>
            </w:r>
            <w:r>
              <w:t>OR</w:t>
            </w:r>
            <w:r w:rsidRPr="00D901A4">
              <w:t xml:space="preserve">. </w:t>
            </w:r>
          </w:p>
          <w:p w14:paraId="5D029DB3" w14:textId="766BF8CE" w:rsidR="004057BA" w:rsidRPr="00D901A4" w:rsidRDefault="004057BA" w:rsidP="00BC0353">
            <w:pPr>
              <w:pStyle w:val="Default"/>
              <w:numPr>
                <w:ilvl w:val="0"/>
                <w:numId w:val="13"/>
              </w:numPr>
              <w:rPr>
                <w:bCs/>
              </w:rPr>
            </w:pPr>
            <w:r w:rsidRPr="00D901A4">
              <w:rPr>
                <w:sz w:val="23"/>
                <w:szCs w:val="23"/>
              </w:rPr>
              <w:t xml:space="preserve">Noted that there had been good reflections at the Board Strategy Day in October on cultural journeys in other organisations and </w:t>
            </w:r>
            <w:r w:rsidRPr="00D901A4">
              <w:rPr>
                <w:sz w:val="23"/>
                <w:szCs w:val="23"/>
              </w:rPr>
              <w:lastRenderedPageBreak/>
              <w:t>linking in with those stakeholders and capturing learning would be beneficial.</w:t>
            </w:r>
          </w:p>
        </w:tc>
      </w:tr>
      <w:tr w:rsidR="004057BA" w:rsidRPr="00D901A4" w14:paraId="0246ABD7" w14:textId="77777777" w:rsidTr="008C531E">
        <w:trPr>
          <w:trHeight w:val="399"/>
        </w:trPr>
        <w:tc>
          <w:tcPr>
            <w:tcW w:w="1142" w:type="dxa"/>
          </w:tcPr>
          <w:p w14:paraId="1C854729" w14:textId="609D411C" w:rsidR="004057BA" w:rsidRPr="004057BA" w:rsidRDefault="004057BA" w:rsidP="00E2267D">
            <w:pPr>
              <w:tabs>
                <w:tab w:val="left" w:pos="5347"/>
              </w:tabs>
              <w:rPr>
                <w:rFonts w:ascii="Arial" w:hAnsi="Arial" w:cs="Arial"/>
                <w:b/>
                <w:bCs/>
              </w:rPr>
            </w:pPr>
            <w:r w:rsidRPr="004057BA">
              <w:rPr>
                <w:rFonts w:ascii="Arial" w:hAnsi="Arial" w:cs="Arial"/>
                <w:b/>
                <w:bCs/>
              </w:rPr>
              <w:lastRenderedPageBreak/>
              <w:t>7</w:t>
            </w:r>
          </w:p>
        </w:tc>
        <w:tc>
          <w:tcPr>
            <w:tcW w:w="7884" w:type="dxa"/>
          </w:tcPr>
          <w:p w14:paraId="303B8DBE" w14:textId="77777777" w:rsidR="004057BA" w:rsidRPr="004057BA" w:rsidRDefault="004057BA" w:rsidP="004057BA">
            <w:pPr>
              <w:tabs>
                <w:tab w:val="left" w:pos="5347"/>
              </w:tabs>
              <w:rPr>
                <w:rFonts w:ascii="Arial" w:hAnsi="Arial" w:cs="Arial"/>
                <w:b/>
              </w:rPr>
            </w:pPr>
            <w:r w:rsidRPr="004057BA">
              <w:rPr>
                <w:rFonts w:ascii="Arial" w:hAnsi="Arial" w:cs="Arial"/>
                <w:b/>
              </w:rPr>
              <w:t>Transport Regulation</w:t>
            </w:r>
          </w:p>
          <w:p w14:paraId="4007B20E" w14:textId="77777777" w:rsidR="004057BA" w:rsidRPr="00D901A4" w:rsidRDefault="004057BA" w:rsidP="004057BA">
            <w:pPr>
              <w:tabs>
                <w:tab w:val="left" w:pos="5347"/>
              </w:tabs>
              <w:rPr>
                <w:rFonts w:ascii="Arial" w:hAnsi="Arial" w:cs="Arial"/>
                <w:bCs/>
              </w:rPr>
            </w:pPr>
          </w:p>
        </w:tc>
      </w:tr>
      <w:tr w:rsidR="004057BA" w:rsidRPr="00D901A4" w14:paraId="1E44B120" w14:textId="77777777" w:rsidTr="008C531E">
        <w:trPr>
          <w:trHeight w:val="399"/>
        </w:trPr>
        <w:tc>
          <w:tcPr>
            <w:tcW w:w="1142" w:type="dxa"/>
          </w:tcPr>
          <w:p w14:paraId="0FD0E3A9" w14:textId="3BC35640" w:rsidR="004057BA" w:rsidRDefault="004057BA" w:rsidP="00E2267D">
            <w:pPr>
              <w:tabs>
                <w:tab w:val="left" w:pos="5347"/>
              </w:tabs>
              <w:rPr>
                <w:rFonts w:ascii="Arial" w:hAnsi="Arial" w:cs="Arial"/>
              </w:rPr>
            </w:pPr>
            <w:r>
              <w:rPr>
                <w:rFonts w:ascii="Arial" w:hAnsi="Arial" w:cs="Arial"/>
              </w:rPr>
              <w:t>7.1</w:t>
            </w:r>
          </w:p>
        </w:tc>
        <w:tc>
          <w:tcPr>
            <w:tcW w:w="7884" w:type="dxa"/>
          </w:tcPr>
          <w:p w14:paraId="5BBA89C8" w14:textId="7FDA404E" w:rsidR="004057BA" w:rsidRPr="00D901A4" w:rsidRDefault="004057BA" w:rsidP="004057BA">
            <w:pPr>
              <w:rPr>
                <w:rFonts w:ascii="Arial" w:hAnsi="Arial" w:cs="Arial"/>
                <w:bCs/>
              </w:rPr>
            </w:pPr>
            <w:r>
              <w:rPr>
                <w:rFonts w:asciiTheme="minorBidi" w:hAnsiTheme="minorBidi" w:cstheme="minorBidi"/>
              </w:rPr>
              <w:t xml:space="preserve">The </w:t>
            </w:r>
            <w:r w:rsidRPr="006069A0">
              <w:rPr>
                <w:rFonts w:asciiTheme="minorBidi" w:hAnsiTheme="minorBidi" w:cstheme="minorBidi"/>
              </w:rPr>
              <w:t>C</w:t>
            </w:r>
            <w:r>
              <w:rPr>
                <w:rFonts w:asciiTheme="minorBidi" w:hAnsiTheme="minorBidi" w:cstheme="minorBidi"/>
              </w:rPr>
              <w:t>E/CNI</w:t>
            </w:r>
            <w:r w:rsidRPr="006069A0">
              <w:rPr>
                <w:rFonts w:asciiTheme="minorBidi" w:hAnsiTheme="minorBidi" w:cstheme="minorBidi"/>
              </w:rPr>
              <w:t xml:space="preserve"> introduced the item which was an opportunity for the Board to understand ONR’s approach to regulation of transport</w:t>
            </w:r>
            <w:r w:rsidRPr="007966F1">
              <w:rPr>
                <w:rFonts w:asciiTheme="minorBidi" w:hAnsiTheme="minorBidi"/>
              </w:rPr>
              <w:t>.</w:t>
            </w:r>
            <w:r>
              <w:rPr>
                <w:rFonts w:asciiTheme="minorBidi" w:hAnsiTheme="minorBidi"/>
              </w:rPr>
              <w:t xml:space="preserve"> </w:t>
            </w:r>
          </w:p>
        </w:tc>
      </w:tr>
      <w:tr w:rsidR="004057BA" w:rsidRPr="00D901A4" w14:paraId="320CDB95" w14:textId="77777777" w:rsidTr="008C531E">
        <w:trPr>
          <w:trHeight w:val="399"/>
        </w:trPr>
        <w:tc>
          <w:tcPr>
            <w:tcW w:w="1142" w:type="dxa"/>
          </w:tcPr>
          <w:p w14:paraId="3D7F8E6D" w14:textId="391AB142" w:rsidR="004057BA" w:rsidRDefault="004057BA" w:rsidP="00E2267D">
            <w:pPr>
              <w:tabs>
                <w:tab w:val="left" w:pos="5347"/>
              </w:tabs>
              <w:rPr>
                <w:rFonts w:ascii="Arial" w:hAnsi="Arial" w:cs="Arial"/>
              </w:rPr>
            </w:pPr>
            <w:r>
              <w:rPr>
                <w:rFonts w:ascii="Arial" w:hAnsi="Arial" w:cs="Arial"/>
              </w:rPr>
              <w:t>7.2</w:t>
            </w:r>
          </w:p>
        </w:tc>
        <w:tc>
          <w:tcPr>
            <w:tcW w:w="7884" w:type="dxa"/>
          </w:tcPr>
          <w:p w14:paraId="75D3935A" w14:textId="77777777" w:rsidR="004057BA" w:rsidRDefault="004057BA" w:rsidP="004057BA">
            <w:pPr>
              <w:rPr>
                <w:rFonts w:asciiTheme="minorBidi" w:hAnsiTheme="minorBidi"/>
              </w:rPr>
            </w:pPr>
            <w:r>
              <w:rPr>
                <w:rFonts w:asciiTheme="minorBidi" w:hAnsiTheme="minorBidi"/>
              </w:rPr>
              <w:t>The Head of the ONR Transport Competent Authority (TCA) presented the paper. He spoke about what transport regulation was, changes that had been made across the team and the challenges currently faced.</w:t>
            </w:r>
          </w:p>
          <w:p w14:paraId="6187CE94" w14:textId="77777777" w:rsidR="004057BA" w:rsidRPr="00D901A4" w:rsidRDefault="004057BA" w:rsidP="004057BA">
            <w:pPr>
              <w:tabs>
                <w:tab w:val="left" w:pos="5347"/>
              </w:tabs>
              <w:rPr>
                <w:rFonts w:ascii="Arial" w:hAnsi="Arial" w:cs="Arial"/>
                <w:bCs/>
              </w:rPr>
            </w:pPr>
          </w:p>
        </w:tc>
      </w:tr>
      <w:tr w:rsidR="004057BA" w:rsidRPr="00D901A4" w14:paraId="7D93E306" w14:textId="77777777" w:rsidTr="008C531E">
        <w:trPr>
          <w:trHeight w:val="399"/>
        </w:trPr>
        <w:tc>
          <w:tcPr>
            <w:tcW w:w="1142" w:type="dxa"/>
          </w:tcPr>
          <w:p w14:paraId="6F433226" w14:textId="7AC7C63C" w:rsidR="004057BA" w:rsidRDefault="004057BA" w:rsidP="00E2267D">
            <w:pPr>
              <w:tabs>
                <w:tab w:val="left" w:pos="5347"/>
              </w:tabs>
              <w:rPr>
                <w:rFonts w:ascii="Arial" w:hAnsi="Arial" w:cs="Arial"/>
              </w:rPr>
            </w:pPr>
            <w:r>
              <w:rPr>
                <w:rFonts w:ascii="Arial" w:hAnsi="Arial" w:cs="Arial"/>
              </w:rPr>
              <w:t>7.3</w:t>
            </w:r>
          </w:p>
        </w:tc>
        <w:tc>
          <w:tcPr>
            <w:tcW w:w="7884" w:type="dxa"/>
          </w:tcPr>
          <w:p w14:paraId="6F3AE740" w14:textId="5AD5B46C" w:rsidR="004057BA" w:rsidRDefault="004057BA" w:rsidP="004057BA">
            <w:pPr>
              <w:rPr>
                <w:rFonts w:asciiTheme="minorBidi" w:hAnsiTheme="minorBidi"/>
              </w:rPr>
            </w:pPr>
            <w:r>
              <w:rPr>
                <w:rFonts w:asciiTheme="minorBidi" w:hAnsiTheme="minorBidi"/>
              </w:rPr>
              <w:t xml:space="preserve">ONR was one of several competent authorities for the civil carriage of UN Class </w:t>
            </w:r>
            <w:r w:rsidR="004B1069">
              <w:rPr>
                <w:rFonts w:asciiTheme="minorBidi" w:hAnsiTheme="minorBidi"/>
              </w:rPr>
              <w:t xml:space="preserve">7 </w:t>
            </w:r>
            <w:r>
              <w:rPr>
                <w:rFonts w:asciiTheme="minorBidi" w:hAnsiTheme="minorBidi"/>
              </w:rPr>
              <w:t xml:space="preserve">dangerous goods. </w:t>
            </w:r>
          </w:p>
          <w:p w14:paraId="7FE7E046" w14:textId="77777777" w:rsidR="004057BA" w:rsidRPr="00D901A4" w:rsidRDefault="004057BA" w:rsidP="004057BA">
            <w:pPr>
              <w:tabs>
                <w:tab w:val="left" w:pos="5347"/>
              </w:tabs>
              <w:rPr>
                <w:rFonts w:ascii="Arial" w:hAnsi="Arial" w:cs="Arial"/>
                <w:bCs/>
              </w:rPr>
            </w:pPr>
          </w:p>
        </w:tc>
      </w:tr>
      <w:tr w:rsidR="004057BA" w:rsidRPr="00D901A4" w14:paraId="2AE9F5FB" w14:textId="77777777" w:rsidTr="008C531E">
        <w:trPr>
          <w:trHeight w:val="399"/>
        </w:trPr>
        <w:tc>
          <w:tcPr>
            <w:tcW w:w="1142" w:type="dxa"/>
          </w:tcPr>
          <w:p w14:paraId="79ED3607" w14:textId="50CB3600" w:rsidR="004057BA" w:rsidRDefault="004057BA" w:rsidP="00E2267D">
            <w:pPr>
              <w:tabs>
                <w:tab w:val="left" w:pos="5347"/>
              </w:tabs>
              <w:rPr>
                <w:rFonts w:ascii="Arial" w:hAnsi="Arial" w:cs="Arial"/>
              </w:rPr>
            </w:pPr>
            <w:r>
              <w:rPr>
                <w:rFonts w:ascii="Arial" w:hAnsi="Arial" w:cs="Arial"/>
              </w:rPr>
              <w:t>7.</w:t>
            </w:r>
            <w:r w:rsidR="008C3684">
              <w:rPr>
                <w:rFonts w:ascii="Arial" w:hAnsi="Arial" w:cs="Arial"/>
              </w:rPr>
              <w:t>4</w:t>
            </w:r>
          </w:p>
        </w:tc>
        <w:tc>
          <w:tcPr>
            <w:tcW w:w="7884" w:type="dxa"/>
          </w:tcPr>
          <w:p w14:paraId="44ACDB7C" w14:textId="77777777" w:rsidR="004057BA" w:rsidRDefault="004057BA" w:rsidP="004057BA">
            <w:pPr>
              <w:rPr>
                <w:rFonts w:asciiTheme="minorBidi" w:hAnsiTheme="minorBidi"/>
              </w:rPr>
            </w:pPr>
            <w:r>
              <w:rPr>
                <w:rFonts w:asciiTheme="minorBidi" w:hAnsiTheme="minorBidi"/>
              </w:rPr>
              <w:t>He took the Board through the two main areas of TCA’s regulation which were package approvals and compliance inspection.</w:t>
            </w:r>
          </w:p>
          <w:p w14:paraId="1C3EA919" w14:textId="77777777" w:rsidR="004057BA" w:rsidRPr="00D901A4" w:rsidRDefault="004057BA" w:rsidP="004057BA">
            <w:pPr>
              <w:tabs>
                <w:tab w:val="left" w:pos="5347"/>
              </w:tabs>
              <w:rPr>
                <w:rFonts w:ascii="Arial" w:hAnsi="Arial" w:cs="Arial"/>
                <w:bCs/>
              </w:rPr>
            </w:pPr>
          </w:p>
        </w:tc>
      </w:tr>
      <w:tr w:rsidR="004057BA" w:rsidRPr="00D901A4" w14:paraId="64CC0E72" w14:textId="77777777" w:rsidTr="008C531E">
        <w:trPr>
          <w:trHeight w:val="399"/>
        </w:trPr>
        <w:tc>
          <w:tcPr>
            <w:tcW w:w="1142" w:type="dxa"/>
          </w:tcPr>
          <w:p w14:paraId="770A5BCA" w14:textId="3B7BBC65" w:rsidR="004057BA" w:rsidRDefault="004057BA" w:rsidP="00E2267D">
            <w:pPr>
              <w:tabs>
                <w:tab w:val="left" w:pos="5347"/>
              </w:tabs>
              <w:rPr>
                <w:rFonts w:ascii="Arial" w:hAnsi="Arial" w:cs="Arial"/>
              </w:rPr>
            </w:pPr>
            <w:r>
              <w:rPr>
                <w:rFonts w:ascii="Arial" w:hAnsi="Arial" w:cs="Arial"/>
              </w:rPr>
              <w:t>7.</w:t>
            </w:r>
            <w:r w:rsidR="00395B9C">
              <w:rPr>
                <w:rFonts w:ascii="Arial" w:hAnsi="Arial" w:cs="Arial"/>
              </w:rPr>
              <w:t>5</w:t>
            </w:r>
          </w:p>
        </w:tc>
        <w:tc>
          <w:tcPr>
            <w:tcW w:w="7884" w:type="dxa"/>
          </w:tcPr>
          <w:p w14:paraId="3E8A0364" w14:textId="69A32808" w:rsidR="004057BA" w:rsidRDefault="004057BA" w:rsidP="004057BA">
            <w:pPr>
              <w:rPr>
                <w:rFonts w:asciiTheme="minorBidi" w:hAnsiTheme="minorBidi"/>
              </w:rPr>
            </w:pPr>
            <w:r>
              <w:rPr>
                <w:rFonts w:asciiTheme="minorBidi" w:hAnsiTheme="minorBidi"/>
              </w:rPr>
              <w:t xml:space="preserve">There had been a number of changes to </w:t>
            </w:r>
            <w:r w:rsidRPr="003742D6">
              <w:rPr>
                <w:rFonts w:asciiTheme="minorBidi" w:hAnsiTheme="minorBidi"/>
              </w:rPr>
              <w:t>TCA</w:t>
            </w:r>
            <w:r>
              <w:rPr>
                <w:rFonts w:asciiTheme="minorBidi" w:hAnsiTheme="minorBidi"/>
              </w:rPr>
              <w:t xml:space="preserve"> over the last two years and it was</w:t>
            </w:r>
            <w:r w:rsidRPr="003742D6">
              <w:rPr>
                <w:rFonts w:asciiTheme="minorBidi" w:hAnsiTheme="minorBidi"/>
              </w:rPr>
              <w:t xml:space="preserve"> re-constituted as single point for all transport safety</w:t>
            </w:r>
            <w:r w:rsidR="00B20282">
              <w:rPr>
                <w:rFonts w:asciiTheme="minorBidi" w:hAnsiTheme="minorBidi"/>
              </w:rPr>
              <w:t>-</w:t>
            </w:r>
            <w:r w:rsidRPr="003742D6">
              <w:rPr>
                <w:rFonts w:asciiTheme="minorBidi" w:hAnsiTheme="minorBidi"/>
              </w:rPr>
              <w:t>related regulation in 2022</w:t>
            </w:r>
            <w:r>
              <w:rPr>
                <w:rFonts w:asciiTheme="minorBidi" w:hAnsiTheme="minorBidi"/>
              </w:rPr>
              <w:t>. This had e</w:t>
            </w:r>
            <w:r w:rsidRPr="003742D6">
              <w:rPr>
                <w:rFonts w:asciiTheme="minorBidi" w:hAnsiTheme="minorBidi"/>
              </w:rPr>
              <w:t xml:space="preserve">nabled </w:t>
            </w:r>
            <w:r>
              <w:rPr>
                <w:rFonts w:asciiTheme="minorBidi" w:hAnsiTheme="minorBidi"/>
              </w:rPr>
              <w:t xml:space="preserve">a </w:t>
            </w:r>
            <w:r w:rsidRPr="003742D6">
              <w:rPr>
                <w:rFonts w:asciiTheme="minorBidi" w:hAnsiTheme="minorBidi"/>
              </w:rPr>
              <w:t>harmonised approach across nuclear and non-nuclear sector activities</w:t>
            </w:r>
            <w:r>
              <w:rPr>
                <w:rFonts w:asciiTheme="minorBidi" w:hAnsiTheme="minorBidi"/>
              </w:rPr>
              <w:t xml:space="preserve"> and e</w:t>
            </w:r>
            <w:r w:rsidRPr="003742D6">
              <w:rPr>
                <w:rFonts w:asciiTheme="minorBidi" w:hAnsiTheme="minorBidi"/>
              </w:rPr>
              <w:t>nhanced interfaces with other ONR purpose</w:t>
            </w:r>
            <w:r>
              <w:rPr>
                <w:rFonts w:asciiTheme="minorBidi" w:hAnsiTheme="minorBidi"/>
              </w:rPr>
              <w:t>s.</w:t>
            </w:r>
          </w:p>
          <w:p w14:paraId="63704320" w14:textId="77777777" w:rsidR="004057BA" w:rsidRPr="00D901A4" w:rsidRDefault="004057BA" w:rsidP="004057BA">
            <w:pPr>
              <w:tabs>
                <w:tab w:val="left" w:pos="5347"/>
              </w:tabs>
              <w:rPr>
                <w:rFonts w:ascii="Arial" w:hAnsi="Arial" w:cs="Arial"/>
                <w:bCs/>
              </w:rPr>
            </w:pPr>
          </w:p>
        </w:tc>
      </w:tr>
      <w:tr w:rsidR="004057BA" w:rsidRPr="00D901A4" w14:paraId="2ECF452B" w14:textId="77777777" w:rsidTr="008C531E">
        <w:trPr>
          <w:trHeight w:val="399"/>
        </w:trPr>
        <w:tc>
          <w:tcPr>
            <w:tcW w:w="1142" w:type="dxa"/>
          </w:tcPr>
          <w:p w14:paraId="62E67A64" w14:textId="77777777" w:rsidR="004057BA" w:rsidRDefault="004057BA" w:rsidP="00E2267D">
            <w:pPr>
              <w:tabs>
                <w:tab w:val="left" w:pos="5347"/>
              </w:tabs>
              <w:rPr>
                <w:rFonts w:ascii="Arial" w:hAnsi="Arial" w:cs="Arial"/>
              </w:rPr>
            </w:pPr>
          </w:p>
          <w:p w14:paraId="6D065297" w14:textId="1EE387CD" w:rsidR="008C3684" w:rsidRDefault="008C3684" w:rsidP="00E2267D">
            <w:pPr>
              <w:tabs>
                <w:tab w:val="left" w:pos="5347"/>
              </w:tabs>
              <w:rPr>
                <w:rFonts w:ascii="Arial" w:hAnsi="Arial" w:cs="Arial"/>
              </w:rPr>
            </w:pPr>
          </w:p>
        </w:tc>
        <w:tc>
          <w:tcPr>
            <w:tcW w:w="7884" w:type="dxa"/>
          </w:tcPr>
          <w:p w14:paraId="29E128FD" w14:textId="77777777" w:rsidR="004057BA" w:rsidRDefault="004057BA" w:rsidP="004057BA">
            <w:pPr>
              <w:rPr>
                <w:rFonts w:asciiTheme="minorBidi" w:hAnsiTheme="minorBidi"/>
              </w:rPr>
            </w:pPr>
            <w:r>
              <w:rPr>
                <w:rFonts w:asciiTheme="minorBidi" w:hAnsiTheme="minorBidi"/>
              </w:rPr>
              <w:t>He took the Board through recent efficiencies, innovative solutions and current challenges.</w:t>
            </w:r>
          </w:p>
          <w:p w14:paraId="269B4C6A" w14:textId="77777777" w:rsidR="004057BA" w:rsidRPr="00D901A4" w:rsidRDefault="004057BA" w:rsidP="004057BA">
            <w:pPr>
              <w:tabs>
                <w:tab w:val="left" w:pos="5347"/>
              </w:tabs>
              <w:rPr>
                <w:rFonts w:ascii="Arial" w:hAnsi="Arial" w:cs="Arial"/>
                <w:bCs/>
              </w:rPr>
            </w:pPr>
          </w:p>
        </w:tc>
      </w:tr>
      <w:tr w:rsidR="004057BA" w:rsidRPr="00D901A4" w14:paraId="47F6B342" w14:textId="77777777" w:rsidTr="008C531E">
        <w:trPr>
          <w:trHeight w:val="399"/>
        </w:trPr>
        <w:tc>
          <w:tcPr>
            <w:tcW w:w="1142" w:type="dxa"/>
          </w:tcPr>
          <w:p w14:paraId="5DA4E045" w14:textId="6B05B957" w:rsidR="004057BA" w:rsidRDefault="004057BA" w:rsidP="00E2267D">
            <w:pPr>
              <w:tabs>
                <w:tab w:val="left" w:pos="5347"/>
              </w:tabs>
              <w:rPr>
                <w:rFonts w:ascii="Arial" w:hAnsi="Arial" w:cs="Arial"/>
              </w:rPr>
            </w:pPr>
            <w:r>
              <w:rPr>
                <w:rFonts w:ascii="Arial" w:hAnsi="Arial" w:cs="Arial"/>
              </w:rPr>
              <w:t>7.</w:t>
            </w:r>
            <w:r w:rsidR="00395B9C">
              <w:rPr>
                <w:rFonts w:ascii="Arial" w:hAnsi="Arial" w:cs="Arial"/>
              </w:rPr>
              <w:t>6</w:t>
            </w:r>
          </w:p>
        </w:tc>
        <w:tc>
          <w:tcPr>
            <w:tcW w:w="7884" w:type="dxa"/>
          </w:tcPr>
          <w:p w14:paraId="177A7802" w14:textId="77777777" w:rsidR="004057BA" w:rsidRDefault="004057BA" w:rsidP="004057BA">
            <w:pPr>
              <w:rPr>
                <w:rFonts w:asciiTheme="minorBidi" w:hAnsiTheme="minorBidi"/>
              </w:rPr>
            </w:pPr>
            <w:r>
              <w:rPr>
                <w:rFonts w:asciiTheme="minorBidi" w:hAnsiTheme="minorBidi"/>
              </w:rPr>
              <w:t>In discussion the Board:</w:t>
            </w:r>
          </w:p>
          <w:p w14:paraId="505AAFCE" w14:textId="77777777" w:rsidR="004057BA" w:rsidRDefault="004057BA" w:rsidP="004057BA">
            <w:pPr>
              <w:rPr>
                <w:rFonts w:asciiTheme="minorBidi" w:hAnsiTheme="minorBidi"/>
              </w:rPr>
            </w:pPr>
          </w:p>
          <w:p w14:paraId="42174BD3" w14:textId="77777777" w:rsidR="004057BA" w:rsidRDefault="004057BA" w:rsidP="004057BA">
            <w:pPr>
              <w:pStyle w:val="ListParagraph"/>
              <w:numPr>
                <w:ilvl w:val="0"/>
                <w:numId w:val="23"/>
              </w:numPr>
              <w:spacing w:after="160" w:line="259" w:lineRule="auto"/>
              <w:rPr>
                <w:rFonts w:asciiTheme="minorBidi" w:hAnsiTheme="minorBidi"/>
              </w:rPr>
            </w:pPr>
            <w:r>
              <w:rPr>
                <w:rFonts w:asciiTheme="minorBidi" w:hAnsiTheme="minorBidi"/>
              </w:rPr>
              <w:t>Discussed what cross-fertilisation and lessons could be learnt from the Ministry of Defence (MoD) and from joint inspections that had previously been undertaken.</w:t>
            </w:r>
          </w:p>
          <w:p w14:paraId="12C4BD44" w14:textId="77777777" w:rsidR="004057BA" w:rsidRDefault="004057BA" w:rsidP="004057BA">
            <w:pPr>
              <w:pStyle w:val="ListParagraph"/>
              <w:numPr>
                <w:ilvl w:val="0"/>
                <w:numId w:val="23"/>
              </w:numPr>
              <w:spacing w:after="160" w:line="259" w:lineRule="auto"/>
              <w:rPr>
                <w:rFonts w:asciiTheme="minorBidi" w:hAnsiTheme="minorBidi"/>
              </w:rPr>
            </w:pPr>
            <w:r>
              <w:rPr>
                <w:rFonts w:asciiTheme="minorBidi" w:hAnsiTheme="minorBidi"/>
              </w:rPr>
              <w:t>Discussed the number of safety incidents and whether there needed to be a standardised induction for new industry entrants to reduce future incidents.</w:t>
            </w:r>
          </w:p>
          <w:p w14:paraId="209D847D" w14:textId="77777777" w:rsidR="004057BA" w:rsidRDefault="004057BA" w:rsidP="004057BA">
            <w:pPr>
              <w:pStyle w:val="ListParagraph"/>
              <w:numPr>
                <w:ilvl w:val="0"/>
                <w:numId w:val="23"/>
              </w:numPr>
              <w:spacing w:after="160" w:line="259" w:lineRule="auto"/>
              <w:rPr>
                <w:rFonts w:asciiTheme="minorBidi" w:hAnsiTheme="minorBidi"/>
              </w:rPr>
            </w:pPr>
            <w:r>
              <w:rPr>
                <w:rFonts w:asciiTheme="minorBidi" w:hAnsiTheme="minorBidi"/>
              </w:rPr>
              <w:t>Discussed the impacts of the new Energy Act on transport regulation.</w:t>
            </w:r>
          </w:p>
          <w:p w14:paraId="55F07E62" w14:textId="77777777" w:rsidR="004057BA" w:rsidRPr="009D4FE6" w:rsidRDefault="004057BA" w:rsidP="004057BA">
            <w:pPr>
              <w:pStyle w:val="ListParagraph"/>
              <w:numPr>
                <w:ilvl w:val="0"/>
                <w:numId w:val="23"/>
              </w:numPr>
              <w:spacing w:after="160" w:line="259" w:lineRule="auto"/>
              <w:rPr>
                <w:rFonts w:ascii="Arial" w:hAnsi="Arial" w:cs="Arial"/>
                <w:bCs/>
              </w:rPr>
            </w:pPr>
            <w:r>
              <w:rPr>
                <w:rFonts w:asciiTheme="minorBidi" w:hAnsiTheme="minorBidi"/>
              </w:rPr>
              <w:t>Discussed the efficiencies that had been levered through the use of ONR’s Well-Informed Regulatory Decisions (WIRED).</w:t>
            </w:r>
          </w:p>
          <w:p w14:paraId="193CAE48" w14:textId="77777777" w:rsidR="004057BA" w:rsidRDefault="004057BA" w:rsidP="004057BA">
            <w:pPr>
              <w:rPr>
                <w:rFonts w:asciiTheme="minorBidi" w:hAnsiTheme="minorBidi"/>
              </w:rPr>
            </w:pPr>
          </w:p>
        </w:tc>
      </w:tr>
      <w:tr w:rsidR="004057BA" w:rsidRPr="00D901A4" w14:paraId="78C7F6F3" w14:textId="77777777" w:rsidTr="008C531E">
        <w:trPr>
          <w:trHeight w:val="399"/>
        </w:trPr>
        <w:tc>
          <w:tcPr>
            <w:tcW w:w="1142" w:type="dxa"/>
          </w:tcPr>
          <w:p w14:paraId="105DBCC1" w14:textId="140296E3" w:rsidR="004057BA" w:rsidRDefault="004057BA" w:rsidP="00E2267D">
            <w:pPr>
              <w:tabs>
                <w:tab w:val="left" w:pos="5347"/>
              </w:tabs>
              <w:rPr>
                <w:rFonts w:ascii="Arial" w:hAnsi="Arial" w:cs="Arial"/>
              </w:rPr>
            </w:pPr>
            <w:r>
              <w:rPr>
                <w:rFonts w:ascii="Arial" w:hAnsi="Arial" w:cs="Arial"/>
              </w:rPr>
              <w:t>7.</w:t>
            </w:r>
            <w:r w:rsidR="00395B9C">
              <w:rPr>
                <w:rFonts w:ascii="Arial" w:hAnsi="Arial" w:cs="Arial"/>
              </w:rPr>
              <w:t>7</w:t>
            </w:r>
          </w:p>
        </w:tc>
        <w:tc>
          <w:tcPr>
            <w:tcW w:w="7884" w:type="dxa"/>
          </w:tcPr>
          <w:p w14:paraId="5B324829" w14:textId="77777777" w:rsidR="004057BA" w:rsidRDefault="004057BA" w:rsidP="004057BA">
            <w:pPr>
              <w:rPr>
                <w:rFonts w:ascii="Arial" w:hAnsi="Arial" w:cs="Arial"/>
                <w:bCs/>
              </w:rPr>
            </w:pPr>
            <w:r>
              <w:rPr>
                <w:rFonts w:ascii="Arial" w:hAnsi="Arial" w:cs="Arial"/>
                <w:bCs/>
              </w:rPr>
              <w:t>The Board noted and welcomed the information.</w:t>
            </w:r>
          </w:p>
          <w:p w14:paraId="771EEF1C" w14:textId="71DE5502" w:rsidR="004057BA" w:rsidRDefault="004057BA" w:rsidP="004057BA">
            <w:pPr>
              <w:rPr>
                <w:rFonts w:asciiTheme="minorBidi" w:hAnsiTheme="minorBidi"/>
              </w:rPr>
            </w:pPr>
          </w:p>
        </w:tc>
      </w:tr>
      <w:tr w:rsidR="004057BA" w:rsidRPr="00D901A4" w14:paraId="3613B2A6" w14:textId="77777777" w:rsidTr="008C531E">
        <w:trPr>
          <w:trHeight w:val="399"/>
        </w:trPr>
        <w:tc>
          <w:tcPr>
            <w:tcW w:w="1142" w:type="dxa"/>
          </w:tcPr>
          <w:p w14:paraId="4EF28626" w14:textId="330739C4" w:rsidR="004057BA" w:rsidRPr="004057BA" w:rsidRDefault="004057BA" w:rsidP="00E2267D">
            <w:pPr>
              <w:tabs>
                <w:tab w:val="left" w:pos="5347"/>
              </w:tabs>
              <w:rPr>
                <w:rFonts w:ascii="Arial" w:hAnsi="Arial" w:cs="Arial"/>
                <w:b/>
                <w:bCs/>
              </w:rPr>
            </w:pPr>
            <w:r w:rsidRPr="004057BA">
              <w:rPr>
                <w:rFonts w:ascii="Arial" w:hAnsi="Arial" w:cs="Arial"/>
                <w:b/>
                <w:bCs/>
              </w:rPr>
              <w:t>8</w:t>
            </w:r>
          </w:p>
        </w:tc>
        <w:tc>
          <w:tcPr>
            <w:tcW w:w="7884" w:type="dxa"/>
          </w:tcPr>
          <w:p w14:paraId="6E3F70C6" w14:textId="77777777" w:rsidR="004057BA" w:rsidRPr="004057BA" w:rsidRDefault="004057BA" w:rsidP="004057BA">
            <w:pPr>
              <w:tabs>
                <w:tab w:val="left" w:pos="5347"/>
              </w:tabs>
              <w:rPr>
                <w:rFonts w:ascii="Arial" w:hAnsi="Arial" w:cs="Arial"/>
                <w:b/>
              </w:rPr>
            </w:pPr>
            <w:r w:rsidRPr="004057BA">
              <w:rPr>
                <w:rFonts w:ascii="Arial" w:hAnsi="Arial" w:cs="Arial"/>
                <w:b/>
              </w:rPr>
              <w:t>Futures Scenarios and Strategy 2025 +</w:t>
            </w:r>
          </w:p>
          <w:p w14:paraId="491141BC" w14:textId="77777777" w:rsidR="004057BA" w:rsidRDefault="004057BA" w:rsidP="004057BA">
            <w:pPr>
              <w:rPr>
                <w:rFonts w:asciiTheme="minorBidi" w:hAnsiTheme="minorBidi"/>
              </w:rPr>
            </w:pPr>
          </w:p>
        </w:tc>
      </w:tr>
      <w:tr w:rsidR="004057BA" w:rsidRPr="00D901A4" w14:paraId="28D1CA0B" w14:textId="77777777" w:rsidTr="008C531E">
        <w:trPr>
          <w:trHeight w:val="399"/>
        </w:trPr>
        <w:tc>
          <w:tcPr>
            <w:tcW w:w="1142" w:type="dxa"/>
          </w:tcPr>
          <w:p w14:paraId="00909D43" w14:textId="6A9D6F22" w:rsidR="004057BA" w:rsidRDefault="004057BA" w:rsidP="00E2267D">
            <w:pPr>
              <w:tabs>
                <w:tab w:val="left" w:pos="5347"/>
              </w:tabs>
              <w:rPr>
                <w:rFonts w:ascii="Arial" w:hAnsi="Arial" w:cs="Arial"/>
              </w:rPr>
            </w:pPr>
            <w:r>
              <w:rPr>
                <w:rFonts w:ascii="Arial" w:hAnsi="Arial" w:cs="Arial"/>
              </w:rPr>
              <w:t>8.1</w:t>
            </w:r>
          </w:p>
        </w:tc>
        <w:tc>
          <w:tcPr>
            <w:tcW w:w="7884" w:type="dxa"/>
          </w:tcPr>
          <w:p w14:paraId="247C4E7B" w14:textId="77777777" w:rsidR="004057BA" w:rsidRDefault="004057BA" w:rsidP="004057BA">
            <w:pPr>
              <w:rPr>
                <w:rFonts w:asciiTheme="minorBidi" w:hAnsiTheme="minorBidi"/>
              </w:rPr>
            </w:pPr>
            <w:r>
              <w:rPr>
                <w:rFonts w:asciiTheme="minorBidi" w:hAnsiTheme="minorBidi"/>
              </w:rPr>
              <w:t xml:space="preserve">The Director of Policy and Communications </w:t>
            </w:r>
            <w:r w:rsidRPr="00D901A4">
              <w:rPr>
                <w:rFonts w:asciiTheme="minorBidi" w:hAnsiTheme="minorBidi"/>
              </w:rPr>
              <w:t>introduced the item which provided an update on progress since the Board</w:t>
            </w:r>
            <w:r>
              <w:rPr>
                <w:rFonts w:asciiTheme="minorBidi" w:hAnsiTheme="minorBidi"/>
              </w:rPr>
              <w:t>’s</w:t>
            </w:r>
            <w:r w:rsidRPr="00D901A4">
              <w:rPr>
                <w:rFonts w:asciiTheme="minorBidi" w:hAnsiTheme="minorBidi"/>
              </w:rPr>
              <w:t xml:space="preserve"> Strategy </w:t>
            </w:r>
            <w:r>
              <w:rPr>
                <w:rFonts w:asciiTheme="minorBidi" w:hAnsiTheme="minorBidi"/>
              </w:rPr>
              <w:t>event</w:t>
            </w:r>
            <w:r w:rsidRPr="00D901A4">
              <w:rPr>
                <w:rFonts w:asciiTheme="minorBidi" w:hAnsiTheme="minorBidi"/>
              </w:rPr>
              <w:t xml:space="preserve"> in October. The </w:t>
            </w:r>
            <w:r>
              <w:rPr>
                <w:rFonts w:asciiTheme="minorBidi" w:hAnsiTheme="minorBidi"/>
              </w:rPr>
              <w:t>event</w:t>
            </w:r>
            <w:r w:rsidRPr="00D901A4">
              <w:rPr>
                <w:rFonts w:asciiTheme="minorBidi" w:hAnsiTheme="minorBidi"/>
              </w:rPr>
              <w:t xml:space="preserve"> had aided the development of the scenarios and broader thinking on the shape of the </w:t>
            </w:r>
            <w:r>
              <w:rPr>
                <w:rFonts w:asciiTheme="minorBidi" w:hAnsiTheme="minorBidi"/>
              </w:rPr>
              <w:t>future ONR S</w:t>
            </w:r>
            <w:r w:rsidRPr="00D901A4">
              <w:rPr>
                <w:rFonts w:asciiTheme="minorBidi" w:hAnsiTheme="minorBidi"/>
              </w:rPr>
              <w:t xml:space="preserve">trategy. </w:t>
            </w:r>
          </w:p>
          <w:p w14:paraId="46EDB8A7" w14:textId="77777777" w:rsidR="004057BA" w:rsidRDefault="004057BA" w:rsidP="004057BA">
            <w:pPr>
              <w:rPr>
                <w:rFonts w:asciiTheme="minorBidi" w:hAnsiTheme="minorBidi"/>
              </w:rPr>
            </w:pPr>
          </w:p>
        </w:tc>
      </w:tr>
      <w:tr w:rsidR="004057BA" w:rsidRPr="00D901A4" w14:paraId="38F91CEC" w14:textId="77777777" w:rsidTr="008C531E">
        <w:trPr>
          <w:trHeight w:val="399"/>
        </w:trPr>
        <w:tc>
          <w:tcPr>
            <w:tcW w:w="1142" w:type="dxa"/>
          </w:tcPr>
          <w:p w14:paraId="1167FEDC" w14:textId="1E068AA5" w:rsidR="004057BA" w:rsidRDefault="004057BA" w:rsidP="00E2267D">
            <w:pPr>
              <w:tabs>
                <w:tab w:val="left" w:pos="5347"/>
              </w:tabs>
              <w:rPr>
                <w:rFonts w:ascii="Arial" w:hAnsi="Arial" w:cs="Arial"/>
              </w:rPr>
            </w:pPr>
            <w:r>
              <w:rPr>
                <w:rFonts w:ascii="Arial" w:hAnsi="Arial" w:cs="Arial"/>
              </w:rPr>
              <w:t>8.2</w:t>
            </w:r>
          </w:p>
        </w:tc>
        <w:tc>
          <w:tcPr>
            <w:tcW w:w="7884" w:type="dxa"/>
          </w:tcPr>
          <w:p w14:paraId="39D7B4BF" w14:textId="064D96E9" w:rsidR="004057BA" w:rsidRDefault="004057BA" w:rsidP="004057BA">
            <w:pPr>
              <w:rPr>
                <w:rFonts w:asciiTheme="minorBidi" w:hAnsiTheme="minorBidi"/>
              </w:rPr>
            </w:pPr>
            <w:r>
              <w:rPr>
                <w:rFonts w:asciiTheme="minorBidi" w:hAnsiTheme="minorBidi"/>
              </w:rPr>
              <w:t xml:space="preserve">The </w:t>
            </w:r>
            <w:r w:rsidR="008C3684">
              <w:rPr>
                <w:rFonts w:asciiTheme="minorBidi" w:hAnsiTheme="minorBidi"/>
              </w:rPr>
              <w:t xml:space="preserve">Head </w:t>
            </w:r>
            <w:r>
              <w:rPr>
                <w:rFonts w:asciiTheme="minorBidi" w:hAnsiTheme="minorBidi"/>
              </w:rPr>
              <w:t>of Policy updated the Board on a</w:t>
            </w:r>
            <w:r w:rsidRPr="00D901A4">
              <w:rPr>
                <w:rFonts w:asciiTheme="minorBidi" w:hAnsiTheme="minorBidi"/>
              </w:rPr>
              <w:t xml:space="preserve"> series of workshops </w:t>
            </w:r>
            <w:r>
              <w:rPr>
                <w:rFonts w:asciiTheme="minorBidi" w:hAnsiTheme="minorBidi"/>
              </w:rPr>
              <w:t xml:space="preserve">that </w:t>
            </w:r>
            <w:r w:rsidRPr="00D901A4">
              <w:rPr>
                <w:rFonts w:asciiTheme="minorBidi" w:hAnsiTheme="minorBidi"/>
              </w:rPr>
              <w:t xml:space="preserve">had been conducted with ONR staff in advance of the Board </w:t>
            </w:r>
            <w:r>
              <w:rPr>
                <w:rFonts w:asciiTheme="minorBidi" w:hAnsiTheme="minorBidi"/>
              </w:rPr>
              <w:t>event</w:t>
            </w:r>
            <w:r w:rsidRPr="00D901A4">
              <w:rPr>
                <w:rFonts w:asciiTheme="minorBidi" w:hAnsiTheme="minorBidi"/>
              </w:rPr>
              <w:t xml:space="preserve">, </w:t>
            </w:r>
            <w:r w:rsidRPr="00D901A4">
              <w:rPr>
                <w:rFonts w:asciiTheme="minorBidi" w:hAnsiTheme="minorBidi"/>
              </w:rPr>
              <w:lastRenderedPageBreak/>
              <w:t xml:space="preserve">combined with inputs from Board members, </w:t>
            </w:r>
            <w:r>
              <w:rPr>
                <w:rFonts w:asciiTheme="minorBidi" w:hAnsiTheme="minorBidi"/>
              </w:rPr>
              <w:t xml:space="preserve">and </w:t>
            </w:r>
            <w:r w:rsidRPr="00D901A4">
              <w:rPr>
                <w:rFonts w:asciiTheme="minorBidi" w:hAnsiTheme="minorBidi"/>
              </w:rPr>
              <w:t>420 drivers for change had been identified. These had been shortlisted to five drivers and the Go Science Futures toolkit methodology was used to develop two axis; economy, which was linked to technological progress and</w:t>
            </w:r>
            <w:r w:rsidR="00514D6E">
              <w:rPr>
                <w:rFonts w:asciiTheme="minorBidi" w:hAnsiTheme="minorBidi"/>
              </w:rPr>
              <w:t>;</w:t>
            </w:r>
            <w:r w:rsidRPr="00D901A4">
              <w:rPr>
                <w:rFonts w:asciiTheme="minorBidi" w:hAnsiTheme="minorBidi"/>
              </w:rPr>
              <w:t xml:space="preserve"> </w:t>
            </w:r>
            <w:r w:rsidR="00514D6E">
              <w:rPr>
                <w:rFonts w:asciiTheme="minorBidi" w:hAnsiTheme="minorBidi"/>
              </w:rPr>
              <w:t>n</w:t>
            </w:r>
            <w:r w:rsidRPr="00D901A4">
              <w:rPr>
                <w:rFonts w:asciiTheme="minorBidi" w:hAnsiTheme="minorBidi"/>
              </w:rPr>
              <w:t>ations</w:t>
            </w:r>
            <w:r w:rsidR="00514D6E">
              <w:rPr>
                <w:rFonts w:asciiTheme="minorBidi" w:hAnsiTheme="minorBidi"/>
              </w:rPr>
              <w:t>,</w:t>
            </w:r>
            <w:r w:rsidRPr="00D901A4">
              <w:rPr>
                <w:rFonts w:asciiTheme="minorBidi" w:hAnsiTheme="minorBidi"/>
              </w:rPr>
              <w:t xml:space="preserve"> being open/collaborative vs protectionist/hostile.</w:t>
            </w:r>
          </w:p>
          <w:p w14:paraId="5DA90A33" w14:textId="77777777" w:rsidR="004057BA" w:rsidRDefault="004057BA" w:rsidP="004057BA">
            <w:pPr>
              <w:rPr>
                <w:rFonts w:asciiTheme="minorBidi" w:hAnsiTheme="minorBidi"/>
              </w:rPr>
            </w:pPr>
          </w:p>
        </w:tc>
      </w:tr>
      <w:tr w:rsidR="004057BA" w:rsidRPr="00D901A4" w14:paraId="6B47EE54" w14:textId="77777777" w:rsidTr="008C531E">
        <w:trPr>
          <w:trHeight w:val="399"/>
        </w:trPr>
        <w:tc>
          <w:tcPr>
            <w:tcW w:w="1142" w:type="dxa"/>
          </w:tcPr>
          <w:p w14:paraId="1217E41D" w14:textId="4E6C9995" w:rsidR="004057BA" w:rsidRDefault="004057BA" w:rsidP="00E2267D">
            <w:pPr>
              <w:tabs>
                <w:tab w:val="left" w:pos="5347"/>
              </w:tabs>
              <w:rPr>
                <w:rFonts w:ascii="Arial" w:hAnsi="Arial" w:cs="Arial"/>
              </w:rPr>
            </w:pPr>
            <w:r>
              <w:rPr>
                <w:rFonts w:ascii="Arial" w:hAnsi="Arial" w:cs="Arial"/>
              </w:rPr>
              <w:lastRenderedPageBreak/>
              <w:t>8.3</w:t>
            </w:r>
          </w:p>
        </w:tc>
        <w:tc>
          <w:tcPr>
            <w:tcW w:w="7884" w:type="dxa"/>
          </w:tcPr>
          <w:p w14:paraId="365E0D67" w14:textId="556BD61C" w:rsidR="004057BA" w:rsidRDefault="004057BA" w:rsidP="004057BA">
            <w:pPr>
              <w:rPr>
                <w:rFonts w:asciiTheme="minorBidi" w:hAnsiTheme="minorBidi"/>
              </w:rPr>
            </w:pPr>
            <w:r>
              <w:rPr>
                <w:rFonts w:asciiTheme="minorBidi" w:hAnsiTheme="minorBidi"/>
              </w:rPr>
              <w:t xml:space="preserve">Much </w:t>
            </w:r>
            <w:r w:rsidRPr="00D901A4">
              <w:rPr>
                <w:rFonts w:asciiTheme="minorBidi" w:hAnsiTheme="minorBidi"/>
              </w:rPr>
              <w:t xml:space="preserve">new </w:t>
            </w:r>
            <w:r>
              <w:rPr>
                <w:rFonts w:asciiTheme="minorBidi" w:hAnsiTheme="minorBidi"/>
              </w:rPr>
              <w:t xml:space="preserve">useful </w:t>
            </w:r>
            <w:r w:rsidRPr="00D901A4">
              <w:rPr>
                <w:rFonts w:asciiTheme="minorBidi" w:hAnsiTheme="minorBidi"/>
              </w:rPr>
              <w:t xml:space="preserve">foresight information had been published on the Cabinet Office Hub which included analytical information from across Whitehall and </w:t>
            </w:r>
            <w:r>
              <w:rPr>
                <w:rFonts w:asciiTheme="minorBidi" w:hAnsiTheme="minorBidi"/>
              </w:rPr>
              <w:t>which</w:t>
            </w:r>
            <w:r w:rsidRPr="00D901A4">
              <w:rPr>
                <w:rFonts w:asciiTheme="minorBidi" w:hAnsiTheme="minorBidi"/>
              </w:rPr>
              <w:t xml:space="preserve"> identified similar trends </w:t>
            </w:r>
            <w:r>
              <w:rPr>
                <w:rFonts w:asciiTheme="minorBidi" w:hAnsiTheme="minorBidi"/>
              </w:rPr>
              <w:t xml:space="preserve">to </w:t>
            </w:r>
            <w:r w:rsidRPr="00D901A4">
              <w:rPr>
                <w:rFonts w:asciiTheme="minorBidi" w:hAnsiTheme="minorBidi"/>
              </w:rPr>
              <w:t xml:space="preserve">that </w:t>
            </w:r>
            <w:r>
              <w:rPr>
                <w:rFonts w:asciiTheme="minorBidi" w:hAnsiTheme="minorBidi"/>
              </w:rPr>
              <w:t xml:space="preserve">arising from </w:t>
            </w:r>
            <w:r w:rsidRPr="00D901A4">
              <w:rPr>
                <w:rFonts w:asciiTheme="minorBidi" w:hAnsiTheme="minorBidi"/>
              </w:rPr>
              <w:t xml:space="preserve">the Board </w:t>
            </w:r>
            <w:r w:rsidR="00027A66">
              <w:rPr>
                <w:rFonts w:asciiTheme="minorBidi" w:hAnsiTheme="minorBidi"/>
              </w:rPr>
              <w:t>s</w:t>
            </w:r>
            <w:r w:rsidRPr="00D901A4">
              <w:rPr>
                <w:rFonts w:asciiTheme="minorBidi" w:hAnsiTheme="minorBidi"/>
              </w:rPr>
              <w:t>trategy session.</w:t>
            </w:r>
          </w:p>
          <w:p w14:paraId="3996DA78" w14:textId="77777777" w:rsidR="004057BA" w:rsidRDefault="004057BA" w:rsidP="004057BA">
            <w:pPr>
              <w:rPr>
                <w:rFonts w:asciiTheme="minorBidi" w:hAnsiTheme="minorBidi"/>
              </w:rPr>
            </w:pPr>
          </w:p>
        </w:tc>
      </w:tr>
      <w:tr w:rsidR="004057BA" w:rsidRPr="00D901A4" w14:paraId="166D1D50" w14:textId="77777777" w:rsidTr="008C531E">
        <w:trPr>
          <w:trHeight w:val="399"/>
        </w:trPr>
        <w:tc>
          <w:tcPr>
            <w:tcW w:w="1142" w:type="dxa"/>
          </w:tcPr>
          <w:p w14:paraId="380704B6" w14:textId="60065AB3" w:rsidR="004057BA" w:rsidRDefault="004057BA" w:rsidP="00E2267D">
            <w:pPr>
              <w:tabs>
                <w:tab w:val="left" w:pos="5347"/>
              </w:tabs>
              <w:rPr>
                <w:rFonts w:ascii="Arial" w:hAnsi="Arial" w:cs="Arial"/>
              </w:rPr>
            </w:pPr>
            <w:r>
              <w:rPr>
                <w:rFonts w:ascii="Arial" w:hAnsi="Arial" w:cs="Arial"/>
              </w:rPr>
              <w:t>8.4</w:t>
            </w:r>
          </w:p>
        </w:tc>
        <w:tc>
          <w:tcPr>
            <w:tcW w:w="7884" w:type="dxa"/>
          </w:tcPr>
          <w:p w14:paraId="5F668428" w14:textId="772DB376" w:rsidR="004057BA" w:rsidRDefault="004057BA" w:rsidP="004057BA">
            <w:pPr>
              <w:rPr>
                <w:rFonts w:asciiTheme="minorBidi" w:hAnsiTheme="minorBidi"/>
              </w:rPr>
            </w:pPr>
            <w:r w:rsidRPr="00D901A4">
              <w:rPr>
                <w:rFonts w:asciiTheme="minorBidi" w:hAnsiTheme="minorBidi"/>
              </w:rPr>
              <w:t>These scenarios had been developed over the last few weeks and input was being sought from DE</w:t>
            </w:r>
            <w:r>
              <w:rPr>
                <w:rFonts w:asciiTheme="minorBidi" w:hAnsiTheme="minorBidi"/>
              </w:rPr>
              <w:t>S</w:t>
            </w:r>
            <w:r w:rsidRPr="00D901A4">
              <w:rPr>
                <w:rFonts w:asciiTheme="minorBidi" w:hAnsiTheme="minorBidi"/>
              </w:rPr>
              <w:t xml:space="preserve">NZ and ONR colleagues </w:t>
            </w:r>
            <w:r>
              <w:rPr>
                <w:rFonts w:asciiTheme="minorBidi" w:hAnsiTheme="minorBidi"/>
              </w:rPr>
              <w:t xml:space="preserve">which </w:t>
            </w:r>
            <w:r w:rsidRPr="00D901A4">
              <w:rPr>
                <w:rFonts w:asciiTheme="minorBidi" w:hAnsiTheme="minorBidi"/>
              </w:rPr>
              <w:t xml:space="preserve">would be used over the next year to inform </w:t>
            </w:r>
            <w:r>
              <w:rPr>
                <w:rFonts w:asciiTheme="minorBidi" w:hAnsiTheme="minorBidi"/>
              </w:rPr>
              <w:t xml:space="preserve">development </w:t>
            </w:r>
            <w:r w:rsidRPr="009D2886">
              <w:rPr>
                <w:rFonts w:asciiTheme="minorBidi" w:hAnsiTheme="minorBidi"/>
              </w:rPr>
              <w:t xml:space="preserve">of the </w:t>
            </w:r>
            <w:r w:rsidR="00027A66">
              <w:rPr>
                <w:rFonts w:asciiTheme="minorBidi" w:hAnsiTheme="minorBidi"/>
              </w:rPr>
              <w:t>s</w:t>
            </w:r>
            <w:r w:rsidRPr="009D2886">
              <w:rPr>
                <w:rFonts w:asciiTheme="minorBidi" w:hAnsiTheme="minorBidi"/>
              </w:rPr>
              <w:t>trategy.</w:t>
            </w:r>
          </w:p>
          <w:p w14:paraId="004C9E9A" w14:textId="77777777" w:rsidR="004057BA" w:rsidRDefault="004057BA" w:rsidP="004057BA">
            <w:pPr>
              <w:rPr>
                <w:rFonts w:asciiTheme="minorBidi" w:hAnsiTheme="minorBidi"/>
              </w:rPr>
            </w:pPr>
          </w:p>
        </w:tc>
      </w:tr>
      <w:tr w:rsidR="004057BA" w:rsidRPr="00D901A4" w14:paraId="2D941838" w14:textId="77777777" w:rsidTr="008C531E">
        <w:trPr>
          <w:trHeight w:val="399"/>
        </w:trPr>
        <w:tc>
          <w:tcPr>
            <w:tcW w:w="1142" w:type="dxa"/>
          </w:tcPr>
          <w:p w14:paraId="4EDF5269" w14:textId="2E37C139" w:rsidR="004057BA" w:rsidRDefault="004057BA" w:rsidP="00E2267D">
            <w:pPr>
              <w:tabs>
                <w:tab w:val="left" w:pos="5347"/>
              </w:tabs>
              <w:rPr>
                <w:rFonts w:ascii="Arial" w:hAnsi="Arial" w:cs="Arial"/>
              </w:rPr>
            </w:pPr>
            <w:r>
              <w:rPr>
                <w:rFonts w:ascii="Arial" w:hAnsi="Arial" w:cs="Arial"/>
              </w:rPr>
              <w:t>8.5</w:t>
            </w:r>
          </w:p>
        </w:tc>
        <w:tc>
          <w:tcPr>
            <w:tcW w:w="7884" w:type="dxa"/>
          </w:tcPr>
          <w:p w14:paraId="7E5F2E39" w14:textId="77777777" w:rsidR="004057BA" w:rsidRDefault="004057BA" w:rsidP="004057BA">
            <w:pPr>
              <w:rPr>
                <w:rFonts w:asciiTheme="minorBidi" w:hAnsiTheme="minorBidi"/>
              </w:rPr>
            </w:pPr>
            <w:r w:rsidRPr="00D901A4">
              <w:rPr>
                <w:rFonts w:asciiTheme="minorBidi" w:hAnsiTheme="minorBidi"/>
              </w:rPr>
              <w:t>In discussion</w:t>
            </w:r>
            <w:r>
              <w:rPr>
                <w:rFonts w:asciiTheme="minorBidi" w:hAnsiTheme="minorBidi"/>
              </w:rPr>
              <w:t xml:space="preserve"> the Board</w:t>
            </w:r>
            <w:r w:rsidRPr="00D901A4">
              <w:rPr>
                <w:rFonts w:asciiTheme="minorBidi" w:hAnsiTheme="minorBidi"/>
              </w:rPr>
              <w:t>:</w:t>
            </w:r>
          </w:p>
          <w:p w14:paraId="247D45B5" w14:textId="77777777" w:rsidR="004057BA" w:rsidRPr="00D901A4" w:rsidRDefault="004057BA" w:rsidP="004057BA">
            <w:pPr>
              <w:rPr>
                <w:rFonts w:asciiTheme="minorBidi" w:hAnsiTheme="minorBidi"/>
              </w:rPr>
            </w:pPr>
          </w:p>
          <w:p w14:paraId="74E7F41D" w14:textId="65EFCB3F" w:rsidR="004057BA" w:rsidRPr="00D901A4" w:rsidRDefault="004057BA" w:rsidP="004057BA">
            <w:pPr>
              <w:pStyle w:val="ListParagraph"/>
              <w:numPr>
                <w:ilvl w:val="0"/>
                <w:numId w:val="16"/>
              </w:numPr>
              <w:rPr>
                <w:rFonts w:asciiTheme="minorBidi" w:hAnsiTheme="minorBidi"/>
              </w:rPr>
            </w:pPr>
            <w:r w:rsidRPr="00D901A4">
              <w:rPr>
                <w:rFonts w:asciiTheme="minorBidi" w:hAnsiTheme="minorBidi"/>
              </w:rPr>
              <w:t xml:space="preserve">Commented on how these scenarios would inform the </w:t>
            </w:r>
            <w:r w:rsidR="00700DB0">
              <w:rPr>
                <w:rFonts w:asciiTheme="minorBidi" w:hAnsiTheme="minorBidi"/>
              </w:rPr>
              <w:t>s</w:t>
            </w:r>
            <w:r w:rsidRPr="00D901A4">
              <w:rPr>
                <w:rFonts w:asciiTheme="minorBidi" w:hAnsiTheme="minorBidi"/>
              </w:rPr>
              <w:t>trategy. The scenarios would help to broaden thinking when developing</w:t>
            </w:r>
            <w:r>
              <w:rPr>
                <w:rFonts w:asciiTheme="minorBidi" w:hAnsiTheme="minorBidi"/>
              </w:rPr>
              <w:t xml:space="preserve"> and shaping</w:t>
            </w:r>
            <w:r w:rsidRPr="00D901A4">
              <w:rPr>
                <w:rFonts w:asciiTheme="minorBidi" w:hAnsiTheme="minorBidi"/>
              </w:rPr>
              <w:t xml:space="preserve"> the </w:t>
            </w:r>
            <w:r w:rsidR="00700DB0">
              <w:rPr>
                <w:rFonts w:asciiTheme="minorBidi" w:hAnsiTheme="minorBidi"/>
              </w:rPr>
              <w:t>s</w:t>
            </w:r>
            <w:r w:rsidRPr="00D901A4">
              <w:rPr>
                <w:rFonts w:asciiTheme="minorBidi" w:hAnsiTheme="minorBidi"/>
              </w:rPr>
              <w:t>trategy.</w:t>
            </w:r>
          </w:p>
          <w:p w14:paraId="018CE1B1" w14:textId="41D93C28" w:rsidR="004057BA" w:rsidRPr="00D901A4" w:rsidRDefault="004057BA" w:rsidP="004057BA">
            <w:pPr>
              <w:pStyle w:val="ListParagraph"/>
              <w:numPr>
                <w:ilvl w:val="0"/>
                <w:numId w:val="16"/>
              </w:numPr>
              <w:rPr>
                <w:rFonts w:asciiTheme="minorBidi" w:hAnsiTheme="minorBidi"/>
              </w:rPr>
            </w:pPr>
            <w:r w:rsidRPr="00D901A4">
              <w:rPr>
                <w:rFonts w:asciiTheme="minorBidi" w:hAnsiTheme="minorBidi"/>
              </w:rPr>
              <w:t xml:space="preserve">Commented that utilising the methodology was beneficial but </w:t>
            </w:r>
            <w:r>
              <w:rPr>
                <w:rFonts w:asciiTheme="minorBidi" w:hAnsiTheme="minorBidi"/>
              </w:rPr>
              <w:t>it would now be necessary to</w:t>
            </w:r>
            <w:r w:rsidRPr="00D901A4">
              <w:rPr>
                <w:rFonts w:asciiTheme="minorBidi" w:hAnsiTheme="minorBidi"/>
              </w:rPr>
              <w:t xml:space="preserve"> understand ONR’s role in </w:t>
            </w:r>
            <w:r>
              <w:rPr>
                <w:rFonts w:asciiTheme="minorBidi" w:hAnsiTheme="minorBidi"/>
              </w:rPr>
              <w:t xml:space="preserve">each scenario to </w:t>
            </w:r>
            <w:r w:rsidRPr="00D901A4">
              <w:rPr>
                <w:rFonts w:asciiTheme="minorBidi" w:hAnsiTheme="minorBidi"/>
              </w:rPr>
              <w:t>reflect th</w:t>
            </w:r>
            <w:r>
              <w:rPr>
                <w:rFonts w:asciiTheme="minorBidi" w:hAnsiTheme="minorBidi"/>
              </w:rPr>
              <w:t>em, if appropriate,</w:t>
            </w:r>
            <w:r w:rsidRPr="00D901A4">
              <w:rPr>
                <w:rFonts w:asciiTheme="minorBidi" w:hAnsiTheme="minorBidi"/>
              </w:rPr>
              <w:t xml:space="preserve"> in ONR’s </w:t>
            </w:r>
            <w:r>
              <w:rPr>
                <w:rFonts w:asciiTheme="minorBidi" w:hAnsiTheme="minorBidi"/>
              </w:rPr>
              <w:t xml:space="preserve">new </w:t>
            </w:r>
            <w:r w:rsidR="00700DB0">
              <w:rPr>
                <w:rFonts w:asciiTheme="minorBidi" w:hAnsiTheme="minorBidi"/>
              </w:rPr>
              <w:t>s</w:t>
            </w:r>
            <w:r w:rsidRPr="00D901A4">
              <w:rPr>
                <w:rFonts w:asciiTheme="minorBidi" w:hAnsiTheme="minorBidi"/>
              </w:rPr>
              <w:t>trategy.</w:t>
            </w:r>
            <w:r>
              <w:rPr>
                <w:rFonts w:asciiTheme="minorBidi" w:hAnsiTheme="minorBidi"/>
              </w:rPr>
              <w:t xml:space="preserve"> </w:t>
            </w:r>
          </w:p>
          <w:p w14:paraId="14BAFF2C" w14:textId="77777777" w:rsidR="004057BA" w:rsidRPr="00D901A4" w:rsidRDefault="004057BA" w:rsidP="004057BA">
            <w:pPr>
              <w:pStyle w:val="ListParagraph"/>
              <w:numPr>
                <w:ilvl w:val="0"/>
                <w:numId w:val="16"/>
              </w:numPr>
              <w:rPr>
                <w:rFonts w:asciiTheme="minorBidi" w:hAnsiTheme="minorBidi"/>
              </w:rPr>
            </w:pPr>
            <w:r w:rsidRPr="00D901A4">
              <w:rPr>
                <w:rFonts w:asciiTheme="minorBidi" w:hAnsiTheme="minorBidi"/>
              </w:rPr>
              <w:t>Commented on the benefit of collaboration with other organisations</w:t>
            </w:r>
            <w:r>
              <w:rPr>
                <w:rFonts w:asciiTheme="minorBidi" w:hAnsiTheme="minorBidi"/>
              </w:rPr>
              <w:t>,</w:t>
            </w:r>
            <w:r w:rsidRPr="00D901A4">
              <w:rPr>
                <w:rFonts w:asciiTheme="minorBidi" w:hAnsiTheme="minorBidi"/>
              </w:rPr>
              <w:t xml:space="preserve"> such as </w:t>
            </w:r>
            <w:r>
              <w:rPr>
                <w:rFonts w:asciiTheme="minorBidi" w:hAnsiTheme="minorBidi"/>
              </w:rPr>
              <w:t xml:space="preserve">the </w:t>
            </w:r>
            <w:r w:rsidRPr="00D901A4">
              <w:rPr>
                <w:rFonts w:asciiTheme="minorBidi" w:hAnsiTheme="minorBidi"/>
              </w:rPr>
              <w:t>M</w:t>
            </w:r>
            <w:r>
              <w:rPr>
                <w:rFonts w:asciiTheme="minorBidi" w:hAnsiTheme="minorBidi"/>
              </w:rPr>
              <w:t>oD,</w:t>
            </w:r>
            <w:r w:rsidRPr="00D901A4">
              <w:rPr>
                <w:rFonts w:asciiTheme="minorBidi" w:hAnsiTheme="minorBidi"/>
              </w:rPr>
              <w:t xml:space="preserve"> </w:t>
            </w:r>
            <w:r>
              <w:rPr>
                <w:rFonts w:asciiTheme="minorBidi" w:hAnsiTheme="minorBidi"/>
              </w:rPr>
              <w:t xml:space="preserve">which </w:t>
            </w:r>
            <w:r w:rsidRPr="00D901A4">
              <w:rPr>
                <w:rFonts w:asciiTheme="minorBidi" w:hAnsiTheme="minorBidi"/>
              </w:rPr>
              <w:t>may be helpful in solidifying some of the scenarios or understand</w:t>
            </w:r>
            <w:r>
              <w:rPr>
                <w:rFonts w:asciiTheme="minorBidi" w:hAnsiTheme="minorBidi"/>
              </w:rPr>
              <w:t>ing</w:t>
            </w:r>
            <w:r w:rsidRPr="00D901A4">
              <w:rPr>
                <w:rFonts w:asciiTheme="minorBidi" w:hAnsiTheme="minorBidi"/>
              </w:rPr>
              <w:t xml:space="preserve"> outliers.</w:t>
            </w:r>
          </w:p>
          <w:p w14:paraId="64DBF37B" w14:textId="77777777" w:rsidR="004057BA" w:rsidRPr="00D901A4" w:rsidRDefault="004057BA" w:rsidP="004057BA">
            <w:pPr>
              <w:pStyle w:val="ListParagraph"/>
              <w:numPr>
                <w:ilvl w:val="0"/>
                <w:numId w:val="16"/>
              </w:numPr>
              <w:rPr>
                <w:rFonts w:asciiTheme="minorBidi" w:hAnsiTheme="minorBidi"/>
              </w:rPr>
            </w:pPr>
            <w:r w:rsidRPr="00D901A4">
              <w:rPr>
                <w:rFonts w:asciiTheme="minorBidi" w:hAnsiTheme="minorBidi"/>
              </w:rPr>
              <w:t xml:space="preserve">Commented </w:t>
            </w:r>
            <w:r>
              <w:rPr>
                <w:rFonts w:asciiTheme="minorBidi" w:hAnsiTheme="minorBidi"/>
              </w:rPr>
              <w:t xml:space="preserve">on the need for </w:t>
            </w:r>
            <w:r w:rsidRPr="00D901A4">
              <w:rPr>
                <w:rFonts w:asciiTheme="minorBidi" w:hAnsiTheme="minorBidi"/>
              </w:rPr>
              <w:t>stakeholder engage</w:t>
            </w:r>
            <w:r>
              <w:rPr>
                <w:rFonts w:asciiTheme="minorBidi" w:hAnsiTheme="minorBidi"/>
              </w:rPr>
              <w:t>ment</w:t>
            </w:r>
            <w:r w:rsidRPr="00D901A4">
              <w:rPr>
                <w:rFonts w:asciiTheme="minorBidi" w:hAnsiTheme="minorBidi"/>
              </w:rPr>
              <w:t xml:space="preserve"> as development of the strategy took shape.</w:t>
            </w:r>
          </w:p>
          <w:p w14:paraId="65189960" w14:textId="77777777" w:rsidR="004057BA" w:rsidRDefault="004057BA" w:rsidP="004057BA">
            <w:pPr>
              <w:pStyle w:val="ListParagraph"/>
              <w:numPr>
                <w:ilvl w:val="0"/>
                <w:numId w:val="16"/>
              </w:numPr>
              <w:rPr>
                <w:rFonts w:asciiTheme="minorBidi" w:hAnsiTheme="minorBidi"/>
              </w:rPr>
            </w:pPr>
            <w:r w:rsidRPr="00D901A4">
              <w:rPr>
                <w:rFonts w:asciiTheme="minorBidi" w:hAnsiTheme="minorBidi"/>
              </w:rPr>
              <w:t xml:space="preserve">This work could inform ONR’s strategic risk register </w:t>
            </w:r>
            <w:r>
              <w:rPr>
                <w:rFonts w:asciiTheme="minorBidi" w:hAnsiTheme="minorBidi"/>
              </w:rPr>
              <w:t xml:space="preserve">given </w:t>
            </w:r>
            <w:r w:rsidRPr="00D901A4">
              <w:rPr>
                <w:rFonts w:asciiTheme="minorBidi" w:hAnsiTheme="minorBidi"/>
              </w:rPr>
              <w:t>the synergies between them.</w:t>
            </w:r>
          </w:p>
          <w:p w14:paraId="68695FFB" w14:textId="77777777" w:rsidR="004057BA" w:rsidRDefault="004057BA" w:rsidP="004057BA">
            <w:pPr>
              <w:rPr>
                <w:rFonts w:asciiTheme="minorBidi" w:hAnsiTheme="minorBidi"/>
              </w:rPr>
            </w:pPr>
          </w:p>
        </w:tc>
      </w:tr>
      <w:tr w:rsidR="004057BA" w:rsidRPr="00D901A4" w14:paraId="34D0B807" w14:textId="77777777" w:rsidTr="008C531E">
        <w:trPr>
          <w:trHeight w:val="399"/>
        </w:trPr>
        <w:tc>
          <w:tcPr>
            <w:tcW w:w="1142" w:type="dxa"/>
          </w:tcPr>
          <w:p w14:paraId="27A77C1A" w14:textId="13B9550F" w:rsidR="004057BA" w:rsidRPr="00BC0353" w:rsidRDefault="004057BA" w:rsidP="00E2267D">
            <w:pPr>
              <w:tabs>
                <w:tab w:val="left" w:pos="5347"/>
              </w:tabs>
              <w:rPr>
                <w:rFonts w:ascii="Arial" w:hAnsi="Arial" w:cs="Arial"/>
                <w:b/>
                <w:bCs/>
              </w:rPr>
            </w:pPr>
            <w:r w:rsidRPr="00BC0353">
              <w:rPr>
                <w:rFonts w:ascii="Arial" w:hAnsi="Arial" w:cs="Arial"/>
                <w:b/>
                <w:bCs/>
              </w:rPr>
              <w:t>9</w:t>
            </w:r>
          </w:p>
        </w:tc>
        <w:tc>
          <w:tcPr>
            <w:tcW w:w="7884" w:type="dxa"/>
          </w:tcPr>
          <w:p w14:paraId="76AB5AA5" w14:textId="77777777" w:rsidR="004057BA" w:rsidRPr="00BC0353" w:rsidRDefault="004057BA" w:rsidP="00BC0353">
            <w:pPr>
              <w:tabs>
                <w:tab w:val="left" w:pos="5347"/>
              </w:tabs>
              <w:rPr>
                <w:rFonts w:ascii="Arial" w:hAnsi="Arial" w:cs="Arial"/>
                <w:b/>
              </w:rPr>
            </w:pPr>
            <w:r w:rsidRPr="00BC0353">
              <w:rPr>
                <w:rFonts w:ascii="Arial" w:hAnsi="Arial" w:cs="Arial"/>
                <w:b/>
              </w:rPr>
              <w:t>Budget Update</w:t>
            </w:r>
          </w:p>
          <w:p w14:paraId="5F50AB83" w14:textId="77777777" w:rsidR="004057BA" w:rsidRPr="00D901A4" w:rsidRDefault="004057BA" w:rsidP="00BC0353">
            <w:pPr>
              <w:tabs>
                <w:tab w:val="left" w:pos="5347"/>
              </w:tabs>
              <w:rPr>
                <w:rFonts w:asciiTheme="minorBidi" w:hAnsiTheme="minorBidi"/>
              </w:rPr>
            </w:pPr>
          </w:p>
        </w:tc>
      </w:tr>
      <w:tr w:rsidR="004057BA" w:rsidRPr="00D901A4" w14:paraId="0E70F0E3" w14:textId="77777777" w:rsidTr="008C531E">
        <w:trPr>
          <w:trHeight w:val="399"/>
        </w:trPr>
        <w:tc>
          <w:tcPr>
            <w:tcW w:w="1142" w:type="dxa"/>
          </w:tcPr>
          <w:p w14:paraId="5E4FEFD7" w14:textId="04AC15A6" w:rsidR="004057BA" w:rsidRPr="00BC0353" w:rsidRDefault="004057BA" w:rsidP="00BC0353">
            <w:pPr>
              <w:pStyle w:val="ListParagraph"/>
              <w:numPr>
                <w:ilvl w:val="0"/>
                <w:numId w:val="25"/>
              </w:numPr>
              <w:tabs>
                <w:tab w:val="left" w:pos="5347"/>
              </w:tabs>
              <w:rPr>
                <w:rFonts w:ascii="Arial" w:hAnsi="Arial" w:cs="Arial"/>
              </w:rPr>
            </w:pPr>
          </w:p>
        </w:tc>
        <w:tc>
          <w:tcPr>
            <w:tcW w:w="7884" w:type="dxa"/>
          </w:tcPr>
          <w:p w14:paraId="26BF8E22" w14:textId="77777777" w:rsidR="00BC0353" w:rsidRDefault="00BC0353" w:rsidP="00BC0353">
            <w:pPr>
              <w:tabs>
                <w:tab w:val="left" w:pos="5347"/>
              </w:tabs>
              <w:rPr>
                <w:rFonts w:ascii="Arial" w:hAnsi="Arial" w:cs="Arial"/>
                <w:b/>
              </w:rPr>
            </w:pPr>
            <w:r w:rsidRPr="00D901A4">
              <w:rPr>
                <w:rFonts w:ascii="Arial" w:hAnsi="Arial" w:cs="Arial"/>
                <w:b/>
              </w:rPr>
              <w:t>Mid-Year Financial Position</w:t>
            </w:r>
          </w:p>
          <w:p w14:paraId="3BB0F342" w14:textId="77777777" w:rsidR="004057BA" w:rsidRPr="00D901A4" w:rsidRDefault="004057BA" w:rsidP="004057BA">
            <w:pPr>
              <w:rPr>
                <w:rFonts w:asciiTheme="minorBidi" w:hAnsiTheme="minorBidi"/>
              </w:rPr>
            </w:pPr>
          </w:p>
        </w:tc>
      </w:tr>
      <w:tr w:rsidR="004057BA" w:rsidRPr="00D901A4" w14:paraId="58536161" w14:textId="77777777" w:rsidTr="008C531E">
        <w:trPr>
          <w:trHeight w:val="399"/>
        </w:trPr>
        <w:tc>
          <w:tcPr>
            <w:tcW w:w="1142" w:type="dxa"/>
          </w:tcPr>
          <w:p w14:paraId="411D45BF" w14:textId="1DA436FE" w:rsidR="004057BA" w:rsidRDefault="00BC0353" w:rsidP="00E2267D">
            <w:pPr>
              <w:tabs>
                <w:tab w:val="left" w:pos="5347"/>
              </w:tabs>
              <w:rPr>
                <w:rFonts w:ascii="Arial" w:hAnsi="Arial" w:cs="Arial"/>
              </w:rPr>
            </w:pPr>
            <w:r>
              <w:rPr>
                <w:rFonts w:ascii="Arial" w:hAnsi="Arial" w:cs="Arial"/>
              </w:rPr>
              <w:t>9.1</w:t>
            </w:r>
          </w:p>
        </w:tc>
        <w:tc>
          <w:tcPr>
            <w:tcW w:w="7884" w:type="dxa"/>
          </w:tcPr>
          <w:p w14:paraId="4FA2EAD5" w14:textId="77777777" w:rsidR="00BC0353" w:rsidRDefault="00BC0353" w:rsidP="00BC0353">
            <w:pPr>
              <w:tabs>
                <w:tab w:val="left" w:pos="5347"/>
              </w:tabs>
              <w:rPr>
                <w:rFonts w:ascii="Arial" w:hAnsi="Arial" w:cs="Arial"/>
                <w:bCs/>
              </w:rPr>
            </w:pPr>
            <w:r w:rsidRPr="00D901A4">
              <w:rPr>
                <w:rFonts w:ascii="Arial" w:hAnsi="Arial" w:cs="Arial"/>
                <w:bCs/>
                <w:color w:val="000000" w:themeColor="text1"/>
              </w:rPr>
              <w:t xml:space="preserve">The Head of Finance &amp; Commercial introduced </w:t>
            </w:r>
            <w:r w:rsidRPr="00D901A4">
              <w:rPr>
                <w:rFonts w:ascii="Arial" w:hAnsi="Arial" w:cs="Arial"/>
                <w:bCs/>
              </w:rPr>
              <w:t>the paper</w:t>
            </w:r>
            <w:r>
              <w:rPr>
                <w:rFonts w:ascii="Arial" w:hAnsi="Arial" w:cs="Arial"/>
                <w:bCs/>
              </w:rPr>
              <w:t>,</w:t>
            </w:r>
            <w:r w:rsidRPr="00D901A4">
              <w:rPr>
                <w:rFonts w:ascii="Arial" w:hAnsi="Arial" w:cs="Arial"/>
                <w:bCs/>
              </w:rPr>
              <w:t xml:space="preserve"> which provided an overview of the mid-year position based on the second quarter forecasts</w:t>
            </w:r>
            <w:r>
              <w:rPr>
                <w:rFonts w:ascii="Arial" w:hAnsi="Arial" w:cs="Arial"/>
                <w:bCs/>
              </w:rPr>
              <w:t>,</w:t>
            </w:r>
            <w:r w:rsidRPr="00D901A4">
              <w:rPr>
                <w:rFonts w:ascii="Arial" w:hAnsi="Arial" w:cs="Arial"/>
                <w:bCs/>
              </w:rPr>
              <w:t xml:space="preserve"> and provided assurance on the 2024-25 budget setting approach.</w:t>
            </w:r>
          </w:p>
          <w:p w14:paraId="1B098C2D" w14:textId="77777777" w:rsidR="004057BA" w:rsidRPr="00D901A4" w:rsidRDefault="004057BA" w:rsidP="004057BA">
            <w:pPr>
              <w:rPr>
                <w:rFonts w:asciiTheme="minorBidi" w:hAnsiTheme="minorBidi"/>
              </w:rPr>
            </w:pPr>
          </w:p>
        </w:tc>
      </w:tr>
      <w:tr w:rsidR="004057BA" w:rsidRPr="00D901A4" w14:paraId="184E2BEE" w14:textId="77777777" w:rsidTr="008C531E">
        <w:trPr>
          <w:trHeight w:val="399"/>
        </w:trPr>
        <w:tc>
          <w:tcPr>
            <w:tcW w:w="1142" w:type="dxa"/>
          </w:tcPr>
          <w:p w14:paraId="0A515DA6" w14:textId="2ED2C1D2" w:rsidR="004057BA" w:rsidRDefault="00BC0353" w:rsidP="00E2267D">
            <w:pPr>
              <w:tabs>
                <w:tab w:val="left" w:pos="5347"/>
              </w:tabs>
              <w:rPr>
                <w:rFonts w:ascii="Arial" w:hAnsi="Arial" w:cs="Arial"/>
              </w:rPr>
            </w:pPr>
            <w:r>
              <w:rPr>
                <w:rFonts w:ascii="Arial" w:hAnsi="Arial" w:cs="Arial"/>
              </w:rPr>
              <w:t>9.2</w:t>
            </w:r>
          </w:p>
        </w:tc>
        <w:tc>
          <w:tcPr>
            <w:tcW w:w="7884" w:type="dxa"/>
          </w:tcPr>
          <w:p w14:paraId="30CEB795" w14:textId="77777777" w:rsidR="00BC0353" w:rsidRDefault="00BC0353" w:rsidP="00BC0353">
            <w:pPr>
              <w:tabs>
                <w:tab w:val="left" w:pos="5347"/>
              </w:tabs>
              <w:rPr>
                <w:rFonts w:ascii="Arial" w:hAnsi="Arial" w:cs="Arial"/>
                <w:bCs/>
              </w:rPr>
            </w:pPr>
            <w:r w:rsidRPr="00D901A4">
              <w:rPr>
                <w:rFonts w:ascii="Arial" w:hAnsi="Arial" w:cs="Arial"/>
                <w:bCs/>
              </w:rPr>
              <w:t>At Q2, ONRs position was a</w:t>
            </w:r>
            <w:r>
              <w:rPr>
                <w:rFonts w:ascii="Arial" w:hAnsi="Arial" w:cs="Arial"/>
                <w:bCs/>
              </w:rPr>
              <w:t>t</w:t>
            </w:r>
            <w:r w:rsidRPr="00D901A4">
              <w:rPr>
                <w:rFonts w:ascii="Arial" w:hAnsi="Arial" w:cs="Arial"/>
                <w:bCs/>
              </w:rPr>
              <w:t xml:space="preserve"> </w:t>
            </w:r>
            <w:r w:rsidRPr="00EA6B54">
              <w:rPr>
                <w:rFonts w:ascii="Arial" w:hAnsi="Arial" w:cs="Arial"/>
                <w:bCs/>
              </w:rPr>
              <w:t>£105.4m, reflecting a £2.2m overspend.</w:t>
            </w:r>
            <w:r>
              <w:rPr>
                <w:rFonts w:ascii="Arial" w:hAnsi="Arial" w:cs="Arial"/>
                <w:bCs/>
              </w:rPr>
              <w:t xml:space="preserve"> </w:t>
            </w:r>
            <w:r w:rsidRPr="00D901A4">
              <w:rPr>
                <w:rFonts w:ascii="Arial" w:hAnsi="Arial" w:cs="Arial"/>
                <w:bCs/>
              </w:rPr>
              <w:t>This related to some research contracts which needed to</w:t>
            </w:r>
            <w:r>
              <w:rPr>
                <w:rFonts w:ascii="Arial" w:hAnsi="Arial" w:cs="Arial"/>
                <w:bCs/>
              </w:rPr>
              <w:t xml:space="preserve"> be</w:t>
            </w:r>
            <w:r w:rsidRPr="00D901A4">
              <w:rPr>
                <w:rFonts w:ascii="Arial" w:hAnsi="Arial" w:cs="Arial"/>
                <w:bCs/>
              </w:rPr>
              <w:t xml:space="preserve"> started earlier than planned in the profile and some unbudgeted</w:t>
            </w:r>
            <w:r>
              <w:rPr>
                <w:rFonts w:ascii="Arial" w:hAnsi="Arial" w:cs="Arial"/>
                <w:bCs/>
              </w:rPr>
              <w:t>,</w:t>
            </w:r>
            <w:r w:rsidRPr="00D901A4">
              <w:rPr>
                <w:rFonts w:ascii="Arial" w:hAnsi="Arial" w:cs="Arial"/>
                <w:bCs/>
              </w:rPr>
              <w:t xml:space="preserve"> unexpected costs. </w:t>
            </w:r>
            <w:r>
              <w:rPr>
                <w:rFonts w:ascii="Arial" w:hAnsi="Arial" w:cs="Arial"/>
                <w:bCs/>
              </w:rPr>
              <w:t>Much</w:t>
            </w:r>
            <w:r w:rsidRPr="00D901A4">
              <w:rPr>
                <w:rFonts w:ascii="Arial" w:hAnsi="Arial" w:cs="Arial"/>
                <w:bCs/>
              </w:rPr>
              <w:t xml:space="preserve"> had been done </w:t>
            </w:r>
            <w:r>
              <w:rPr>
                <w:rFonts w:ascii="Arial" w:hAnsi="Arial" w:cs="Arial"/>
                <w:bCs/>
              </w:rPr>
              <w:t>across ONR</w:t>
            </w:r>
            <w:r w:rsidRPr="00D901A4">
              <w:rPr>
                <w:rFonts w:ascii="Arial" w:hAnsi="Arial" w:cs="Arial"/>
                <w:bCs/>
              </w:rPr>
              <w:t xml:space="preserve"> in finding efficiencies, deferred spend and savings</w:t>
            </w:r>
            <w:r>
              <w:rPr>
                <w:rFonts w:ascii="Arial" w:hAnsi="Arial" w:cs="Arial"/>
                <w:bCs/>
              </w:rPr>
              <w:t>,</w:t>
            </w:r>
            <w:r w:rsidRPr="00D901A4">
              <w:rPr>
                <w:rFonts w:ascii="Arial" w:hAnsi="Arial" w:cs="Arial"/>
                <w:bCs/>
              </w:rPr>
              <w:t xml:space="preserve"> and £4m had been saved across those categories. It would be a challenge to meet the budget</w:t>
            </w:r>
            <w:r>
              <w:rPr>
                <w:rFonts w:ascii="Arial" w:hAnsi="Arial" w:cs="Arial"/>
                <w:bCs/>
              </w:rPr>
              <w:t>,</w:t>
            </w:r>
            <w:r w:rsidRPr="00D901A4">
              <w:rPr>
                <w:rFonts w:ascii="Arial" w:hAnsi="Arial" w:cs="Arial"/>
                <w:bCs/>
              </w:rPr>
              <w:t xml:space="preserve"> but work was </w:t>
            </w:r>
            <w:r>
              <w:rPr>
                <w:rFonts w:ascii="Arial" w:hAnsi="Arial" w:cs="Arial"/>
                <w:bCs/>
              </w:rPr>
              <w:t>continuing</w:t>
            </w:r>
            <w:r w:rsidRPr="00D901A4">
              <w:rPr>
                <w:rFonts w:ascii="Arial" w:hAnsi="Arial" w:cs="Arial"/>
                <w:bCs/>
              </w:rPr>
              <w:t xml:space="preserve"> to look at the forecasting and mitigations which could be put in place </w:t>
            </w:r>
            <w:r>
              <w:rPr>
                <w:rFonts w:ascii="Arial" w:hAnsi="Arial" w:cs="Arial"/>
                <w:bCs/>
              </w:rPr>
              <w:t xml:space="preserve">and </w:t>
            </w:r>
            <w:r w:rsidRPr="00D901A4">
              <w:rPr>
                <w:rFonts w:ascii="Arial" w:hAnsi="Arial" w:cs="Arial"/>
                <w:bCs/>
              </w:rPr>
              <w:t xml:space="preserve">there was likely to be a small pressure against the Board approved budget at the end of the year. </w:t>
            </w:r>
          </w:p>
          <w:p w14:paraId="6E825044" w14:textId="77777777" w:rsidR="004057BA" w:rsidRPr="00D901A4" w:rsidRDefault="004057BA" w:rsidP="004057BA">
            <w:pPr>
              <w:rPr>
                <w:rFonts w:asciiTheme="minorBidi" w:hAnsiTheme="minorBidi"/>
              </w:rPr>
            </w:pPr>
          </w:p>
        </w:tc>
      </w:tr>
      <w:tr w:rsidR="004057BA" w:rsidRPr="00D901A4" w14:paraId="31F0155A" w14:textId="77777777" w:rsidTr="008C531E">
        <w:trPr>
          <w:trHeight w:val="399"/>
        </w:trPr>
        <w:tc>
          <w:tcPr>
            <w:tcW w:w="1142" w:type="dxa"/>
          </w:tcPr>
          <w:p w14:paraId="24707140" w14:textId="75EBF286" w:rsidR="004057BA" w:rsidRDefault="00BC0353" w:rsidP="00E2267D">
            <w:pPr>
              <w:tabs>
                <w:tab w:val="left" w:pos="5347"/>
              </w:tabs>
              <w:rPr>
                <w:rFonts w:ascii="Arial" w:hAnsi="Arial" w:cs="Arial"/>
              </w:rPr>
            </w:pPr>
            <w:r>
              <w:rPr>
                <w:rFonts w:ascii="Arial" w:hAnsi="Arial" w:cs="Arial"/>
              </w:rPr>
              <w:lastRenderedPageBreak/>
              <w:t>9.3</w:t>
            </w:r>
          </w:p>
        </w:tc>
        <w:tc>
          <w:tcPr>
            <w:tcW w:w="7884" w:type="dxa"/>
          </w:tcPr>
          <w:p w14:paraId="66820D98" w14:textId="77777777" w:rsidR="00BC0353" w:rsidRDefault="00BC0353" w:rsidP="00BC0353">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26507ED9" w14:textId="77777777" w:rsidR="00BC0353" w:rsidRPr="00D901A4" w:rsidRDefault="00BC0353" w:rsidP="00BC0353">
            <w:pPr>
              <w:tabs>
                <w:tab w:val="left" w:pos="5347"/>
              </w:tabs>
              <w:rPr>
                <w:rFonts w:ascii="Arial" w:hAnsi="Arial" w:cs="Arial"/>
                <w:bCs/>
              </w:rPr>
            </w:pPr>
          </w:p>
          <w:p w14:paraId="791F239E" w14:textId="77777777" w:rsidR="00BC0353" w:rsidRPr="00D901A4" w:rsidRDefault="00BC0353" w:rsidP="00BC0353">
            <w:pPr>
              <w:pStyle w:val="ListParagraph"/>
              <w:numPr>
                <w:ilvl w:val="0"/>
                <w:numId w:val="17"/>
              </w:numPr>
              <w:tabs>
                <w:tab w:val="left" w:pos="5347"/>
              </w:tabs>
              <w:rPr>
                <w:rFonts w:ascii="Arial" w:hAnsi="Arial" w:cs="Arial"/>
                <w:bCs/>
              </w:rPr>
            </w:pPr>
            <w:r w:rsidRPr="00D901A4">
              <w:rPr>
                <w:rFonts w:ascii="Arial" w:hAnsi="Arial" w:cs="Arial"/>
                <w:bCs/>
              </w:rPr>
              <w:t>Commented that</w:t>
            </w:r>
            <w:r>
              <w:rPr>
                <w:rFonts w:ascii="Arial" w:hAnsi="Arial" w:cs="Arial"/>
                <w:bCs/>
              </w:rPr>
              <w:t xml:space="preserve">, </w:t>
            </w:r>
            <w:r w:rsidRPr="00961166">
              <w:rPr>
                <w:rFonts w:ascii="Arial" w:hAnsi="Arial" w:cs="Arial"/>
                <w:bCs/>
              </w:rPr>
              <w:t>as in previous years,</w:t>
            </w:r>
            <w:r w:rsidRPr="00D901A4">
              <w:rPr>
                <w:rFonts w:ascii="Arial" w:hAnsi="Arial" w:cs="Arial"/>
                <w:bCs/>
              </w:rPr>
              <w:t xml:space="preserve"> recruitment had failed to be as fast as anticipated which had impacted the budget.</w:t>
            </w:r>
          </w:p>
          <w:p w14:paraId="3AA66DF8" w14:textId="45E5935D" w:rsidR="00BC0353" w:rsidRPr="00D901A4" w:rsidRDefault="00BC0353" w:rsidP="00BC0353">
            <w:pPr>
              <w:pStyle w:val="ListParagraph"/>
              <w:numPr>
                <w:ilvl w:val="0"/>
                <w:numId w:val="17"/>
              </w:numPr>
              <w:tabs>
                <w:tab w:val="left" w:pos="5347"/>
              </w:tabs>
              <w:rPr>
                <w:rFonts w:ascii="Arial" w:hAnsi="Arial" w:cs="Arial"/>
                <w:bCs/>
              </w:rPr>
            </w:pPr>
            <w:r w:rsidRPr="00D901A4">
              <w:rPr>
                <w:rFonts w:ascii="Arial" w:hAnsi="Arial" w:cs="Arial"/>
                <w:bCs/>
              </w:rPr>
              <w:t>Questioned</w:t>
            </w:r>
            <w:r>
              <w:rPr>
                <w:rFonts w:ascii="Arial" w:hAnsi="Arial" w:cs="Arial"/>
                <w:bCs/>
              </w:rPr>
              <w:t>,</w:t>
            </w:r>
            <w:r w:rsidRPr="00D901A4">
              <w:rPr>
                <w:rFonts w:ascii="Arial" w:hAnsi="Arial" w:cs="Arial"/>
                <w:bCs/>
              </w:rPr>
              <w:t xml:space="preserve"> in an overspend situation</w:t>
            </w:r>
            <w:r>
              <w:rPr>
                <w:rFonts w:ascii="Arial" w:hAnsi="Arial" w:cs="Arial"/>
                <w:bCs/>
              </w:rPr>
              <w:t>,</w:t>
            </w:r>
            <w:r w:rsidRPr="00D901A4">
              <w:rPr>
                <w:rFonts w:ascii="Arial" w:hAnsi="Arial" w:cs="Arial"/>
                <w:bCs/>
              </w:rPr>
              <w:t xml:space="preserve"> who was accountable for the costs. </w:t>
            </w:r>
            <w:r>
              <w:rPr>
                <w:rFonts w:ascii="Arial" w:hAnsi="Arial" w:cs="Arial"/>
                <w:bCs/>
              </w:rPr>
              <w:t xml:space="preserve">It was confirmed that </w:t>
            </w:r>
            <w:proofErr w:type="spellStart"/>
            <w:r>
              <w:rPr>
                <w:rFonts w:ascii="Arial" w:hAnsi="Arial" w:cs="Arial"/>
                <w:bCs/>
              </w:rPr>
              <w:t>d</w:t>
            </w:r>
            <w:r w:rsidRPr="00D901A4">
              <w:rPr>
                <w:rFonts w:ascii="Arial" w:hAnsi="Arial" w:cs="Arial"/>
                <w:bCs/>
              </w:rPr>
              <w:t>utyholders</w:t>
            </w:r>
            <w:proofErr w:type="spellEnd"/>
            <w:r w:rsidRPr="00D901A4">
              <w:rPr>
                <w:rFonts w:ascii="Arial" w:hAnsi="Arial" w:cs="Arial"/>
                <w:bCs/>
              </w:rPr>
              <w:t xml:space="preserve"> received a forecast at mid-year which was a trigger for notifying them of any </w:t>
            </w:r>
            <w:r>
              <w:rPr>
                <w:rFonts w:ascii="Arial" w:hAnsi="Arial" w:cs="Arial"/>
                <w:bCs/>
              </w:rPr>
              <w:t xml:space="preserve">additional </w:t>
            </w:r>
            <w:r w:rsidRPr="00D901A4">
              <w:rPr>
                <w:rFonts w:ascii="Arial" w:hAnsi="Arial" w:cs="Arial"/>
                <w:bCs/>
              </w:rPr>
              <w:t>cost</w:t>
            </w:r>
            <w:r>
              <w:rPr>
                <w:rFonts w:ascii="Arial" w:hAnsi="Arial" w:cs="Arial"/>
                <w:bCs/>
              </w:rPr>
              <w:t>s</w:t>
            </w:r>
            <w:r w:rsidRPr="00D901A4">
              <w:rPr>
                <w:rFonts w:ascii="Arial" w:hAnsi="Arial" w:cs="Arial"/>
                <w:bCs/>
              </w:rPr>
              <w:t xml:space="preserve">, </w:t>
            </w:r>
            <w:r>
              <w:rPr>
                <w:rFonts w:ascii="Arial" w:hAnsi="Arial" w:cs="Arial"/>
                <w:bCs/>
              </w:rPr>
              <w:t xml:space="preserve">in addition to holding </w:t>
            </w:r>
            <w:r w:rsidRPr="00D901A4">
              <w:rPr>
                <w:rFonts w:ascii="Arial" w:hAnsi="Arial" w:cs="Arial"/>
                <w:bCs/>
              </w:rPr>
              <w:t>regular discussions</w:t>
            </w:r>
            <w:r>
              <w:rPr>
                <w:rFonts w:ascii="Arial" w:hAnsi="Arial" w:cs="Arial"/>
                <w:bCs/>
              </w:rPr>
              <w:t xml:space="preserve"> with them.</w:t>
            </w:r>
          </w:p>
          <w:p w14:paraId="1DD58974" w14:textId="4E65F4DB" w:rsidR="00BC0353" w:rsidRDefault="00BC0353" w:rsidP="00BC0353">
            <w:pPr>
              <w:pStyle w:val="ListParagraph"/>
              <w:numPr>
                <w:ilvl w:val="0"/>
                <w:numId w:val="17"/>
              </w:numPr>
              <w:tabs>
                <w:tab w:val="left" w:pos="5347"/>
              </w:tabs>
              <w:rPr>
                <w:rFonts w:ascii="Arial" w:hAnsi="Arial" w:cs="Arial"/>
                <w:bCs/>
              </w:rPr>
            </w:pPr>
            <w:r w:rsidRPr="00D901A4">
              <w:rPr>
                <w:rFonts w:ascii="Arial" w:hAnsi="Arial" w:cs="Arial"/>
                <w:bCs/>
              </w:rPr>
              <w:t xml:space="preserve">Noted that the biggest challenge for </w:t>
            </w:r>
            <w:proofErr w:type="spellStart"/>
            <w:r w:rsidRPr="00D901A4">
              <w:rPr>
                <w:rFonts w:ascii="Arial" w:hAnsi="Arial" w:cs="Arial"/>
                <w:bCs/>
              </w:rPr>
              <w:t>dutyholders</w:t>
            </w:r>
            <w:proofErr w:type="spellEnd"/>
            <w:r w:rsidRPr="00D901A4">
              <w:rPr>
                <w:rFonts w:ascii="Arial" w:hAnsi="Arial" w:cs="Arial"/>
                <w:bCs/>
              </w:rPr>
              <w:t xml:space="preserve"> was the variation of costs and the 2024/25 budget</w:t>
            </w:r>
            <w:r w:rsidR="00C44521">
              <w:rPr>
                <w:rFonts w:ascii="Arial" w:hAnsi="Arial" w:cs="Arial"/>
                <w:bCs/>
              </w:rPr>
              <w:t>-</w:t>
            </w:r>
            <w:r w:rsidRPr="00D901A4">
              <w:rPr>
                <w:rFonts w:ascii="Arial" w:hAnsi="Arial" w:cs="Arial"/>
                <w:bCs/>
              </w:rPr>
              <w:t>setting approach seemed a sensible way forward</w:t>
            </w:r>
            <w:r>
              <w:rPr>
                <w:rFonts w:ascii="Arial" w:hAnsi="Arial" w:cs="Arial"/>
                <w:bCs/>
              </w:rPr>
              <w:t xml:space="preserve"> (paragraphs 9 below refer) </w:t>
            </w:r>
            <w:r w:rsidRPr="00961166">
              <w:rPr>
                <w:rFonts w:ascii="Arial" w:hAnsi="Arial" w:cs="Arial"/>
                <w:bCs/>
              </w:rPr>
              <w:t>to help mitigate this issue.</w:t>
            </w:r>
          </w:p>
          <w:p w14:paraId="08B564FE" w14:textId="77777777" w:rsidR="004057BA" w:rsidRPr="00D901A4" w:rsidRDefault="004057BA" w:rsidP="004057BA">
            <w:pPr>
              <w:rPr>
                <w:rFonts w:asciiTheme="minorBidi" w:hAnsiTheme="minorBidi"/>
              </w:rPr>
            </w:pPr>
          </w:p>
        </w:tc>
      </w:tr>
      <w:tr w:rsidR="004057BA" w:rsidRPr="00D901A4" w14:paraId="41CA94C0" w14:textId="77777777" w:rsidTr="008C531E">
        <w:trPr>
          <w:trHeight w:val="399"/>
        </w:trPr>
        <w:tc>
          <w:tcPr>
            <w:tcW w:w="1142" w:type="dxa"/>
          </w:tcPr>
          <w:p w14:paraId="0C21ABDD" w14:textId="5C851241" w:rsidR="004057BA" w:rsidRPr="00BC0353" w:rsidRDefault="00BC0353" w:rsidP="00E2267D">
            <w:pPr>
              <w:tabs>
                <w:tab w:val="left" w:pos="5347"/>
              </w:tabs>
              <w:rPr>
                <w:rFonts w:ascii="Arial" w:hAnsi="Arial" w:cs="Arial"/>
                <w:b/>
                <w:bCs/>
              </w:rPr>
            </w:pPr>
            <w:r w:rsidRPr="00BC0353">
              <w:rPr>
                <w:rFonts w:ascii="Arial" w:hAnsi="Arial" w:cs="Arial"/>
                <w:b/>
                <w:bCs/>
              </w:rPr>
              <w:t>(b)</w:t>
            </w:r>
          </w:p>
        </w:tc>
        <w:tc>
          <w:tcPr>
            <w:tcW w:w="7884" w:type="dxa"/>
          </w:tcPr>
          <w:p w14:paraId="6977003C" w14:textId="77777777" w:rsidR="004057BA" w:rsidRDefault="00BC0353" w:rsidP="004057BA">
            <w:pPr>
              <w:rPr>
                <w:rFonts w:ascii="Arial" w:hAnsi="Arial" w:cs="Arial"/>
                <w:b/>
              </w:rPr>
            </w:pPr>
            <w:r w:rsidRPr="00D901A4">
              <w:rPr>
                <w:rFonts w:ascii="Arial" w:hAnsi="Arial" w:cs="Arial"/>
                <w:b/>
              </w:rPr>
              <w:t>2024/25 Budget Setting</w:t>
            </w:r>
          </w:p>
          <w:p w14:paraId="02CB06A5" w14:textId="76516370" w:rsidR="00BC0353" w:rsidRPr="00D901A4" w:rsidRDefault="00BC0353" w:rsidP="004057BA">
            <w:pPr>
              <w:rPr>
                <w:rFonts w:asciiTheme="minorBidi" w:hAnsiTheme="minorBidi"/>
              </w:rPr>
            </w:pPr>
          </w:p>
        </w:tc>
      </w:tr>
      <w:tr w:rsidR="00BC0353" w:rsidRPr="00D901A4" w14:paraId="19A197E1" w14:textId="77777777" w:rsidTr="008C531E">
        <w:trPr>
          <w:trHeight w:val="399"/>
        </w:trPr>
        <w:tc>
          <w:tcPr>
            <w:tcW w:w="1142" w:type="dxa"/>
          </w:tcPr>
          <w:p w14:paraId="4FAA380B" w14:textId="0148FFB4" w:rsidR="00BC0353" w:rsidRDefault="00BC0353" w:rsidP="00E2267D">
            <w:pPr>
              <w:tabs>
                <w:tab w:val="left" w:pos="5347"/>
              </w:tabs>
              <w:rPr>
                <w:rFonts w:ascii="Arial" w:hAnsi="Arial" w:cs="Arial"/>
              </w:rPr>
            </w:pPr>
            <w:r>
              <w:rPr>
                <w:rFonts w:ascii="Arial" w:hAnsi="Arial" w:cs="Arial"/>
              </w:rPr>
              <w:t>9.4</w:t>
            </w:r>
          </w:p>
        </w:tc>
        <w:tc>
          <w:tcPr>
            <w:tcW w:w="7884" w:type="dxa"/>
          </w:tcPr>
          <w:p w14:paraId="260618F6" w14:textId="1EDACA17" w:rsidR="00BC0353" w:rsidRDefault="00BC0353" w:rsidP="00BC0353">
            <w:pPr>
              <w:tabs>
                <w:tab w:val="left" w:pos="5347"/>
              </w:tabs>
              <w:rPr>
                <w:rFonts w:ascii="Arial" w:hAnsi="Arial" w:cs="Arial"/>
                <w:bCs/>
              </w:rPr>
            </w:pPr>
            <w:r w:rsidRPr="00D901A4">
              <w:rPr>
                <w:rFonts w:ascii="Arial" w:hAnsi="Arial" w:cs="Arial"/>
                <w:bCs/>
                <w:color w:val="000000" w:themeColor="text1"/>
              </w:rPr>
              <w:t xml:space="preserve">The </w:t>
            </w:r>
            <w:bookmarkStart w:id="0" w:name="_Hlk156470601"/>
            <w:r w:rsidRPr="00D901A4">
              <w:rPr>
                <w:rFonts w:ascii="Arial" w:hAnsi="Arial" w:cs="Arial"/>
                <w:bCs/>
                <w:color w:val="000000" w:themeColor="text1"/>
              </w:rPr>
              <w:t xml:space="preserve">Head of Finance &amp; Commercial </w:t>
            </w:r>
            <w:bookmarkEnd w:id="0"/>
            <w:r w:rsidRPr="00D901A4">
              <w:rPr>
                <w:rFonts w:ascii="Arial" w:hAnsi="Arial" w:cs="Arial"/>
                <w:bCs/>
              </w:rPr>
              <w:t>set out the new approach to 2024/25 budget setting. A smoother and more efficient approach to budget</w:t>
            </w:r>
            <w:r w:rsidR="00AA7D30">
              <w:rPr>
                <w:rFonts w:ascii="Arial" w:hAnsi="Arial" w:cs="Arial"/>
                <w:bCs/>
              </w:rPr>
              <w:t>-</w:t>
            </w:r>
            <w:r w:rsidRPr="00D901A4">
              <w:rPr>
                <w:rFonts w:ascii="Arial" w:hAnsi="Arial" w:cs="Arial"/>
                <w:bCs/>
              </w:rPr>
              <w:t>setting had been developed. The Board would see the final budget at a special Board meeting to take place in February 2</w:t>
            </w:r>
            <w:r>
              <w:rPr>
                <w:rFonts w:ascii="Arial" w:hAnsi="Arial" w:cs="Arial"/>
                <w:bCs/>
              </w:rPr>
              <w:t>02</w:t>
            </w:r>
            <w:r w:rsidRPr="00D901A4">
              <w:rPr>
                <w:rFonts w:ascii="Arial" w:hAnsi="Arial" w:cs="Arial"/>
                <w:bCs/>
              </w:rPr>
              <w:t>4. The finance team had started to migrate all activity that was brought forward</w:t>
            </w:r>
            <w:r>
              <w:rPr>
                <w:rFonts w:ascii="Arial" w:hAnsi="Arial" w:cs="Arial"/>
                <w:bCs/>
              </w:rPr>
              <w:t>,</w:t>
            </w:r>
            <w:r w:rsidRPr="00D901A4">
              <w:rPr>
                <w:rFonts w:ascii="Arial" w:hAnsi="Arial" w:cs="Arial"/>
                <w:bCs/>
              </w:rPr>
              <w:t xml:space="preserve"> giving them a RAG rating which would aid discussions at star chambers. </w:t>
            </w:r>
          </w:p>
          <w:p w14:paraId="5034EE2A" w14:textId="77777777" w:rsidR="00BC0353" w:rsidRPr="00D901A4" w:rsidRDefault="00BC0353" w:rsidP="004057BA">
            <w:pPr>
              <w:rPr>
                <w:rFonts w:asciiTheme="minorBidi" w:hAnsiTheme="minorBidi"/>
              </w:rPr>
            </w:pPr>
          </w:p>
        </w:tc>
      </w:tr>
      <w:tr w:rsidR="00BC0353" w:rsidRPr="00D901A4" w14:paraId="60B28A0B" w14:textId="77777777" w:rsidTr="008C531E">
        <w:trPr>
          <w:trHeight w:val="399"/>
        </w:trPr>
        <w:tc>
          <w:tcPr>
            <w:tcW w:w="1142" w:type="dxa"/>
          </w:tcPr>
          <w:p w14:paraId="0B4A525F" w14:textId="75105E00" w:rsidR="00BC0353" w:rsidRDefault="00BC0353" w:rsidP="00E2267D">
            <w:pPr>
              <w:tabs>
                <w:tab w:val="left" w:pos="5347"/>
              </w:tabs>
              <w:rPr>
                <w:rFonts w:ascii="Arial" w:hAnsi="Arial" w:cs="Arial"/>
              </w:rPr>
            </w:pPr>
            <w:r>
              <w:rPr>
                <w:rFonts w:ascii="Arial" w:hAnsi="Arial" w:cs="Arial"/>
              </w:rPr>
              <w:t>9.5</w:t>
            </w:r>
          </w:p>
        </w:tc>
        <w:tc>
          <w:tcPr>
            <w:tcW w:w="7884" w:type="dxa"/>
          </w:tcPr>
          <w:p w14:paraId="3E623081" w14:textId="77777777" w:rsidR="00BC0353" w:rsidRDefault="00BC0353" w:rsidP="004057BA">
            <w:pPr>
              <w:rPr>
                <w:rFonts w:ascii="Arial" w:hAnsi="Arial" w:cs="Arial"/>
                <w:bCs/>
              </w:rPr>
            </w:pPr>
            <w:r w:rsidRPr="00D901A4">
              <w:rPr>
                <w:rFonts w:ascii="Arial" w:hAnsi="Arial" w:cs="Arial"/>
                <w:bCs/>
              </w:rPr>
              <w:t>A high level multi-year budget view would continue and be provided to Board.</w:t>
            </w:r>
          </w:p>
          <w:p w14:paraId="3D46D051" w14:textId="1B15900D" w:rsidR="00BC0353" w:rsidRPr="00D901A4" w:rsidRDefault="00BC0353" w:rsidP="004057BA">
            <w:pPr>
              <w:rPr>
                <w:rFonts w:asciiTheme="minorBidi" w:hAnsiTheme="minorBidi"/>
              </w:rPr>
            </w:pPr>
          </w:p>
        </w:tc>
      </w:tr>
      <w:tr w:rsidR="00BC0353" w:rsidRPr="00D901A4" w14:paraId="21716FFC" w14:textId="77777777" w:rsidTr="008C531E">
        <w:trPr>
          <w:trHeight w:val="399"/>
        </w:trPr>
        <w:tc>
          <w:tcPr>
            <w:tcW w:w="1142" w:type="dxa"/>
          </w:tcPr>
          <w:p w14:paraId="4941A536" w14:textId="3227052E" w:rsidR="00BC0353" w:rsidRDefault="00BC0353" w:rsidP="00E2267D">
            <w:pPr>
              <w:tabs>
                <w:tab w:val="left" w:pos="5347"/>
              </w:tabs>
              <w:rPr>
                <w:rFonts w:ascii="Arial" w:hAnsi="Arial" w:cs="Arial"/>
              </w:rPr>
            </w:pPr>
            <w:r>
              <w:rPr>
                <w:rFonts w:ascii="Arial" w:hAnsi="Arial" w:cs="Arial"/>
              </w:rPr>
              <w:t>9.6</w:t>
            </w:r>
          </w:p>
        </w:tc>
        <w:tc>
          <w:tcPr>
            <w:tcW w:w="7884" w:type="dxa"/>
          </w:tcPr>
          <w:p w14:paraId="3E6662B3" w14:textId="77777777" w:rsidR="00BC0353" w:rsidRPr="00D901A4" w:rsidRDefault="00BC0353" w:rsidP="00BC0353">
            <w:pPr>
              <w:tabs>
                <w:tab w:val="left" w:pos="5347"/>
              </w:tabs>
              <w:rPr>
                <w:rFonts w:ascii="Arial" w:hAnsi="Arial" w:cs="Arial"/>
                <w:bCs/>
              </w:rPr>
            </w:pPr>
            <w:r w:rsidRPr="00D901A4">
              <w:rPr>
                <w:rFonts w:ascii="Arial" w:hAnsi="Arial" w:cs="Arial"/>
                <w:bCs/>
              </w:rPr>
              <w:t>The principles for budget setting would be</w:t>
            </w:r>
            <w:r>
              <w:rPr>
                <w:rFonts w:ascii="Arial" w:hAnsi="Arial" w:cs="Arial"/>
                <w:bCs/>
              </w:rPr>
              <w:t>:</w:t>
            </w:r>
            <w:r w:rsidRPr="00D901A4">
              <w:rPr>
                <w:rFonts w:ascii="Arial" w:hAnsi="Arial" w:cs="Arial"/>
                <w:bCs/>
              </w:rPr>
              <w:t xml:space="preserve"> a clear and realistic baseline</w:t>
            </w:r>
            <w:r>
              <w:rPr>
                <w:rFonts w:ascii="Arial" w:hAnsi="Arial" w:cs="Arial"/>
                <w:bCs/>
              </w:rPr>
              <w:t>;</w:t>
            </w:r>
            <w:r w:rsidRPr="00D901A4">
              <w:rPr>
                <w:rFonts w:ascii="Arial" w:hAnsi="Arial" w:cs="Arial"/>
                <w:bCs/>
              </w:rPr>
              <w:t xml:space="preserve"> </w:t>
            </w:r>
            <w:r>
              <w:rPr>
                <w:rFonts w:ascii="Arial" w:hAnsi="Arial" w:cs="Arial"/>
                <w:bCs/>
              </w:rPr>
              <w:t xml:space="preserve">and </w:t>
            </w:r>
            <w:r w:rsidRPr="00D901A4">
              <w:rPr>
                <w:rFonts w:ascii="Arial" w:hAnsi="Arial" w:cs="Arial"/>
                <w:bCs/>
              </w:rPr>
              <w:t xml:space="preserve">previous year vacancies re-justified before being taken forward and not assuming a one for one recruitment. The process was </w:t>
            </w:r>
            <w:r>
              <w:rPr>
                <w:rFonts w:ascii="Arial" w:hAnsi="Arial" w:cs="Arial"/>
                <w:bCs/>
              </w:rPr>
              <w:t xml:space="preserve">significantly </w:t>
            </w:r>
            <w:r w:rsidRPr="00D901A4">
              <w:rPr>
                <w:rFonts w:ascii="Arial" w:hAnsi="Arial" w:cs="Arial"/>
                <w:bCs/>
              </w:rPr>
              <w:t>more robust</w:t>
            </w:r>
            <w:r>
              <w:rPr>
                <w:rFonts w:ascii="Arial" w:hAnsi="Arial" w:cs="Arial"/>
                <w:bCs/>
              </w:rPr>
              <w:t>,</w:t>
            </w:r>
            <w:r w:rsidRPr="00D901A4">
              <w:rPr>
                <w:rFonts w:ascii="Arial" w:hAnsi="Arial" w:cs="Arial"/>
                <w:bCs/>
              </w:rPr>
              <w:t xml:space="preserve"> holding Directors to account.</w:t>
            </w:r>
          </w:p>
          <w:p w14:paraId="766BD258" w14:textId="77777777" w:rsidR="00BC0353" w:rsidRPr="00D901A4" w:rsidRDefault="00BC0353" w:rsidP="004057BA">
            <w:pPr>
              <w:rPr>
                <w:rFonts w:asciiTheme="minorBidi" w:hAnsiTheme="minorBidi"/>
              </w:rPr>
            </w:pPr>
          </w:p>
        </w:tc>
      </w:tr>
      <w:tr w:rsidR="00BC0353" w:rsidRPr="00D901A4" w14:paraId="6F57ABD4" w14:textId="77777777" w:rsidTr="008C531E">
        <w:trPr>
          <w:trHeight w:val="399"/>
        </w:trPr>
        <w:tc>
          <w:tcPr>
            <w:tcW w:w="1142" w:type="dxa"/>
          </w:tcPr>
          <w:p w14:paraId="14D6CCC7" w14:textId="4E86AD5D" w:rsidR="00BC0353" w:rsidRDefault="00BC0353" w:rsidP="00E2267D">
            <w:pPr>
              <w:tabs>
                <w:tab w:val="left" w:pos="5347"/>
              </w:tabs>
              <w:rPr>
                <w:rFonts w:ascii="Arial" w:hAnsi="Arial" w:cs="Arial"/>
              </w:rPr>
            </w:pPr>
            <w:r>
              <w:rPr>
                <w:rFonts w:ascii="Arial" w:hAnsi="Arial" w:cs="Arial"/>
              </w:rPr>
              <w:t>9.7</w:t>
            </w:r>
          </w:p>
        </w:tc>
        <w:tc>
          <w:tcPr>
            <w:tcW w:w="7884" w:type="dxa"/>
          </w:tcPr>
          <w:p w14:paraId="4F37F2E3" w14:textId="77777777" w:rsidR="00BC0353" w:rsidRDefault="00BC0353" w:rsidP="00BC0353">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306DBDF7" w14:textId="77777777" w:rsidR="00BC0353" w:rsidRPr="00D901A4" w:rsidRDefault="00BC0353" w:rsidP="00BC0353">
            <w:pPr>
              <w:tabs>
                <w:tab w:val="left" w:pos="5347"/>
              </w:tabs>
              <w:rPr>
                <w:rFonts w:ascii="Arial" w:hAnsi="Arial" w:cs="Arial"/>
                <w:bCs/>
              </w:rPr>
            </w:pPr>
          </w:p>
          <w:p w14:paraId="7D1D7BDA" w14:textId="6A02A25D" w:rsidR="00BC0353" w:rsidRPr="00D901A4" w:rsidRDefault="00BC0353" w:rsidP="00BC0353">
            <w:pPr>
              <w:pStyle w:val="ListParagraph"/>
              <w:numPr>
                <w:ilvl w:val="0"/>
                <w:numId w:val="18"/>
              </w:numPr>
              <w:tabs>
                <w:tab w:val="left" w:pos="5347"/>
              </w:tabs>
              <w:rPr>
                <w:rFonts w:ascii="Arial" w:hAnsi="Arial" w:cs="Arial"/>
                <w:bCs/>
              </w:rPr>
            </w:pPr>
            <w:r w:rsidRPr="00D901A4">
              <w:rPr>
                <w:rFonts w:ascii="Arial" w:hAnsi="Arial" w:cs="Arial"/>
                <w:bCs/>
              </w:rPr>
              <w:t>Questioned whether the finance team had visibility of the regulatory baselining</w:t>
            </w:r>
            <w:r w:rsidR="0055443F">
              <w:rPr>
                <w:rFonts w:ascii="Arial" w:hAnsi="Arial" w:cs="Arial"/>
                <w:bCs/>
              </w:rPr>
              <w:t>.</w:t>
            </w:r>
          </w:p>
          <w:p w14:paraId="6F255334" w14:textId="3D514F2C" w:rsidR="00BC0353" w:rsidRPr="00D901A4" w:rsidRDefault="00AA7D30" w:rsidP="00BC0353">
            <w:pPr>
              <w:pStyle w:val="ListParagraph"/>
              <w:numPr>
                <w:ilvl w:val="0"/>
                <w:numId w:val="18"/>
              </w:numPr>
              <w:tabs>
                <w:tab w:val="left" w:pos="5347"/>
              </w:tabs>
              <w:rPr>
                <w:rFonts w:ascii="Arial" w:hAnsi="Arial" w:cs="Arial"/>
                <w:bCs/>
              </w:rPr>
            </w:pPr>
            <w:r>
              <w:rPr>
                <w:rFonts w:ascii="Arial" w:hAnsi="Arial" w:cs="Arial"/>
                <w:bCs/>
              </w:rPr>
              <w:t>Commented that t</w:t>
            </w:r>
            <w:r w:rsidR="00BC0353" w:rsidRPr="00D901A4">
              <w:rPr>
                <w:rFonts w:ascii="Arial" w:hAnsi="Arial" w:cs="Arial"/>
                <w:bCs/>
              </w:rPr>
              <w:t>he budget</w:t>
            </w:r>
            <w:r>
              <w:rPr>
                <w:rFonts w:ascii="Arial" w:hAnsi="Arial" w:cs="Arial"/>
                <w:bCs/>
              </w:rPr>
              <w:t>-</w:t>
            </w:r>
            <w:r w:rsidR="00BC0353" w:rsidRPr="00D901A4">
              <w:rPr>
                <w:rFonts w:ascii="Arial" w:hAnsi="Arial" w:cs="Arial"/>
                <w:bCs/>
              </w:rPr>
              <w:t>setting approach seemed realistic and would be likely to provide a better baseline.</w:t>
            </w:r>
          </w:p>
          <w:p w14:paraId="05F5D938" w14:textId="0705D874" w:rsidR="00BC0353" w:rsidRPr="00D901A4" w:rsidRDefault="00BC0353" w:rsidP="00BC0353">
            <w:pPr>
              <w:pStyle w:val="ListParagraph"/>
              <w:numPr>
                <w:ilvl w:val="0"/>
                <w:numId w:val="18"/>
              </w:numPr>
              <w:tabs>
                <w:tab w:val="left" w:pos="5347"/>
              </w:tabs>
              <w:rPr>
                <w:rFonts w:ascii="Arial" w:hAnsi="Arial" w:cs="Arial"/>
                <w:bCs/>
              </w:rPr>
            </w:pPr>
            <w:r w:rsidRPr="00D901A4">
              <w:rPr>
                <w:rFonts w:ascii="Arial" w:hAnsi="Arial" w:cs="Arial"/>
                <w:bCs/>
              </w:rPr>
              <w:t>Commented on the responsibility and accountability of Directors in working with business partners to scrutinise budgets, hold Directors to account and support them in decision</w:t>
            </w:r>
            <w:r w:rsidR="00AA7D30">
              <w:rPr>
                <w:rFonts w:ascii="Arial" w:hAnsi="Arial" w:cs="Arial"/>
                <w:bCs/>
              </w:rPr>
              <w:t>-</w:t>
            </w:r>
            <w:r w:rsidRPr="00D901A4">
              <w:rPr>
                <w:rFonts w:ascii="Arial" w:hAnsi="Arial" w:cs="Arial"/>
                <w:bCs/>
              </w:rPr>
              <w:t>making.</w:t>
            </w:r>
          </w:p>
          <w:p w14:paraId="439AFF67" w14:textId="77777777" w:rsidR="00BC0353" w:rsidRDefault="00BC0353" w:rsidP="00BC0353">
            <w:pPr>
              <w:pStyle w:val="ListParagraph"/>
              <w:numPr>
                <w:ilvl w:val="0"/>
                <w:numId w:val="18"/>
              </w:numPr>
              <w:tabs>
                <w:tab w:val="left" w:pos="5347"/>
              </w:tabs>
              <w:rPr>
                <w:rFonts w:ascii="Arial" w:hAnsi="Arial" w:cs="Arial"/>
                <w:bCs/>
              </w:rPr>
            </w:pPr>
            <w:r w:rsidRPr="00D901A4">
              <w:rPr>
                <w:rFonts w:ascii="Arial" w:hAnsi="Arial" w:cs="Arial"/>
                <w:bCs/>
              </w:rPr>
              <w:t>Endorsed the approach of Board seeing the Budget only once.</w:t>
            </w:r>
          </w:p>
          <w:p w14:paraId="0F7AA6A4" w14:textId="77777777" w:rsidR="00BC0353" w:rsidRPr="00D901A4" w:rsidRDefault="00BC0353" w:rsidP="004057BA">
            <w:pPr>
              <w:rPr>
                <w:rFonts w:asciiTheme="minorBidi" w:hAnsiTheme="minorBidi"/>
              </w:rPr>
            </w:pPr>
          </w:p>
        </w:tc>
      </w:tr>
      <w:tr w:rsidR="00BC0353" w:rsidRPr="00D901A4" w14:paraId="5B7C9383" w14:textId="77777777" w:rsidTr="008C531E">
        <w:trPr>
          <w:trHeight w:val="399"/>
        </w:trPr>
        <w:tc>
          <w:tcPr>
            <w:tcW w:w="1142" w:type="dxa"/>
          </w:tcPr>
          <w:p w14:paraId="5E5D84C4" w14:textId="66AC0FD9" w:rsidR="00BC0353" w:rsidRDefault="00BC0353" w:rsidP="00E2267D">
            <w:pPr>
              <w:tabs>
                <w:tab w:val="left" w:pos="5347"/>
              </w:tabs>
              <w:rPr>
                <w:rFonts w:ascii="Arial" w:hAnsi="Arial" w:cs="Arial"/>
              </w:rPr>
            </w:pPr>
            <w:r>
              <w:rPr>
                <w:rFonts w:ascii="Arial" w:hAnsi="Arial" w:cs="Arial"/>
              </w:rPr>
              <w:t>9.8</w:t>
            </w:r>
          </w:p>
        </w:tc>
        <w:tc>
          <w:tcPr>
            <w:tcW w:w="7884" w:type="dxa"/>
          </w:tcPr>
          <w:p w14:paraId="161780BF" w14:textId="1550DB4F" w:rsidR="00BC0353" w:rsidRDefault="00BC0353" w:rsidP="00BC0353">
            <w:pPr>
              <w:tabs>
                <w:tab w:val="left" w:pos="5347"/>
              </w:tabs>
              <w:rPr>
                <w:rFonts w:ascii="Arial" w:hAnsi="Arial" w:cs="Arial"/>
                <w:bCs/>
              </w:rPr>
            </w:pPr>
            <w:r>
              <w:rPr>
                <w:rFonts w:ascii="Arial" w:hAnsi="Arial" w:cs="Arial"/>
                <w:bCs/>
              </w:rPr>
              <w:t xml:space="preserve">The Board thanked the </w:t>
            </w:r>
            <w:r w:rsidRPr="00E2267D">
              <w:rPr>
                <w:rFonts w:ascii="Arial" w:hAnsi="Arial" w:cs="Arial"/>
                <w:bCs/>
              </w:rPr>
              <w:t>Head of Finance &amp; Commercial</w:t>
            </w:r>
            <w:r>
              <w:rPr>
                <w:rFonts w:ascii="Arial" w:hAnsi="Arial" w:cs="Arial"/>
                <w:bCs/>
              </w:rPr>
              <w:t xml:space="preserve"> for their update and noted the information in the report.</w:t>
            </w:r>
          </w:p>
          <w:p w14:paraId="44BB2B65" w14:textId="77777777" w:rsidR="00BC0353" w:rsidRPr="00D901A4" w:rsidRDefault="00BC0353" w:rsidP="00BC0353">
            <w:pPr>
              <w:tabs>
                <w:tab w:val="left" w:pos="5347"/>
              </w:tabs>
              <w:rPr>
                <w:rFonts w:ascii="Arial" w:hAnsi="Arial" w:cs="Arial"/>
                <w:bCs/>
              </w:rPr>
            </w:pPr>
          </w:p>
        </w:tc>
      </w:tr>
      <w:tr w:rsidR="00BC0353" w:rsidRPr="00D901A4" w14:paraId="0DA1DAED" w14:textId="77777777" w:rsidTr="008C531E">
        <w:trPr>
          <w:trHeight w:val="399"/>
        </w:trPr>
        <w:tc>
          <w:tcPr>
            <w:tcW w:w="1142" w:type="dxa"/>
          </w:tcPr>
          <w:p w14:paraId="2950FF90" w14:textId="58471516" w:rsidR="00BC0353" w:rsidRPr="00BC0353" w:rsidRDefault="00BC0353" w:rsidP="00E2267D">
            <w:pPr>
              <w:tabs>
                <w:tab w:val="left" w:pos="5347"/>
              </w:tabs>
              <w:rPr>
                <w:rFonts w:ascii="Arial" w:hAnsi="Arial" w:cs="Arial"/>
                <w:b/>
                <w:bCs/>
              </w:rPr>
            </w:pPr>
            <w:r w:rsidRPr="00BC0353">
              <w:rPr>
                <w:rFonts w:ascii="Arial" w:hAnsi="Arial" w:cs="Arial"/>
                <w:b/>
                <w:bCs/>
              </w:rPr>
              <w:t>10</w:t>
            </w:r>
          </w:p>
        </w:tc>
        <w:tc>
          <w:tcPr>
            <w:tcW w:w="7884" w:type="dxa"/>
          </w:tcPr>
          <w:p w14:paraId="4E9E7F99" w14:textId="77777777" w:rsidR="00BC0353" w:rsidRPr="00BC0353" w:rsidRDefault="00BC0353" w:rsidP="00BC0353">
            <w:pPr>
              <w:tabs>
                <w:tab w:val="left" w:pos="5347"/>
              </w:tabs>
              <w:rPr>
                <w:rFonts w:ascii="Arial" w:hAnsi="Arial" w:cs="Arial"/>
                <w:b/>
              </w:rPr>
            </w:pPr>
            <w:r w:rsidRPr="00BC0353">
              <w:rPr>
                <w:rFonts w:ascii="Arial" w:hAnsi="Arial" w:cs="Arial"/>
                <w:b/>
              </w:rPr>
              <w:t>Summing up and Close</w:t>
            </w:r>
          </w:p>
          <w:p w14:paraId="2368FC40" w14:textId="77777777" w:rsidR="00BC0353" w:rsidRPr="00D901A4" w:rsidRDefault="00BC0353" w:rsidP="00BC0353">
            <w:pPr>
              <w:tabs>
                <w:tab w:val="left" w:pos="5347"/>
              </w:tabs>
              <w:rPr>
                <w:rFonts w:ascii="Arial" w:hAnsi="Arial" w:cs="Arial"/>
                <w:bCs/>
              </w:rPr>
            </w:pPr>
          </w:p>
        </w:tc>
      </w:tr>
      <w:tr w:rsidR="00BC0353" w:rsidRPr="00D901A4" w14:paraId="58AAFA09" w14:textId="77777777" w:rsidTr="008C531E">
        <w:trPr>
          <w:trHeight w:val="399"/>
        </w:trPr>
        <w:tc>
          <w:tcPr>
            <w:tcW w:w="1142" w:type="dxa"/>
          </w:tcPr>
          <w:p w14:paraId="76174896" w14:textId="288DD96A" w:rsidR="00BC0353" w:rsidRDefault="00BC0353" w:rsidP="00E2267D">
            <w:pPr>
              <w:tabs>
                <w:tab w:val="left" w:pos="5347"/>
              </w:tabs>
              <w:rPr>
                <w:rFonts w:ascii="Arial" w:hAnsi="Arial" w:cs="Arial"/>
              </w:rPr>
            </w:pPr>
            <w:r>
              <w:rPr>
                <w:rFonts w:ascii="Arial" w:hAnsi="Arial" w:cs="Arial"/>
              </w:rPr>
              <w:t>10.1</w:t>
            </w:r>
          </w:p>
        </w:tc>
        <w:tc>
          <w:tcPr>
            <w:tcW w:w="7884" w:type="dxa"/>
          </w:tcPr>
          <w:p w14:paraId="5644F23B" w14:textId="77777777" w:rsidR="00BC0353" w:rsidRPr="00D901A4" w:rsidRDefault="00BC0353" w:rsidP="00BC0353">
            <w:pPr>
              <w:tabs>
                <w:tab w:val="left" w:pos="5347"/>
              </w:tabs>
              <w:rPr>
                <w:rFonts w:ascii="Arial" w:hAnsi="Arial" w:cs="Arial"/>
                <w:bCs/>
              </w:rPr>
            </w:pPr>
            <w:r w:rsidRPr="00D901A4">
              <w:rPr>
                <w:rFonts w:ascii="Arial" w:hAnsi="Arial" w:cs="Arial"/>
                <w:bCs/>
              </w:rPr>
              <w:t>In summing up the Chair highlighted that this would be his last formal Board meeting and reiterated his thanks to the Board.</w:t>
            </w:r>
          </w:p>
          <w:p w14:paraId="76488F36" w14:textId="77777777" w:rsidR="00BC0353" w:rsidRPr="00D901A4" w:rsidRDefault="00BC0353" w:rsidP="00BC0353">
            <w:pPr>
              <w:tabs>
                <w:tab w:val="left" w:pos="5347"/>
              </w:tabs>
              <w:rPr>
                <w:rFonts w:ascii="Arial" w:hAnsi="Arial" w:cs="Arial"/>
                <w:bCs/>
              </w:rPr>
            </w:pPr>
          </w:p>
        </w:tc>
      </w:tr>
      <w:tr w:rsidR="00BC0353" w:rsidRPr="00D901A4" w14:paraId="69897DBE" w14:textId="77777777" w:rsidTr="008C531E">
        <w:trPr>
          <w:trHeight w:val="399"/>
        </w:trPr>
        <w:tc>
          <w:tcPr>
            <w:tcW w:w="1142" w:type="dxa"/>
          </w:tcPr>
          <w:p w14:paraId="008EBE2D" w14:textId="77777777" w:rsidR="00BC0353" w:rsidRDefault="00BC0353" w:rsidP="00E2267D">
            <w:pPr>
              <w:tabs>
                <w:tab w:val="left" w:pos="5347"/>
              </w:tabs>
              <w:rPr>
                <w:rFonts w:ascii="Arial" w:hAnsi="Arial" w:cs="Arial"/>
              </w:rPr>
            </w:pPr>
          </w:p>
        </w:tc>
        <w:tc>
          <w:tcPr>
            <w:tcW w:w="7884" w:type="dxa"/>
          </w:tcPr>
          <w:p w14:paraId="3E0944AB" w14:textId="0B47CD4C" w:rsidR="00BC0353" w:rsidRDefault="00BC0353" w:rsidP="00BC0353">
            <w:pPr>
              <w:tabs>
                <w:tab w:val="left" w:pos="5347"/>
              </w:tabs>
              <w:rPr>
                <w:rFonts w:ascii="Arial" w:hAnsi="Arial" w:cs="Arial"/>
                <w:bCs/>
              </w:rPr>
            </w:pPr>
            <w:r w:rsidRPr="00D901A4">
              <w:rPr>
                <w:rFonts w:ascii="Arial" w:hAnsi="Arial" w:cs="Arial"/>
                <w:b/>
              </w:rPr>
              <w:t>Date and Location of Next Meeting:</w:t>
            </w:r>
            <w:r>
              <w:rPr>
                <w:rFonts w:ascii="Arial" w:hAnsi="Arial" w:cs="Arial"/>
                <w:b/>
              </w:rPr>
              <w:t xml:space="preserve"> </w:t>
            </w:r>
            <w:r w:rsidRPr="00D901A4">
              <w:rPr>
                <w:rFonts w:ascii="Arial" w:hAnsi="Arial" w:cs="Arial"/>
                <w:bCs/>
              </w:rPr>
              <w:t>6 and 7 February 2</w:t>
            </w:r>
            <w:r>
              <w:rPr>
                <w:rFonts w:ascii="Arial" w:hAnsi="Arial" w:cs="Arial"/>
                <w:bCs/>
              </w:rPr>
              <w:t>0</w:t>
            </w:r>
            <w:r w:rsidRPr="00D901A4">
              <w:rPr>
                <w:rFonts w:ascii="Arial" w:hAnsi="Arial" w:cs="Arial"/>
                <w:bCs/>
              </w:rPr>
              <w:t>24, ONR/AWE Joint Site Visit and Board meeting.</w:t>
            </w:r>
          </w:p>
          <w:p w14:paraId="7F227FB0" w14:textId="77777777" w:rsidR="00BC0353" w:rsidRPr="00D901A4" w:rsidRDefault="00BC0353" w:rsidP="00BC0353">
            <w:pPr>
              <w:tabs>
                <w:tab w:val="left" w:pos="5347"/>
              </w:tabs>
              <w:rPr>
                <w:rFonts w:ascii="Arial" w:hAnsi="Arial" w:cs="Arial"/>
                <w:bCs/>
              </w:rPr>
            </w:pPr>
          </w:p>
        </w:tc>
      </w:tr>
      <w:tr w:rsidR="00BC0353" w:rsidRPr="00D901A4" w14:paraId="6A4E8A17" w14:textId="77777777" w:rsidTr="008C531E">
        <w:trPr>
          <w:trHeight w:val="399"/>
        </w:trPr>
        <w:tc>
          <w:tcPr>
            <w:tcW w:w="1142" w:type="dxa"/>
          </w:tcPr>
          <w:p w14:paraId="5D647D92" w14:textId="77777777" w:rsidR="00BC0353" w:rsidRDefault="00BC0353" w:rsidP="00BC0353">
            <w:pPr>
              <w:tabs>
                <w:tab w:val="left" w:pos="5347"/>
              </w:tabs>
              <w:rPr>
                <w:rFonts w:ascii="Arial" w:hAnsi="Arial" w:cs="Arial"/>
              </w:rPr>
            </w:pPr>
          </w:p>
        </w:tc>
        <w:tc>
          <w:tcPr>
            <w:tcW w:w="7884" w:type="dxa"/>
          </w:tcPr>
          <w:p w14:paraId="7CD84CA8" w14:textId="35726D9B" w:rsidR="00BC0353" w:rsidRPr="00BC0353" w:rsidRDefault="00BC0353" w:rsidP="00BC0353">
            <w:pPr>
              <w:tabs>
                <w:tab w:val="left" w:pos="5347"/>
              </w:tabs>
              <w:rPr>
                <w:rFonts w:ascii="Arial" w:hAnsi="Arial" w:cs="Arial"/>
                <w:b/>
              </w:rPr>
            </w:pPr>
            <w:r w:rsidRPr="00BC0353">
              <w:rPr>
                <w:rFonts w:ascii="Arial" w:hAnsi="Arial" w:cs="Arial"/>
                <w:b/>
              </w:rPr>
              <w:t>Reports for Information</w:t>
            </w:r>
            <w:r>
              <w:rPr>
                <w:rFonts w:ascii="Arial" w:hAnsi="Arial" w:cs="Arial"/>
                <w:b/>
              </w:rPr>
              <w:t>:</w:t>
            </w:r>
          </w:p>
          <w:p w14:paraId="0E74BED2" w14:textId="77777777" w:rsidR="00BC0353" w:rsidRPr="00D901A4" w:rsidRDefault="00BC0353" w:rsidP="00BC0353">
            <w:pPr>
              <w:pStyle w:val="ListParagraph"/>
              <w:numPr>
                <w:ilvl w:val="3"/>
                <w:numId w:val="14"/>
              </w:numPr>
              <w:tabs>
                <w:tab w:val="left" w:pos="5347"/>
              </w:tabs>
              <w:rPr>
                <w:rFonts w:ascii="Arial" w:hAnsi="Arial" w:cs="Arial"/>
                <w:bCs/>
              </w:rPr>
            </w:pPr>
            <w:r w:rsidRPr="00D901A4">
              <w:rPr>
                <w:rFonts w:ascii="Arial" w:hAnsi="Arial" w:cs="Arial"/>
                <w:bCs/>
              </w:rPr>
              <w:t>Remuneration and Resilience Committee Update – 14 November 2023</w:t>
            </w:r>
          </w:p>
          <w:p w14:paraId="2FC9367D" w14:textId="77777777" w:rsidR="00BC0353" w:rsidRPr="00D901A4" w:rsidRDefault="00BC0353" w:rsidP="00BC0353">
            <w:pPr>
              <w:pStyle w:val="ListParagraph"/>
              <w:numPr>
                <w:ilvl w:val="3"/>
                <w:numId w:val="14"/>
              </w:numPr>
              <w:tabs>
                <w:tab w:val="left" w:pos="5347"/>
              </w:tabs>
              <w:rPr>
                <w:rFonts w:ascii="Arial" w:hAnsi="Arial" w:cs="Arial"/>
                <w:bCs/>
              </w:rPr>
            </w:pPr>
            <w:r w:rsidRPr="00D901A4">
              <w:rPr>
                <w:rFonts w:ascii="Arial" w:hAnsi="Arial" w:cs="Arial"/>
                <w:bCs/>
              </w:rPr>
              <w:t>ARAC Minutes- 12 and 21 September 2023</w:t>
            </w:r>
          </w:p>
          <w:p w14:paraId="553C15BA" w14:textId="77777777" w:rsidR="00BC0353" w:rsidRPr="00D901A4" w:rsidRDefault="00BC0353" w:rsidP="00BC0353">
            <w:pPr>
              <w:pStyle w:val="ListParagraph"/>
              <w:numPr>
                <w:ilvl w:val="3"/>
                <w:numId w:val="14"/>
              </w:numPr>
              <w:tabs>
                <w:tab w:val="left" w:pos="5347"/>
              </w:tabs>
              <w:rPr>
                <w:rFonts w:ascii="Arial" w:hAnsi="Arial" w:cs="Arial"/>
                <w:bCs/>
              </w:rPr>
            </w:pPr>
            <w:r w:rsidRPr="00D901A4">
              <w:rPr>
                <w:rFonts w:ascii="Arial" w:hAnsi="Arial" w:cs="Arial"/>
                <w:bCs/>
              </w:rPr>
              <w:t>Security Committee Minutes – 14 September 2023</w:t>
            </w:r>
          </w:p>
          <w:p w14:paraId="7D1A62DF" w14:textId="77777777" w:rsidR="00BC0353" w:rsidRPr="00D901A4" w:rsidRDefault="00BC0353" w:rsidP="00BC0353">
            <w:pPr>
              <w:pStyle w:val="ListParagraph"/>
              <w:numPr>
                <w:ilvl w:val="3"/>
                <w:numId w:val="14"/>
              </w:numPr>
              <w:tabs>
                <w:tab w:val="left" w:pos="5347"/>
              </w:tabs>
              <w:rPr>
                <w:rFonts w:ascii="Arial" w:hAnsi="Arial" w:cs="Arial"/>
                <w:bCs/>
              </w:rPr>
            </w:pPr>
            <w:r w:rsidRPr="00D901A4">
              <w:rPr>
                <w:rFonts w:ascii="Arial" w:hAnsi="Arial" w:cs="Arial"/>
                <w:bCs/>
              </w:rPr>
              <w:t>Board Forward Look</w:t>
            </w:r>
          </w:p>
          <w:p w14:paraId="78501133" w14:textId="77777777" w:rsidR="00BC0353" w:rsidRDefault="00BC0353" w:rsidP="00BC0353"/>
          <w:p w14:paraId="73324358" w14:textId="77777777" w:rsidR="00BC0353" w:rsidRPr="00D901A4" w:rsidRDefault="00BC0353" w:rsidP="00BC0353">
            <w:pPr>
              <w:pStyle w:val="ListParagraph"/>
              <w:tabs>
                <w:tab w:val="left" w:pos="352"/>
              </w:tabs>
              <w:ind w:left="0" w:right="-766"/>
              <w:jc w:val="both"/>
              <w:rPr>
                <w:rFonts w:ascii="Arial" w:hAnsi="Arial" w:cs="Arial"/>
                <w:b/>
              </w:rPr>
            </w:pPr>
          </w:p>
        </w:tc>
      </w:tr>
    </w:tbl>
    <w:p w14:paraId="6F3DFF3F" w14:textId="77777777" w:rsidR="00594AAC" w:rsidRPr="006D1A47" w:rsidRDefault="00594AAC" w:rsidP="00E2267D">
      <w:pPr>
        <w:tabs>
          <w:tab w:val="left" w:pos="5347"/>
        </w:tabs>
        <w:rPr>
          <w:rFonts w:ascii="Arial" w:hAnsi="Arial" w:cs="Arial"/>
          <w:bCs/>
        </w:rPr>
      </w:pPr>
    </w:p>
    <w:p w14:paraId="1E669BDF" w14:textId="77777777" w:rsidR="00594AAC" w:rsidRPr="006D1A47" w:rsidRDefault="00594AAC" w:rsidP="00594AAC">
      <w:pPr>
        <w:pStyle w:val="ListParagraph"/>
        <w:tabs>
          <w:tab w:val="left" w:pos="5347"/>
        </w:tabs>
        <w:rPr>
          <w:rFonts w:ascii="Arial" w:hAnsi="Arial" w:cs="Arial"/>
          <w:bCs/>
        </w:rPr>
      </w:pPr>
    </w:p>
    <w:p w14:paraId="17D5B78B" w14:textId="77777777" w:rsidR="00ED2ABE" w:rsidRPr="00D901A4" w:rsidRDefault="00ED2ABE" w:rsidP="00E2267D">
      <w:pPr>
        <w:tabs>
          <w:tab w:val="left" w:pos="5347"/>
        </w:tabs>
        <w:rPr>
          <w:rFonts w:ascii="Arial" w:hAnsi="Arial" w:cs="Arial"/>
          <w:bCs/>
        </w:rPr>
      </w:pPr>
    </w:p>
    <w:p w14:paraId="17DFFFBF" w14:textId="77777777" w:rsidR="00594AAC" w:rsidRPr="00D901A4" w:rsidRDefault="00594AAC" w:rsidP="00E2267D">
      <w:pPr>
        <w:tabs>
          <w:tab w:val="left" w:pos="5347"/>
        </w:tabs>
        <w:rPr>
          <w:rFonts w:ascii="Arial" w:hAnsi="Arial" w:cs="Arial"/>
          <w:bCs/>
        </w:rPr>
      </w:pPr>
    </w:p>
    <w:p w14:paraId="13EFEC25" w14:textId="77777777" w:rsidR="00594AAC" w:rsidRPr="00055734" w:rsidRDefault="00594AAC" w:rsidP="00594AAC">
      <w:pPr>
        <w:pStyle w:val="Default"/>
        <w:ind w:left="720"/>
        <w:rPr>
          <w:sz w:val="23"/>
          <w:szCs w:val="23"/>
        </w:rPr>
      </w:pPr>
    </w:p>
    <w:p w14:paraId="1D612ADD" w14:textId="77777777" w:rsidR="00594AAC" w:rsidRDefault="00594AAC" w:rsidP="00E2267D">
      <w:pPr>
        <w:rPr>
          <w:rFonts w:asciiTheme="minorBidi" w:hAnsiTheme="minorBidi"/>
        </w:rPr>
      </w:pPr>
    </w:p>
    <w:p w14:paraId="2F508A05" w14:textId="77777777" w:rsidR="00594AAC" w:rsidRPr="00E2267D" w:rsidRDefault="00594AAC" w:rsidP="00594AAC">
      <w:pPr>
        <w:pStyle w:val="ListParagraph"/>
        <w:rPr>
          <w:rFonts w:asciiTheme="minorBidi" w:hAnsiTheme="minorBidi"/>
        </w:rPr>
      </w:pPr>
    </w:p>
    <w:p w14:paraId="040DC32D" w14:textId="77777777" w:rsidR="00594AAC" w:rsidRPr="00D901A4" w:rsidRDefault="00594AAC" w:rsidP="00E2267D">
      <w:pPr>
        <w:tabs>
          <w:tab w:val="left" w:pos="5347"/>
        </w:tabs>
        <w:rPr>
          <w:rFonts w:ascii="Arial" w:hAnsi="Arial" w:cs="Arial"/>
          <w:b/>
        </w:rPr>
      </w:pPr>
    </w:p>
    <w:p w14:paraId="41BBDE88" w14:textId="77777777" w:rsidR="00594AAC" w:rsidRPr="00E2267D" w:rsidRDefault="00594AAC" w:rsidP="00594AAC">
      <w:pPr>
        <w:pStyle w:val="ListParagraph"/>
        <w:tabs>
          <w:tab w:val="left" w:pos="5347"/>
        </w:tabs>
        <w:ind w:left="1352"/>
        <w:rPr>
          <w:rFonts w:ascii="Arial" w:hAnsi="Arial" w:cs="Arial"/>
          <w:bCs/>
        </w:rPr>
      </w:pPr>
    </w:p>
    <w:p w14:paraId="154BE142" w14:textId="77777777" w:rsidR="00844B1C" w:rsidRPr="00D901A4" w:rsidRDefault="00844B1C" w:rsidP="00E2267D">
      <w:pPr>
        <w:tabs>
          <w:tab w:val="left" w:pos="5347"/>
        </w:tabs>
        <w:rPr>
          <w:rFonts w:ascii="Arial" w:hAnsi="Arial" w:cs="Arial"/>
          <w:bCs/>
        </w:rPr>
      </w:pPr>
    </w:p>
    <w:p w14:paraId="4FB944BC" w14:textId="77777777" w:rsidR="00594AAC" w:rsidRPr="00D901A4" w:rsidRDefault="00594AAC" w:rsidP="00E2267D">
      <w:pPr>
        <w:tabs>
          <w:tab w:val="left" w:pos="5347"/>
        </w:tabs>
        <w:rPr>
          <w:rFonts w:ascii="Arial" w:hAnsi="Arial" w:cs="Arial"/>
          <w:bCs/>
        </w:rPr>
      </w:pPr>
    </w:p>
    <w:p w14:paraId="3A418AF7" w14:textId="77777777" w:rsidR="00C10B8A" w:rsidRDefault="00C10B8A" w:rsidP="00E2267D"/>
    <w:sectPr w:rsidR="00C10B8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0D8E" w14:textId="77777777" w:rsidR="00B85C0C" w:rsidRDefault="00B85C0C" w:rsidP="00C10B8A">
      <w:r>
        <w:separator/>
      </w:r>
    </w:p>
  </w:endnote>
  <w:endnote w:type="continuationSeparator" w:id="0">
    <w:p w14:paraId="5A40BDCB" w14:textId="77777777" w:rsidR="00B85C0C" w:rsidRDefault="00B85C0C" w:rsidP="00C1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269D" w14:textId="35656D34" w:rsidR="00C10B8A" w:rsidRDefault="00C10B8A">
    <w:pPr>
      <w:pStyle w:val="Footer"/>
    </w:pPr>
    <w:r>
      <w:rPr>
        <w:noProof/>
      </w:rPr>
      <mc:AlternateContent>
        <mc:Choice Requires="wps">
          <w:drawing>
            <wp:anchor distT="0" distB="0" distL="0" distR="0" simplePos="0" relativeHeight="251659264" behindDoc="0" locked="0" layoutInCell="1" allowOverlap="1" wp14:anchorId="0F1B3F3B" wp14:editId="4005CBC1">
              <wp:simplePos x="635" y="635"/>
              <wp:positionH relativeFrom="page">
                <wp:align>center</wp:align>
              </wp:positionH>
              <wp:positionV relativeFrom="page">
                <wp:align>bottom</wp:align>
              </wp:positionV>
              <wp:extent cx="443865" cy="443865"/>
              <wp:effectExtent l="0" t="0" r="15240"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6CC4F" w14:textId="0CD8C4C0"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1B3F3B"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06CC4F" w14:textId="0CD8C4C0"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2305891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63501E1" w14:textId="713B72A5" w:rsidR="00BC0353" w:rsidRPr="00BC0353" w:rsidRDefault="00BC0353">
            <w:pPr>
              <w:pStyle w:val="Footer"/>
              <w:jc w:val="right"/>
              <w:rPr>
                <w:rFonts w:ascii="Arial" w:hAnsi="Arial" w:cs="Arial"/>
              </w:rPr>
            </w:pPr>
            <w:r w:rsidRPr="00BC0353">
              <w:rPr>
                <w:rFonts w:ascii="Arial" w:hAnsi="Arial" w:cs="Arial"/>
              </w:rPr>
              <w:t xml:space="preserve">Page </w:t>
            </w:r>
            <w:r w:rsidRPr="00BC0353">
              <w:rPr>
                <w:rFonts w:ascii="Arial" w:hAnsi="Arial" w:cs="Arial"/>
              </w:rPr>
              <w:fldChar w:fldCharType="begin"/>
            </w:r>
            <w:r w:rsidRPr="00BC0353">
              <w:rPr>
                <w:rFonts w:ascii="Arial" w:hAnsi="Arial" w:cs="Arial"/>
              </w:rPr>
              <w:instrText>PAGE</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r w:rsidRPr="00BC0353">
              <w:rPr>
                <w:rFonts w:ascii="Arial" w:hAnsi="Arial" w:cs="Arial"/>
              </w:rPr>
              <w:t xml:space="preserve"> of </w:t>
            </w:r>
            <w:r w:rsidRPr="00BC0353">
              <w:rPr>
                <w:rFonts w:ascii="Arial" w:hAnsi="Arial" w:cs="Arial"/>
              </w:rPr>
              <w:fldChar w:fldCharType="begin"/>
            </w:r>
            <w:r w:rsidRPr="00BC0353">
              <w:rPr>
                <w:rFonts w:ascii="Arial" w:hAnsi="Arial" w:cs="Arial"/>
              </w:rPr>
              <w:instrText>NUMPAGES</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p>
        </w:sdtContent>
      </w:sdt>
    </w:sdtContent>
  </w:sdt>
  <w:p w14:paraId="3F0B1E1B" w14:textId="7B4D0E92" w:rsidR="00C10B8A" w:rsidRDefault="00C10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7849" w14:textId="0B2CD9B4" w:rsidR="00C10B8A" w:rsidRDefault="00C10B8A">
    <w:pPr>
      <w:pStyle w:val="Footer"/>
    </w:pPr>
    <w:r>
      <w:rPr>
        <w:noProof/>
      </w:rPr>
      <mc:AlternateContent>
        <mc:Choice Requires="wps">
          <w:drawing>
            <wp:anchor distT="0" distB="0" distL="0" distR="0" simplePos="0" relativeHeight="251658240" behindDoc="0" locked="0" layoutInCell="1" allowOverlap="1" wp14:anchorId="52A87487" wp14:editId="34B7FFC3">
              <wp:simplePos x="635" y="635"/>
              <wp:positionH relativeFrom="page">
                <wp:align>center</wp:align>
              </wp:positionH>
              <wp:positionV relativeFrom="page">
                <wp:align>bottom</wp:align>
              </wp:positionV>
              <wp:extent cx="443865" cy="443865"/>
              <wp:effectExtent l="0" t="0" r="1524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770D8" w14:textId="4710E742"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87487" id="_x0000_t202" coordsize="21600,21600" o:spt="202" path="m,l,21600r21600,l21600,xe">
              <v:stroke joinstyle="miter"/>
              <v:path gradientshapeok="t" o:connecttype="rect"/>
            </v:shapetype>
            <v:shape id="Text Box 4" o:spid="_x0000_s1030" type="#_x0000_t202" alt="OFFICIAL-SENSITIVE"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FD770D8" w14:textId="4710E742"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DAC4" w14:textId="77777777" w:rsidR="00B85C0C" w:rsidRDefault="00B85C0C" w:rsidP="00C10B8A">
      <w:r>
        <w:separator/>
      </w:r>
    </w:p>
  </w:footnote>
  <w:footnote w:type="continuationSeparator" w:id="0">
    <w:p w14:paraId="07CF89AB" w14:textId="77777777" w:rsidR="00B85C0C" w:rsidRDefault="00B85C0C" w:rsidP="00C1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96F9" w14:textId="23D24DC3" w:rsidR="00C10B8A" w:rsidRDefault="00C10B8A">
    <w:pPr>
      <w:pStyle w:val="Header"/>
    </w:pPr>
    <w:r>
      <w:rPr>
        <w:noProof/>
      </w:rPr>
      <mc:AlternateContent>
        <mc:Choice Requires="wps">
          <w:drawing>
            <wp:anchor distT="0" distB="0" distL="0" distR="0" simplePos="0" relativeHeight="251656192" behindDoc="0" locked="0" layoutInCell="1" allowOverlap="1" wp14:anchorId="55FE02B0" wp14:editId="3B9CFEC4">
              <wp:simplePos x="635" y="635"/>
              <wp:positionH relativeFrom="page">
                <wp:align>center</wp:align>
              </wp:positionH>
              <wp:positionV relativeFrom="page">
                <wp:align>top</wp:align>
              </wp:positionV>
              <wp:extent cx="443865" cy="443865"/>
              <wp:effectExtent l="0" t="0" r="15240" b="444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7CDAB" w14:textId="0CC9E57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FE02B0"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9E7CDAB" w14:textId="0CC9E57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3324" w14:textId="1100272F" w:rsidR="00C10B8A" w:rsidRDefault="00C10B8A">
    <w:pPr>
      <w:pStyle w:val="Header"/>
    </w:pPr>
    <w:r>
      <w:rPr>
        <w:noProof/>
      </w:rPr>
      <mc:AlternateContent>
        <mc:Choice Requires="wps">
          <w:drawing>
            <wp:anchor distT="0" distB="0" distL="0" distR="0" simplePos="0" relativeHeight="251657216" behindDoc="0" locked="0" layoutInCell="1" allowOverlap="1" wp14:anchorId="00648781" wp14:editId="03E39AF3">
              <wp:simplePos x="914400" y="452438"/>
              <wp:positionH relativeFrom="page">
                <wp:align>center</wp:align>
              </wp:positionH>
              <wp:positionV relativeFrom="page">
                <wp:align>top</wp:align>
              </wp:positionV>
              <wp:extent cx="443865" cy="443865"/>
              <wp:effectExtent l="0" t="0" r="15240" b="444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9366A" w14:textId="4EF9703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48781"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89366A" w14:textId="4EF9703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397F" w14:textId="4FC302D0" w:rsidR="00C10B8A" w:rsidRDefault="00C10B8A">
    <w:pPr>
      <w:pStyle w:val="Header"/>
    </w:pPr>
    <w:r>
      <w:rPr>
        <w:noProof/>
      </w:rPr>
      <mc:AlternateContent>
        <mc:Choice Requires="wps">
          <w:drawing>
            <wp:anchor distT="0" distB="0" distL="0" distR="0" simplePos="0" relativeHeight="251655168" behindDoc="0" locked="0" layoutInCell="1" allowOverlap="1" wp14:anchorId="074FC3FA" wp14:editId="2C6BC675">
              <wp:simplePos x="635" y="635"/>
              <wp:positionH relativeFrom="page">
                <wp:align>center</wp:align>
              </wp:positionH>
              <wp:positionV relativeFrom="page">
                <wp:align>top</wp:align>
              </wp:positionV>
              <wp:extent cx="443865" cy="443865"/>
              <wp:effectExtent l="0" t="0" r="15240" b="444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88CFC" w14:textId="0B25544D"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FC3FA" id="_x0000_t202" coordsize="21600,21600" o:spt="202" path="m,l,21600r21600,l21600,xe">
              <v:stroke joinstyle="miter"/>
              <v:path gradientshapeok="t" o:connecttype="rect"/>
            </v:shapetype>
            <v:shape id="Text Box 1" o:spid="_x0000_s1029" type="#_x0000_t202" alt="OFFICIAL-SENSITIVE"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7588CFC" w14:textId="0B25544D"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8D7"/>
    <w:multiLevelType w:val="hybridMultilevel"/>
    <w:tmpl w:val="10A25446"/>
    <w:lvl w:ilvl="0" w:tplc="08090001">
      <w:start w:val="1"/>
      <w:numFmt w:val="bullet"/>
      <w:lvlText w:val=""/>
      <w:lvlJc w:val="left"/>
      <w:pPr>
        <w:ind w:left="720" w:hanging="360"/>
      </w:pPr>
      <w:rPr>
        <w:rFonts w:ascii="Symbol" w:hAnsi="Symbol" w:hint="default"/>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858F2"/>
    <w:multiLevelType w:val="hybridMultilevel"/>
    <w:tmpl w:val="25C8B58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74F1F"/>
    <w:multiLevelType w:val="hybridMultilevel"/>
    <w:tmpl w:val="E6AC0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802EFD"/>
    <w:multiLevelType w:val="hybridMultilevel"/>
    <w:tmpl w:val="7FE04554"/>
    <w:lvl w:ilvl="0" w:tplc="A7C851AA">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76F9D"/>
    <w:multiLevelType w:val="hybridMultilevel"/>
    <w:tmpl w:val="E748310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30542"/>
    <w:multiLevelType w:val="hybridMultilevel"/>
    <w:tmpl w:val="071E433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50557"/>
    <w:multiLevelType w:val="hybridMultilevel"/>
    <w:tmpl w:val="20E41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4D2012"/>
    <w:multiLevelType w:val="hybridMultilevel"/>
    <w:tmpl w:val="67A0D896"/>
    <w:lvl w:ilvl="0" w:tplc="AB86A91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9925D6"/>
    <w:multiLevelType w:val="hybridMultilevel"/>
    <w:tmpl w:val="1F0EA09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F0D08"/>
    <w:multiLevelType w:val="hybridMultilevel"/>
    <w:tmpl w:val="4746A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84DB2"/>
    <w:multiLevelType w:val="hybridMultilevel"/>
    <w:tmpl w:val="3B38333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81988"/>
    <w:multiLevelType w:val="hybridMultilevel"/>
    <w:tmpl w:val="12C09486"/>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800" w:hanging="180"/>
      </w:pPr>
    </w:lvl>
    <w:lvl w:ilvl="3" w:tplc="4E103694">
      <w:numFmt w:val="bullet"/>
      <w:lvlText w:val="•"/>
      <w:lvlJc w:val="left"/>
      <w:pPr>
        <w:ind w:left="2520" w:hanging="360"/>
      </w:pPr>
      <w:rPr>
        <w:rFonts w:ascii="Arial" w:eastAsia="Times New Roman" w:hAnsi="Aria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C5675C"/>
    <w:multiLevelType w:val="hybridMultilevel"/>
    <w:tmpl w:val="A8682AE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7A4D7E"/>
    <w:multiLevelType w:val="hybridMultilevel"/>
    <w:tmpl w:val="CEA665A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14152"/>
    <w:multiLevelType w:val="hybridMultilevel"/>
    <w:tmpl w:val="B13E3C9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70587A"/>
    <w:multiLevelType w:val="hybridMultilevel"/>
    <w:tmpl w:val="CCD2476C"/>
    <w:lvl w:ilvl="0" w:tplc="0809000F">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F5F2F"/>
    <w:multiLevelType w:val="hybridMultilevel"/>
    <w:tmpl w:val="ABE86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9933A0"/>
    <w:multiLevelType w:val="hybridMultilevel"/>
    <w:tmpl w:val="7B366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0605D6"/>
    <w:multiLevelType w:val="hybridMultilevel"/>
    <w:tmpl w:val="3F46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3204A"/>
    <w:multiLevelType w:val="hybridMultilevel"/>
    <w:tmpl w:val="D9787F02"/>
    <w:lvl w:ilvl="0" w:tplc="A7C851AA">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917D7"/>
    <w:multiLevelType w:val="hybridMultilevel"/>
    <w:tmpl w:val="DC3C87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179BB"/>
    <w:multiLevelType w:val="multilevel"/>
    <w:tmpl w:val="B0D8C93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741264"/>
    <w:multiLevelType w:val="hybridMultilevel"/>
    <w:tmpl w:val="9A5AE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DC5F8B"/>
    <w:multiLevelType w:val="hybridMultilevel"/>
    <w:tmpl w:val="ABDA3C5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D14BE"/>
    <w:multiLevelType w:val="hybridMultilevel"/>
    <w:tmpl w:val="981E5AB4"/>
    <w:lvl w:ilvl="0" w:tplc="0809001B">
      <w:start w:val="1"/>
      <w:numFmt w:val="lowerRoman"/>
      <w:lvlText w:val="%1."/>
      <w:lvlJc w:val="righ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5" w15:restartNumberingAfterBreak="0">
    <w:nsid w:val="76EB6006"/>
    <w:multiLevelType w:val="hybridMultilevel"/>
    <w:tmpl w:val="B708428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786024">
    <w:abstractNumId w:val="11"/>
  </w:num>
  <w:num w:numId="2" w16cid:durableId="1036925755">
    <w:abstractNumId w:val="2"/>
  </w:num>
  <w:num w:numId="3" w16cid:durableId="129252734">
    <w:abstractNumId w:val="18"/>
  </w:num>
  <w:num w:numId="4" w16cid:durableId="1527058604">
    <w:abstractNumId w:val="16"/>
  </w:num>
  <w:num w:numId="5" w16cid:durableId="593441256">
    <w:abstractNumId w:val="17"/>
  </w:num>
  <w:num w:numId="6" w16cid:durableId="1850757897">
    <w:abstractNumId w:val="13"/>
  </w:num>
  <w:num w:numId="7" w16cid:durableId="1524124316">
    <w:abstractNumId w:val="6"/>
  </w:num>
  <w:num w:numId="8" w16cid:durableId="118689201">
    <w:abstractNumId w:val="22"/>
  </w:num>
  <w:num w:numId="9" w16cid:durableId="2060861375">
    <w:abstractNumId w:val="3"/>
  </w:num>
  <w:num w:numId="10" w16cid:durableId="1825583592">
    <w:abstractNumId w:val="19"/>
  </w:num>
  <w:num w:numId="11" w16cid:durableId="1773550377">
    <w:abstractNumId w:val="21"/>
  </w:num>
  <w:num w:numId="12" w16cid:durableId="1363241901">
    <w:abstractNumId w:val="8"/>
  </w:num>
  <w:num w:numId="13" w16cid:durableId="233902401">
    <w:abstractNumId w:val="10"/>
  </w:num>
  <w:num w:numId="14" w16cid:durableId="829489329">
    <w:abstractNumId w:val="9"/>
  </w:num>
  <w:num w:numId="15" w16cid:durableId="606698223">
    <w:abstractNumId w:val="15"/>
  </w:num>
  <w:num w:numId="16" w16cid:durableId="624308293">
    <w:abstractNumId w:val="25"/>
  </w:num>
  <w:num w:numId="17" w16cid:durableId="1121612714">
    <w:abstractNumId w:val="4"/>
  </w:num>
  <w:num w:numId="18" w16cid:durableId="1941528201">
    <w:abstractNumId w:val="1"/>
  </w:num>
  <w:num w:numId="19" w16cid:durableId="1220240889">
    <w:abstractNumId w:val="20"/>
  </w:num>
  <w:num w:numId="20" w16cid:durableId="1411736567">
    <w:abstractNumId w:val="24"/>
  </w:num>
  <w:num w:numId="21" w16cid:durableId="1202481140">
    <w:abstractNumId w:val="12"/>
  </w:num>
  <w:num w:numId="22" w16cid:durableId="1525437034">
    <w:abstractNumId w:val="5"/>
  </w:num>
  <w:num w:numId="23" w16cid:durableId="977539624">
    <w:abstractNumId w:val="23"/>
  </w:num>
  <w:num w:numId="24" w16cid:durableId="1315455999">
    <w:abstractNumId w:val="14"/>
  </w:num>
  <w:num w:numId="25" w16cid:durableId="1669359218">
    <w:abstractNumId w:val="7"/>
  </w:num>
  <w:num w:numId="26" w16cid:durableId="52987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A"/>
    <w:rsid w:val="00000D1C"/>
    <w:rsid w:val="00003EBF"/>
    <w:rsid w:val="00005498"/>
    <w:rsid w:val="00006A53"/>
    <w:rsid w:val="000073A6"/>
    <w:rsid w:val="00013410"/>
    <w:rsid w:val="000211D8"/>
    <w:rsid w:val="0002151F"/>
    <w:rsid w:val="0002247F"/>
    <w:rsid w:val="00023CC8"/>
    <w:rsid w:val="00027A66"/>
    <w:rsid w:val="00035E57"/>
    <w:rsid w:val="00045031"/>
    <w:rsid w:val="00046692"/>
    <w:rsid w:val="00055734"/>
    <w:rsid w:val="000603E8"/>
    <w:rsid w:val="00073235"/>
    <w:rsid w:val="000824B2"/>
    <w:rsid w:val="0008483B"/>
    <w:rsid w:val="0008552D"/>
    <w:rsid w:val="0008553C"/>
    <w:rsid w:val="00090767"/>
    <w:rsid w:val="00090D63"/>
    <w:rsid w:val="00091E65"/>
    <w:rsid w:val="0009448A"/>
    <w:rsid w:val="00097CC9"/>
    <w:rsid w:val="000A08BB"/>
    <w:rsid w:val="000A2FBA"/>
    <w:rsid w:val="000A5AC2"/>
    <w:rsid w:val="000A72A1"/>
    <w:rsid w:val="000A7DDF"/>
    <w:rsid w:val="000B3714"/>
    <w:rsid w:val="000C02F7"/>
    <w:rsid w:val="000C4570"/>
    <w:rsid w:val="000C76B7"/>
    <w:rsid w:val="000D135B"/>
    <w:rsid w:val="000E14DE"/>
    <w:rsid w:val="000F1866"/>
    <w:rsid w:val="000F1D7D"/>
    <w:rsid w:val="00107CA5"/>
    <w:rsid w:val="001135A7"/>
    <w:rsid w:val="001234E8"/>
    <w:rsid w:val="0013331D"/>
    <w:rsid w:val="00135F77"/>
    <w:rsid w:val="00137D46"/>
    <w:rsid w:val="00144568"/>
    <w:rsid w:val="00147D35"/>
    <w:rsid w:val="00150B75"/>
    <w:rsid w:val="00150DB3"/>
    <w:rsid w:val="00153404"/>
    <w:rsid w:val="00154F15"/>
    <w:rsid w:val="0016109C"/>
    <w:rsid w:val="00161BE7"/>
    <w:rsid w:val="00162755"/>
    <w:rsid w:val="00164248"/>
    <w:rsid w:val="001676B9"/>
    <w:rsid w:val="00167ADF"/>
    <w:rsid w:val="001719C9"/>
    <w:rsid w:val="00171FD8"/>
    <w:rsid w:val="0017625E"/>
    <w:rsid w:val="00186FA5"/>
    <w:rsid w:val="00194C9D"/>
    <w:rsid w:val="00197E61"/>
    <w:rsid w:val="001A17A9"/>
    <w:rsid w:val="001C1143"/>
    <w:rsid w:val="001C434F"/>
    <w:rsid w:val="001D1526"/>
    <w:rsid w:val="001D1EAE"/>
    <w:rsid w:val="001E119B"/>
    <w:rsid w:val="001E76A6"/>
    <w:rsid w:val="00210CB5"/>
    <w:rsid w:val="00212F92"/>
    <w:rsid w:val="0022299D"/>
    <w:rsid w:val="002362E6"/>
    <w:rsid w:val="00242956"/>
    <w:rsid w:val="0024614D"/>
    <w:rsid w:val="00251A65"/>
    <w:rsid w:val="002541B9"/>
    <w:rsid w:val="0026585E"/>
    <w:rsid w:val="00265CD3"/>
    <w:rsid w:val="002753F6"/>
    <w:rsid w:val="002766FD"/>
    <w:rsid w:val="00282A83"/>
    <w:rsid w:val="00283A37"/>
    <w:rsid w:val="00286416"/>
    <w:rsid w:val="0028698D"/>
    <w:rsid w:val="00291E04"/>
    <w:rsid w:val="00293416"/>
    <w:rsid w:val="002A7EE3"/>
    <w:rsid w:val="002B3DDE"/>
    <w:rsid w:val="002C150C"/>
    <w:rsid w:val="002D130D"/>
    <w:rsid w:val="002D256C"/>
    <w:rsid w:val="002E4DE8"/>
    <w:rsid w:val="002E7046"/>
    <w:rsid w:val="002F0AC5"/>
    <w:rsid w:val="002F41C4"/>
    <w:rsid w:val="0030638A"/>
    <w:rsid w:val="003075F0"/>
    <w:rsid w:val="00317AFB"/>
    <w:rsid w:val="00322489"/>
    <w:rsid w:val="00322D1E"/>
    <w:rsid w:val="00324418"/>
    <w:rsid w:val="003321B8"/>
    <w:rsid w:val="003414CA"/>
    <w:rsid w:val="003432CF"/>
    <w:rsid w:val="00351232"/>
    <w:rsid w:val="00364935"/>
    <w:rsid w:val="00365C82"/>
    <w:rsid w:val="00366148"/>
    <w:rsid w:val="00372DFB"/>
    <w:rsid w:val="00374795"/>
    <w:rsid w:val="00377355"/>
    <w:rsid w:val="0038622C"/>
    <w:rsid w:val="00387201"/>
    <w:rsid w:val="00387805"/>
    <w:rsid w:val="00387E16"/>
    <w:rsid w:val="00395B9C"/>
    <w:rsid w:val="00396EA7"/>
    <w:rsid w:val="003A1153"/>
    <w:rsid w:val="003A354F"/>
    <w:rsid w:val="003B4866"/>
    <w:rsid w:val="003B770C"/>
    <w:rsid w:val="003D44EF"/>
    <w:rsid w:val="003D5097"/>
    <w:rsid w:val="004051A8"/>
    <w:rsid w:val="004057BA"/>
    <w:rsid w:val="00405855"/>
    <w:rsid w:val="004071CD"/>
    <w:rsid w:val="00407FFB"/>
    <w:rsid w:val="00411C2B"/>
    <w:rsid w:val="00413F3C"/>
    <w:rsid w:val="00414160"/>
    <w:rsid w:val="00415837"/>
    <w:rsid w:val="00415F72"/>
    <w:rsid w:val="00424315"/>
    <w:rsid w:val="004300E9"/>
    <w:rsid w:val="00431D18"/>
    <w:rsid w:val="00433C00"/>
    <w:rsid w:val="00436D66"/>
    <w:rsid w:val="004401D4"/>
    <w:rsid w:val="00447E90"/>
    <w:rsid w:val="00457F35"/>
    <w:rsid w:val="00462AAC"/>
    <w:rsid w:val="004644C6"/>
    <w:rsid w:val="00467635"/>
    <w:rsid w:val="004758BF"/>
    <w:rsid w:val="00477114"/>
    <w:rsid w:val="00487C67"/>
    <w:rsid w:val="0049019E"/>
    <w:rsid w:val="00492271"/>
    <w:rsid w:val="00497A08"/>
    <w:rsid w:val="004A08DE"/>
    <w:rsid w:val="004A27D4"/>
    <w:rsid w:val="004A37C0"/>
    <w:rsid w:val="004A46AC"/>
    <w:rsid w:val="004A612A"/>
    <w:rsid w:val="004B1069"/>
    <w:rsid w:val="004B4DD7"/>
    <w:rsid w:val="004B7725"/>
    <w:rsid w:val="004C274F"/>
    <w:rsid w:val="004C6B4E"/>
    <w:rsid w:val="004E2D23"/>
    <w:rsid w:val="004E3B50"/>
    <w:rsid w:val="004F260E"/>
    <w:rsid w:val="004F3024"/>
    <w:rsid w:val="004F549C"/>
    <w:rsid w:val="004F78F8"/>
    <w:rsid w:val="00500283"/>
    <w:rsid w:val="00514D6E"/>
    <w:rsid w:val="00515E93"/>
    <w:rsid w:val="00521BE3"/>
    <w:rsid w:val="00526305"/>
    <w:rsid w:val="005329C4"/>
    <w:rsid w:val="00537528"/>
    <w:rsid w:val="00537BFF"/>
    <w:rsid w:val="00552545"/>
    <w:rsid w:val="0055443F"/>
    <w:rsid w:val="005615F5"/>
    <w:rsid w:val="00563AC0"/>
    <w:rsid w:val="00577C74"/>
    <w:rsid w:val="00580473"/>
    <w:rsid w:val="00594AAC"/>
    <w:rsid w:val="005A0B9A"/>
    <w:rsid w:val="005A28FB"/>
    <w:rsid w:val="005A37FE"/>
    <w:rsid w:val="005A75B8"/>
    <w:rsid w:val="005B2FA8"/>
    <w:rsid w:val="005B4DFC"/>
    <w:rsid w:val="005C4295"/>
    <w:rsid w:val="005C5B0C"/>
    <w:rsid w:val="005C7821"/>
    <w:rsid w:val="005E5090"/>
    <w:rsid w:val="005E5268"/>
    <w:rsid w:val="005E69E0"/>
    <w:rsid w:val="005F77D4"/>
    <w:rsid w:val="0060036F"/>
    <w:rsid w:val="00606009"/>
    <w:rsid w:val="00607F82"/>
    <w:rsid w:val="00613ACC"/>
    <w:rsid w:val="00614D97"/>
    <w:rsid w:val="00615056"/>
    <w:rsid w:val="00615518"/>
    <w:rsid w:val="006250E5"/>
    <w:rsid w:val="00626C85"/>
    <w:rsid w:val="00627A08"/>
    <w:rsid w:val="00643CBE"/>
    <w:rsid w:val="006443DE"/>
    <w:rsid w:val="006457EA"/>
    <w:rsid w:val="00645AF7"/>
    <w:rsid w:val="00645E0D"/>
    <w:rsid w:val="0064780D"/>
    <w:rsid w:val="00651CCF"/>
    <w:rsid w:val="0065244F"/>
    <w:rsid w:val="00657B1A"/>
    <w:rsid w:val="006600AC"/>
    <w:rsid w:val="006629FF"/>
    <w:rsid w:val="00681E6F"/>
    <w:rsid w:val="00691961"/>
    <w:rsid w:val="006A38D4"/>
    <w:rsid w:val="006A4E22"/>
    <w:rsid w:val="006B254B"/>
    <w:rsid w:val="006D032F"/>
    <w:rsid w:val="006D1A47"/>
    <w:rsid w:val="006D2414"/>
    <w:rsid w:val="006E09FD"/>
    <w:rsid w:val="006E0B25"/>
    <w:rsid w:val="006E4094"/>
    <w:rsid w:val="006E7AA8"/>
    <w:rsid w:val="006F04B8"/>
    <w:rsid w:val="006F4FAF"/>
    <w:rsid w:val="006F531B"/>
    <w:rsid w:val="006F5A7E"/>
    <w:rsid w:val="006F5E9F"/>
    <w:rsid w:val="006F7F61"/>
    <w:rsid w:val="00700530"/>
    <w:rsid w:val="00700DB0"/>
    <w:rsid w:val="00705B21"/>
    <w:rsid w:val="00710102"/>
    <w:rsid w:val="00710AE1"/>
    <w:rsid w:val="00711CE9"/>
    <w:rsid w:val="007133E4"/>
    <w:rsid w:val="00715E07"/>
    <w:rsid w:val="007274D0"/>
    <w:rsid w:val="00731668"/>
    <w:rsid w:val="0073328E"/>
    <w:rsid w:val="007407B4"/>
    <w:rsid w:val="00744773"/>
    <w:rsid w:val="00746591"/>
    <w:rsid w:val="007515D3"/>
    <w:rsid w:val="00753BAB"/>
    <w:rsid w:val="0076338D"/>
    <w:rsid w:val="00763A4B"/>
    <w:rsid w:val="00763EBA"/>
    <w:rsid w:val="007640DB"/>
    <w:rsid w:val="007707B8"/>
    <w:rsid w:val="00774E66"/>
    <w:rsid w:val="00782D05"/>
    <w:rsid w:val="00786B30"/>
    <w:rsid w:val="00786CF1"/>
    <w:rsid w:val="00791B87"/>
    <w:rsid w:val="00791E33"/>
    <w:rsid w:val="00793634"/>
    <w:rsid w:val="00793A00"/>
    <w:rsid w:val="007966F1"/>
    <w:rsid w:val="00797B43"/>
    <w:rsid w:val="007A34FE"/>
    <w:rsid w:val="007A3A94"/>
    <w:rsid w:val="007A7916"/>
    <w:rsid w:val="007B3444"/>
    <w:rsid w:val="007B5AAC"/>
    <w:rsid w:val="007C6776"/>
    <w:rsid w:val="007D0114"/>
    <w:rsid w:val="007D443D"/>
    <w:rsid w:val="007D69A5"/>
    <w:rsid w:val="007E5421"/>
    <w:rsid w:val="007E5B02"/>
    <w:rsid w:val="007F1DC4"/>
    <w:rsid w:val="007F22AE"/>
    <w:rsid w:val="007F2A6E"/>
    <w:rsid w:val="007F4A81"/>
    <w:rsid w:val="007F736C"/>
    <w:rsid w:val="00803D00"/>
    <w:rsid w:val="00804302"/>
    <w:rsid w:val="00806AEC"/>
    <w:rsid w:val="00807358"/>
    <w:rsid w:val="00810619"/>
    <w:rsid w:val="0081226D"/>
    <w:rsid w:val="00812B6E"/>
    <w:rsid w:val="00815624"/>
    <w:rsid w:val="0081576A"/>
    <w:rsid w:val="00816750"/>
    <w:rsid w:val="008202EB"/>
    <w:rsid w:val="0082136D"/>
    <w:rsid w:val="008242B3"/>
    <w:rsid w:val="00825DF6"/>
    <w:rsid w:val="00826C00"/>
    <w:rsid w:val="00831D01"/>
    <w:rsid w:val="00835A7C"/>
    <w:rsid w:val="00844B1C"/>
    <w:rsid w:val="008471F1"/>
    <w:rsid w:val="0084771A"/>
    <w:rsid w:val="00852F64"/>
    <w:rsid w:val="00857DD0"/>
    <w:rsid w:val="00870611"/>
    <w:rsid w:val="00881903"/>
    <w:rsid w:val="00886B06"/>
    <w:rsid w:val="00887F46"/>
    <w:rsid w:val="008921AB"/>
    <w:rsid w:val="00892D9A"/>
    <w:rsid w:val="00896243"/>
    <w:rsid w:val="00896E83"/>
    <w:rsid w:val="008A2DCD"/>
    <w:rsid w:val="008C27C7"/>
    <w:rsid w:val="008C3684"/>
    <w:rsid w:val="008C3D72"/>
    <w:rsid w:val="008C40DC"/>
    <w:rsid w:val="008C531E"/>
    <w:rsid w:val="008C533F"/>
    <w:rsid w:val="008C5B64"/>
    <w:rsid w:val="008D33F1"/>
    <w:rsid w:val="008E0790"/>
    <w:rsid w:val="008E4229"/>
    <w:rsid w:val="008E5BB0"/>
    <w:rsid w:val="008F2A0C"/>
    <w:rsid w:val="008F3DD8"/>
    <w:rsid w:val="009076F0"/>
    <w:rsid w:val="00917A67"/>
    <w:rsid w:val="00922B3E"/>
    <w:rsid w:val="0092322C"/>
    <w:rsid w:val="00932877"/>
    <w:rsid w:val="00937D12"/>
    <w:rsid w:val="0094001E"/>
    <w:rsid w:val="0094373A"/>
    <w:rsid w:val="0094481E"/>
    <w:rsid w:val="00961166"/>
    <w:rsid w:val="0096375F"/>
    <w:rsid w:val="00966EB1"/>
    <w:rsid w:val="009677EB"/>
    <w:rsid w:val="0097193F"/>
    <w:rsid w:val="00975C18"/>
    <w:rsid w:val="00986A25"/>
    <w:rsid w:val="00986E69"/>
    <w:rsid w:val="009972FE"/>
    <w:rsid w:val="0099736A"/>
    <w:rsid w:val="009A20F9"/>
    <w:rsid w:val="009A29E6"/>
    <w:rsid w:val="009A3C43"/>
    <w:rsid w:val="009A7FCF"/>
    <w:rsid w:val="009B7C2F"/>
    <w:rsid w:val="009C36AA"/>
    <w:rsid w:val="009C5B3B"/>
    <w:rsid w:val="009C6EE5"/>
    <w:rsid w:val="009D2886"/>
    <w:rsid w:val="009D29B0"/>
    <w:rsid w:val="009D60E7"/>
    <w:rsid w:val="009E1152"/>
    <w:rsid w:val="009E2220"/>
    <w:rsid w:val="009F0244"/>
    <w:rsid w:val="009F04FA"/>
    <w:rsid w:val="009F2BFC"/>
    <w:rsid w:val="009F79E3"/>
    <w:rsid w:val="00A03732"/>
    <w:rsid w:val="00A0738D"/>
    <w:rsid w:val="00A13F86"/>
    <w:rsid w:val="00A15345"/>
    <w:rsid w:val="00A220AB"/>
    <w:rsid w:val="00A23147"/>
    <w:rsid w:val="00A259C2"/>
    <w:rsid w:val="00A25B04"/>
    <w:rsid w:val="00A3250B"/>
    <w:rsid w:val="00A45C14"/>
    <w:rsid w:val="00A45D58"/>
    <w:rsid w:val="00A50E6F"/>
    <w:rsid w:val="00A565DA"/>
    <w:rsid w:val="00A56AEC"/>
    <w:rsid w:val="00A6214E"/>
    <w:rsid w:val="00A665DF"/>
    <w:rsid w:val="00A705EB"/>
    <w:rsid w:val="00A72F90"/>
    <w:rsid w:val="00A77490"/>
    <w:rsid w:val="00A779D3"/>
    <w:rsid w:val="00A8542F"/>
    <w:rsid w:val="00A8755E"/>
    <w:rsid w:val="00A94CE3"/>
    <w:rsid w:val="00A96B16"/>
    <w:rsid w:val="00AA071C"/>
    <w:rsid w:val="00AA52E2"/>
    <w:rsid w:val="00AA57F1"/>
    <w:rsid w:val="00AA7D30"/>
    <w:rsid w:val="00AC231E"/>
    <w:rsid w:val="00AC353A"/>
    <w:rsid w:val="00AD4119"/>
    <w:rsid w:val="00AD4506"/>
    <w:rsid w:val="00AD4E80"/>
    <w:rsid w:val="00AD5EF4"/>
    <w:rsid w:val="00AD6632"/>
    <w:rsid w:val="00AD6CB9"/>
    <w:rsid w:val="00AD7D3C"/>
    <w:rsid w:val="00AE0121"/>
    <w:rsid w:val="00B06A2B"/>
    <w:rsid w:val="00B172EB"/>
    <w:rsid w:val="00B20282"/>
    <w:rsid w:val="00B26ACF"/>
    <w:rsid w:val="00B31391"/>
    <w:rsid w:val="00B315F4"/>
    <w:rsid w:val="00B407E2"/>
    <w:rsid w:val="00B43CD8"/>
    <w:rsid w:val="00B525CF"/>
    <w:rsid w:val="00B639E0"/>
    <w:rsid w:val="00B71FF0"/>
    <w:rsid w:val="00B83FC0"/>
    <w:rsid w:val="00B85C0C"/>
    <w:rsid w:val="00B86C8B"/>
    <w:rsid w:val="00B873A1"/>
    <w:rsid w:val="00B90373"/>
    <w:rsid w:val="00B96946"/>
    <w:rsid w:val="00BA3D59"/>
    <w:rsid w:val="00BB2076"/>
    <w:rsid w:val="00BC0353"/>
    <w:rsid w:val="00BC5AE0"/>
    <w:rsid w:val="00BC61A2"/>
    <w:rsid w:val="00BD12CD"/>
    <w:rsid w:val="00BD7485"/>
    <w:rsid w:val="00BE756E"/>
    <w:rsid w:val="00BF6FCD"/>
    <w:rsid w:val="00C020B5"/>
    <w:rsid w:val="00C06D5C"/>
    <w:rsid w:val="00C079A4"/>
    <w:rsid w:val="00C10B8A"/>
    <w:rsid w:val="00C13654"/>
    <w:rsid w:val="00C207FD"/>
    <w:rsid w:val="00C223AC"/>
    <w:rsid w:val="00C23FFD"/>
    <w:rsid w:val="00C243E5"/>
    <w:rsid w:val="00C246FF"/>
    <w:rsid w:val="00C26E1B"/>
    <w:rsid w:val="00C34C58"/>
    <w:rsid w:val="00C40375"/>
    <w:rsid w:val="00C44521"/>
    <w:rsid w:val="00C449BB"/>
    <w:rsid w:val="00C51BDD"/>
    <w:rsid w:val="00C558C2"/>
    <w:rsid w:val="00C60985"/>
    <w:rsid w:val="00C656F8"/>
    <w:rsid w:val="00C6655E"/>
    <w:rsid w:val="00C70C30"/>
    <w:rsid w:val="00C77699"/>
    <w:rsid w:val="00C800C8"/>
    <w:rsid w:val="00C858CA"/>
    <w:rsid w:val="00C94E8A"/>
    <w:rsid w:val="00C97012"/>
    <w:rsid w:val="00CA0D7A"/>
    <w:rsid w:val="00CA278F"/>
    <w:rsid w:val="00CB0962"/>
    <w:rsid w:val="00CB6ABB"/>
    <w:rsid w:val="00CC0896"/>
    <w:rsid w:val="00CC2169"/>
    <w:rsid w:val="00CC72B0"/>
    <w:rsid w:val="00CC7350"/>
    <w:rsid w:val="00CC7D15"/>
    <w:rsid w:val="00CD21B0"/>
    <w:rsid w:val="00CE00BC"/>
    <w:rsid w:val="00CE0FC1"/>
    <w:rsid w:val="00CE17A4"/>
    <w:rsid w:val="00CE2E44"/>
    <w:rsid w:val="00CF0622"/>
    <w:rsid w:val="00CF77CC"/>
    <w:rsid w:val="00D05EA1"/>
    <w:rsid w:val="00D25332"/>
    <w:rsid w:val="00D25FD4"/>
    <w:rsid w:val="00D31907"/>
    <w:rsid w:val="00D33C0F"/>
    <w:rsid w:val="00D36A88"/>
    <w:rsid w:val="00D36CFC"/>
    <w:rsid w:val="00D4220F"/>
    <w:rsid w:val="00D46EB2"/>
    <w:rsid w:val="00D52A27"/>
    <w:rsid w:val="00D533DA"/>
    <w:rsid w:val="00D53E07"/>
    <w:rsid w:val="00D558EE"/>
    <w:rsid w:val="00D62B89"/>
    <w:rsid w:val="00D65C6D"/>
    <w:rsid w:val="00D71C7C"/>
    <w:rsid w:val="00D86A72"/>
    <w:rsid w:val="00D901A4"/>
    <w:rsid w:val="00DA0874"/>
    <w:rsid w:val="00DA09C6"/>
    <w:rsid w:val="00DB117F"/>
    <w:rsid w:val="00DB4F10"/>
    <w:rsid w:val="00DC66DF"/>
    <w:rsid w:val="00DC7080"/>
    <w:rsid w:val="00DD0FBF"/>
    <w:rsid w:val="00DD5965"/>
    <w:rsid w:val="00E01935"/>
    <w:rsid w:val="00E041E4"/>
    <w:rsid w:val="00E07BAC"/>
    <w:rsid w:val="00E16FCA"/>
    <w:rsid w:val="00E2267D"/>
    <w:rsid w:val="00E2706B"/>
    <w:rsid w:val="00E2732F"/>
    <w:rsid w:val="00E364F1"/>
    <w:rsid w:val="00E36D3B"/>
    <w:rsid w:val="00E47CE1"/>
    <w:rsid w:val="00E51F75"/>
    <w:rsid w:val="00E53E5D"/>
    <w:rsid w:val="00E65343"/>
    <w:rsid w:val="00E71823"/>
    <w:rsid w:val="00E74C27"/>
    <w:rsid w:val="00E84012"/>
    <w:rsid w:val="00E9352E"/>
    <w:rsid w:val="00EA080E"/>
    <w:rsid w:val="00EA425F"/>
    <w:rsid w:val="00EA5399"/>
    <w:rsid w:val="00EA6B54"/>
    <w:rsid w:val="00EA705B"/>
    <w:rsid w:val="00EB3AED"/>
    <w:rsid w:val="00EC23BC"/>
    <w:rsid w:val="00EC3199"/>
    <w:rsid w:val="00EC535B"/>
    <w:rsid w:val="00EC7F21"/>
    <w:rsid w:val="00ED2ABE"/>
    <w:rsid w:val="00ED331C"/>
    <w:rsid w:val="00ED4066"/>
    <w:rsid w:val="00ED7152"/>
    <w:rsid w:val="00ED76B8"/>
    <w:rsid w:val="00EE144A"/>
    <w:rsid w:val="00EE26CF"/>
    <w:rsid w:val="00EE7082"/>
    <w:rsid w:val="00EF052B"/>
    <w:rsid w:val="00F029BD"/>
    <w:rsid w:val="00F1178A"/>
    <w:rsid w:val="00F21EDC"/>
    <w:rsid w:val="00F2244F"/>
    <w:rsid w:val="00F2301F"/>
    <w:rsid w:val="00F3147E"/>
    <w:rsid w:val="00F53F56"/>
    <w:rsid w:val="00F55625"/>
    <w:rsid w:val="00F56D8A"/>
    <w:rsid w:val="00F57508"/>
    <w:rsid w:val="00F61067"/>
    <w:rsid w:val="00F618F5"/>
    <w:rsid w:val="00F70EAA"/>
    <w:rsid w:val="00F729D5"/>
    <w:rsid w:val="00F81FA7"/>
    <w:rsid w:val="00F8312D"/>
    <w:rsid w:val="00F83DB0"/>
    <w:rsid w:val="00F86CB2"/>
    <w:rsid w:val="00FB035D"/>
    <w:rsid w:val="00FB4702"/>
    <w:rsid w:val="00FC7E07"/>
    <w:rsid w:val="00FD1C4C"/>
    <w:rsid w:val="00FD35F7"/>
    <w:rsid w:val="00FD6943"/>
    <w:rsid w:val="00FE0B10"/>
    <w:rsid w:val="00FF0F0B"/>
    <w:rsid w:val="00FF30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1561"/>
  <w15:chartTrackingRefBased/>
  <w15:docId w15:val="{91C7BE04-CF5B-4F16-8746-351BA3CC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C10B8A"/>
    <w:pPr>
      <w:ind w:left="720"/>
      <w:contextualSpacing/>
    </w:pPr>
  </w:style>
  <w:style w:type="paragraph" w:styleId="Header">
    <w:name w:val="header"/>
    <w:basedOn w:val="Normal"/>
    <w:link w:val="HeaderChar"/>
    <w:uiPriority w:val="99"/>
    <w:unhideWhenUsed/>
    <w:rsid w:val="00C10B8A"/>
    <w:pPr>
      <w:tabs>
        <w:tab w:val="center" w:pos="4513"/>
        <w:tab w:val="right" w:pos="9026"/>
      </w:tabs>
    </w:pPr>
  </w:style>
  <w:style w:type="character" w:customStyle="1" w:styleId="HeaderChar">
    <w:name w:val="Header Char"/>
    <w:basedOn w:val="DefaultParagraphFont"/>
    <w:link w:val="Header"/>
    <w:uiPriority w:val="99"/>
    <w:rsid w:val="00C10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0B8A"/>
    <w:pPr>
      <w:tabs>
        <w:tab w:val="center" w:pos="4513"/>
        <w:tab w:val="right" w:pos="9026"/>
      </w:tabs>
    </w:pPr>
  </w:style>
  <w:style w:type="character" w:customStyle="1" w:styleId="FooterChar">
    <w:name w:val="Footer Char"/>
    <w:basedOn w:val="DefaultParagraphFont"/>
    <w:link w:val="Footer"/>
    <w:uiPriority w:val="99"/>
    <w:rsid w:val="00C10B8A"/>
    <w:rPr>
      <w:rFonts w:ascii="Times New Roman" w:eastAsia="Times New Roman" w:hAnsi="Times New Roman" w:cs="Times New Roman"/>
      <w:sz w:val="24"/>
      <w:szCs w:val="24"/>
      <w:lang w:eastAsia="en-GB"/>
    </w:rPr>
  </w:style>
  <w:style w:type="paragraph" w:customStyle="1" w:styleId="Default">
    <w:name w:val="Default"/>
    <w:rsid w:val="00EE144A"/>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A5AC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rsid w:val="001D1EAE"/>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BC035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2220"/>
    <w:rPr>
      <w:sz w:val="16"/>
      <w:szCs w:val="16"/>
    </w:rPr>
  </w:style>
  <w:style w:type="paragraph" w:styleId="CommentText">
    <w:name w:val="annotation text"/>
    <w:basedOn w:val="Normal"/>
    <w:link w:val="CommentTextChar"/>
    <w:uiPriority w:val="99"/>
    <w:unhideWhenUsed/>
    <w:rsid w:val="009E2220"/>
    <w:rPr>
      <w:sz w:val="20"/>
      <w:szCs w:val="20"/>
    </w:rPr>
  </w:style>
  <w:style w:type="character" w:customStyle="1" w:styleId="CommentTextChar">
    <w:name w:val="Comment Text Char"/>
    <w:basedOn w:val="DefaultParagraphFont"/>
    <w:link w:val="CommentText"/>
    <w:uiPriority w:val="99"/>
    <w:rsid w:val="009E22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2220"/>
    <w:rPr>
      <w:b/>
      <w:bCs/>
    </w:rPr>
  </w:style>
  <w:style w:type="character" w:customStyle="1" w:styleId="CommentSubjectChar">
    <w:name w:val="Comment Subject Char"/>
    <w:basedOn w:val="CommentTextChar"/>
    <w:link w:val="CommentSubject"/>
    <w:uiPriority w:val="99"/>
    <w:semiHidden/>
    <w:rsid w:val="009E2220"/>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E5AD3CB1CC224CB4A4DF3437446800" ma:contentTypeVersion="13" ma:contentTypeDescription="Create a new document." ma:contentTypeScope="" ma:versionID="a442458c3cbf985781a5ae9de1288861">
  <xsd:schema xmlns:xsd="http://www.w3.org/2001/XMLSchema" xmlns:xs="http://www.w3.org/2001/XMLSchema" xmlns:p="http://schemas.microsoft.com/office/2006/metadata/properties" xmlns:ns3="414ea89c-ca96-4949-aa90-2d348f3c10a6" xmlns:ns4="99cf10d6-f0d5-49a2-aec7-ae16244133bc" targetNamespace="http://schemas.microsoft.com/office/2006/metadata/properties" ma:root="true" ma:fieldsID="c21c849242a1062d490eaec73c46241a" ns3:_="" ns4:_="">
    <xsd:import namespace="414ea89c-ca96-4949-aa90-2d348f3c10a6"/>
    <xsd:import namespace="99cf10d6-f0d5-49a2-aec7-ae16244133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ea89c-ca96-4949-aa90-2d348f3c10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f10d6-f0d5-49a2-aec7-ae16244133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BC07F-F865-46E3-8E43-074087E824AF}">
  <ds:schemaRefs>
    <ds:schemaRef ds:uri="http://schemas.openxmlformats.org/officeDocument/2006/bibliography"/>
  </ds:schemaRefs>
</ds:datastoreItem>
</file>

<file path=customXml/itemProps2.xml><?xml version="1.0" encoding="utf-8"?>
<ds:datastoreItem xmlns:ds="http://schemas.openxmlformats.org/officeDocument/2006/customXml" ds:itemID="{119B82DE-27DA-4163-8BE3-B85714CF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ea89c-ca96-4949-aa90-2d348f3c10a6"/>
    <ds:schemaRef ds:uri="99cf10d6-f0d5-49a2-aec7-ae1624413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A78A6-7063-4D90-9A3F-E7CAE7A77662}">
  <ds:schemaRefs>
    <ds:schemaRef ds:uri="http://schemas.microsoft.com/sharepoint/v3/contenttype/forms"/>
  </ds:schemaRefs>
</ds:datastoreItem>
</file>

<file path=customXml/itemProps4.xml><?xml version="1.0" encoding="utf-8"?>
<ds:datastoreItem xmlns:ds="http://schemas.openxmlformats.org/officeDocument/2006/customXml" ds:itemID="{DFA3BB01-09D8-4C7F-B9F0-E003E415D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12720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Misri</dc:creator>
  <cp:keywords/>
  <dc:description/>
  <cp:lastModifiedBy>Nidhi Misri</cp:lastModifiedBy>
  <cp:revision>2</cp:revision>
  <dcterms:created xsi:type="dcterms:W3CDTF">2024-04-22T12:40:00Z</dcterms:created>
  <dcterms:modified xsi:type="dcterms:W3CDTF">2024-04-22T12:40:00Z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MSIP_Label_30823a3f-2604-4291-9498-507e39d8fe41_Enabled">
    <vt:lpwstr>true</vt:lpwstr>
  </property>
  <property fmtid="{D5CDD505-2E9C-101B-9397-08002B2CF9AE}" pid="9" name="MSIP_Label_30823a3f-2604-4291-9498-507e39d8fe41_SetDate">
    <vt:lpwstr>2023-12-05T15:44:34Z</vt:lpwstr>
  </property>
  <property fmtid="{D5CDD505-2E9C-101B-9397-08002B2CF9AE}" pid="10" name="MSIP_Label_30823a3f-2604-4291-9498-507e39d8fe41_Method">
    <vt:lpwstr>Privileged</vt:lpwstr>
  </property>
  <property fmtid="{D5CDD505-2E9C-101B-9397-08002B2CF9AE}" pid="11" name="MSIP_Label_30823a3f-2604-4291-9498-507e39d8fe41_Name">
    <vt:lpwstr>OFFICIAL-SENSITIVE - OFFICIAL-SENSITIVE</vt:lpwstr>
  </property>
  <property fmtid="{D5CDD505-2E9C-101B-9397-08002B2CF9AE}" pid="12" name="MSIP_Label_30823a3f-2604-4291-9498-507e39d8fe41_SiteId">
    <vt:lpwstr>742775df-8077-48d6-81d0-1e82a1f52cb8</vt:lpwstr>
  </property>
  <property fmtid="{D5CDD505-2E9C-101B-9397-08002B2CF9AE}" pid="13" name="MSIP_Label_30823a3f-2604-4291-9498-507e39d8fe41_ActionId">
    <vt:lpwstr>29f50b93-1b7d-45fd-90e3-f4594467d4a5</vt:lpwstr>
  </property>
  <property fmtid="{D5CDD505-2E9C-101B-9397-08002B2CF9AE}" pid="14" name="MSIP_Label_30823a3f-2604-4291-9498-507e39d8fe41_ContentBits">
    <vt:lpwstr>3</vt:lpwstr>
  </property>
  <property fmtid="{D5CDD505-2E9C-101B-9397-08002B2CF9AE}" pid="15" name="ContentTypeId">
    <vt:lpwstr>0x01010056E5AD3CB1CC224CB4A4DF3437446800</vt:lpwstr>
  </property>
</Properties>
</file>