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2D53" w14:textId="342CEB97" w:rsidR="008B334C" w:rsidRPr="00EC6831" w:rsidRDefault="008B334C" w:rsidP="007261C2">
      <w:pPr>
        <w:jc w:val="center"/>
        <w:rPr>
          <w:rFonts w:asciiTheme="minorBidi" w:hAnsiTheme="minorBidi"/>
          <w:b/>
          <w:bCs/>
          <w:sz w:val="40"/>
          <w:szCs w:val="40"/>
        </w:rPr>
      </w:pPr>
      <w:bookmarkStart w:id="0" w:name="_Hlk169534485"/>
      <w:r>
        <w:rPr>
          <w:rFonts w:asciiTheme="minorBidi" w:hAnsiTheme="minorBidi"/>
          <w:b/>
          <w:bCs/>
          <w:sz w:val="40"/>
          <w:szCs w:val="40"/>
        </w:rPr>
        <w:t>Asesiad o Gynllun Generig</w:t>
      </w:r>
    </w:p>
    <w:p w14:paraId="3683CE2C" w14:textId="54674822" w:rsidR="008B334C" w:rsidRPr="00EC6831" w:rsidRDefault="008B334C" w:rsidP="00293091">
      <w:pPr>
        <w:jc w:val="center"/>
        <w:rPr>
          <w:rFonts w:asciiTheme="minorBidi" w:hAnsiTheme="minorBidi"/>
          <w:b/>
          <w:bCs/>
          <w:sz w:val="40"/>
          <w:szCs w:val="40"/>
        </w:rPr>
      </w:pPr>
      <w:r>
        <w:rPr>
          <w:rFonts w:asciiTheme="minorBidi" w:hAnsiTheme="minorBidi"/>
          <w:b/>
          <w:bCs/>
          <w:sz w:val="40"/>
          <w:szCs w:val="40"/>
        </w:rPr>
        <w:t>Datganiad Cam 2</w:t>
      </w:r>
    </w:p>
    <w:p w14:paraId="1082CAFA" w14:textId="2D2C27AA" w:rsidR="008B334C" w:rsidRPr="00EC6831" w:rsidRDefault="008B334C" w:rsidP="00293091">
      <w:pPr>
        <w:jc w:val="center"/>
        <w:rPr>
          <w:rFonts w:asciiTheme="minorBidi" w:hAnsiTheme="minorBidi"/>
          <w:b/>
          <w:bCs/>
          <w:sz w:val="40"/>
          <w:szCs w:val="40"/>
        </w:rPr>
      </w:pPr>
      <w:r>
        <w:rPr>
          <w:rFonts w:asciiTheme="minorBidi" w:hAnsiTheme="minorBidi"/>
          <w:b/>
          <w:bCs/>
          <w:sz w:val="40"/>
          <w:szCs w:val="40"/>
        </w:rPr>
        <w:t>ar gyfer SMR Rolls-Royce</w:t>
      </w:r>
    </w:p>
    <w:bookmarkEnd w:id="0"/>
    <w:p w14:paraId="78204F00" w14:textId="77777777" w:rsidR="008B334C" w:rsidRDefault="008B334C" w:rsidP="0032466C">
      <w:pPr>
        <w:rPr>
          <w:rFonts w:asciiTheme="minorBidi" w:hAnsiTheme="minorBidi"/>
          <w:sz w:val="24"/>
          <w:szCs w:val="24"/>
        </w:rPr>
      </w:pPr>
    </w:p>
    <w:p w14:paraId="0CD5D466" w14:textId="466A53DE" w:rsidR="008B334C" w:rsidRDefault="008B334C" w:rsidP="0032466C">
      <w:pPr>
        <w:rPr>
          <w:rFonts w:asciiTheme="minorBidi" w:hAnsiTheme="minorBidi"/>
          <w:sz w:val="24"/>
          <w:szCs w:val="24"/>
        </w:rPr>
      </w:pPr>
      <w:r>
        <w:rPr>
          <w:rFonts w:asciiTheme="minorBidi" w:hAnsiTheme="minorBidi"/>
          <w:sz w:val="24"/>
          <w:szCs w:val="24"/>
        </w:rPr>
        <w:t xml:space="preserve">Mae'r Swyddfa Reoleiddio Niwclear (ONR), yn unol â'r ddogfen 'New Nuclear Power Plants: Generic Design Assessment Guidance to Requesting Parties’, ONR-GDA-GD-006 Adolygiad 0, Hydref 2019, yn rhoi drwy hyn Ddatganiad Cam 2 Asesiad Cynllun Generig (GDA) i Rolls-Royce SMR ar gyfer cynllun generig Rolls-Royce SMR. </w:t>
      </w:r>
    </w:p>
    <w:p w14:paraId="51A986C9" w14:textId="618B4C4F" w:rsidR="008B334C" w:rsidRPr="002D7FB8" w:rsidRDefault="008B334C" w:rsidP="00A02B51">
      <w:pPr>
        <w:rPr>
          <w:rFonts w:asciiTheme="minorBidi" w:hAnsiTheme="minorBidi"/>
          <w:sz w:val="24"/>
          <w:szCs w:val="24"/>
        </w:rPr>
      </w:pPr>
      <w:r>
        <w:rPr>
          <w:rFonts w:asciiTheme="minorBidi" w:hAnsiTheme="minorBidi"/>
          <w:sz w:val="24"/>
          <w:szCs w:val="24"/>
        </w:rPr>
        <w:t>Ar sail yr asesiad hyd yn hyn, nid yw ONR wedi nodi unrhyw faterion arwyddocaol a allai atal ONR rhag cyflwyno Cadarnhad o Asesiad o Gynllun (DAC), a allai atal ONR rhag rhoi caniatâd i adeiladu gorsaf ynni niwclear yn seiliedig ar y cynllun hwnnw, neu a allai fod mewn gwrthdrawiad â'r polisi llywodraeth perthnasol;</w:t>
      </w:r>
    </w:p>
    <w:p w14:paraId="534942C9" w14:textId="0D0D9FEF" w:rsidR="008B334C" w:rsidRPr="002D7FB8" w:rsidRDefault="008B334C" w:rsidP="002D7FB8">
      <w:pPr>
        <w:rPr>
          <w:rFonts w:asciiTheme="minorBidi" w:hAnsiTheme="minorBidi"/>
          <w:sz w:val="24"/>
          <w:szCs w:val="24"/>
        </w:rPr>
      </w:pPr>
      <w:r>
        <w:rPr>
          <w:rFonts w:asciiTheme="minorBidi" w:hAnsiTheme="minorBidi"/>
          <w:sz w:val="24"/>
          <w:szCs w:val="24"/>
        </w:rPr>
        <w:t>O ran y feirniadaeth hon:</w:t>
      </w:r>
    </w:p>
    <w:p w14:paraId="36B1EE3A" w14:textId="79C263B8" w:rsidR="008B334C" w:rsidRPr="00721B79" w:rsidRDefault="008B334C" w:rsidP="00293500">
      <w:pPr>
        <w:pStyle w:val="ListParagraph"/>
        <w:numPr>
          <w:ilvl w:val="0"/>
          <w:numId w:val="7"/>
        </w:numPr>
        <w:ind w:hanging="720"/>
        <w:rPr>
          <w:rFonts w:asciiTheme="minorBidi" w:hAnsiTheme="minorBidi"/>
          <w:sz w:val="24"/>
          <w:szCs w:val="24"/>
        </w:rPr>
      </w:pPr>
      <w:r>
        <w:rPr>
          <w:rFonts w:asciiTheme="minorBidi" w:hAnsiTheme="minorBidi"/>
          <w:sz w:val="24"/>
          <w:szCs w:val="24"/>
        </w:rPr>
        <w:t>mae wedi ei rhoi ar sail yr asesiad a ddisgrifir yn yr Atodiad. Mae'r canfyddiadau rheoliadol a wnaed yn ystod Cam 2 wedi eu seilio ar y cwmpas a'r aeddfedrwydd cynllun a ddisgrifir yn yr Atodiad;</w:t>
      </w:r>
    </w:p>
    <w:p w14:paraId="04D77D19" w14:textId="1DE8BD95" w:rsidR="008B334C" w:rsidRPr="00721B79" w:rsidRDefault="008B334C" w:rsidP="00293500">
      <w:pPr>
        <w:pStyle w:val="ListParagraph"/>
        <w:numPr>
          <w:ilvl w:val="0"/>
          <w:numId w:val="7"/>
        </w:numPr>
        <w:ind w:hanging="720"/>
        <w:rPr>
          <w:rFonts w:asciiTheme="minorBidi" w:hAnsiTheme="minorBidi"/>
          <w:sz w:val="24"/>
          <w:szCs w:val="24"/>
        </w:rPr>
      </w:pPr>
      <w:r>
        <w:rPr>
          <w:rFonts w:asciiTheme="minorBidi" w:hAnsiTheme="minorBidi"/>
          <w:sz w:val="24"/>
          <w:szCs w:val="24"/>
        </w:rPr>
        <w:t xml:space="preserve">nid yw'n gwarantu y bydd ONR yn rhoi caniatâd i adeiladu gorsaf ynni ar sail cynllun SMR Rolls-Royce ar safle penodol ym Mhrydain. Mae'n rhaid i unrhyw sefydliad sy'n bwriadu adeiladu a gweithredu SMR Rolls-Royce ym Mhrydain gael trwydded safle niwclear gan ONR yn gyntaf, fel sy'n ofynnol o dan Ddeddf Safleoedd Niwclear 1965; ac </w:t>
      </w:r>
    </w:p>
    <w:p w14:paraId="066566F0" w14:textId="11BE2502" w:rsidR="008B334C" w:rsidRPr="00721B79" w:rsidRDefault="008B334C" w:rsidP="00293500">
      <w:pPr>
        <w:pStyle w:val="ListParagraph"/>
        <w:numPr>
          <w:ilvl w:val="0"/>
          <w:numId w:val="7"/>
        </w:numPr>
        <w:ind w:hanging="720"/>
        <w:rPr>
          <w:rFonts w:asciiTheme="minorBidi" w:hAnsiTheme="minorBidi"/>
          <w:sz w:val="24"/>
          <w:szCs w:val="24"/>
        </w:rPr>
      </w:pPr>
      <w:r>
        <w:rPr>
          <w:rFonts w:asciiTheme="minorBidi" w:hAnsiTheme="minorBidi"/>
          <w:sz w:val="24"/>
          <w:szCs w:val="24"/>
        </w:rPr>
        <w:t xml:space="preserve">mae'n ddilys am gyfnod o ddeng mlynedd gan ddechrau ar y dyddiad pan gafodd ei chyhoeddi. </w:t>
      </w:r>
    </w:p>
    <w:p w14:paraId="011809C0" w14:textId="2834ED0D" w:rsidR="008B334C" w:rsidRPr="001B733D" w:rsidRDefault="008B334C" w:rsidP="001B733D">
      <w:pPr>
        <w:rPr>
          <w:rFonts w:asciiTheme="minorBidi" w:hAnsiTheme="minorBidi"/>
          <w:sz w:val="24"/>
          <w:szCs w:val="24"/>
        </w:rPr>
      </w:pPr>
      <w:r>
        <w:rPr>
          <w:rFonts w:asciiTheme="minorBidi" w:hAnsiTheme="minorBidi"/>
          <w:sz w:val="24"/>
          <w:szCs w:val="24"/>
        </w:rPr>
        <w:t>Bydd ONR yn cymryd y casgliad hwn i ystyriaeth mewn unrhyw waith dilynol yn rhan o GDA neu i roi caniatâd yn y dyfodol. Lle bo modd, ni fydd ONR yn ceisio ail asesu'r agweddau hynny a ystyrir yn ddigonol yn natganiad GDA. Fodd bynnag, o ystyried natur asesiad Cam 2, mae'r tebygolrwydd y bydd datblygiad y cynllun, a chwmpas ehangach a manylach unrhyw asesiadau dilynol yn parhau, efallai y bydd angen ail archwilio rhai agweddau er mwyn sicrhau bod y casgliad yn parhau'n ddilys.</w:t>
      </w:r>
    </w:p>
    <w:p w14:paraId="27863117" w14:textId="77777777" w:rsidR="008B334C" w:rsidRDefault="008B334C" w:rsidP="00293500">
      <w:pPr>
        <w:rPr>
          <w:rFonts w:asciiTheme="minorBidi" w:hAnsiTheme="minorBidi"/>
          <w:b/>
          <w:bCs/>
          <w:sz w:val="24"/>
          <w:szCs w:val="24"/>
        </w:rPr>
      </w:pPr>
    </w:p>
    <w:p w14:paraId="3C3E607B" w14:textId="2975CEAB" w:rsidR="008B334C" w:rsidRPr="00C05A62" w:rsidRDefault="008B334C" w:rsidP="00293500">
      <w:pPr>
        <w:rPr>
          <w:rFonts w:asciiTheme="minorBidi" w:hAnsiTheme="minorBidi"/>
          <w:b/>
          <w:bCs/>
          <w:sz w:val="24"/>
          <w:szCs w:val="24"/>
        </w:rPr>
      </w:pPr>
      <w:r>
        <w:rPr>
          <w:rFonts w:asciiTheme="minorBidi" w:hAnsiTheme="minorBidi"/>
          <w:b/>
          <w:bCs/>
          <w:sz w:val="24"/>
          <w:szCs w:val="24"/>
        </w:rPr>
        <w:t xml:space="preserve">Arwyddwyd                                                                        Dyddiad Cyhoeddi </w:t>
      </w:r>
    </w:p>
    <w:p w14:paraId="04FDC2A6" w14:textId="04898813" w:rsidR="008B334C" w:rsidRPr="00721B79" w:rsidRDefault="008B334C" w:rsidP="00293500">
      <w:pPr>
        <w:rPr>
          <w:rFonts w:asciiTheme="minorBidi" w:hAnsiTheme="minorBidi"/>
          <w:sz w:val="24"/>
          <w:szCs w:val="24"/>
        </w:rPr>
      </w:pPr>
      <w:r>
        <w:rPr>
          <w:rFonts w:asciiTheme="minorBidi" w:hAnsiTheme="minorBidi"/>
          <w:sz w:val="24"/>
          <w:szCs w:val="24"/>
        </w:rPr>
        <w:t xml:space="preserve">                                                                                           30 Gorffennaf 2024</w:t>
      </w:r>
    </w:p>
    <w:p w14:paraId="79828A3E" w14:textId="77777777" w:rsidR="008B334C" w:rsidRDefault="008B334C" w:rsidP="00D26A31">
      <w:pPr>
        <w:spacing w:after="0" w:line="240" w:lineRule="auto"/>
        <w:rPr>
          <w:rFonts w:asciiTheme="minorBidi" w:hAnsiTheme="minorBidi"/>
          <w:b/>
          <w:bCs/>
          <w:sz w:val="24"/>
          <w:szCs w:val="24"/>
        </w:rPr>
      </w:pPr>
    </w:p>
    <w:p w14:paraId="264CF9D0" w14:textId="502A155E" w:rsidR="008B334C" w:rsidRPr="00D26A31" w:rsidRDefault="008B334C" w:rsidP="00D26A31">
      <w:pPr>
        <w:spacing w:after="0" w:line="240" w:lineRule="auto"/>
        <w:rPr>
          <w:rFonts w:asciiTheme="minorBidi" w:hAnsiTheme="minorBidi"/>
          <w:b/>
          <w:bCs/>
          <w:sz w:val="24"/>
          <w:szCs w:val="24"/>
        </w:rPr>
      </w:pPr>
      <w:r>
        <w:rPr>
          <w:rFonts w:asciiTheme="minorBidi" w:hAnsiTheme="minorBidi"/>
          <w:b/>
          <w:bCs/>
          <w:sz w:val="24"/>
          <w:szCs w:val="24"/>
        </w:rPr>
        <w:t>Jane Bowie</w:t>
      </w:r>
      <w:r>
        <w:rPr>
          <w:rFonts w:asciiTheme="minorBidi" w:hAnsiTheme="minorBidi"/>
          <w:sz w:val="24"/>
          <w:szCs w:val="24"/>
        </w:rPr>
        <w:t xml:space="preserve">                                                                       </w:t>
      </w:r>
    </w:p>
    <w:p w14:paraId="6D33BEE0" w14:textId="77777777" w:rsidR="008B334C" w:rsidRDefault="008B334C" w:rsidP="00D26A31">
      <w:pPr>
        <w:rPr>
          <w:rFonts w:asciiTheme="minorBidi" w:hAnsiTheme="minorBidi"/>
          <w:sz w:val="24"/>
          <w:szCs w:val="24"/>
        </w:rPr>
      </w:pPr>
      <w:r>
        <w:rPr>
          <w:rFonts w:asciiTheme="minorBidi" w:hAnsiTheme="minorBidi"/>
          <w:sz w:val="24"/>
          <w:szCs w:val="24"/>
        </w:rPr>
        <w:t>Cyfarwyddwr Rheoliad – Adweithyddion NIwclear Newydd</w:t>
      </w:r>
    </w:p>
    <w:p w14:paraId="769F1C01" w14:textId="77777777" w:rsidR="008B334C" w:rsidRDefault="008B334C" w:rsidP="00D26A31">
      <w:pPr>
        <w:rPr>
          <w:rFonts w:asciiTheme="minorBidi" w:hAnsiTheme="minorBidi"/>
          <w:sz w:val="24"/>
          <w:szCs w:val="24"/>
        </w:rPr>
        <w:sectPr w:rsidR="008B334C">
          <w:headerReference w:type="default" r:id="rId12"/>
          <w:footerReference w:type="default" r:id="rId13"/>
          <w:pgSz w:w="11906" w:h="16838"/>
          <w:pgMar w:top="1440" w:right="1440" w:bottom="1440" w:left="1440" w:header="708" w:footer="708" w:gutter="0"/>
          <w:cols w:space="708"/>
          <w:docGrid w:linePitch="360"/>
        </w:sectPr>
      </w:pPr>
    </w:p>
    <w:p w14:paraId="68E56414" w14:textId="418FADBB" w:rsidR="008B334C" w:rsidRPr="002435C4" w:rsidRDefault="008B334C" w:rsidP="002435C4">
      <w:pPr>
        <w:rPr>
          <w:rFonts w:asciiTheme="minorBidi" w:hAnsiTheme="minorBidi"/>
          <w:sz w:val="24"/>
          <w:szCs w:val="24"/>
        </w:rPr>
      </w:pPr>
      <w:r>
        <w:rPr>
          <w:rFonts w:ascii="Arial" w:hAnsi="Arial" w:cs="Arial"/>
          <w:b/>
          <w:bCs/>
          <w:sz w:val="36"/>
          <w:szCs w:val="36"/>
        </w:rPr>
        <w:lastRenderedPageBreak/>
        <w:t>Atodiad</w:t>
      </w:r>
    </w:p>
    <w:p w14:paraId="0C7B4B1E" w14:textId="59CA023B" w:rsidR="008B334C" w:rsidRPr="00D71470" w:rsidRDefault="008B334C">
      <w:pPr>
        <w:rPr>
          <w:rFonts w:ascii="Arial" w:hAnsi="Arial" w:cs="Arial"/>
          <w:b/>
          <w:bCs/>
          <w:sz w:val="24"/>
          <w:szCs w:val="24"/>
        </w:rPr>
      </w:pPr>
      <w:r>
        <w:rPr>
          <w:rFonts w:ascii="Arial" w:hAnsi="Arial" w:cs="Arial"/>
          <w:b/>
          <w:bCs/>
          <w:sz w:val="24"/>
          <w:szCs w:val="24"/>
        </w:rPr>
        <w:t>Cyflwyniad</w:t>
      </w:r>
    </w:p>
    <w:p w14:paraId="13E73944" w14:textId="49015823" w:rsidR="008B334C" w:rsidRPr="00D71470" w:rsidRDefault="008B334C" w:rsidP="00260EA2">
      <w:pPr>
        <w:pStyle w:val="Numberedparagraph"/>
        <w:numPr>
          <w:ilvl w:val="0"/>
          <w:numId w:val="0"/>
        </w:numPr>
        <w:rPr>
          <w:szCs w:val="24"/>
        </w:rPr>
      </w:pPr>
      <w:r>
        <w:rPr>
          <w:szCs w:val="24"/>
        </w:rPr>
        <w:t>Mae'r SMR Rolls-Royce yn adweithydd dŵr dan wasgedd 470 MWe. Rolls-Royce SMR Limited yw'r Parti sy'n Ymofyn (RP) ar gyfer GDA.</w:t>
      </w:r>
    </w:p>
    <w:p w14:paraId="3BB8CAF4" w14:textId="4B88C4BF" w:rsidR="008B334C" w:rsidRPr="00D71470" w:rsidRDefault="008B334C" w:rsidP="00F70EF5">
      <w:pPr>
        <w:pStyle w:val="Numberedparagraph"/>
        <w:numPr>
          <w:ilvl w:val="0"/>
          <w:numId w:val="0"/>
        </w:numPr>
        <w:rPr>
          <w:szCs w:val="24"/>
        </w:rPr>
      </w:pPr>
      <w:r>
        <w:rPr>
          <w:szCs w:val="24"/>
        </w:rPr>
        <w:t xml:space="preserve">Nod Cam 2 oedd gwneud asesiad o'r cynllun generig yn erbyn disgwyliadau rheoliadol i adnabod unrhyw wendidau diogelu, diogeledd ac amddiffyn sylfaenol a allai atal ONR rhag rhoi caniatâd i adeiladu gosaf ynni ar sail y cynllun (cyf. </w:t>
      </w:r>
      <w:sdt>
        <w:sdtPr>
          <w:rPr>
            <w:szCs w:val="24"/>
          </w:rPr>
          <w:id w:val="1366104451"/>
          <w:citation/>
        </w:sdtPr>
        <w:sdtEndPr/>
        <w:sdtContent>
          <w:r w:rsidRPr="00D71470">
            <w:rPr>
              <w:szCs w:val="24"/>
            </w:rPr>
            <w:fldChar w:fldCharType="begin"/>
          </w:r>
          <w:r w:rsidRPr="00D71470">
            <w:rPr>
              <w:szCs w:val="24"/>
            </w:rPr>
            <w:instrText xml:space="preserve"> CITATION GtoRPs \l 2057 </w:instrText>
          </w:r>
          <w:r w:rsidRPr="00D71470">
            <w:rPr>
              <w:szCs w:val="24"/>
            </w:rPr>
            <w:fldChar w:fldCharType="separate"/>
          </w:r>
          <w:r w:rsidRPr="00D71470">
            <w:rPr>
              <w:noProof/>
              <w:szCs w:val="24"/>
            </w:rPr>
            <w:t>[1]</w:t>
          </w:r>
          <w:r w:rsidRPr="00D71470">
            <w:rPr>
              <w:szCs w:val="24"/>
            </w:rPr>
            <w:fldChar w:fldCharType="end"/>
          </w:r>
        </w:sdtContent>
      </w:sdt>
      <w:r>
        <w:fldChar w:fldCharType="begin"/>
      </w:r>
      <w:r>
        <w:rPr>
          <w:szCs w:val="24"/>
        </w:rPr>
        <w:instrText xml:space="preserve"> CITATION GtoRPs \l 2057 </w:instrText>
      </w:r>
      <w:r>
        <w:fldChar w:fldCharType="separate"/>
      </w:r>
      <w:r>
        <w:rPr>
          <w:noProof/>
          <w:szCs w:val="24"/>
        </w:rPr>
        <w:t>[1]</w:t>
      </w:r>
      <w:r>
        <w:fldChar w:fldCharType="end"/>
      </w:r>
      <w:r>
        <w:rPr>
          <w:szCs w:val="24"/>
        </w:rPr>
        <w:t xml:space="preserve">). Mae ein hasesiad wedi ei grynhoi mewn adroddiad crynodeb Cam 2 (cyf. </w:t>
      </w:r>
      <w:sdt>
        <w:sdtPr>
          <w:rPr>
            <w:szCs w:val="24"/>
          </w:rPr>
          <w:id w:val="480963225"/>
          <w:citation/>
        </w:sdtPr>
        <w:sdtEndPr/>
        <w:sdtContent>
          <w:r w:rsidRPr="00D71470">
            <w:rPr>
              <w:szCs w:val="24"/>
            </w:rPr>
            <w:fldChar w:fldCharType="begin"/>
          </w:r>
          <w:r w:rsidRPr="00D71470">
            <w:rPr>
              <w:szCs w:val="24"/>
            </w:rPr>
            <w:instrText xml:space="preserve">CITATION PAR \l 2057 </w:instrText>
          </w:r>
          <w:r w:rsidRPr="00D71470">
            <w:rPr>
              <w:szCs w:val="24"/>
            </w:rPr>
            <w:fldChar w:fldCharType="separate"/>
          </w:r>
          <w:r w:rsidRPr="00D71470">
            <w:rPr>
              <w:noProof/>
              <w:szCs w:val="24"/>
            </w:rPr>
            <w:t>[2]</w:t>
          </w:r>
          <w:r w:rsidRPr="00D71470">
            <w:rPr>
              <w:szCs w:val="24"/>
            </w:rPr>
            <w:fldChar w:fldCharType="end"/>
          </w:r>
        </w:sdtContent>
      </w:sdt>
      <w:r>
        <w:fldChar w:fldCharType="begin"/>
      </w:r>
      <w:r>
        <w:rPr>
          <w:szCs w:val="24"/>
        </w:rPr>
        <w:instrText xml:space="preserve">CITATION PAR \l 2057 </w:instrText>
      </w:r>
      <w:r>
        <w:fldChar w:fldCharType="separate"/>
      </w:r>
      <w:r>
        <w:rPr>
          <w:noProof/>
          <w:szCs w:val="24"/>
        </w:rPr>
        <w:t>[2]</w:t>
      </w:r>
      <w:r>
        <w:fldChar w:fldCharType="end"/>
      </w:r>
      <w:r>
        <w:rPr>
          <w:szCs w:val="24"/>
        </w:rPr>
        <w:t xml:space="preserve">). </w:t>
      </w:r>
    </w:p>
    <w:p w14:paraId="42F5E1A7" w14:textId="012F6327" w:rsidR="008B334C" w:rsidRPr="00D71470" w:rsidRDefault="008B334C" w:rsidP="00E027FF">
      <w:pPr>
        <w:rPr>
          <w:rFonts w:ascii="Arial" w:hAnsi="Arial" w:cs="Arial"/>
          <w:b/>
          <w:bCs/>
          <w:sz w:val="24"/>
          <w:szCs w:val="24"/>
        </w:rPr>
      </w:pPr>
      <w:r>
        <w:rPr>
          <w:rFonts w:ascii="Arial" w:hAnsi="Arial" w:cs="Arial"/>
          <w:b/>
          <w:bCs/>
          <w:sz w:val="24"/>
          <w:szCs w:val="24"/>
        </w:rPr>
        <w:t>Cyflwyniadau</w:t>
      </w:r>
    </w:p>
    <w:p w14:paraId="6DDE91E4" w14:textId="215B3A19" w:rsidR="008B334C" w:rsidRPr="00D71470" w:rsidRDefault="008B334C" w:rsidP="00E027FF">
      <w:pPr>
        <w:rPr>
          <w:rFonts w:ascii="Arial" w:hAnsi="Arial" w:cs="Arial"/>
          <w:sz w:val="24"/>
          <w:szCs w:val="24"/>
        </w:rPr>
      </w:pPr>
      <w:r>
        <w:rPr>
          <w:rFonts w:ascii="Arial" w:hAnsi="Arial" w:cs="Arial"/>
          <w:sz w:val="24"/>
          <w:szCs w:val="24"/>
        </w:rPr>
        <w:t xml:space="preserve">Mae'r cyflwyniadau oedd yn sail i asesiad ONR wedi eu cofnodi yn y rhestr Cyflwyniad Meistr Ddogfen (cyf. </w:t>
      </w:r>
      <w:sdt>
        <w:sdtPr>
          <w:rPr>
            <w:rFonts w:ascii="Arial" w:hAnsi="Arial" w:cs="Arial"/>
            <w:sz w:val="24"/>
            <w:szCs w:val="24"/>
          </w:rPr>
          <w:id w:val="402876889"/>
          <w:citation/>
        </w:sdtPr>
        <w:sdtEndPr/>
        <w:sdtContent>
          <w:r w:rsidRPr="00D71470">
            <w:rPr>
              <w:rFonts w:ascii="Arial" w:hAnsi="Arial" w:cs="Arial"/>
              <w:sz w:val="24"/>
              <w:szCs w:val="24"/>
            </w:rPr>
            <w:fldChar w:fldCharType="begin"/>
          </w:r>
          <w:r w:rsidRPr="00D71470">
            <w:rPr>
              <w:rFonts w:ascii="Arial" w:hAnsi="Arial" w:cs="Arial"/>
              <w:sz w:val="24"/>
              <w:szCs w:val="24"/>
            </w:rPr>
            <w:instrText xml:space="preserve"> CITATION MDSL \l 2057 </w:instrText>
          </w:r>
          <w:r w:rsidRPr="00D71470">
            <w:rPr>
              <w:rFonts w:ascii="Arial" w:hAnsi="Arial" w:cs="Arial"/>
              <w:sz w:val="24"/>
              <w:szCs w:val="24"/>
            </w:rPr>
            <w:fldChar w:fldCharType="separate"/>
          </w:r>
          <w:r w:rsidRPr="00D71470">
            <w:rPr>
              <w:rFonts w:ascii="Arial" w:hAnsi="Arial" w:cs="Arial"/>
              <w:noProof/>
              <w:sz w:val="24"/>
              <w:szCs w:val="24"/>
            </w:rPr>
            <w:t>[3]</w:t>
          </w:r>
          <w:r w:rsidRPr="00D71470">
            <w:rPr>
              <w:rFonts w:ascii="Arial" w:hAnsi="Arial" w:cs="Arial"/>
              <w:sz w:val="24"/>
              <w:szCs w:val="24"/>
            </w:rPr>
            <w:fldChar w:fldCharType="end"/>
          </w:r>
        </w:sdtContent>
      </w:sdt>
      <w:r>
        <w:fldChar w:fldCharType="begin"/>
      </w:r>
      <w:r>
        <w:rPr>
          <w:rFonts w:ascii="Arial" w:hAnsi="Arial" w:cs="Arial"/>
          <w:sz w:val="24"/>
          <w:szCs w:val="24"/>
        </w:rPr>
        <w:instrText xml:space="preserve"> CITATION MDSL \l 2057 </w:instrText>
      </w:r>
      <w:r>
        <w:fldChar w:fldCharType="separate"/>
      </w:r>
      <w:r>
        <w:rPr>
          <w:rFonts w:ascii="Arial" w:hAnsi="Arial" w:cs="Arial"/>
          <w:noProof/>
          <w:sz w:val="24"/>
          <w:szCs w:val="24"/>
        </w:rPr>
        <w:t>[3]</w:t>
      </w:r>
      <w:r>
        <w:fldChar w:fldCharType="end"/>
      </w:r>
      <w:r>
        <w:rPr>
          <w:rFonts w:ascii="Arial" w:hAnsi="Arial" w:cs="Arial"/>
          <w:sz w:val="24"/>
          <w:szCs w:val="24"/>
        </w:rPr>
        <w:t xml:space="preserve">). Mae achos Amgylchedd, Diogelu, Diogeledd ac Amddiffyn (E3S) RP yn Fersiwn 2 ac mae'n crynhoi'r wybodaeth sydd wedi ei chyflwyno i ONR hyd yn hyn. </w:t>
      </w:r>
    </w:p>
    <w:p w14:paraId="0E8FC9F2" w14:textId="74876DDC" w:rsidR="008B334C" w:rsidRPr="00D71470" w:rsidRDefault="008B334C" w:rsidP="00E027FF">
      <w:pPr>
        <w:rPr>
          <w:rFonts w:ascii="Arial" w:hAnsi="Arial" w:cs="Arial"/>
          <w:b/>
          <w:bCs/>
          <w:sz w:val="24"/>
          <w:szCs w:val="24"/>
        </w:rPr>
      </w:pPr>
      <w:r>
        <w:rPr>
          <w:rFonts w:ascii="Arial" w:hAnsi="Arial" w:cs="Arial"/>
          <w:b/>
          <w:bCs/>
          <w:sz w:val="24"/>
          <w:szCs w:val="24"/>
        </w:rPr>
        <w:t>Aeddfedrwydd y cynllun</w:t>
      </w:r>
    </w:p>
    <w:p w14:paraId="51882F95" w14:textId="1399817C" w:rsidR="008B334C" w:rsidRPr="00D71470" w:rsidRDefault="008B334C" w:rsidP="00996EB7">
      <w:pPr>
        <w:rPr>
          <w:rFonts w:ascii="Arial" w:hAnsi="Arial" w:cs="Arial"/>
          <w:sz w:val="24"/>
          <w:szCs w:val="24"/>
        </w:rPr>
      </w:pPr>
      <w:r>
        <w:rPr>
          <w:rFonts w:ascii="Arial" w:hAnsi="Arial" w:cs="Arial"/>
          <w:sz w:val="24"/>
          <w:szCs w:val="24"/>
        </w:rPr>
        <w:t xml:space="preserve">Mae'r cynllun SMR Rolls-Royce wedi ei ddiffinio o fewn yr adroddiad Cyfeirnod Cynllun (cyf. </w:t>
      </w:r>
      <w:sdt>
        <w:sdtPr>
          <w:rPr>
            <w:rFonts w:ascii="Arial" w:hAnsi="Arial" w:cs="Arial"/>
            <w:sz w:val="24"/>
            <w:szCs w:val="24"/>
          </w:rPr>
          <w:id w:val="-1421025486"/>
          <w:citation/>
        </w:sdtPr>
        <w:sdtEndPr/>
        <w:sdtContent>
          <w:r w:rsidRPr="00D71470">
            <w:rPr>
              <w:rFonts w:ascii="Arial" w:hAnsi="Arial" w:cs="Arial"/>
              <w:sz w:val="24"/>
              <w:szCs w:val="24"/>
            </w:rPr>
            <w:fldChar w:fldCharType="begin"/>
          </w:r>
          <w:r w:rsidRPr="00D71470">
            <w:rPr>
              <w:rFonts w:ascii="Arial" w:hAnsi="Arial" w:cs="Arial"/>
              <w:sz w:val="24"/>
              <w:szCs w:val="24"/>
            </w:rPr>
            <w:instrText xml:space="preserve">CITATION DRP1 \l 2057 </w:instrText>
          </w:r>
          <w:r w:rsidRPr="00D71470">
            <w:rPr>
              <w:rFonts w:ascii="Arial" w:hAnsi="Arial" w:cs="Arial"/>
              <w:sz w:val="24"/>
              <w:szCs w:val="24"/>
            </w:rPr>
            <w:fldChar w:fldCharType="separate"/>
          </w:r>
          <w:r w:rsidRPr="00D71470">
            <w:rPr>
              <w:rFonts w:ascii="Arial" w:hAnsi="Arial" w:cs="Arial"/>
              <w:noProof/>
              <w:sz w:val="24"/>
              <w:szCs w:val="24"/>
            </w:rPr>
            <w:t>[4]</w:t>
          </w:r>
          <w:r w:rsidRPr="00D71470">
            <w:rPr>
              <w:rFonts w:ascii="Arial" w:hAnsi="Arial" w:cs="Arial"/>
              <w:sz w:val="24"/>
              <w:szCs w:val="24"/>
            </w:rPr>
            <w:fldChar w:fldCharType="end"/>
          </w:r>
        </w:sdtContent>
      </w:sdt>
      <w:r>
        <w:fldChar w:fldCharType="begin"/>
      </w:r>
      <w:r>
        <w:rPr>
          <w:rFonts w:ascii="Arial" w:hAnsi="Arial" w:cs="Arial"/>
          <w:sz w:val="24"/>
          <w:szCs w:val="24"/>
        </w:rPr>
        <w:instrText xml:space="preserve">CITATION DRP1 \l 2057 </w:instrText>
      </w:r>
      <w:r>
        <w:fldChar w:fldCharType="separate"/>
      </w:r>
      <w:r>
        <w:rPr>
          <w:rFonts w:ascii="Arial" w:hAnsi="Arial" w:cs="Arial"/>
          <w:noProof/>
          <w:sz w:val="24"/>
          <w:szCs w:val="24"/>
        </w:rPr>
        <w:t>[4]</w:t>
      </w:r>
      <w:r>
        <w:fldChar w:fldCharType="end"/>
      </w:r>
      <w:r>
        <w:rPr>
          <w:rFonts w:ascii="Arial" w:hAnsi="Arial" w:cs="Arial"/>
          <w:sz w:val="24"/>
          <w:szCs w:val="24"/>
        </w:rPr>
        <w:t>). Mae'r mwyafrif o Systemau, Strwythurau a Chydrannau (SSC) wedi cyrraedd aeddfedrwydd digonol i ddiffinio'r cynllun sylfaenol ar gyfer ei gynnwys yn y cyfeirnod cynllun. Bydd angen i gyflwyniadau E3S pellach gynnwys rhestr gyflawn o ofynion gweithredol ac anweithredol a dangos bod y cynllun yn eu cyflawni.</w:t>
      </w:r>
    </w:p>
    <w:p w14:paraId="2ACCCA04" w14:textId="77777777" w:rsidR="008B334C" w:rsidRPr="00D71470" w:rsidRDefault="008B334C" w:rsidP="00BC58BF">
      <w:pPr>
        <w:rPr>
          <w:rFonts w:ascii="Arial" w:hAnsi="Arial" w:cs="Arial"/>
          <w:b/>
          <w:bCs/>
          <w:sz w:val="24"/>
          <w:szCs w:val="24"/>
        </w:rPr>
      </w:pPr>
      <w:r>
        <w:rPr>
          <w:rFonts w:ascii="Arial" w:hAnsi="Arial" w:cs="Arial"/>
          <w:b/>
          <w:bCs/>
          <w:sz w:val="24"/>
          <w:szCs w:val="24"/>
        </w:rPr>
        <w:t>Cwmpas</w:t>
      </w:r>
    </w:p>
    <w:p w14:paraId="4EF86606" w14:textId="2CCAAD13" w:rsidR="008B334C" w:rsidRPr="00D71470" w:rsidRDefault="008B334C" w:rsidP="00BC58BF">
      <w:pPr>
        <w:pStyle w:val="Numberedparagraph"/>
        <w:numPr>
          <w:ilvl w:val="0"/>
          <w:numId w:val="0"/>
        </w:numPr>
        <w:rPr>
          <w:szCs w:val="24"/>
        </w:rPr>
      </w:pPr>
      <w:r>
        <w:rPr>
          <w:szCs w:val="24"/>
        </w:rPr>
        <w:t xml:space="preserve">Gwnaed yr asesiad yn erbyn y cwmpas GDA (cyf. </w:t>
      </w:r>
      <w:sdt>
        <w:sdtPr>
          <w:rPr>
            <w:szCs w:val="24"/>
          </w:rPr>
          <w:id w:val="-531968247"/>
          <w:citation/>
        </w:sdtPr>
        <w:sdtEndPr/>
        <w:sdtContent>
          <w:r w:rsidRPr="00D71470">
            <w:rPr>
              <w:szCs w:val="24"/>
            </w:rPr>
            <w:fldChar w:fldCharType="begin"/>
          </w:r>
          <w:r w:rsidRPr="00D71470">
            <w:rPr>
              <w:szCs w:val="24"/>
            </w:rPr>
            <w:instrText xml:space="preserve"> CITATION GDAScope \l 2057 </w:instrText>
          </w:r>
          <w:r w:rsidRPr="00D71470">
            <w:rPr>
              <w:szCs w:val="24"/>
            </w:rPr>
            <w:fldChar w:fldCharType="separate"/>
          </w:r>
          <w:r w:rsidRPr="00D71470">
            <w:rPr>
              <w:noProof/>
              <w:szCs w:val="24"/>
            </w:rPr>
            <w:t>[5]</w:t>
          </w:r>
          <w:r w:rsidRPr="00D71470">
            <w:rPr>
              <w:szCs w:val="24"/>
            </w:rPr>
            <w:fldChar w:fldCharType="end"/>
          </w:r>
        </w:sdtContent>
      </w:sdt>
      <w:r>
        <w:fldChar w:fldCharType="begin"/>
      </w:r>
      <w:r>
        <w:rPr>
          <w:szCs w:val="24"/>
        </w:rPr>
        <w:instrText xml:space="preserve"> CITATION GDAScope \l 2057 </w:instrText>
      </w:r>
      <w:r>
        <w:fldChar w:fldCharType="separate"/>
      </w:r>
      <w:r>
        <w:rPr>
          <w:noProof/>
          <w:szCs w:val="24"/>
        </w:rPr>
        <w:t>[5]</w:t>
      </w:r>
      <w:r>
        <w:fldChar w:fldCharType="end"/>
      </w:r>
      <w:r>
        <w:rPr>
          <w:szCs w:val="24"/>
        </w:rPr>
        <w:t xml:space="preserve">) y cytunwyd arno rhwng yr RP ac ONR. </w:t>
      </w:r>
    </w:p>
    <w:p w14:paraId="0D6EBCCC" w14:textId="71396A48" w:rsidR="008B334C" w:rsidRPr="00D71470" w:rsidRDefault="008B334C" w:rsidP="00BC58BF">
      <w:pPr>
        <w:pStyle w:val="Numberedparagraph"/>
        <w:numPr>
          <w:ilvl w:val="0"/>
          <w:numId w:val="0"/>
        </w:numPr>
        <w:rPr>
          <w:szCs w:val="24"/>
        </w:rPr>
      </w:pPr>
      <w:r>
        <w:rPr>
          <w:szCs w:val="24"/>
        </w:rPr>
        <w:t xml:space="preserve">Mae'r RP yn bwriadu cwblhau GDA tri cham, gyda'r nod o dderbyn DAC gan ONR ac mae wedi alinio ei gwmpas GDA gyda'r nod hwn. Mae'r cwmpas GDA yn diffinio'r cyfarpar generig a chynllun y safle ac yn cynnwys yr holl SSC sydd wedi eu pennu fel rhai pwysig i ddiogelwch, diogeledd ac amddiffyniad, pob modd gweithredu, a phob cam o gylch bywyd y cyfarpar.  </w:t>
      </w:r>
    </w:p>
    <w:p w14:paraId="2DBFDF25" w14:textId="2B3A9FC1" w:rsidR="008B334C" w:rsidRPr="00D71470" w:rsidRDefault="008B334C" w:rsidP="006B6628">
      <w:pPr>
        <w:pStyle w:val="Numberedparagraph"/>
        <w:numPr>
          <w:ilvl w:val="0"/>
          <w:numId w:val="0"/>
        </w:numPr>
        <w:rPr>
          <w:szCs w:val="24"/>
        </w:rPr>
      </w:pPr>
      <w:r>
        <w:rPr>
          <w:szCs w:val="24"/>
        </w:rPr>
        <w:t>Datgenir bod rhai meysydd o ddiddordeb rheoleiddiol i ONR allan o'r cwmpas ar gyfer GDA. Yn bennaf, mae'r rhain yn faterion penodol i'r safle neu'r gweithedwr na ddisgwylir iddynt gael eu cynnwys mewn unrhyw GDA. Yn ogystal, yn benodol i gynllun SMR Rolls-Royce, mae'r ffatrïoedd oddi ar y safle a ddefnyddir i gynhyrchu cydrannau modiwlar, cludiant modiwlau o'r fath i'r safle, ac adeiladu'r modiwlau ar y safle, y tu allan i gwmas y GDA hwn.</w:t>
      </w:r>
    </w:p>
    <w:p w14:paraId="205E11FC" w14:textId="23CC61A5" w:rsidR="008B334C" w:rsidRPr="00D71470" w:rsidRDefault="008B334C" w:rsidP="007E7B5D">
      <w:pPr>
        <w:rPr>
          <w:rFonts w:ascii="Arial" w:hAnsi="Arial" w:cs="Arial"/>
          <w:sz w:val="24"/>
          <w:szCs w:val="24"/>
        </w:rPr>
      </w:pPr>
      <w:r>
        <w:rPr>
          <w:rFonts w:ascii="Arial" w:hAnsi="Arial" w:cs="Arial"/>
          <w:sz w:val="24"/>
          <w:szCs w:val="24"/>
        </w:rPr>
        <w:t xml:space="preserve">Rydym wedi asesu cyfwyniadau a wnaed mewn 21 pwnc, yn ymwneud â phob un o'n dibenion statudol sy'n berthnasol i GDA. </w:t>
      </w:r>
    </w:p>
    <w:p w14:paraId="6C4D9135" w14:textId="03652894" w:rsidR="008B334C" w:rsidRPr="00D71470" w:rsidRDefault="008B334C" w:rsidP="00BC58BF">
      <w:pPr>
        <w:rPr>
          <w:rFonts w:ascii="Arial" w:hAnsi="Arial" w:cs="Arial"/>
          <w:sz w:val="24"/>
          <w:szCs w:val="24"/>
        </w:rPr>
      </w:pPr>
      <w:r>
        <w:rPr>
          <w:rFonts w:ascii="Arial" w:hAnsi="Arial" w:cs="Arial"/>
          <w:sz w:val="24"/>
          <w:szCs w:val="24"/>
        </w:rPr>
        <w:lastRenderedPageBreak/>
        <w:t>O ystyried yr asesiad penodol i gam yn ystod y GDA, nid oedd gwybodaeth ar gael am bob agwedd o fewn y cwmpas GDA. Dyma rai o'r agweddau pwysig lle mae gan achos ES3 Cam 2 gyfyngiadau:</w:t>
      </w:r>
    </w:p>
    <w:p w14:paraId="657F958D" w14:textId="0F8BA5E5" w:rsidR="008B334C" w:rsidRPr="00D71470" w:rsidRDefault="008B334C" w:rsidP="00BC58BF">
      <w:pPr>
        <w:pStyle w:val="Numberedparagraph"/>
        <w:numPr>
          <w:ilvl w:val="0"/>
          <w:numId w:val="3"/>
        </w:numPr>
        <w:rPr>
          <w:szCs w:val="24"/>
        </w:rPr>
      </w:pPr>
      <w:r>
        <w:rPr>
          <w:szCs w:val="24"/>
        </w:rPr>
        <w:t>Nid oes dadansoddiad diogelwch cwmpas llawn ar gael eto sy'n ymwneud â dadansoddi  penderfyniaethol a thebygoliaethol ac asesiad o beryglon.</w:t>
      </w:r>
    </w:p>
    <w:p w14:paraId="5A4D93B6" w14:textId="06232943" w:rsidR="008B334C" w:rsidRPr="00D71470" w:rsidRDefault="008B334C" w:rsidP="00BC58BF">
      <w:pPr>
        <w:pStyle w:val="Numberedparagraph"/>
        <w:numPr>
          <w:ilvl w:val="0"/>
          <w:numId w:val="3"/>
        </w:numPr>
        <w:rPr>
          <w:szCs w:val="24"/>
        </w:rPr>
      </w:pPr>
      <w:r>
        <w:rPr>
          <w:szCs w:val="24"/>
        </w:rPr>
        <w:t>Mae'r wybodaeth am gynllun a gofynion ar lefelau gwahanol o aeddfedrwydd ar gyfer SSC sydd wedi eu cynnwys yn y Cwmpas GDA a'r cyfeirnod cynllun.</w:t>
      </w:r>
    </w:p>
    <w:p w14:paraId="47AA6BB2" w14:textId="4D0A89D7" w:rsidR="008B334C" w:rsidRPr="00D71470" w:rsidRDefault="008B334C" w:rsidP="00BC58BF">
      <w:pPr>
        <w:pStyle w:val="Numberedparagraph"/>
        <w:numPr>
          <w:ilvl w:val="0"/>
          <w:numId w:val="3"/>
        </w:numPr>
        <w:rPr>
          <w:szCs w:val="24"/>
        </w:rPr>
      </w:pPr>
      <w:r>
        <w:rPr>
          <w:szCs w:val="24"/>
        </w:rPr>
        <w:t xml:space="preserve">Nid yw materion gweithredol, sy'n darparu manylion penodol ar y ffordd bydd SMR Rolls-Royce yn cael ei weithredu ar gael hyd yn hyn.   </w:t>
      </w:r>
    </w:p>
    <w:p w14:paraId="4E274910" w14:textId="2856E209" w:rsidR="008B334C" w:rsidRPr="00D71470" w:rsidRDefault="008B334C" w:rsidP="00BC58BF">
      <w:pPr>
        <w:pStyle w:val="Numberedparagraph"/>
        <w:numPr>
          <w:ilvl w:val="0"/>
          <w:numId w:val="3"/>
        </w:numPr>
        <w:rPr>
          <w:szCs w:val="24"/>
        </w:rPr>
      </w:pPr>
      <w:r>
        <w:rPr>
          <w:szCs w:val="24"/>
        </w:rPr>
        <w:t>Mae angen mwy o fanylion cynllun nag sydd ar gael ar hyn o bryd i wneud dadansoddiad radiolegol ar gyfer gweithrediadau arferol a gwallau.</w:t>
      </w:r>
    </w:p>
    <w:p w14:paraId="464CD913" w14:textId="77777777" w:rsidR="008B334C" w:rsidRPr="00D71470" w:rsidRDefault="008B334C" w:rsidP="000F617E">
      <w:pPr>
        <w:rPr>
          <w:rFonts w:ascii="Arial" w:hAnsi="Arial" w:cs="Arial"/>
          <w:b/>
          <w:bCs/>
          <w:sz w:val="24"/>
          <w:szCs w:val="24"/>
        </w:rPr>
      </w:pPr>
      <w:r>
        <w:rPr>
          <w:rFonts w:ascii="Arial" w:hAnsi="Arial" w:cs="Arial"/>
          <w:b/>
          <w:bCs/>
          <w:sz w:val="24"/>
          <w:szCs w:val="24"/>
        </w:rPr>
        <w:t>Canlyniadau'r asesiad</w:t>
      </w:r>
    </w:p>
    <w:p w14:paraId="1B2D7AA7" w14:textId="354C1CC8" w:rsidR="008B334C" w:rsidRDefault="008B334C" w:rsidP="002D7FB8">
      <w:pPr>
        <w:rPr>
          <w:rFonts w:ascii="Arial" w:hAnsi="Arial" w:cs="Arial"/>
          <w:sz w:val="24"/>
          <w:szCs w:val="24"/>
        </w:rPr>
      </w:pPr>
      <w:r>
        <w:rPr>
          <w:rFonts w:ascii="Arial" w:hAnsi="Arial" w:cs="Arial"/>
          <w:sz w:val="24"/>
          <w:szCs w:val="24"/>
        </w:rPr>
        <w:t xml:space="preserve">Ar y cyfan, ar sail ein hasesiad hyd yn hyn, ac yn amodol ar ddarparu ac asesu tystiolaeth gefnogi addas a digonol, nid ydym wedi canfod unrhyw wendidau diogelwch, diogeledd neu amddiffyn sylfaenol a allai atal ONR rhag rhoi caniatâd i adeiladu gorsaf ynni ar sail y cynllun SMR Rolls-Royce generig. </w:t>
      </w:r>
    </w:p>
    <w:p w14:paraId="6E9D3BB7" w14:textId="0C5954BD" w:rsidR="008B334C" w:rsidRDefault="008B334C" w:rsidP="002D7FB8">
      <w:pPr>
        <w:rPr>
          <w:rFonts w:ascii="Arial" w:hAnsi="Arial" w:cs="Arial"/>
          <w:sz w:val="24"/>
          <w:szCs w:val="24"/>
        </w:rPr>
      </w:pPr>
      <w:r>
        <w:rPr>
          <w:rFonts w:ascii="Arial" w:hAnsi="Arial" w:cs="Arial"/>
          <w:sz w:val="24"/>
          <w:szCs w:val="24"/>
        </w:rPr>
        <w:t>Nid ydym wedi darganfod unrhyw wrthdrawiadau posibl gyda pholisi llywodraethol perthnasol ar hyn o bryd.</w:t>
      </w:r>
    </w:p>
    <w:p w14:paraId="55D473CF" w14:textId="282A4073" w:rsidR="008B334C" w:rsidRPr="00D71470" w:rsidRDefault="008B334C" w:rsidP="002D7FB8">
      <w:pPr>
        <w:rPr>
          <w:rFonts w:ascii="Arial" w:hAnsi="Arial" w:cs="Arial"/>
          <w:sz w:val="24"/>
          <w:szCs w:val="24"/>
        </w:rPr>
      </w:pPr>
      <w:r>
        <w:rPr>
          <w:rFonts w:ascii="Arial" w:hAnsi="Arial" w:cs="Arial"/>
          <w:sz w:val="24"/>
          <w:szCs w:val="24"/>
        </w:rPr>
        <w:t>Yn ystod Cam 2 codwyd dau Arsylwad Rheoleiddiol (RO) gennym. Roedd y rhain yn feysydd lle gwelsom wendid rheoleddiol posibl sy'n gofyn gweithredu a gwaith newydd gan yr RP er mwyn ei ddatrys. Mae'r cynlluniau datrys ar gyfer y ddau RO wedi eu cytuno ac mae cynnydd da yn parhau tuag at ddatrys y mater.</w:t>
      </w:r>
    </w:p>
    <w:p w14:paraId="000AEAF4" w14:textId="6160DC56" w:rsidR="008B334C" w:rsidRPr="00D71470" w:rsidRDefault="008B334C" w:rsidP="00CD3104">
      <w:pPr>
        <w:rPr>
          <w:rFonts w:ascii="Arial" w:hAnsi="Arial" w:cs="Arial"/>
          <w:sz w:val="24"/>
          <w:szCs w:val="24"/>
        </w:rPr>
      </w:pPr>
      <w:r>
        <w:rPr>
          <w:rFonts w:ascii="Arial" w:hAnsi="Arial" w:cs="Arial"/>
          <w:sz w:val="24"/>
          <w:szCs w:val="24"/>
        </w:rPr>
        <w:t xml:space="preserve">Gwelwyd nifer o agweddau technegol lle byddem yn disgwyl ceisio rhagor o wybodaeth yn ystod rhyngweithio rheoleiddiol yn y dyfodol. Mae adroddiad am y rhain yn yr adroddiad crynodeb (cyf. </w:t>
      </w:r>
      <w:sdt>
        <w:sdtPr>
          <w:rPr>
            <w:rFonts w:ascii="Arial" w:hAnsi="Arial" w:cs="Arial"/>
            <w:sz w:val="24"/>
            <w:szCs w:val="24"/>
          </w:rPr>
          <w:id w:val="-344016664"/>
          <w:citation/>
        </w:sdtPr>
        <w:sdtEndPr/>
        <w:sdtContent>
          <w:r w:rsidRPr="00D71470">
            <w:rPr>
              <w:rFonts w:ascii="Arial" w:hAnsi="Arial" w:cs="Arial"/>
              <w:sz w:val="24"/>
              <w:szCs w:val="24"/>
            </w:rPr>
            <w:fldChar w:fldCharType="begin"/>
          </w:r>
          <w:r w:rsidRPr="00D71470">
            <w:rPr>
              <w:rFonts w:ascii="Arial" w:hAnsi="Arial" w:cs="Arial"/>
              <w:sz w:val="24"/>
              <w:szCs w:val="24"/>
            </w:rPr>
            <w:instrText xml:space="preserve"> CITATION PAR \l 2057 </w:instrText>
          </w:r>
          <w:r w:rsidRPr="00D71470">
            <w:rPr>
              <w:rFonts w:ascii="Arial" w:hAnsi="Arial" w:cs="Arial"/>
              <w:sz w:val="24"/>
              <w:szCs w:val="24"/>
            </w:rPr>
            <w:fldChar w:fldCharType="separate"/>
          </w:r>
          <w:r w:rsidRPr="00D71470">
            <w:rPr>
              <w:rFonts w:ascii="Arial" w:hAnsi="Arial" w:cs="Arial"/>
              <w:noProof/>
              <w:sz w:val="24"/>
              <w:szCs w:val="24"/>
            </w:rPr>
            <w:t>[2]</w:t>
          </w:r>
          <w:r w:rsidRPr="00D71470">
            <w:rPr>
              <w:rFonts w:ascii="Arial" w:hAnsi="Arial" w:cs="Arial"/>
              <w:sz w:val="24"/>
              <w:szCs w:val="24"/>
            </w:rPr>
            <w:fldChar w:fldCharType="end"/>
          </w:r>
        </w:sdtContent>
      </w:sdt>
      <w:r>
        <w:fldChar w:fldCharType="begin"/>
      </w:r>
      <w:r>
        <w:rPr>
          <w:rFonts w:ascii="Arial" w:hAnsi="Arial" w:cs="Arial"/>
          <w:sz w:val="24"/>
          <w:szCs w:val="24"/>
        </w:rPr>
        <w:instrText xml:space="preserve"> CITATION PAR \l 2057 </w:instrText>
      </w:r>
      <w:r>
        <w:fldChar w:fldCharType="separate"/>
      </w:r>
      <w:r>
        <w:rPr>
          <w:rFonts w:ascii="Arial" w:hAnsi="Arial" w:cs="Arial"/>
          <w:noProof/>
          <w:sz w:val="24"/>
          <w:szCs w:val="24"/>
        </w:rPr>
        <w:t>[2]</w:t>
      </w:r>
      <w:r>
        <w:fldChar w:fldCharType="end"/>
      </w:r>
      <w:r>
        <w:rPr>
          <w:rFonts w:ascii="Arial" w:hAnsi="Arial" w:cs="Arial"/>
          <w:sz w:val="24"/>
          <w:szCs w:val="24"/>
        </w:rPr>
        <w:t>).</w:t>
      </w:r>
    </w:p>
    <w:p w14:paraId="051913B2" w14:textId="0E0ED81B" w:rsidR="008B334C" w:rsidRPr="00F06134" w:rsidRDefault="008B334C" w:rsidP="00D71470">
      <w:pPr>
        <w:spacing w:after="0" w:line="240" w:lineRule="auto"/>
        <w:rPr>
          <w:rFonts w:ascii="Arial" w:eastAsia="Calibri" w:hAnsi="Arial" w:cs="Arial"/>
          <w:b/>
          <w:bCs/>
          <w:sz w:val="24"/>
          <w:szCs w:val="24"/>
          <w:lang w:bidi="he-IL"/>
        </w:rPr>
      </w:pPr>
      <w:bookmarkStart w:id="1" w:name="_Toc168321891"/>
      <w:r>
        <w:rPr>
          <w:rFonts w:ascii="Arial" w:eastAsia="Calibri" w:hAnsi="Arial" w:cs="Arial"/>
          <w:b/>
          <w:bCs/>
          <w:sz w:val="24"/>
          <w:szCs w:val="24"/>
          <w:lang w:bidi="he-IL"/>
        </w:rPr>
        <w:t>Parodrwydd ar gyfer Cam 3</w:t>
      </w:r>
    </w:p>
    <w:p w14:paraId="11FD5056" w14:textId="77777777" w:rsidR="008B334C" w:rsidRPr="00F06134" w:rsidRDefault="008B334C" w:rsidP="00D71470">
      <w:pPr>
        <w:spacing w:after="0" w:line="240" w:lineRule="auto"/>
        <w:rPr>
          <w:rFonts w:ascii="Arial" w:eastAsia="Calibri" w:hAnsi="Arial" w:cs="Arial"/>
          <w:b/>
          <w:bCs/>
          <w:sz w:val="24"/>
          <w:szCs w:val="24"/>
          <w:lang w:bidi="he-IL"/>
        </w:rPr>
      </w:pPr>
    </w:p>
    <w:p w14:paraId="1304FA05" w14:textId="060F23B8" w:rsidR="008B334C" w:rsidRPr="00382498" w:rsidRDefault="008B334C" w:rsidP="00D71470">
      <w:pPr>
        <w:spacing w:after="0" w:line="240" w:lineRule="auto"/>
        <w:rPr>
          <w:rFonts w:ascii="Arial" w:eastAsia="Calibri" w:hAnsi="Arial" w:cs="Arial"/>
          <w:sz w:val="24"/>
          <w:szCs w:val="24"/>
          <w:lang w:bidi="he-IL"/>
        </w:rPr>
      </w:pPr>
      <w:r>
        <w:rPr>
          <w:rFonts w:ascii="Arial" w:eastAsia="Calibri" w:hAnsi="Arial" w:cs="Arial"/>
          <w:sz w:val="24"/>
          <w:szCs w:val="24"/>
          <w:lang w:bidi="he-IL"/>
        </w:rPr>
        <w:t>Daeth ein hadolygiad parodrwydd i'r casgliad bod yr RP a'r ONR yn barod i ddechrau Cam 3.</w:t>
      </w:r>
    </w:p>
    <w:p w14:paraId="7E9101B1" w14:textId="77777777" w:rsidR="008B334C" w:rsidRPr="00382498" w:rsidRDefault="008B334C" w:rsidP="00D71470">
      <w:pPr>
        <w:spacing w:after="0" w:line="240" w:lineRule="auto"/>
        <w:rPr>
          <w:rFonts w:ascii="Arial" w:eastAsia="Calibri" w:hAnsi="Arial" w:cs="Arial"/>
          <w:sz w:val="24"/>
          <w:szCs w:val="24"/>
          <w:lang w:bidi="he-IL"/>
        </w:rPr>
      </w:pPr>
    </w:p>
    <w:bookmarkEnd w:id="1"/>
    <w:p w14:paraId="63536C94" w14:textId="1DA2AED0" w:rsidR="008B334C" w:rsidRPr="00D71470" w:rsidRDefault="008B334C" w:rsidP="00D71470">
      <w:pPr>
        <w:spacing w:after="0" w:line="240" w:lineRule="auto"/>
        <w:rPr>
          <w:rFonts w:ascii="Arial" w:eastAsia="Calibri" w:hAnsi="Arial" w:cs="Arial"/>
          <w:b/>
          <w:bCs/>
          <w:sz w:val="24"/>
          <w:szCs w:val="24"/>
          <w:lang w:bidi="he-IL"/>
        </w:rPr>
      </w:pPr>
      <w:r>
        <w:rPr>
          <w:rFonts w:ascii="Arial" w:eastAsia="Calibri" w:hAnsi="Arial" w:cs="Arial"/>
          <w:b/>
          <w:bCs/>
          <w:sz w:val="24"/>
          <w:szCs w:val="24"/>
          <w:lang w:bidi="he-IL"/>
        </w:rPr>
        <w:t>Cyfeiriadau</w:t>
      </w:r>
    </w:p>
    <w:sdt>
      <w:sdtPr>
        <w:rPr>
          <w:rFonts w:ascii="Arial" w:eastAsia="Calibri" w:hAnsi="Arial" w:cs="Arial"/>
          <w:sz w:val="24"/>
          <w:szCs w:val="24"/>
          <w:lang w:bidi="he-IL"/>
        </w:rPr>
        <w:id w:val="1663974676"/>
        <w:docPartObj>
          <w:docPartGallery w:val="Bibliographies"/>
          <w:docPartUnique/>
        </w:docPartObj>
      </w:sdtPr>
      <w:sdtEndPr>
        <w:rPr>
          <w:szCs w:val="22"/>
        </w:rPr>
      </w:sdtEndPr>
      <w:sdtContent>
        <w:sdt>
          <w:sdtPr>
            <w:rPr>
              <w:rFonts w:ascii="Arial" w:eastAsia="Calibri" w:hAnsi="Arial" w:cs="Arial"/>
              <w:sz w:val="24"/>
              <w:szCs w:val="24"/>
              <w:lang w:bidi="he-IL"/>
            </w:rPr>
            <w:id w:val="-573587230"/>
            <w:bibliography/>
          </w:sdtPr>
          <w:sdtEndPr>
            <w:rPr>
              <w:szCs w:val="22"/>
            </w:rPr>
          </w:sdtEndPr>
          <w:sdtContent>
            <w:p w14:paraId="41CF5CE5" w14:textId="41A147FC" w:rsidR="008B334C" w:rsidRPr="006B6628" w:rsidRDefault="008B334C" w:rsidP="00D71470">
              <w:pPr>
                <w:keepNext/>
                <w:spacing w:after="0" w:line="240" w:lineRule="auto"/>
                <w:ind w:left="851" w:hanging="851"/>
                <w:outlineLvl w:val="0"/>
                <w:rPr>
                  <w:noProof/>
                </w:rPr>
              </w:pPr>
              <w:r>
                <w:fldChar w:fldCharType="begin"/>
              </w:r>
              <w:r>
                <w:rPr>
                  <w:rFonts w:ascii="Arial" w:eastAsia="Calibri" w:hAnsi="Arial" w:cs="Arial"/>
                  <w:sz w:val="24"/>
                  <w:szCs w:val="24"/>
                  <w:lang w:bidi="he-IL"/>
                </w:rP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684"/>
              </w:tblGrid>
              <w:tr w:rsidR="00BC04B5" w:rsidRPr="00BC04B5" w14:paraId="2E534410" w14:textId="77777777">
                <w:trPr>
                  <w:divId w:val="516887202"/>
                  <w:tblCellSpacing w:w="15" w:type="dxa"/>
                </w:trPr>
                <w:tc>
                  <w:tcPr>
                    <w:tcW w:w="50" w:type="pct"/>
                    <w:hideMark/>
                  </w:tcPr>
                  <w:p w14:paraId="6BF9D456" w14:textId="44D1DB1A"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[1] </w:t>
                    </w:r>
                  </w:p>
                </w:tc>
                <w:tc>
                  <w:tcPr>
                    <w:tcW w:w="0" w:type="auto"/>
                    <w:hideMark/>
                  </w:tcPr>
                  <w:p w14:paraId="6A53DD07"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ONR, New Nuclear Power Plants: Generic Design Assessment Guidance to Requesting Parties, ONR-GDA-GD-006 Adolygiad 0, Hydref 2019. www.onr.org.uk/media/pylbvfnz/onr-gda-gd-006.pdf. </w:t>
                    </w:r>
                  </w:p>
                </w:tc>
              </w:tr>
              <w:tr w:rsidR="00BC04B5" w:rsidRPr="00BC04B5" w14:paraId="6EDE307A" w14:textId="77777777">
                <w:trPr>
                  <w:divId w:val="516887202"/>
                  <w:tblCellSpacing w:w="15" w:type="dxa"/>
                </w:trPr>
                <w:tc>
                  <w:tcPr>
                    <w:tcW w:w="50" w:type="pct"/>
                    <w:hideMark/>
                  </w:tcPr>
                  <w:p w14:paraId="4B66F094"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lastRenderedPageBreak/>
                      <w:t xml:space="preserve">[2] </w:t>
                    </w:r>
                  </w:p>
                </w:tc>
                <w:tc>
                  <w:tcPr>
                    <w:tcW w:w="0" w:type="auto"/>
                    <w:hideMark/>
                  </w:tcPr>
                  <w:p w14:paraId="472844A4"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ONR, Generic Design Assessment of the Rolls-Royce SMR - Step 2 summary, ONRW-2019369590-8980, Rhifyn rhif 1, Gorffennaf 2024. (Cyfeirnod y cofnod ONRW-2019369590-8980). </w:t>
                    </w:r>
                  </w:p>
                </w:tc>
              </w:tr>
              <w:tr w:rsidR="00BC04B5" w:rsidRPr="00BC04B5" w14:paraId="30BE5351" w14:textId="77777777">
                <w:trPr>
                  <w:divId w:val="516887202"/>
                  <w:tblCellSpacing w:w="15" w:type="dxa"/>
                </w:trPr>
                <w:tc>
                  <w:tcPr>
                    <w:tcW w:w="50" w:type="pct"/>
                    <w:hideMark/>
                  </w:tcPr>
                  <w:p w14:paraId="5CF69D8C"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[3] </w:t>
                    </w:r>
                  </w:p>
                </w:tc>
                <w:tc>
                  <w:tcPr>
                    <w:tcW w:w="0" w:type="auto"/>
                    <w:hideMark/>
                  </w:tcPr>
                  <w:p w14:paraId="7C06ECFB"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Rolls-Royce SMR Limited, Rhestr Gyflwyno Meistr Ddogfennau a Rhestr Ddogfennau, SMR0001724, Rhifyn 13, Mai 2024. (Cyf. cofnod ONRW-2019369590-9824). </w:t>
                    </w:r>
                  </w:p>
                </w:tc>
              </w:tr>
              <w:tr w:rsidR="00BC04B5" w:rsidRPr="00BC04B5" w14:paraId="21BAC5E5" w14:textId="77777777">
                <w:trPr>
                  <w:divId w:val="516887202"/>
                  <w:tblCellSpacing w:w="15" w:type="dxa"/>
                </w:trPr>
                <w:tc>
                  <w:tcPr>
                    <w:tcW w:w="50" w:type="pct"/>
                    <w:hideMark/>
                  </w:tcPr>
                  <w:p w14:paraId="108F2744"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[4] </w:t>
                    </w:r>
                  </w:p>
                </w:tc>
                <w:tc>
                  <w:tcPr>
                    <w:tcW w:w="0" w:type="auto"/>
                    <w:hideMark/>
                  </w:tcPr>
                  <w:p w14:paraId="5EE21133"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Rolls-Royce SMR Limited, Rolls-Royce SMR – GDA Design Reference Report, SMR0009043, Rhifyn 2, Ebrill 2023. (Cyf. cofnod ONRW-2019369590-8872). </w:t>
                    </w:r>
                  </w:p>
                </w:tc>
              </w:tr>
              <w:tr w:rsidR="00BC04B5" w:rsidRPr="00BC04B5" w14:paraId="0AB4EC38" w14:textId="77777777">
                <w:trPr>
                  <w:divId w:val="516887202"/>
                  <w:tblCellSpacing w:w="15" w:type="dxa"/>
                </w:trPr>
                <w:tc>
                  <w:tcPr>
                    <w:tcW w:w="50" w:type="pct"/>
                    <w:hideMark/>
                  </w:tcPr>
                  <w:p w14:paraId="1546990B"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[5] </w:t>
                    </w:r>
                  </w:p>
                </w:tc>
                <w:tc>
                  <w:tcPr>
                    <w:tcW w:w="0" w:type="auto"/>
                    <w:hideMark/>
                  </w:tcPr>
                  <w:p w14:paraId="5069ECF9" w14:textId="77777777" w:rsidR="008B334C" w:rsidRPr="006B6628" w:rsidRDefault="008B334C">
                    <w:pPr>
                      <w:pStyle w:val="Bibliography"/>
                      <w:rPr>
                        <w:rFonts w:asciiTheme="minorBidi" w:hAnsiTheme="minorBidi"/>
                        <w:noProof/>
                        <w:sz w:val="24"/>
                        <w:szCs w:val="24"/>
                      </w:rPr>
                    </w:pPr>
                    <w:r>
                      <w:rPr>
                        <w:rFonts w:asciiTheme="minorBidi" w:hAnsiTheme="minorBidi"/>
                        <w:noProof/>
                        <w:sz w:val="24"/>
                        <w:szCs w:val="24"/>
                      </w:rPr>
                      <w:t xml:space="preserve">Rolls-Royce SMR Limited, Rolls-Royce SMR Generic Design Assessment Scope, SMR0002183, Rhifyn 2, Ionawr 2023. (Cyf. cofnod ONRW-2019369590-7694). </w:t>
                    </w:r>
                  </w:p>
                </w:tc>
              </w:tr>
            </w:tbl>
            <w:p w14:paraId="49BD42E3" w14:textId="1B33E709" w:rsidR="008B334C" w:rsidRPr="00721B79" w:rsidRDefault="008B334C" w:rsidP="00427B98">
              <w:r>
                <w:fldChar w:fldCharType="end"/>
              </w:r>
            </w:p>
          </w:sdtContent>
        </w:sdt>
      </w:sdtContent>
    </w:sdt>
    <w:sectPr w:rsidR="008B334C" w:rsidRPr="00721B79">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1751" w14:textId="77777777" w:rsidR="008B334C" w:rsidRDefault="008B334C" w:rsidP="00F62B2C">
      <w:pPr>
        <w:spacing w:after="0" w:line="240" w:lineRule="auto"/>
      </w:pPr>
      <w:r>
        <w:separator/>
      </w:r>
    </w:p>
  </w:endnote>
  <w:endnote w:type="continuationSeparator" w:id="0">
    <w:p w14:paraId="4EF32F24" w14:textId="77777777" w:rsidR="008B334C" w:rsidRDefault="008B334C" w:rsidP="00F62B2C">
      <w:pPr>
        <w:spacing w:after="0" w:line="240" w:lineRule="auto"/>
      </w:pPr>
      <w:r>
        <w:continuationSeparator/>
      </w:r>
    </w:p>
  </w:endnote>
  <w:endnote w:type="continuationNotice" w:id="1">
    <w:p w14:paraId="3C995934" w14:textId="77777777" w:rsidR="008B334C" w:rsidRDefault="008B3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768" w14:textId="2B6FD151" w:rsidR="008B334C" w:rsidRPr="00767C56" w:rsidRDefault="008B334C" w:rsidP="00EC6831">
    <w:pPr>
      <w:tabs>
        <w:tab w:val="right" w:pos="9214"/>
      </w:tabs>
      <w:spacing w:after="0" w:line="240" w:lineRule="auto"/>
      <w:rPr>
        <w:rFonts w:ascii="Arial" w:eastAsia="Times New Roman" w:hAnsi="Arial" w:cs="Times New Roman"/>
        <w:b/>
        <w:color w:val="006D68"/>
        <w:sz w:val="14"/>
        <w:szCs w:val="14"/>
      </w:rPr>
    </w:pPr>
    <w:r>
      <w:rPr>
        <w:rFonts w:ascii="Arial" w:eastAsia="Times New Roman" w:hAnsi="Arial" w:cs="Times New Roman"/>
        <w:color w:val="006D68"/>
        <w:sz w:val="14"/>
        <w:szCs w:val="14"/>
      </w:rPr>
      <w:t>ONRW-2019369590-9966</w:t>
    </w:r>
    <w:r>
      <w:rPr>
        <w:rFonts w:ascii="Arial" w:eastAsia="Times New Roman" w:hAnsi="Arial" w:cs="Times New Roman"/>
        <w:color w:val="006D68"/>
        <w:sz w:val="14"/>
        <w:szCs w:val="14"/>
      </w:rPr>
      <w:tab/>
    </w:r>
    <w:r>
      <w:rPr>
        <w:rFonts w:ascii="Arial" w:eastAsia="Times New Roman" w:hAnsi="Arial" w:cs="Times New Roman"/>
        <w:b/>
        <w:color w:val="006D68"/>
        <w:sz w:val="14"/>
        <w:szCs w:val="14"/>
      </w:rPr>
      <w:t xml:space="preserve">Tudalen </w:t>
    </w:r>
    <w:r>
      <w:fldChar w:fldCharType="begin"/>
    </w:r>
    <w:r>
      <w:rPr>
        <w:rFonts w:ascii="Arial" w:eastAsia="Times New Roman" w:hAnsi="Arial" w:cs="Times New Roman"/>
        <w:b/>
        <w:color w:val="006D68"/>
        <w:sz w:val="14"/>
        <w:szCs w:val="14"/>
      </w:rPr>
      <w:instrText xml:space="preserve"> PAGE </w:instrText>
    </w:r>
    <w:r>
      <w:fldChar w:fldCharType="separate"/>
    </w:r>
    <w:r>
      <w:rPr>
        <w:rFonts w:ascii="Arial" w:eastAsia="Times New Roman" w:hAnsi="Arial" w:cs="Times New Roman"/>
        <w:b/>
        <w:color w:val="006D68"/>
        <w:sz w:val="14"/>
        <w:szCs w:val="14"/>
      </w:rPr>
      <w:t>1</w:t>
    </w:r>
    <w:r>
      <w:fldChar w:fldCharType="end"/>
    </w:r>
    <w:r>
      <w:rPr>
        <w:rFonts w:ascii="Arial" w:eastAsia="Times New Roman" w:hAnsi="Arial" w:cs="Times New Roman"/>
        <w:b/>
        <w:color w:val="006D68"/>
        <w:sz w:val="14"/>
        <w:szCs w:val="14"/>
      </w:rPr>
      <w:t xml:space="preserve"> o </w:t>
    </w:r>
    <w:r>
      <w:fldChar w:fldCharType="begin"/>
    </w:r>
    <w:r>
      <w:rPr>
        <w:rFonts w:ascii="Arial" w:eastAsia="Times New Roman" w:hAnsi="Arial" w:cs="Times New Roman"/>
        <w:b/>
        <w:color w:val="006D68"/>
        <w:sz w:val="14"/>
        <w:szCs w:val="14"/>
      </w:rPr>
      <w:instrText xml:space="preserve"> NUMPAGES </w:instrText>
    </w:r>
    <w:r>
      <w:fldChar w:fldCharType="separate"/>
    </w:r>
    <w:r>
      <w:rPr>
        <w:rFonts w:ascii="Arial" w:eastAsia="Times New Roman" w:hAnsi="Arial" w:cs="Times New Roman"/>
        <w:b/>
        <w:color w:val="006D68"/>
        <w:sz w:val="14"/>
        <w:szCs w:val="14"/>
      </w:rPr>
      <w:t>2</w:t>
    </w:r>
    <w:r>
      <w:fldChar w:fldCharType="end"/>
    </w:r>
  </w:p>
  <w:p w14:paraId="141B77E0" w14:textId="77777777" w:rsidR="008B334C" w:rsidRDefault="008B3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B5A4" w14:textId="77777777" w:rsidR="008B334C" w:rsidRDefault="008B334C" w:rsidP="00767C56">
    <w:pPr>
      <w:tabs>
        <w:tab w:val="right" w:pos="9214"/>
      </w:tabs>
      <w:spacing w:after="0" w:line="240" w:lineRule="auto"/>
      <w:rPr>
        <w:rFonts w:ascii="Arial" w:eastAsia="Times New Roman" w:hAnsi="Arial" w:cs="Times New Roman"/>
        <w:color w:val="006D68"/>
        <w:sz w:val="14"/>
        <w:szCs w:val="14"/>
      </w:rPr>
    </w:pPr>
    <w:r>
      <w:rPr>
        <w:rFonts w:ascii="Arial" w:eastAsia="Times New Roman" w:hAnsi="Arial" w:cs="Times New Roman"/>
        <w:color w:val="006D68"/>
        <w:sz w:val="14"/>
        <w:szCs w:val="14"/>
      </w:rPr>
      <w:t>Y Swyddfa Reoleiddio Niwclear</w:t>
    </w:r>
  </w:p>
  <w:p w14:paraId="103933D1" w14:textId="77777777" w:rsidR="008B334C" w:rsidRDefault="008B334C" w:rsidP="00EC6831">
    <w:pPr>
      <w:tabs>
        <w:tab w:val="right" w:pos="9214"/>
      </w:tabs>
      <w:spacing w:after="0" w:line="240" w:lineRule="auto"/>
      <w:rPr>
        <w:rFonts w:ascii="Arial" w:eastAsia="Times New Roman" w:hAnsi="Arial" w:cs="Times New Roman"/>
        <w:color w:val="006D68"/>
        <w:sz w:val="14"/>
        <w:szCs w:val="14"/>
      </w:rPr>
    </w:pPr>
  </w:p>
  <w:p w14:paraId="7D85873A" w14:textId="4C6A774E" w:rsidR="008B334C" w:rsidRPr="00767C56" w:rsidRDefault="008B334C" w:rsidP="00EC6831">
    <w:pPr>
      <w:tabs>
        <w:tab w:val="right" w:pos="9214"/>
      </w:tabs>
      <w:spacing w:after="0" w:line="240" w:lineRule="auto"/>
      <w:rPr>
        <w:rFonts w:ascii="Arial" w:eastAsia="Times New Roman" w:hAnsi="Arial" w:cs="Times New Roman"/>
        <w:b/>
        <w:color w:val="006D68"/>
        <w:sz w:val="14"/>
        <w:szCs w:val="14"/>
      </w:rPr>
    </w:pPr>
    <w:r>
      <w:rPr>
        <w:rFonts w:ascii="Arial" w:eastAsia="Times New Roman" w:hAnsi="Arial" w:cs="Times New Roman"/>
        <w:color w:val="006D68"/>
        <w:sz w:val="14"/>
        <w:szCs w:val="14"/>
      </w:rPr>
      <w:t>ONRW-2019369590-9966</w:t>
    </w:r>
    <w:r>
      <w:rPr>
        <w:rFonts w:ascii="Arial" w:eastAsia="Times New Roman" w:hAnsi="Arial" w:cs="Times New Roman"/>
        <w:color w:val="006D68"/>
        <w:sz w:val="14"/>
        <w:szCs w:val="14"/>
      </w:rPr>
      <w:tab/>
    </w:r>
    <w:r>
      <w:rPr>
        <w:rFonts w:ascii="Arial" w:eastAsia="Times New Roman" w:hAnsi="Arial" w:cs="Times New Roman"/>
        <w:b/>
        <w:color w:val="006D68"/>
        <w:sz w:val="14"/>
        <w:szCs w:val="14"/>
      </w:rPr>
      <w:t xml:space="preserve">Tudalen </w:t>
    </w:r>
    <w:r>
      <w:fldChar w:fldCharType="begin"/>
    </w:r>
    <w:r>
      <w:rPr>
        <w:rFonts w:ascii="Arial" w:eastAsia="Times New Roman" w:hAnsi="Arial" w:cs="Times New Roman"/>
        <w:b/>
        <w:color w:val="006D68"/>
        <w:sz w:val="14"/>
        <w:szCs w:val="14"/>
      </w:rPr>
      <w:instrText xml:space="preserve"> PAGE </w:instrText>
    </w:r>
    <w:r>
      <w:fldChar w:fldCharType="separate"/>
    </w:r>
    <w:r>
      <w:rPr>
        <w:rFonts w:ascii="Arial" w:eastAsia="Times New Roman" w:hAnsi="Arial" w:cs="Times New Roman"/>
        <w:b/>
        <w:color w:val="006D68"/>
        <w:sz w:val="14"/>
        <w:szCs w:val="14"/>
      </w:rPr>
      <w:t>1</w:t>
    </w:r>
    <w:r>
      <w:fldChar w:fldCharType="end"/>
    </w:r>
    <w:r>
      <w:rPr>
        <w:rFonts w:ascii="Arial" w:eastAsia="Times New Roman" w:hAnsi="Arial" w:cs="Times New Roman"/>
        <w:b/>
        <w:color w:val="006D68"/>
        <w:sz w:val="14"/>
        <w:szCs w:val="14"/>
      </w:rPr>
      <w:t xml:space="preserve"> o </w:t>
    </w:r>
    <w:r>
      <w:fldChar w:fldCharType="begin"/>
    </w:r>
    <w:r>
      <w:rPr>
        <w:rFonts w:ascii="Arial" w:eastAsia="Times New Roman" w:hAnsi="Arial" w:cs="Times New Roman"/>
        <w:b/>
        <w:color w:val="006D68"/>
        <w:sz w:val="14"/>
        <w:szCs w:val="14"/>
      </w:rPr>
      <w:instrText xml:space="preserve"> NUMPAGES </w:instrText>
    </w:r>
    <w:r>
      <w:fldChar w:fldCharType="separate"/>
    </w:r>
    <w:r>
      <w:rPr>
        <w:rFonts w:ascii="Arial" w:eastAsia="Times New Roman" w:hAnsi="Arial" w:cs="Times New Roman"/>
        <w:b/>
        <w:color w:val="006D68"/>
        <w:sz w:val="14"/>
        <w:szCs w:val="14"/>
      </w:rPr>
      <w:t>2</w:t>
    </w:r>
    <w:r>
      <w:fldChar w:fldCharType="end"/>
    </w:r>
  </w:p>
  <w:p w14:paraId="06A1C604" w14:textId="77777777" w:rsidR="008B334C" w:rsidRDefault="008B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93A1" w14:textId="77777777" w:rsidR="008B334C" w:rsidRDefault="008B334C" w:rsidP="00F62B2C">
      <w:pPr>
        <w:spacing w:after="0" w:line="240" w:lineRule="auto"/>
      </w:pPr>
      <w:r>
        <w:separator/>
      </w:r>
    </w:p>
  </w:footnote>
  <w:footnote w:type="continuationSeparator" w:id="0">
    <w:p w14:paraId="45567261" w14:textId="77777777" w:rsidR="008B334C" w:rsidRDefault="008B334C" w:rsidP="00F62B2C">
      <w:pPr>
        <w:spacing w:after="0" w:line="240" w:lineRule="auto"/>
      </w:pPr>
      <w:r>
        <w:continuationSeparator/>
      </w:r>
    </w:p>
  </w:footnote>
  <w:footnote w:type="continuationNotice" w:id="1">
    <w:p w14:paraId="556DCD8F" w14:textId="77777777" w:rsidR="008B334C" w:rsidRDefault="008B33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1D6E" w14:textId="54E5DBAB" w:rsidR="008B334C" w:rsidRDefault="008B334C">
    <w:pPr>
      <w:pStyle w:val="Header"/>
    </w:pPr>
    <w:r>
      <w:rPr>
        <w:rFonts w:asciiTheme="minorBidi" w:hAnsiTheme="minorBidi"/>
        <w:b/>
        <w:bCs/>
        <w:noProof/>
        <w:sz w:val="40"/>
        <w:szCs w:val="40"/>
      </w:rPr>
      <mc:AlternateContent>
        <mc:Choice Requires="wps">
          <w:drawing>
            <wp:anchor distT="0" distB="0" distL="114300" distR="114300" simplePos="0" relativeHeight="251658240" behindDoc="0" locked="0" layoutInCell="1" allowOverlap="1" wp14:anchorId="48CFB37E" wp14:editId="47173591">
              <wp:simplePos x="0" y="0"/>
              <wp:positionH relativeFrom="margin">
                <wp:align>center</wp:align>
              </wp:positionH>
              <wp:positionV relativeFrom="paragraph">
                <wp:posOffset>-277495</wp:posOffset>
              </wp:positionV>
              <wp:extent cx="7191375" cy="103346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7191375" cy="10334625"/>
                      </a:xfrm>
                      <a:prstGeom prst="rect">
                        <a:avLst/>
                      </a:prstGeom>
                      <a:noFill/>
                      <a:ln w="317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A8C33" id="Rectangle 2" o:spid="_x0000_s1026" style="position:absolute;margin-left:0;margin-top:-21.85pt;width:566.25pt;height:81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sEbwIAADEFAAAOAAAAZHJzL2Uyb0RvYy54bWysVEtv2zAMvg/YfxB0X2zn0axGnCJo0WFA&#10;0AZLh55VWaoNyKImKXGyXz9KdpygLXYYdrEpkfz4+qjFzaFRZC+sq0EXNBullAjNoaz1a0F/Pt1/&#10;+UqJ80yXTIEWBT0KR2+Wnz8tWpOLMVSgSmEJgmiXt6aglfcmTxLHK9EwNwIjNCol2IZ5PNrXpLSs&#10;RfRGJeM0vUpasKWxwIVzeHvXKeky4kspuH+U0glPVEExNx+/Nn5fwjdZLlj+apmpat6nwf4hi4bV&#10;GoMOUHfMM7Kz9TuopuYWHEg/4tAkIGXNRawBq8nSN9VsK2ZErAWb48zQJvf/YPnDfms2FtvQGpc7&#10;FEMVB2mb8Mf8yCE26zg0Sxw84Xg5z66zyXxGCUddlk4m06vxLPQzOfsb6/w3AQ0JQkEtjiN2ie3X&#10;znemJ5MQTsN9rVQcidKkLegkm8/ijJJzdlHyRyWCh9I/hCR1ifmMI3IkjrhVluwZjpxxLrTPOlXF&#10;StFdZ7M07XBZPnjEzCNgQJaYyYDdAwRSvsfu6ujtg6uIvBuc078l1jkPHjEyaD84N7UG+xGAwqr6&#10;yJ09pn/RmiC+QHncWGKhY70z/L7GOayZ8xtmkea4ELi6/hE/UgH2G3qJkgrs74/ugz2yD7WUtLg2&#10;BXW/dswKStR3jby8zqbTsGfxMJ3Nx3iwl5qXS43eNbeAY8rwkTA8isHeq5MoLTTPuOGrEBVVTHOM&#10;XVDu7elw67t1xjeCi9UqmuFuGebXemt4AA9dDTx7Ojwza3oyeiTyA5xWjOVvONnZBk8Nq50HWUfC&#10;nvva9xv3MhKnf0PC4l+eo9X5pVv+AQAA//8DAFBLAwQUAAYACAAAACEAewTpbeEAAAAKAQAADwAA&#10;AGRycy9kb3ducmV2LnhtbEyPwW7CMBBE75X6D9ZW6g0cSFOiEAehVpXKBQHl0KOxl8RqvI5iA8nf&#10;15za26xmNfOmXA22ZVfsvXEkYDZNgCEppw3VAo5fH5McmA+StGwdoYARPayqx4dSFtrdaI/XQ6hZ&#10;DCFfSAFNCF3BuVcNWumnrkOK3tn1VoZ49jXXvbzFcNvyeZK8cisNxYZGdvjWoPo5XKyA7XZjzPee&#10;747vZr0bs4UaPzdKiOenYb0EFnAIf89wx4/oUEWmk7uQ9qwVEIcEAZOXdAHsbs/SeQbsFFWWpznw&#10;quT/J1S/AAAA//8DAFBLAQItABQABgAIAAAAIQC2gziS/gAAAOEBAAATAAAAAAAAAAAAAAAAAAAA&#10;AABbQ29udGVudF9UeXBlc10ueG1sUEsBAi0AFAAGAAgAAAAhADj9If/WAAAAlAEAAAsAAAAAAAAA&#10;AAAAAAAALwEAAF9yZWxzLy5yZWxzUEsBAi0AFAAGAAgAAAAhACys6wRvAgAAMQUAAA4AAAAAAAAA&#10;AAAAAAAALgIAAGRycy9lMm9Eb2MueG1sUEsBAi0AFAAGAAgAAAAhAHsE6W3hAAAACgEAAA8AAAAA&#10;AAAAAAAAAAAAyQQAAGRycy9kb3ducmV2LnhtbFBLBQYAAAAABAAEAPMAAADXBQAAAAA=&#10;" filled="f" strokecolor="#09101d [484]" strokeweight="2.5pt">
              <w10:wrap anchorx="margin"/>
            </v:rect>
          </w:pict>
        </mc:Fallback>
      </mc:AlternateContent>
    </w:r>
  </w:p>
  <w:sdt>
    <w:sdtPr>
      <w:id w:val="-293830240"/>
      <w:docPartObj>
        <w:docPartGallery w:val="Watermarks"/>
        <w:docPartUnique/>
      </w:docPartObj>
    </w:sdtPr>
    <w:sdtEndPr/>
    <w:sdtContent>
      <w:p w14:paraId="568B6D6F" w14:textId="5291E470" w:rsidR="008B334C" w:rsidRDefault="008B334C">
        <w:pPr>
          <w:pStyle w:val="Header"/>
        </w:pPr>
        <w:r>
          <w:rPr>
            <w:noProof/>
          </w:rPr>
          <w:drawing>
            <wp:anchor distT="0" distB="0" distL="114300" distR="114300" simplePos="0" relativeHeight="251658241" behindDoc="0" locked="0" layoutInCell="1" allowOverlap="1" wp14:anchorId="1982E97A" wp14:editId="3FC0763F">
              <wp:simplePos x="0" y="0"/>
              <wp:positionH relativeFrom="page">
                <wp:posOffset>252095</wp:posOffset>
              </wp:positionH>
              <wp:positionV relativeFrom="page">
                <wp:posOffset>252095</wp:posOffset>
              </wp:positionV>
              <wp:extent cx="2895600" cy="6381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b/>
            <w:bCs/>
            <w:noProof/>
            <w:sz w:val="40"/>
            <w:szCs w:val="40"/>
          </w:rPr>
          <w:t xml:space="preserve"> </w:t>
        </w:r>
      </w:p>
    </w:sdtContent>
  </w:sdt>
  <w:p w14:paraId="3BA2C43D" w14:textId="77777777" w:rsidR="008B334C" w:rsidRDefault="008B334C">
    <w:pPr>
      <w:pStyle w:val="Header"/>
    </w:pPr>
  </w:p>
  <w:p w14:paraId="052CC3A4" w14:textId="05A3A987" w:rsidR="008B334C" w:rsidRDefault="008B334C">
    <w:pPr>
      <w:pStyle w:val="Header"/>
    </w:pPr>
  </w:p>
  <w:p w14:paraId="2E1FF078" w14:textId="77777777" w:rsidR="008B334C" w:rsidRDefault="008B3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AD61" w14:textId="6FA56763" w:rsidR="008B334C" w:rsidRDefault="008B3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F381" w14:textId="377C40CB" w:rsidR="008B334C" w:rsidRDefault="008B334C">
    <w:pPr>
      <w:pStyle w:val="Header"/>
    </w:pPr>
  </w:p>
  <w:sdt>
    <w:sdtPr>
      <w:id w:val="462856574"/>
      <w:docPartObj>
        <w:docPartGallery w:val="Watermarks"/>
        <w:docPartUnique/>
      </w:docPartObj>
    </w:sdtPr>
    <w:sdtEndPr/>
    <w:sdtContent>
      <w:p w14:paraId="16AA74A0" w14:textId="77777777" w:rsidR="008B334C" w:rsidRDefault="008B334C">
        <w:pPr>
          <w:pStyle w:val="Header"/>
        </w:pPr>
        <w:r>
          <w:rPr>
            <w:noProof/>
          </w:rPr>
          <w:drawing>
            <wp:anchor distT="0" distB="0" distL="114300" distR="114300" simplePos="0" relativeHeight="251658242" behindDoc="0" locked="0" layoutInCell="1" allowOverlap="1" wp14:anchorId="440CF85B" wp14:editId="40A09652">
              <wp:simplePos x="0" y="0"/>
              <wp:positionH relativeFrom="page">
                <wp:posOffset>252095</wp:posOffset>
              </wp:positionH>
              <wp:positionV relativeFrom="page">
                <wp:posOffset>252095</wp:posOffset>
              </wp:positionV>
              <wp:extent cx="2895600" cy="6381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b/>
            <w:bCs/>
            <w:noProof/>
            <w:sz w:val="40"/>
            <w:szCs w:val="40"/>
          </w:rPr>
          <w:t xml:space="preserve"> </w:t>
        </w:r>
      </w:p>
    </w:sdtContent>
  </w:sdt>
  <w:p w14:paraId="653B819D" w14:textId="77777777" w:rsidR="008B334C" w:rsidRDefault="008B334C">
    <w:pPr>
      <w:pStyle w:val="Header"/>
    </w:pPr>
  </w:p>
  <w:p w14:paraId="36E85780" w14:textId="77777777" w:rsidR="008B334C" w:rsidRDefault="008B334C">
    <w:pPr>
      <w:pStyle w:val="Header"/>
    </w:pPr>
  </w:p>
  <w:p w14:paraId="0A719FD2" w14:textId="77777777" w:rsidR="008B334C" w:rsidRDefault="008B33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C238" w14:textId="11291208" w:rsidR="008B334C" w:rsidRDefault="008B3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7EDF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E225A"/>
    <w:multiLevelType w:val="hybridMultilevel"/>
    <w:tmpl w:val="DFC0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25A13"/>
    <w:multiLevelType w:val="hybridMultilevel"/>
    <w:tmpl w:val="827A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5CD4"/>
    <w:multiLevelType w:val="hybridMultilevel"/>
    <w:tmpl w:val="18A8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4502E"/>
    <w:multiLevelType w:val="hybridMultilevel"/>
    <w:tmpl w:val="98AA56D8"/>
    <w:lvl w:ilvl="0" w:tplc="0B344126">
      <w:start w:val="1"/>
      <w:numFmt w:val="decimal"/>
      <w:pStyle w:val="Numberedparagraph"/>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53A44"/>
    <w:multiLevelType w:val="hybridMultilevel"/>
    <w:tmpl w:val="FCE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016F8"/>
    <w:multiLevelType w:val="hybridMultilevel"/>
    <w:tmpl w:val="D89A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E5383"/>
    <w:multiLevelType w:val="hybridMultilevel"/>
    <w:tmpl w:val="1DFA7142"/>
    <w:lvl w:ilvl="0" w:tplc="7FEA94AE">
      <w:start w:val="1"/>
      <w:numFmt w:val="bullet"/>
      <w:lvlText w:val=""/>
      <w:lvlJc w:val="left"/>
      <w:pPr>
        <w:ind w:left="720" w:hanging="360"/>
      </w:pPr>
      <w:rPr>
        <w:rFonts w:ascii="Symbol" w:hAnsi="Symbol"/>
      </w:rPr>
    </w:lvl>
    <w:lvl w:ilvl="1" w:tplc="75D4C416">
      <w:start w:val="1"/>
      <w:numFmt w:val="bullet"/>
      <w:lvlText w:val=""/>
      <w:lvlJc w:val="left"/>
      <w:pPr>
        <w:ind w:left="720" w:hanging="360"/>
      </w:pPr>
      <w:rPr>
        <w:rFonts w:ascii="Symbol" w:hAnsi="Symbol"/>
      </w:rPr>
    </w:lvl>
    <w:lvl w:ilvl="2" w:tplc="1FD81058">
      <w:start w:val="1"/>
      <w:numFmt w:val="bullet"/>
      <w:lvlText w:val=""/>
      <w:lvlJc w:val="left"/>
      <w:pPr>
        <w:ind w:left="720" w:hanging="360"/>
      </w:pPr>
      <w:rPr>
        <w:rFonts w:ascii="Symbol" w:hAnsi="Symbol"/>
      </w:rPr>
    </w:lvl>
    <w:lvl w:ilvl="3" w:tplc="709C75CC">
      <w:start w:val="1"/>
      <w:numFmt w:val="bullet"/>
      <w:lvlText w:val=""/>
      <w:lvlJc w:val="left"/>
      <w:pPr>
        <w:ind w:left="720" w:hanging="360"/>
      </w:pPr>
      <w:rPr>
        <w:rFonts w:ascii="Symbol" w:hAnsi="Symbol"/>
      </w:rPr>
    </w:lvl>
    <w:lvl w:ilvl="4" w:tplc="8FF2C3C2">
      <w:start w:val="1"/>
      <w:numFmt w:val="bullet"/>
      <w:lvlText w:val=""/>
      <w:lvlJc w:val="left"/>
      <w:pPr>
        <w:ind w:left="720" w:hanging="360"/>
      </w:pPr>
      <w:rPr>
        <w:rFonts w:ascii="Symbol" w:hAnsi="Symbol"/>
      </w:rPr>
    </w:lvl>
    <w:lvl w:ilvl="5" w:tplc="92A41A86">
      <w:start w:val="1"/>
      <w:numFmt w:val="bullet"/>
      <w:lvlText w:val=""/>
      <w:lvlJc w:val="left"/>
      <w:pPr>
        <w:ind w:left="720" w:hanging="360"/>
      </w:pPr>
      <w:rPr>
        <w:rFonts w:ascii="Symbol" w:hAnsi="Symbol"/>
      </w:rPr>
    </w:lvl>
    <w:lvl w:ilvl="6" w:tplc="D492719C">
      <w:start w:val="1"/>
      <w:numFmt w:val="bullet"/>
      <w:lvlText w:val=""/>
      <w:lvlJc w:val="left"/>
      <w:pPr>
        <w:ind w:left="720" w:hanging="360"/>
      </w:pPr>
      <w:rPr>
        <w:rFonts w:ascii="Symbol" w:hAnsi="Symbol"/>
      </w:rPr>
    </w:lvl>
    <w:lvl w:ilvl="7" w:tplc="CB0AEABE">
      <w:start w:val="1"/>
      <w:numFmt w:val="bullet"/>
      <w:lvlText w:val=""/>
      <w:lvlJc w:val="left"/>
      <w:pPr>
        <w:ind w:left="720" w:hanging="360"/>
      </w:pPr>
      <w:rPr>
        <w:rFonts w:ascii="Symbol" w:hAnsi="Symbol"/>
      </w:rPr>
    </w:lvl>
    <w:lvl w:ilvl="8" w:tplc="1920629A">
      <w:start w:val="1"/>
      <w:numFmt w:val="bullet"/>
      <w:lvlText w:val=""/>
      <w:lvlJc w:val="left"/>
      <w:pPr>
        <w:ind w:left="720" w:hanging="360"/>
      </w:pPr>
      <w:rPr>
        <w:rFonts w:ascii="Symbol" w:hAnsi="Symbol"/>
      </w:rPr>
    </w:lvl>
  </w:abstractNum>
  <w:abstractNum w:abstractNumId="8" w15:restartNumberingAfterBreak="0">
    <w:nsid w:val="685A0551"/>
    <w:multiLevelType w:val="hybridMultilevel"/>
    <w:tmpl w:val="4B046E58"/>
    <w:lvl w:ilvl="0" w:tplc="9342C966">
      <w:start w:val="1"/>
      <w:numFmt w:val="bullet"/>
      <w:lvlText w:val=""/>
      <w:lvlJc w:val="left"/>
      <w:pPr>
        <w:ind w:left="720" w:hanging="360"/>
      </w:pPr>
      <w:rPr>
        <w:rFonts w:ascii="Symbol" w:hAnsi="Symbol"/>
      </w:rPr>
    </w:lvl>
    <w:lvl w:ilvl="1" w:tplc="DEAC2BC0">
      <w:start w:val="1"/>
      <w:numFmt w:val="bullet"/>
      <w:lvlText w:val=""/>
      <w:lvlJc w:val="left"/>
      <w:pPr>
        <w:ind w:left="720" w:hanging="360"/>
      </w:pPr>
      <w:rPr>
        <w:rFonts w:ascii="Symbol" w:hAnsi="Symbol"/>
      </w:rPr>
    </w:lvl>
    <w:lvl w:ilvl="2" w:tplc="C2C8EEF4">
      <w:start w:val="1"/>
      <w:numFmt w:val="bullet"/>
      <w:lvlText w:val=""/>
      <w:lvlJc w:val="left"/>
      <w:pPr>
        <w:ind w:left="720" w:hanging="360"/>
      </w:pPr>
      <w:rPr>
        <w:rFonts w:ascii="Symbol" w:hAnsi="Symbol"/>
      </w:rPr>
    </w:lvl>
    <w:lvl w:ilvl="3" w:tplc="ADA2D306">
      <w:start w:val="1"/>
      <w:numFmt w:val="bullet"/>
      <w:lvlText w:val=""/>
      <w:lvlJc w:val="left"/>
      <w:pPr>
        <w:ind w:left="720" w:hanging="360"/>
      </w:pPr>
      <w:rPr>
        <w:rFonts w:ascii="Symbol" w:hAnsi="Symbol"/>
      </w:rPr>
    </w:lvl>
    <w:lvl w:ilvl="4" w:tplc="09A69A60">
      <w:start w:val="1"/>
      <w:numFmt w:val="bullet"/>
      <w:lvlText w:val=""/>
      <w:lvlJc w:val="left"/>
      <w:pPr>
        <w:ind w:left="720" w:hanging="360"/>
      </w:pPr>
      <w:rPr>
        <w:rFonts w:ascii="Symbol" w:hAnsi="Symbol"/>
      </w:rPr>
    </w:lvl>
    <w:lvl w:ilvl="5" w:tplc="DA1AB216">
      <w:start w:val="1"/>
      <w:numFmt w:val="bullet"/>
      <w:lvlText w:val=""/>
      <w:lvlJc w:val="left"/>
      <w:pPr>
        <w:ind w:left="720" w:hanging="360"/>
      </w:pPr>
      <w:rPr>
        <w:rFonts w:ascii="Symbol" w:hAnsi="Symbol"/>
      </w:rPr>
    </w:lvl>
    <w:lvl w:ilvl="6" w:tplc="80244C2E">
      <w:start w:val="1"/>
      <w:numFmt w:val="bullet"/>
      <w:lvlText w:val=""/>
      <w:lvlJc w:val="left"/>
      <w:pPr>
        <w:ind w:left="720" w:hanging="360"/>
      </w:pPr>
      <w:rPr>
        <w:rFonts w:ascii="Symbol" w:hAnsi="Symbol"/>
      </w:rPr>
    </w:lvl>
    <w:lvl w:ilvl="7" w:tplc="DD64D5BE">
      <w:start w:val="1"/>
      <w:numFmt w:val="bullet"/>
      <w:lvlText w:val=""/>
      <w:lvlJc w:val="left"/>
      <w:pPr>
        <w:ind w:left="720" w:hanging="360"/>
      </w:pPr>
      <w:rPr>
        <w:rFonts w:ascii="Symbol" w:hAnsi="Symbol"/>
      </w:rPr>
    </w:lvl>
    <w:lvl w:ilvl="8" w:tplc="8C1ED95C">
      <w:start w:val="1"/>
      <w:numFmt w:val="bullet"/>
      <w:lvlText w:val=""/>
      <w:lvlJc w:val="left"/>
      <w:pPr>
        <w:ind w:left="720" w:hanging="360"/>
      </w:pPr>
      <w:rPr>
        <w:rFonts w:ascii="Symbol" w:hAnsi="Symbol"/>
      </w:rPr>
    </w:lvl>
  </w:abstractNum>
  <w:abstractNum w:abstractNumId="9" w15:restartNumberingAfterBreak="0">
    <w:nsid w:val="6DCC0C99"/>
    <w:multiLevelType w:val="hybridMultilevel"/>
    <w:tmpl w:val="FF66B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7901946">
    <w:abstractNumId w:val="1"/>
  </w:num>
  <w:num w:numId="2" w16cid:durableId="303463453">
    <w:abstractNumId w:val="4"/>
  </w:num>
  <w:num w:numId="3" w16cid:durableId="1742560849">
    <w:abstractNumId w:val="3"/>
  </w:num>
  <w:num w:numId="4" w16cid:durableId="1880582875">
    <w:abstractNumId w:val="4"/>
  </w:num>
  <w:num w:numId="5" w16cid:durableId="1554851024">
    <w:abstractNumId w:val="9"/>
  </w:num>
  <w:num w:numId="6" w16cid:durableId="1471898887">
    <w:abstractNumId w:val="2"/>
  </w:num>
  <w:num w:numId="7" w16cid:durableId="631713108">
    <w:abstractNumId w:val="6"/>
  </w:num>
  <w:num w:numId="8" w16cid:durableId="416363107">
    <w:abstractNumId w:val="8"/>
  </w:num>
  <w:num w:numId="9" w16cid:durableId="59404738">
    <w:abstractNumId w:val="7"/>
  </w:num>
  <w:num w:numId="10" w16cid:durableId="2097288520">
    <w:abstractNumId w:val="4"/>
  </w:num>
  <w:num w:numId="11" w16cid:durableId="1176724934">
    <w:abstractNumId w:val="5"/>
  </w:num>
  <w:num w:numId="12" w16cid:durableId="113914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36"/>
    <w:rsid w:val="000B5DA2"/>
    <w:rsid w:val="00782036"/>
    <w:rsid w:val="008B334C"/>
    <w:rsid w:val="00BD77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D8C2F"/>
  <w15:chartTrackingRefBased/>
  <w15:docId w15:val="{6D0A8329-8F50-4952-9318-B1F7B3AB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style>
  <w:style w:type="paragraph" w:customStyle="1" w:styleId="Numberedparagraph">
    <w:name w:val="Numbered paragraph"/>
    <w:basedOn w:val="ListParagraph"/>
    <w:link w:val="NumberedparagraphChar"/>
    <w:qFormat/>
    <w:pPr>
      <w:numPr>
        <w:numId w:val="2"/>
      </w:numPr>
      <w:spacing w:after="240" w:line="252" w:lineRule="auto"/>
      <w:contextualSpacing w:val="0"/>
    </w:pPr>
    <w:rPr>
      <w:rFonts w:ascii="Arial" w:eastAsia="Calibri" w:hAnsi="Arial" w:cs="Arial"/>
      <w:sz w:val="24"/>
      <w:lang w:bidi="he-IL"/>
    </w:rPr>
  </w:style>
  <w:style w:type="character" w:customStyle="1" w:styleId="NumberedparagraphChar">
    <w:name w:val="Numbered paragraph Char"/>
    <w:basedOn w:val="DefaultParagraphFont"/>
    <w:link w:val="Numberedparagraph"/>
    <w:rPr>
      <w:rFonts w:ascii="Arial" w:eastAsia="Calibri" w:hAnsi="Arial" w:cs="Arial"/>
      <w:sz w:val="24"/>
      <w:lang w:bidi="he-IL"/>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Bullet">
    <w:name w:val="List Bullet"/>
    <w:basedOn w:val="Normal"/>
    <w:uiPriority w:val="99"/>
    <w:unhideWhenUsed/>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4042">
      <w:bodyDiv w:val="1"/>
      <w:marLeft w:val="0"/>
      <w:marRight w:val="0"/>
      <w:marTop w:val="0"/>
      <w:marBottom w:val="0"/>
      <w:divBdr>
        <w:top w:val="none" w:sz="0" w:space="0" w:color="auto"/>
        <w:left w:val="none" w:sz="0" w:space="0" w:color="auto"/>
        <w:bottom w:val="none" w:sz="0" w:space="0" w:color="auto"/>
        <w:right w:val="none" w:sz="0" w:space="0" w:color="auto"/>
      </w:divBdr>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391194083">
      <w:bodyDiv w:val="1"/>
      <w:marLeft w:val="0"/>
      <w:marRight w:val="0"/>
      <w:marTop w:val="0"/>
      <w:marBottom w:val="0"/>
      <w:divBdr>
        <w:top w:val="none" w:sz="0" w:space="0" w:color="auto"/>
        <w:left w:val="none" w:sz="0" w:space="0" w:color="auto"/>
        <w:bottom w:val="none" w:sz="0" w:space="0" w:color="auto"/>
        <w:right w:val="none" w:sz="0" w:space="0" w:color="auto"/>
      </w:divBdr>
    </w:div>
    <w:div w:id="458644117">
      <w:bodyDiv w:val="1"/>
      <w:marLeft w:val="0"/>
      <w:marRight w:val="0"/>
      <w:marTop w:val="0"/>
      <w:marBottom w:val="0"/>
      <w:divBdr>
        <w:top w:val="none" w:sz="0" w:space="0" w:color="auto"/>
        <w:left w:val="none" w:sz="0" w:space="0" w:color="auto"/>
        <w:bottom w:val="none" w:sz="0" w:space="0" w:color="auto"/>
        <w:right w:val="none" w:sz="0" w:space="0" w:color="auto"/>
      </w:divBdr>
    </w:div>
    <w:div w:id="467015297">
      <w:bodyDiv w:val="1"/>
      <w:marLeft w:val="0"/>
      <w:marRight w:val="0"/>
      <w:marTop w:val="0"/>
      <w:marBottom w:val="0"/>
      <w:divBdr>
        <w:top w:val="none" w:sz="0" w:space="0" w:color="auto"/>
        <w:left w:val="none" w:sz="0" w:space="0" w:color="auto"/>
        <w:bottom w:val="none" w:sz="0" w:space="0" w:color="auto"/>
        <w:right w:val="none" w:sz="0" w:space="0" w:color="auto"/>
      </w:divBdr>
    </w:div>
    <w:div w:id="516887202">
      <w:bodyDiv w:val="1"/>
      <w:marLeft w:val="0"/>
      <w:marRight w:val="0"/>
      <w:marTop w:val="0"/>
      <w:marBottom w:val="0"/>
      <w:divBdr>
        <w:top w:val="none" w:sz="0" w:space="0" w:color="auto"/>
        <w:left w:val="none" w:sz="0" w:space="0" w:color="auto"/>
        <w:bottom w:val="none" w:sz="0" w:space="0" w:color="auto"/>
        <w:right w:val="none" w:sz="0" w:space="0" w:color="auto"/>
      </w:divBdr>
    </w:div>
    <w:div w:id="594627855">
      <w:bodyDiv w:val="1"/>
      <w:marLeft w:val="0"/>
      <w:marRight w:val="0"/>
      <w:marTop w:val="0"/>
      <w:marBottom w:val="0"/>
      <w:divBdr>
        <w:top w:val="none" w:sz="0" w:space="0" w:color="auto"/>
        <w:left w:val="none" w:sz="0" w:space="0" w:color="auto"/>
        <w:bottom w:val="none" w:sz="0" w:space="0" w:color="auto"/>
        <w:right w:val="none" w:sz="0" w:space="0" w:color="auto"/>
      </w:divBdr>
    </w:div>
    <w:div w:id="622930650">
      <w:bodyDiv w:val="1"/>
      <w:marLeft w:val="0"/>
      <w:marRight w:val="0"/>
      <w:marTop w:val="0"/>
      <w:marBottom w:val="0"/>
      <w:divBdr>
        <w:top w:val="none" w:sz="0" w:space="0" w:color="auto"/>
        <w:left w:val="none" w:sz="0" w:space="0" w:color="auto"/>
        <w:bottom w:val="none" w:sz="0" w:space="0" w:color="auto"/>
        <w:right w:val="none" w:sz="0" w:space="0" w:color="auto"/>
      </w:divBdr>
    </w:div>
    <w:div w:id="648365155">
      <w:bodyDiv w:val="1"/>
      <w:marLeft w:val="0"/>
      <w:marRight w:val="0"/>
      <w:marTop w:val="0"/>
      <w:marBottom w:val="0"/>
      <w:divBdr>
        <w:top w:val="none" w:sz="0" w:space="0" w:color="auto"/>
        <w:left w:val="none" w:sz="0" w:space="0" w:color="auto"/>
        <w:bottom w:val="none" w:sz="0" w:space="0" w:color="auto"/>
        <w:right w:val="none" w:sz="0" w:space="0" w:color="auto"/>
      </w:divBdr>
    </w:div>
    <w:div w:id="705568014">
      <w:bodyDiv w:val="1"/>
      <w:marLeft w:val="0"/>
      <w:marRight w:val="0"/>
      <w:marTop w:val="0"/>
      <w:marBottom w:val="0"/>
      <w:divBdr>
        <w:top w:val="none" w:sz="0" w:space="0" w:color="auto"/>
        <w:left w:val="none" w:sz="0" w:space="0" w:color="auto"/>
        <w:bottom w:val="none" w:sz="0" w:space="0" w:color="auto"/>
        <w:right w:val="none" w:sz="0" w:space="0" w:color="auto"/>
      </w:divBdr>
    </w:div>
    <w:div w:id="761101533">
      <w:bodyDiv w:val="1"/>
      <w:marLeft w:val="0"/>
      <w:marRight w:val="0"/>
      <w:marTop w:val="0"/>
      <w:marBottom w:val="0"/>
      <w:divBdr>
        <w:top w:val="none" w:sz="0" w:space="0" w:color="auto"/>
        <w:left w:val="none" w:sz="0" w:space="0" w:color="auto"/>
        <w:bottom w:val="none" w:sz="0" w:space="0" w:color="auto"/>
        <w:right w:val="none" w:sz="0" w:space="0" w:color="auto"/>
      </w:divBdr>
    </w:div>
    <w:div w:id="865601156">
      <w:bodyDiv w:val="1"/>
      <w:marLeft w:val="0"/>
      <w:marRight w:val="0"/>
      <w:marTop w:val="0"/>
      <w:marBottom w:val="0"/>
      <w:divBdr>
        <w:top w:val="none" w:sz="0" w:space="0" w:color="auto"/>
        <w:left w:val="none" w:sz="0" w:space="0" w:color="auto"/>
        <w:bottom w:val="none" w:sz="0" w:space="0" w:color="auto"/>
        <w:right w:val="none" w:sz="0" w:space="0" w:color="auto"/>
      </w:divBdr>
    </w:div>
    <w:div w:id="880554674">
      <w:bodyDiv w:val="1"/>
      <w:marLeft w:val="0"/>
      <w:marRight w:val="0"/>
      <w:marTop w:val="0"/>
      <w:marBottom w:val="0"/>
      <w:divBdr>
        <w:top w:val="none" w:sz="0" w:space="0" w:color="auto"/>
        <w:left w:val="none" w:sz="0" w:space="0" w:color="auto"/>
        <w:bottom w:val="none" w:sz="0" w:space="0" w:color="auto"/>
        <w:right w:val="none" w:sz="0" w:space="0" w:color="auto"/>
      </w:divBdr>
    </w:div>
    <w:div w:id="998922396">
      <w:bodyDiv w:val="1"/>
      <w:marLeft w:val="0"/>
      <w:marRight w:val="0"/>
      <w:marTop w:val="0"/>
      <w:marBottom w:val="0"/>
      <w:divBdr>
        <w:top w:val="none" w:sz="0" w:space="0" w:color="auto"/>
        <w:left w:val="none" w:sz="0" w:space="0" w:color="auto"/>
        <w:bottom w:val="none" w:sz="0" w:space="0" w:color="auto"/>
        <w:right w:val="none" w:sz="0" w:space="0" w:color="auto"/>
      </w:divBdr>
    </w:div>
    <w:div w:id="1006983069">
      <w:bodyDiv w:val="1"/>
      <w:marLeft w:val="0"/>
      <w:marRight w:val="0"/>
      <w:marTop w:val="0"/>
      <w:marBottom w:val="0"/>
      <w:divBdr>
        <w:top w:val="none" w:sz="0" w:space="0" w:color="auto"/>
        <w:left w:val="none" w:sz="0" w:space="0" w:color="auto"/>
        <w:bottom w:val="none" w:sz="0" w:space="0" w:color="auto"/>
        <w:right w:val="none" w:sz="0" w:space="0" w:color="auto"/>
      </w:divBdr>
    </w:div>
    <w:div w:id="1037972238">
      <w:bodyDiv w:val="1"/>
      <w:marLeft w:val="0"/>
      <w:marRight w:val="0"/>
      <w:marTop w:val="0"/>
      <w:marBottom w:val="0"/>
      <w:divBdr>
        <w:top w:val="none" w:sz="0" w:space="0" w:color="auto"/>
        <w:left w:val="none" w:sz="0" w:space="0" w:color="auto"/>
        <w:bottom w:val="none" w:sz="0" w:space="0" w:color="auto"/>
        <w:right w:val="none" w:sz="0" w:space="0" w:color="auto"/>
      </w:divBdr>
    </w:div>
    <w:div w:id="1093285125">
      <w:bodyDiv w:val="1"/>
      <w:marLeft w:val="0"/>
      <w:marRight w:val="0"/>
      <w:marTop w:val="0"/>
      <w:marBottom w:val="0"/>
      <w:divBdr>
        <w:top w:val="none" w:sz="0" w:space="0" w:color="auto"/>
        <w:left w:val="none" w:sz="0" w:space="0" w:color="auto"/>
        <w:bottom w:val="none" w:sz="0" w:space="0" w:color="auto"/>
        <w:right w:val="none" w:sz="0" w:space="0" w:color="auto"/>
      </w:divBdr>
    </w:div>
    <w:div w:id="1139810971">
      <w:bodyDiv w:val="1"/>
      <w:marLeft w:val="0"/>
      <w:marRight w:val="0"/>
      <w:marTop w:val="0"/>
      <w:marBottom w:val="0"/>
      <w:divBdr>
        <w:top w:val="none" w:sz="0" w:space="0" w:color="auto"/>
        <w:left w:val="none" w:sz="0" w:space="0" w:color="auto"/>
        <w:bottom w:val="none" w:sz="0" w:space="0" w:color="auto"/>
        <w:right w:val="none" w:sz="0" w:space="0" w:color="auto"/>
      </w:divBdr>
    </w:div>
    <w:div w:id="1193153894">
      <w:bodyDiv w:val="1"/>
      <w:marLeft w:val="0"/>
      <w:marRight w:val="0"/>
      <w:marTop w:val="0"/>
      <w:marBottom w:val="0"/>
      <w:divBdr>
        <w:top w:val="none" w:sz="0" w:space="0" w:color="auto"/>
        <w:left w:val="none" w:sz="0" w:space="0" w:color="auto"/>
        <w:bottom w:val="none" w:sz="0" w:space="0" w:color="auto"/>
        <w:right w:val="none" w:sz="0" w:space="0" w:color="auto"/>
      </w:divBdr>
    </w:div>
    <w:div w:id="1260604967">
      <w:bodyDiv w:val="1"/>
      <w:marLeft w:val="0"/>
      <w:marRight w:val="0"/>
      <w:marTop w:val="0"/>
      <w:marBottom w:val="0"/>
      <w:divBdr>
        <w:top w:val="none" w:sz="0" w:space="0" w:color="auto"/>
        <w:left w:val="none" w:sz="0" w:space="0" w:color="auto"/>
        <w:bottom w:val="none" w:sz="0" w:space="0" w:color="auto"/>
        <w:right w:val="none" w:sz="0" w:space="0" w:color="auto"/>
      </w:divBdr>
    </w:div>
    <w:div w:id="1273322789">
      <w:bodyDiv w:val="1"/>
      <w:marLeft w:val="0"/>
      <w:marRight w:val="0"/>
      <w:marTop w:val="0"/>
      <w:marBottom w:val="0"/>
      <w:divBdr>
        <w:top w:val="none" w:sz="0" w:space="0" w:color="auto"/>
        <w:left w:val="none" w:sz="0" w:space="0" w:color="auto"/>
        <w:bottom w:val="none" w:sz="0" w:space="0" w:color="auto"/>
        <w:right w:val="none" w:sz="0" w:space="0" w:color="auto"/>
      </w:divBdr>
    </w:div>
    <w:div w:id="1335642690">
      <w:bodyDiv w:val="1"/>
      <w:marLeft w:val="0"/>
      <w:marRight w:val="0"/>
      <w:marTop w:val="0"/>
      <w:marBottom w:val="0"/>
      <w:divBdr>
        <w:top w:val="none" w:sz="0" w:space="0" w:color="auto"/>
        <w:left w:val="none" w:sz="0" w:space="0" w:color="auto"/>
        <w:bottom w:val="none" w:sz="0" w:space="0" w:color="auto"/>
        <w:right w:val="none" w:sz="0" w:space="0" w:color="auto"/>
      </w:divBdr>
    </w:div>
    <w:div w:id="1337465123">
      <w:bodyDiv w:val="1"/>
      <w:marLeft w:val="0"/>
      <w:marRight w:val="0"/>
      <w:marTop w:val="0"/>
      <w:marBottom w:val="0"/>
      <w:divBdr>
        <w:top w:val="none" w:sz="0" w:space="0" w:color="auto"/>
        <w:left w:val="none" w:sz="0" w:space="0" w:color="auto"/>
        <w:bottom w:val="none" w:sz="0" w:space="0" w:color="auto"/>
        <w:right w:val="none" w:sz="0" w:space="0" w:color="auto"/>
      </w:divBdr>
    </w:div>
    <w:div w:id="1374840213">
      <w:bodyDiv w:val="1"/>
      <w:marLeft w:val="0"/>
      <w:marRight w:val="0"/>
      <w:marTop w:val="0"/>
      <w:marBottom w:val="0"/>
      <w:divBdr>
        <w:top w:val="none" w:sz="0" w:space="0" w:color="auto"/>
        <w:left w:val="none" w:sz="0" w:space="0" w:color="auto"/>
        <w:bottom w:val="none" w:sz="0" w:space="0" w:color="auto"/>
        <w:right w:val="none" w:sz="0" w:space="0" w:color="auto"/>
      </w:divBdr>
    </w:div>
    <w:div w:id="1425764468">
      <w:bodyDiv w:val="1"/>
      <w:marLeft w:val="0"/>
      <w:marRight w:val="0"/>
      <w:marTop w:val="0"/>
      <w:marBottom w:val="0"/>
      <w:divBdr>
        <w:top w:val="none" w:sz="0" w:space="0" w:color="auto"/>
        <w:left w:val="none" w:sz="0" w:space="0" w:color="auto"/>
        <w:bottom w:val="none" w:sz="0" w:space="0" w:color="auto"/>
        <w:right w:val="none" w:sz="0" w:space="0" w:color="auto"/>
      </w:divBdr>
    </w:div>
    <w:div w:id="1433624194">
      <w:bodyDiv w:val="1"/>
      <w:marLeft w:val="0"/>
      <w:marRight w:val="0"/>
      <w:marTop w:val="0"/>
      <w:marBottom w:val="0"/>
      <w:divBdr>
        <w:top w:val="none" w:sz="0" w:space="0" w:color="auto"/>
        <w:left w:val="none" w:sz="0" w:space="0" w:color="auto"/>
        <w:bottom w:val="none" w:sz="0" w:space="0" w:color="auto"/>
        <w:right w:val="none" w:sz="0" w:space="0" w:color="auto"/>
      </w:divBdr>
    </w:div>
    <w:div w:id="1455782575">
      <w:bodyDiv w:val="1"/>
      <w:marLeft w:val="0"/>
      <w:marRight w:val="0"/>
      <w:marTop w:val="0"/>
      <w:marBottom w:val="0"/>
      <w:divBdr>
        <w:top w:val="none" w:sz="0" w:space="0" w:color="auto"/>
        <w:left w:val="none" w:sz="0" w:space="0" w:color="auto"/>
        <w:bottom w:val="none" w:sz="0" w:space="0" w:color="auto"/>
        <w:right w:val="none" w:sz="0" w:space="0" w:color="auto"/>
      </w:divBdr>
    </w:div>
    <w:div w:id="1457410842">
      <w:bodyDiv w:val="1"/>
      <w:marLeft w:val="0"/>
      <w:marRight w:val="0"/>
      <w:marTop w:val="0"/>
      <w:marBottom w:val="0"/>
      <w:divBdr>
        <w:top w:val="none" w:sz="0" w:space="0" w:color="auto"/>
        <w:left w:val="none" w:sz="0" w:space="0" w:color="auto"/>
        <w:bottom w:val="none" w:sz="0" w:space="0" w:color="auto"/>
        <w:right w:val="none" w:sz="0" w:space="0" w:color="auto"/>
      </w:divBdr>
    </w:div>
    <w:div w:id="1458451258">
      <w:bodyDiv w:val="1"/>
      <w:marLeft w:val="0"/>
      <w:marRight w:val="0"/>
      <w:marTop w:val="0"/>
      <w:marBottom w:val="0"/>
      <w:divBdr>
        <w:top w:val="none" w:sz="0" w:space="0" w:color="auto"/>
        <w:left w:val="none" w:sz="0" w:space="0" w:color="auto"/>
        <w:bottom w:val="none" w:sz="0" w:space="0" w:color="auto"/>
        <w:right w:val="none" w:sz="0" w:space="0" w:color="auto"/>
      </w:divBdr>
    </w:div>
    <w:div w:id="1500265435">
      <w:bodyDiv w:val="1"/>
      <w:marLeft w:val="0"/>
      <w:marRight w:val="0"/>
      <w:marTop w:val="0"/>
      <w:marBottom w:val="0"/>
      <w:divBdr>
        <w:top w:val="none" w:sz="0" w:space="0" w:color="auto"/>
        <w:left w:val="none" w:sz="0" w:space="0" w:color="auto"/>
        <w:bottom w:val="none" w:sz="0" w:space="0" w:color="auto"/>
        <w:right w:val="none" w:sz="0" w:space="0" w:color="auto"/>
      </w:divBdr>
    </w:div>
    <w:div w:id="1500383164">
      <w:bodyDiv w:val="1"/>
      <w:marLeft w:val="0"/>
      <w:marRight w:val="0"/>
      <w:marTop w:val="0"/>
      <w:marBottom w:val="0"/>
      <w:divBdr>
        <w:top w:val="none" w:sz="0" w:space="0" w:color="auto"/>
        <w:left w:val="none" w:sz="0" w:space="0" w:color="auto"/>
        <w:bottom w:val="none" w:sz="0" w:space="0" w:color="auto"/>
        <w:right w:val="none" w:sz="0" w:space="0" w:color="auto"/>
      </w:divBdr>
    </w:div>
    <w:div w:id="1539121576">
      <w:bodyDiv w:val="1"/>
      <w:marLeft w:val="0"/>
      <w:marRight w:val="0"/>
      <w:marTop w:val="0"/>
      <w:marBottom w:val="0"/>
      <w:divBdr>
        <w:top w:val="none" w:sz="0" w:space="0" w:color="auto"/>
        <w:left w:val="none" w:sz="0" w:space="0" w:color="auto"/>
        <w:bottom w:val="none" w:sz="0" w:space="0" w:color="auto"/>
        <w:right w:val="none" w:sz="0" w:space="0" w:color="auto"/>
      </w:divBdr>
    </w:div>
    <w:div w:id="1559123871">
      <w:bodyDiv w:val="1"/>
      <w:marLeft w:val="0"/>
      <w:marRight w:val="0"/>
      <w:marTop w:val="0"/>
      <w:marBottom w:val="0"/>
      <w:divBdr>
        <w:top w:val="none" w:sz="0" w:space="0" w:color="auto"/>
        <w:left w:val="none" w:sz="0" w:space="0" w:color="auto"/>
        <w:bottom w:val="none" w:sz="0" w:space="0" w:color="auto"/>
        <w:right w:val="none" w:sz="0" w:space="0" w:color="auto"/>
      </w:divBdr>
    </w:div>
    <w:div w:id="1679037734">
      <w:bodyDiv w:val="1"/>
      <w:marLeft w:val="0"/>
      <w:marRight w:val="0"/>
      <w:marTop w:val="0"/>
      <w:marBottom w:val="0"/>
      <w:divBdr>
        <w:top w:val="none" w:sz="0" w:space="0" w:color="auto"/>
        <w:left w:val="none" w:sz="0" w:space="0" w:color="auto"/>
        <w:bottom w:val="none" w:sz="0" w:space="0" w:color="auto"/>
        <w:right w:val="none" w:sz="0" w:space="0" w:color="auto"/>
      </w:divBdr>
    </w:div>
    <w:div w:id="1694839837">
      <w:bodyDiv w:val="1"/>
      <w:marLeft w:val="0"/>
      <w:marRight w:val="0"/>
      <w:marTop w:val="0"/>
      <w:marBottom w:val="0"/>
      <w:divBdr>
        <w:top w:val="none" w:sz="0" w:space="0" w:color="auto"/>
        <w:left w:val="none" w:sz="0" w:space="0" w:color="auto"/>
        <w:bottom w:val="none" w:sz="0" w:space="0" w:color="auto"/>
        <w:right w:val="none" w:sz="0" w:space="0" w:color="auto"/>
      </w:divBdr>
    </w:div>
    <w:div w:id="1737120518">
      <w:bodyDiv w:val="1"/>
      <w:marLeft w:val="0"/>
      <w:marRight w:val="0"/>
      <w:marTop w:val="0"/>
      <w:marBottom w:val="0"/>
      <w:divBdr>
        <w:top w:val="none" w:sz="0" w:space="0" w:color="auto"/>
        <w:left w:val="none" w:sz="0" w:space="0" w:color="auto"/>
        <w:bottom w:val="none" w:sz="0" w:space="0" w:color="auto"/>
        <w:right w:val="none" w:sz="0" w:space="0" w:color="auto"/>
      </w:divBdr>
    </w:div>
    <w:div w:id="1788622617">
      <w:bodyDiv w:val="1"/>
      <w:marLeft w:val="0"/>
      <w:marRight w:val="0"/>
      <w:marTop w:val="0"/>
      <w:marBottom w:val="0"/>
      <w:divBdr>
        <w:top w:val="none" w:sz="0" w:space="0" w:color="auto"/>
        <w:left w:val="none" w:sz="0" w:space="0" w:color="auto"/>
        <w:bottom w:val="none" w:sz="0" w:space="0" w:color="auto"/>
        <w:right w:val="none" w:sz="0" w:space="0" w:color="auto"/>
      </w:divBdr>
    </w:div>
    <w:div w:id="1792741897">
      <w:bodyDiv w:val="1"/>
      <w:marLeft w:val="0"/>
      <w:marRight w:val="0"/>
      <w:marTop w:val="0"/>
      <w:marBottom w:val="0"/>
      <w:divBdr>
        <w:top w:val="none" w:sz="0" w:space="0" w:color="auto"/>
        <w:left w:val="none" w:sz="0" w:space="0" w:color="auto"/>
        <w:bottom w:val="none" w:sz="0" w:space="0" w:color="auto"/>
        <w:right w:val="none" w:sz="0" w:space="0" w:color="auto"/>
      </w:divBdr>
    </w:div>
    <w:div w:id="1817260872">
      <w:bodyDiv w:val="1"/>
      <w:marLeft w:val="0"/>
      <w:marRight w:val="0"/>
      <w:marTop w:val="0"/>
      <w:marBottom w:val="0"/>
      <w:divBdr>
        <w:top w:val="none" w:sz="0" w:space="0" w:color="auto"/>
        <w:left w:val="none" w:sz="0" w:space="0" w:color="auto"/>
        <w:bottom w:val="none" w:sz="0" w:space="0" w:color="auto"/>
        <w:right w:val="none" w:sz="0" w:space="0" w:color="auto"/>
      </w:divBdr>
    </w:div>
    <w:div w:id="1871019661">
      <w:bodyDiv w:val="1"/>
      <w:marLeft w:val="0"/>
      <w:marRight w:val="0"/>
      <w:marTop w:val="0"/>
      <w:marBottom w:val="0"/>
      <w:divBdr>
        <w:top w:val="none" w:sz="0" w:space="0" w:color="auto"/>
        <w:left w:val="none" w:sz="0" w:space="0" w:color="auto"/>
        <w:bottom w:val="none" w:sz="0" w:space="0" w:color="auto"/>
        <w:right w:val="none" w:sz="0" w:space="0" w:color="auto"/>
      </w:divBdr>
    </w:div>
    <w:div w:id="1882086499">
      <w:bodyDiv w:val="1"/>
      <w:marLeft w:val="0"/>
      <w:marRight w:val="0"/>
      <w:marTop w:val="0"/>
      <w:marBottom w:val="0"/>
      <w:divBdr>
        <w:top w:val="none" w:sz="0" w:space="0" w:color="auto"/>
        <w:left w:val="none" w:sz="0" w:space="0" w:color="auto"/>
        <w:bottom w:val="none" w:sz="0" w:space="0" w:color="auto"/>
        <w:right w:val="none" w:sz="0" w:space="0" w:color="auto"/>
      </w:divBdr>
    </w:div>
    <w:div w:id="1940986655">
      <w:bodyDiv w:val="1"/>
      <w:marLeft w:val="0"/>
      <w:marRight w:val="0"/>
      <w:marTop w:val="0"/>
      <w:marBottom w:val="0"/>
      <w:divBdr>
        <w:top w:val="none" w:sz="0" w:space="0" w:color="auto"/>
        <w:left w:val="none" w:sz="0" w:space="0" w:color="auto"/>
        <w:bottom w:val="none" w:sz="0" w:space="0" w:color="auto"/>
        <w:right w:val="none" w:sz="0" w:space="0" w:color="auto"/>
      </w:divBdr>
    </w:div>
    <w:div w:id="2007046901">
      <w:bodyDiv w:val="1"/>
      <w:marLeft w:val="0"/>
      <w:marRight w:val="0"/>
      <w:marTop w:val="0"/>
      <w:marBottom w:val="0"/>
      <w:divBdr>
        <w:top w:val="none" w:sz="0" w:space="0" w:color="auto"/>
        <w:left w:val="none" w:sz="0" w:space="0" w:color="auto"/>
        <w:bottom w:val="none" w:sz="0" w:space="0" w:color="auto"/>
        <w:right w:val="none" w:sz="0" w:space="0" w:color="auto"/>
      </w:divBdr>
    </w:div>
    <w:div w:id="2102288062">
      <w:bodyDiv w:val="1"/>
      <w:marLeft w:val="0"/>
      <w:marRight w:val="0"/>
      <w:marTop w:val="0"/>
      <w:marBottom w:val="0"/>
      <w:divBdr>
        <w:top w:val="none" w:sz="0" w:space="0" w:color="auto"/>
        <w:left w:val="none" w:sz="0" w:space="0" w:color="auto"/>
        <w:bottom w:val="none" w:sz="0" w:space="0" w:color="auto"/>
        <w:right w:val="none" w:sz="0" w:space="0" w:color="auto"/>
      </w:divBdr>
    </w:div>
    <w:div w:id="21404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9" ma:contentTypeDescription="Create a new document." ma:contentTypeScope="" ma:versionID="21a52558c679ee875d19697670adbe95">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e0219aafbdd30564f148f08eb8d27fb8"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IEEE2006OfficeOnline.xsl" StyleName="IEEE" Version="2006">
  <b:Source>
    <b:Tag>GtoRPs</b:Tag>
    <b:SourceType>Book</b:SourceType>
    <b:Guid>{75A52A8B-AC2B-4788-9903-362583F95585}</b:Guid>
    <b:Author>
      <b:Author>
        <b:Corporate>ONR</b:Corporate>
      </b:Author>
    </b:Author>
    <b:Title>New Nuclear Power Plants: Generic Design Assessment Guidance to Requesting Parties, ONR-GDA-GD-006 Revision 0, October 2019. www.onr.org.uk/media/pylbvfnz/onr-gda-gd-006.pdf</b:Title>
    <b:RefOrder>1</b:RefOrder>
  </b:Source>
  <b:Source>
    <b:Tag>MDSL</b:Tag>
    <b:SourceType>Book</b:SourceType>
    <b:Guid>{A022D234-C51F-46D2-9081-08F86B515323}</b:Guid>
    <b:Author>
      <b:Author>
        <b:Corporate>Rolls-Royce SMR Limited</b:Corporate>
      </b:Author>
    </b:Author>
    <b:Title>Master Document Submission List and Document List, SMR0001724, Issue 13, May 2024. (Record ref. ONRW-2019369590-9824)</b:Title>
    <b:RefOrder>3</b:RefOrder>
  </b:Source>
  <b:Source>
    <b:Tag>PAR</b:Tag>
    <b:SourceType>Book</b:SourceType>
    <b:Guid>{1BF58682-F7F6-4B79-8731-81AB13AEB8D5}</b:Guid>
    <b:Author>
      <b:Author>
        <b:Corporate>ONR</b:Corporate>
      </b:Author>
    </b:Author>
    <b:Title>Generic Design Assessment of the Rolls-Royce SMR - Step 2 summary, ONRW-2019369590-8980, Issue No. 1, July 2024. (Record ref. ONRW-2019369590-8980)</b:Title>
    <b:RefOrder>2</b:RefOrder>
  </b:Source>
  <b:Source>
    <b:Tag>GDAScope</b:Tag>
    <b:SourceType>Book</b:SourceType>
    <b:Guid>{4B7F1C09-085A-4C4A-A2BA-0AC46F589AAF}</b:Guid>
    <b:Author>
      <b:Author>
        <b:Corporate>Rolls-Royce SMR Limited</b:Corporate>
      </b:Author>
    </b:Author>
    <b:Title>Rolls-Royce SMR Generic Design Assessment Scope, SMR0002183, Issue 2, January 2023. (Record ref. ONRW-2019369590-7694)</b:Title>
    <b:RefOrder>5</b:RefOrder>
  </b:Source>
  <b:Source>
    <b:Tag>DRP1</b:Tag>
    <b:SourceType>Book</b:SourceType>
    <b:Guid>{587D5F0E-7140-4029-8FC8-CA316E915814}</b:Guid>
    <b:Author>
      <b:Author>
        <b:Corporate>Rolls-Royce SMR Limited</b:Corporate>
      </b:Author>
    </b:Author>
    <b:Title>Rolls-Royce SMR – GDA Design Reference Report, SMR0009043, Issue 2, April 2023. (Record ref. ONRW-2019369590-8872)</b:Title>
    <b:RefOrder>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f6cfbbfa-3ea0-4d8e-acde-632e83cd9c55" xsi:nil="true"/>
    <External_x0020_Reference xmlns="f6cfbbfa-3ea0-4d8e-acde-632e83cd9c55">NA</External_x0020_Reference>
    <Site xmlns="f6cfbbfa-3ea0-4d8e-acde-632e83cd9c55" xsi:nil="true"/>
    <GDA_x0020_Regulator_x0020_or_x0020_RP xmlns="f6cfbbfa-3ea0-4d8e-acde-632e83cd9c55">ONR</GDA_x0020_Regulator_x0020_or_x0020_RP>
    <NoRecords xmlns="2b92fa06-69b2-4527-a0e1-9e8803fc1e53" xsi:nil="true"/>
    <_dlc_DocId xmlns="f6cfbbfa-3ea0-4d8e-acde-632e83cd9c55">ONRW-2019369590-9966</_dlc_DocId>
    <External_x0020_Revision xmlns="f6cfbbfa-3ea0-4d8e-acde-632e83cd9c55" xsi:nil="true"/>
    <GDA_x0020_Tier xmlns="f6cfbbfa-3ea0-4d8e-acde-632e83cd9c55" xsi:nil="true"/>
    <Record_x0020_Number xmlns="f6cfbbfa-3ea0-4d8e-acde-632e83cd9c55">PR-01215</Record_x0020_Number>
    <_dlc_DocIdPersistId xmlns="f6cfbbfa-3ea0-4d8e-acde-632e83cd9c55" xsi:nil="true"/>
    <_dlc_DocIdUrl xmlns="f6cfbbfa-3ea0-4d8e-acde-632e83cd9c55">
      <Url>https://prodonrgov.sharepoint.com/_layouts/15/DocIdRedir.aspx?ID=ONRW-2019369590-9966</Url>
      <Description>ONRW-2019369590-9966</Description>
    </_dlc_DocIdUrl>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s xmlns="f6cfbbfa-3ea0-4d8e-acde-632e83cd9c55" xsi:nil="true"/>
    <Division xmlns="f6cfbbfa-3ea0-4d8e-acde-632e83cd9c55" xsi:nil="true"/>
    <Subdivision xmlns="f6cfbbfa-3ea0-4d8e-acde-632e83cd9c55" xsi:nil="true"/>
    <GDA_x0020_Purpose xmlns="f6cfbbfa-3ea0-4d8e-acde-632e83cd9c55" xsi:nil="true"/>
    <TaxCatchAll xmlns="f6cfbbfa-3ea0-4d8e-acde-632e83cd9c55" xsi:nil="true"/>
    <Dutyholder xmlns="f6cfbbfa-3ea0-4d8e-acde-632e83cd9c55">Rolls-Royce SMR Limited</Dutyholder>
  </documentManagement>
</p:properties>
</file>

<file path=customXml/itemProps1.xml><?xml version="1.0" encoding="utf-8"?>
<ds:datastoreItem xmlns:ds="http://schemas.openxmlformats.org/officeDocument/2006/customXml" ds:itemID="{69A22BED-B745-4616-9010-E1380F110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C8ED1-93F6-4773-BF82-6C3216C9BAB7}">
  <ds:schemaRefs>
    <ds:schemaRef ds:uri="http://schemas.microsoft.com/sharepoint/v3/contenttype/forms"/>
  </ds:schemaRefs>
</ds:datastoreItem>
</file>

<file path=customXml/itemProps3.xml><?xml version="1.0" encoding="utf-8"?>
<ds:datastoreItem xmlns:ds="http://schemas.openxmlformats.org/officeDocument/2006/customXml" ds:itemID="{453D007F-E455-459F-A6FF-3BCA62297913}">
  <ds:schemaRefs>
    <ds:schemaRef ds:uri="http://schemas.microsoft.com/sharepoint/events"/>
  </ds:schemaRefs>
</ds:datastoreItem>
</file>

<file path=customXml/itemProps4.xml><?xml version="1.0" encoding="utf-8"?>
<ds:datastoreItem xmlns:ds="http://schemas.openxmlformats.org/officeDocument/2006/customXml" ds:itemID="{125A0C38-4836-4E6C-A643-BCDF5306D4E7}">
  <ds:schemaRefs>
    <ds:schemaRef ds:uri="http://schemas.openxmlformats.org/officeDocument/2006/bibliography"/>
  </ds:schemaRefs>
</ds:datastoreItem>
</file>

<file path=customXml/itemProps5.xml><?xml version="1.0" encoding="utf-8"?>
<ds:datastoreItem xmlns:ds="http://schemas.openxmlformats.org/officeDocument/2006/customXml" ds:itemID="{8AC68EDD-15CD-4C81-A573-29E7DB90711C}">
  <ds:schemaRefs>
    <ds:schemaRef ds:uri="http://schemas.microsoft.com/office/2006/metadata/properties"/>
    <ds:schemaRef ds:uri="http://schemas.microsoft.com/office/infopath/2007/PartnerControls"/>
    <ds:schemaRef ds:uri="f6cfbbfa-3ea0-4d8e-acde-632e83cd9c55"/>
    <ds:schemaRef ds:uri="2b92fa06-69b2-4527-a0e1-9e8803fc1e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2024-07-29T14:19:00Z</dcterms:created>
  <dcterms:modified xsi:type="dcterms:W3CDTF">2024-07-29T14:19:00Z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2023-08-30T09:42:56Z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5fb53d76-7a03-4e27-a91b-a41b7c0bd72f</vt:lpwstr>
  </property>
  <property fmtid="{D5CDD505-2E9C-101B-9397-08002B2CF9AE}" pid="8" name="MSIP_Label_9e5e003a-90eb-47c9-a506-ad47e7a0b281_ContentBits">
    <vt:lpwstr>0</vt:lpwstr>
  </property>
  <property fmtid="{D5CDD505-2E9C-101B-9397-08002B2CF9AE}" pid="9" name="ContentTypeId">
    <vt:lpwstr>0x010100A13914FA0711CC4A961807421DD4EAE1</vt:lpwstr>
  </property>
  <property fmtid="{D5CDD505-2E9C-101B-9397-08002B2CF9AE}" pid="10" name="_dlc_DocIdItemGuid">
    <vt:lpwstr>731d5329-a7d1-43b4-9b39-b0b30b9edc00</vt:lpwstr>
  </property>
  <property fmtid="{D5CDD505-2E9C-101B-9397-08002B2CF9AE}" pid="11" name="MediaServiceImageTags">
    <vt:lpwstr/>
  </property>
</Properties>
</file>