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445BD4" w14:paraId="4573E01E" w14:textId="77777777" w:rsidTr="0516D65D">
        <w:trPr>
          <w:trHeight w:val="211"/>
        </w:trPr>
        <w:tc>
          <w:tcPr>
            <w:tcW w:w="9897" w:type="dxa"/>
            <w:gridSpan w:val="2"/>
            <w:vAlign w:val="center"/>
          </w:tcPr>
          <w:p w14:paraId="4573E01D" w14:textId="2825D1DF" w:rsidR="00220466" w:rsidRPr="00445BD4" w:rsidRDefault="0048438C" w:rsidP="0048438C">
            <w:pPr>
              <w:jc w:val="center"/>
              <w:rPr>
                <w:b/>
                <w:sz w:val="28"/>
                <w:szCs w:val="28"/>
              </w:rPr>
            </w:pPr>
            <w:r w:rsidRPr="00445BD4">
              <w:rPr>
                <w:b/>
                <w:sz w:val="28"/>
                <w:szCs w:val="28"/>
              </w:rPr>
              <w:t>GDA Regulatory Observation</w:t>
            </w:r>
          </w:p>
        </w:tc>
      </w:tr>
      <w:tr w:rsidR="00220466" w:rsidRPr="00445BD4" w14:paraId="4573E020" w14:textId="77777777" w:rsidTr="0516D65D">
        <w:trPr>
          <w:trHeight w:val="202"/>
        </w:trPr>
        <w:tc>
          <w:tcPr>
            <w:tcW w:w="9897" w:type="dxa"/>
            <w:gridSpan w:val="2"/>
            <w:shd w:val="clear" w:color="auto" w:fill="D9D9D9" w:themeFill="background1" w:themeFillShade="D9"/>
          </w:tcPr>
          <w:p w14:paraId="4573E01F" w14:textId="77777777" w:rsidR="00220466" w:rsidRPr="00445BD4" w:rsidRDefault="00220466" w:rsidP="0048438C">
            <w:pPr>
              <w:spacing w:before="60" w:after="60"/>
              <w:jc w:val="center"/>
              <w:rPr>
                <w:b/>
                <w:szCs w:val="24"/>
              </w:rPr>
            </w:pPr>
            <w:r w:rsidRPr="00445BD4">
              <w:rPr>
                <w:b/>
                <w:szCs w:val="24"/>
              </w:rPr>
              <w:t>REGULATOR TO COMPLETE</w:t>
            </w:r>
          </w:p>
        </w:tc>
      </w:tr>
      <w:tr w:rsidR="00220466" w:rsidRPr="00445BD4" w14:paraId="4573E023" w14:textId="77777777" w:rsidTr="0516D65D">
        <w:trPr>
          <w:trHeight w:val="202"/>
        </w:trPr>
        <w:tc>
          <w:tcPr>
            <w:tcW w:w="4948" w:type="dxa"/>
          </w:tcPr>
          <w:p w14:paraId="4573E021" w14:textId="77777777" w:rsidR="00220466" w:rsidRPr="00445BD4" w:rsidRDefault="00C34CBC" w:rsidP="0048438C">
            <w:pPr>
              <w:spacing w:before="60" w:after="60"/>
              <w:rPr>
                <w:b/>
                <w:szCs w:val="24"/>
              </w:rPr>
            </w:pPr>
            <w:r w:rsidRPr="00445BD4">
              <w:rPr>
                <w:b/>
                <w:szCs w:val="24"/>
              </w:rPr>
              <w:t>RO</w:t>
            </w:r>
            <w:r w:rsidR="00220466" w:rsidRPr="00445BD4">
              <w:rPr>
                <w:b/>
                <w:szCs w:val="24"/>
              </w:rPr>
              <w:t xml:space="preserve"> unique no.:</w:t>
            </w:r>
          </w:p>
        </w:tc>
        <w:tc>
          <w:tcPr>
            <w:tcW w:w="4949" w:type="dxa"/>
          </w:tcPr>
          <w:p w14:paraId="4573E022" w14:textId="1869071F" w:rsidR="00220466" w:rsidRPr="00445BD4" w:rsidRDefault="00684E8C" w:rsidP="0048438C">
            <w:pPr>
              <w:spacing w:before="60" w:after="60"/>
              <w:rPr>
                <w:szCs w:val="24"/>
              </w:rPr>
            </w:pPr>
            <w:r w:rsidRPr="00445BD4">
              <w:rPr>
                <w:szCs w:val="24"/>
              </w:rPr>
              <w:t>RO-</w:t>
            </w:r>
            <w:r w:rsidR="00FA4C46" w:rsidRPr="00445BD4">
              <w:rPr>
                <w:szCs w:val="24"/>
              </w:rPr>
              <w:t>HOLTEC</w:t>
            </w:r>
            <w:r w:rsidR="00EE0A6A" w:rsidRPr="00445BD4">
              <w:rPr>
                <w:szCs w:val="24"/>
              </w:rPr>
              <w:t>SMR300</w:t>
            </w:r>
            <w:r w:rsidR="005933F1" w:rsidRPr="00445BD4">
              <w:rPr>
                <w:szCs w:val="24"/>
              </w:rPr>
              <w:t>-</w:t>
            </w:r>
            <w:r w:rsidR="009807F1">
              <w:rPr>
                <w:szCs w:val="24"/>
              </w:rPr>
              <w:t>008</w:t>
            </w:r>
          </w:p>
        </w:tc>
      </w:tr>
      <w:tr w:rsidR="00220466" w:rsidRPr="00445BD4" w14:paraId="4573E026" w14:textId="77777777" w:rsidTr="0516D65D">
        <w:trPr>
          <w:trHeight w:val="202"/>
        </w:trPr>
        <w:tc>
          <w:tcPr>
            <w:tcW w:w="4948" w:type="dxa"/>
          </w:tcPr>
          <w:p w14:paraId="4573E024" w14:textId="61F5DE6D" w:rsidR="00220466" w:rsidRPr="00445BD4" w:rsidRDefault="00850471" w:rsidP="0048438C">
            <w:pPr>
              <w:spacing w:before="60" w:after="60"/>
              <w:rPr>
                <w:b/>
                <w:szCs w:val="24"/>
              </w:rPr>
            </w:pPr>
            <w:r w:rsidRPr="00445BD4">
              <w:rPr>
                <w:b/>
                <w:szCs w:val="24"/>
              </w:rPr>
              <w:t>Revision:</w:t>
            </w:r>
          </w:p>
        </w:tc>
        <w:tc>
          <w:tcPr>
            <w:tcW w:w="4949" w:type="dxa"/>
          </w:tcPr>
          <w:p w14:paraId="4573E025" w14:textId="229C24A2" w:rsidR="00220466" w:rsidRPr="00445BD4" w:rsidRDefault="00902B4D" w:rsidP="0048438C">
            <w:pPr>
              <w:spacing w:before="60" w:after="60"/>
              <w:rPr>
                <w:szCs w:val="24"/>
              </w:rPr>
            </w:pPr>
            <w:r w:rsidRPr="00445BD4">
              <w:rPr>
                <w:szCs w:val="24"/>
              </w:rPr>
              <w:t>0</w:t>
            </w:r>
          </w:p>
        </w:tc>
      </w:tr>
      <w:tr w:rsidR="00850471" w:rsidRPr="00445BD4" w14:paraId="3FF001D1" w14:textId="77777777" w:rsidTr="0516D65D">
        <w:trPr>
          <w:trHeight w:val="202"/>
        </w:trPr>
        <w:tc>
          <w:tcPr>
            <w:tcW w:w="4948" w:type="dxa"/>
          </w:tcPr>
          <w:p w14:paraId="20FBBDA3" w14:textId="34CA6CCC" w:rsidR="00850471" w:rsidRPr="00445BD4" w:rsidRDefault="00850471" w:rsidP="0048438C">
            <w:pPr>
              <w:spacing w:before="60" w:after="60"/>
              <w:rPr>
                <w:b/>
                <w:szCs w:val="24"/>
              </w:rPr>
            </w:pPr>
            <w:r w:rsidRPr="00445BD4">
              <w:rPr>
                <w:b/>
                <w:szCs w:val="24"/>
              </w:rPr>
              <w:t>Date sent:</w:t>
            </w:r>
          </w:p>
        </w:tc>
        <w:tc>
          <w:tcPr>
            <w:tcW w:w="4949" w:type="dxa"/>
          </w:tcPr>
          <w:p w14:paraId="74A6D96C" w14:textId="54B65CC3" w:rsidR="00850471" w:rsidRPr="0049747A" w:rsidRDefault="000126BB" w:rsidP="0048438C">
            <w:pPr>
              <w:spacing w:before="60" w:after="60"/>
              <w:rPr>
                <w:szCs w:val="24"/>
              </w:rPr>
            </w:pPr>
            <w:r w:rsidRPr="0049747A">
              <w:rPr>
                <w:szCs w:val="24"/>
              </w:rPr>
              <w:t>0</w:t>
            </w:r>
            <w:r w:rsidR="00BB221F">
              <w:rPr>
                <w:szCs w:val="24"/>
              </w:rPr>
              <w:t>3</w:t>
            </w:r>
            <w:r w:rsidR="00850471" w:rsidRPr="0049747A">
              <w:rPr>
                <w:szCs w:val="24"/>
              </w:rPr>
              <w:t>/</w:t>
            </w:r>
            <w:r w:rsidRPr="0049747A">
              <w:rPr>
                <w:szCs w:val="24"/>
              </w:rPr>
              <w:t>09</w:t>
            </w:r>
            <w:r w:rsidR="00850471" w:rsidRPr="0049747A">
              <w:rPr>
                <w:szCs w:val="24"/>
              </w:rPr>
              <w:t>/</w:t>
            </w:r>
            <w:r w:rsidR="000D081D" w:rsidRPr="0049747A">
              <w:rPr>
                <w:szCs w:val="24"/>
              </w:rPr>
              <w:t>25</w:t>
            </w:r>
          </w:p>
        </w:tc>
      </w:tr>
      <w:tr w:rsidR="00220466" w:rsidRPr="00445BD4" w14:paraId="4573E029" w14:textId="77777777" w:rsidTr="0516D65D">
        <w:trPr>
          <w:trHeight w:val="211"/>
        </w:trPr>
        <w:tc>
          <w:tcPr>
            <w:tcW w:w="4948" w:type="dxa"/>
          </w:tcPr>
          <w:p w14:paraId="4573E027" w14:textId="77777777" w:rsidR="00220466" w:rsidRPr="00445BD4" w:rsidRDefault="00220466" w:rsidP="0048438C">
            <w:pPr>
              <w:spacing w:before="60" w:after="60"/>
              <w:rPr>
                <w:b/>
                <w:szCs w:val="24"/>
              </w:rPr>
            </w:pPr>
            <w:r w:rsidRPr="00445BD4">
              <w:rPr>
                <w:b/>
                <w:szCs w:val="24"/>
              </w:rPr>
              <w:t>Acknowledgement required by:</w:t>
            </w:r>
          </w:p>
        </w:tc>
        <w:tc>
          <w:tcPr>
            <w:tcW w:w="4949" w:type="dxa"/>
          </w:tcPr>
          <w:p w14:paraId="4573E028" w14:textId="2F7FDA7F" w:rsidR="00220466" w:rsidRPr="0049747A" w:rsidRDefault="00BB221F" w:rsidP="0048438C">
            <w:pPr>
              <w:spacing w:before="60" w:after="60"/>
              <w:rPr>
                <w:szCs w:val="24"/>
              </w:rPr>
            </w:pPr>
            <w:r>
              <w:rPr>
                <w:szCs w:val="24"/>
              </w:rPr>
              <w:t>10</w:t>
            </w:r>
            <w:r w:rsidR="00850471" w:rsidRPr="0049747A">
              <w:rPr>
                <w:szCs w:val="24"/>
              </w:rPr>
              <w:t>/</w:t>
            </w:r>
            <w:r w:rsidR="000D081D" w:rsidRPr="0049747A">
              <w:rPr>
                <w:szCs w:val="24"/>
              </w:rPr>
              <w:t>09</w:t>
            </w:r>
            <w:r w:rsidR="00850471" w:rsidRPr="0049747A">
              <w:rPr>
                <w:szCs w:val="24"/>
              </w:rPr>
              <w:t>/</w:t>
            </w:r>
            <w:r w:rsidR="000D081D" w:rsidRPr="0049747A">
              <w:rPr>
                <w:szCs w:val="24"/>
              </w:rPr>
              <w:t>25</w:t>
            </w:r>
          </w:p>
        </w:tc>
      </w:tr>
      <w:tr w:rsidR="00220466" w:rsidRPr="00445BD4" w14:paraId="4573E02C" w14:textId="77777777" w:rsidTr="0516D65D">
        <w:trPr>
          <w:trHeight w:val="202"/>
        </w:trPr>
        <w:tc>
          <w:tcPr>
            <w:tcW w:w="4948" w:type="dxa"/>
          </w:tcPr>
          <w:p w14:paraId="4573E02A" w14:textId="2C90C52D" w:rsidR="00220466" w:rsidRPr="00445BD4" w:rsidRDefault="00C34CBC" w:rsidP="0048438C">
            <w:pPr>
              <w:spacing w:before="60" w:after="60"/>
              <w:rPr>
                <w:b/>
                <w:szCs w:val="24"/>
              </w:rPr>
            </w:pPr>
            <w:r w:rsidRPr="00445BD4">
              <w:rPr>
                <w:b/>
                <w:szCs w:val="24"/>
              </w:rPr>
              <w:t xml:space="preserve">Resolution Plan </w:t>
            </w:r>
            <w:r w:rsidR="0000781D" w:rsidRPr="00445BD4">
              <w:rPr>
                <w:b/>
                <w:szCs w:val="24"/>
              </w:rPr>
              <w:t xml:space="preserve">Agreement </w:t>
            </w:r>
            <w:r w:rsidRPr="00445BD4">
              <w:rPr>
                <w:b/>
                <w:szCs w:val="24"/>
              </w:rPr>
              <w:t>Required by</w:t>
            </w:r>
            <w:r w:rsidR="00220466" w:rsidRPr="00445BD4">
              <w:rPr>
                <w:b/>
                <w:szCs w:val="24"/>
              </w:rPr>
              <w:t>:</w:t>
            </w:r>
          </w:p>
        </w:tc>
        <w:tc>
          <w:tcPr>
            <w:tcW w:w="4949" w:type="dxa"/>
          </w:tcPr>
          <w:p w14:paraId="4573E02B" w14:textId="3604B786" w:rsidR="0000781D" w:rsidRPr="00583F64" w:rsidRDefault="00BB221F" w:rsidP="0048438C">
            <w:pPr>
              <w:spacing w:before="60" w:after="60"/>
              <w:rPr>
                <w:szCs w:val="24"/>
              </w:rPr>
            </w:pPr>
            <w:r>
              <w:rPr>
                <w:szCs w:val="24"/>
              </w:rPr>
              <w:t>01</w:t>
            </w:r>
            <w:r w:rsidR="00850471" w:rsidRPr="00583F64">
              <w:rPr>
                <w:szCs w:val="24"/>
              </w:rPr>
              <w:t>/</w:t>
            </w:r>
            <w:r>
              <w:rPr>
                <w:szCs w:val="24"/>
              </w:rPr>
              <w:t>10</w:t>
            </w:r>
            <w:r w:rsidR="00850471" w:rsidRPr="00583F64">
              <w:rPr>
                <w:szCs w:val="24"/>
              </w:rPr>
              <w:t>/</w:t>
            </w:r>
            <w:r w:rsidR="004864B2" w:rsidRPr="00583F64">
              <w:rPr>
                <w:szCs w:val="24"/>
              </w:rPr>
              <w:t>25</w:t>
            </w:r>
          </w:p>
        </w:tc>
      </w:tr>
      <w:tr w:rsidR="00220466" w:rsidRPr="00445BD4" w14:paraId="4573E032" w14:textId="77777777" w:rsidTr="0516D65D">
        <w:trPr>
          <w:trHeight w:val="168"/>
        </w:trPr>
        <w:tc>
          <w:tcPr>
            <w:tcW w:w="4948" w:type="dxa"/>
          </w:tcPr>
          <w:p w14:paraId="4573E030" w14:textId="641F0447" w:rsidR="00220466" w:rsidRPr="00445BD4" w:rsidRDefault="00867341" w:rsidP="0048438C">
            <w:pPr>
              <w:spacing w:before="60" w:after="60"/>
              <w:rPr>
                <w:b/>
                <w:szCs w:val="24"/>
              </w:rPr>
            </w:pPr>
            <w:r w:rsidRPr="00445BD4">
              <w:rPr>
                <w:b/>
                <w:szCs w:val="24"/>
              </w:rPr>
              <w:t>Record Reference</w:t>
            </w:r>
            <w:r w:rsidR="00494EE4" w:rsidRPr="00445BD4">
              <w:rPr>
                <w:b/>
                <w:szCs w:val="24"/>
              </w:rPr>
              <w:t>:</w:t>
            </w:r>
          </w:p>
        </w:tc>
        <w:tc>
          <w:tcPr>
            <w:tcW w:w="4949" w:type="dxa"/>
          </w:tcPr>
          <w:p w14:paraId="4573E031" w14:textId="11F91537" w:rsidR="00220466" w:rsidRPr="00445BD4" w:rsidRDefault="008B3374" w:rsidP="0048438C">
            <w:pPr>
              <w:spacing w:before="60" w:after="60"/>
              <w:rPr>
                <w:szCs w:val="24"/>
              </w:rPr>
            </w:pPr>
            <w:r>
              <w:rPr>
                <w:szCs w:val="24"/>
              </w:rPr>
              <w:t>ONRW</w:t>
            </w:r>
            <w:r w:rsidR="00917D34">
              <w:rPr>
                <w:szCs w:val="24"/>
              </w:rPr>
              <w:t>-2126615823-7894</w:t>
            </w:r>
          </w:p>
        </w:tc>
      </w:tr>
      <w:tr w:rsidR="0040443F" w:rsidRPr="00445BD4" w14:paraId="4573E035" w14:textId="77777777" w:rsidTr="0516D65D">
        <w:trPr>
          <w:trHeight w:val="202"/>
        </w:trPr>
        <w:tc>
          <w:tcPr>
            <w:tcW w:w="4948" w:type="dxa"/>
          </w:tcPr>
          <w:p w14:paraId="4573E033" w14:textId="26F0FB88" w:rsidR="0040443F" w:rsidRPr="00445BD4" w:rsidRDefault="0040443F" w:rsidP="0040443F">
            <w:pPr>
              <w:spacing w:before="60" w:after="60"/>
              <w:rPr>
                <w:b/>
                <w:szCs w:val="24"/>
              </w:rPr>
            </w:pPr>
            <w:r w:rsidRPr="00445BD4">
              <w:rPr>
                <w:b/>
                <w:szCs w:val="24"/>
              </w:rPr>
              <w:t>Related RQ / RO No. and CM9 Ref:</w:t>
            </w:r>
            <w:r w:rsidRPr="00445BD4">
              <w:rPr>
                <w:szCs w:val="24"/>
              </w:rPr>
              <w:t xml:space="preserve"> (if any)</w:t>
            </w:r>
            <w:r w:rsidRPr="00445BD4">
              <w:rPr>
                <w:b/>
                <w:szCs w:val="24"/>
              </w:rPr>
              <w:t>:</w:t>
            </w:r>
          </w:p>
        </w:tc>
        <w:tc>
          <w:tcPr>
            <w:tcW w:w="4949" w:type="dxa"/>
          </w:tcPr>
          <w:p w14:paraId="4573E034" w14:textId="293C02EF" w:rsidR="0040443F" w:rsidRPr="00445BD4" w:rsidRDefault="00501A0B" w:rsidP="0040443F">
            <w:pPr>
              <w:spacing w:before="60" w:after="60"/>
              <w:rPr>
                <w:szCs w:val="24"/>
                <w:highlight w:val="yellow"/>
              </w:rPr>
            </w:pPr>
            <w:r w:rsidRPr="00445BD4">
              <w:t>RQ-01599</w:t>
            </w:r>
          </w:p>
        </w:tc>
      </w:tr>
      <w:tr w:rsidR="00850471" w:rsidRPr="00445BD4" w14:paraId="4573E03E" w14:textId="77777777" w:rsidTr="0516D65D">
        <w:trPr>
          <w:trHeight w:val="202"/>
        </w:trPr>
        <w:tc>
          <w:tcPr>
            <w:tcW w:w="4948" w:type="dxa"/>
          </w:tcPr>
          <w:p w14:paraId="4573E03C" w14:textId="77777777" w:rsidR="00850471" w:rsidRPr="00445BD4" w:rsidRDefault="00850471" w:rsidP="0048438C">
            <w:pPr>
              <w:spacing w:before="60" w:after="60"/>
              <w:rPr>
                <w:b/>
                <w:szCs w:val="24"/>
              </w:rPr>
            </w:pPr>
            <w:r w:rsidRPr="00445BD4">
              <w:rPr>
                <w:b/>
                <w:szCs w:val="24"/>
              </w:rPr>
              <w:t>Observation title:</w:t>
            </w:r>
          </w:p>
        </w:tc>
        <w:tc>
          <w:tcPr>
            <w:tcW w:w="4949" w:type="dxa"/>
          </w:tcPr>
          <w:p w14:paraId="4573E03D" w14:textId="057EA85A" w:rsidR="0040443F" w:rsidRPr="00445BD4" w:rsidRDefault="007A6BAC" w:rsidP="0048438C">
            <w:pPr>
              <w:spacing w:before="60" w:after="60"/>
              <w:rPr>
                <w:szCs w:val="24"/>
              </w:rPr>
            </w:pPr>
            <w:r>
              <w:rPr>
                <w:szCs w:val="24"/>
              </w:rPr>
              <w:t>A</w:t>
            </w:r>
            <w:r w:rsidR="00BA3607" w:rsidRPr="00445BD4">
              <w:rPr>
                <w:szCs w:val="24"/>
              </w:rPr>
              <w:t>geing and Degradation</w:t>
            </w:r>
            <w:r w:rsidR="00707DA5">
              <w:rPr>
                <w:szCs w:val="24"/>
              </w:rPr>
              <w:t xml:space="preserve"> </w:t>
            </w:r>
            <w:r>
              <w:rPr>
                <w:szCs w:val="24"/>
              </w:rPr>
              <w:t xml:space="preserve">Considerations </w:t>
            </w:r>
            <w:r w:rsidR="00436D30">
              <w:rPr>
                <w:szCs w:val="24"/>
              </w:rPr>
              <w:t>for</w:t>
            </w:r>
            <w:r>
              <w:rPr>
                <w:szCs w:val="24"/>
              </w:rPr>
              <w:t xml:space="preserve"> </w:t>
            </w:r>
            <w:r w:rsidR="00DF00F0">
              <w:rPr>
                <w:szCs w:val="24"/>
              </w:rPr>
              <w:t xml:space="preserve">the </w:t>
            </w:r>
            <w:r>
              <w:rPr>
                <w:szCs w:val="24"/>
              </w:rPr>
              <w:t>Material Selection Process</w:t>
            </w:r>
            <w:r w:rsidR="00707DA5">
              <w:rPr>
                <w:szCs w:val="24"/>
              </w:rPr>
              <w:t xml:space="preserve"> </w:t>
            </w:r>
            <w:r w:rsidR="00776092">
              <w:rPr>
                <w:szCs w:val="24"/>
              </w:rPr>
              <w:t>and Design Life Justification</w:t>
            </w:r>
            <w:r w:rsidR="001D4826">
              <w:rPr>
                <w:szCs w:val="24"/>
              </w:rPr>
              <w:t xml:space="preserve"> </w:t>
            </w:r>
            <w:r w:rsidR="002B6E2B">
              <w:rPr>
                <w:szCs w:val="24"/>
              </w:rPr>
              <w:t>of</w:t>
            </w:r>
            <w:r w:rsidR="001D4826">
              <w:rPr>
                <w:szCs w:val="24"/>
              </w:rPr>
              <w:t xml:space="preserve"> the SMR-300</w:t>
            </w:r>
          </w:p>
        </w:tc>
      </w:tr>
      <w:tr w:rsidR="00CC67B6" w:rsidRPr="00445BD4" w14:paraId="4573E043" w14:textId="77777777" w:rsidTr="0516D65D">
        <w:trPr>
          <w:trHeight w:val="202"/>
        </w:trPr>
        <w:tc>
          <w:tcPr>
            <w:tcW w:w="4948" w:type="dxa"/>
          </w:tcPr>
          <w:p w14:paraId="2C943558" w14:textId="1333D360" w:rsidR="0087645C" w:rsidRPr="00445BD4" w:rsidRDefault="00CC67B6" w:rsidP="00765A20">
            <w:pPr>
              <w:spacing w:before="60" w:after="60"/>
              <w:rPr>
                <w:szCs w:val="24"/>
              </w:rPr>
            </w:pPr>
            <w:r w:rsidRPr="00445BD4">
              <w:rPr>
                <w:b/>
                <w:szCs w:val="24"/>
              </w:rPr>
              <w:t>Lead technical topic:</w:t>
            </w:r>
          </w:p>
          <w:p w14:paraId="4CCF2E8F" w14:textId="7EF1F730" w:rsidR="0087645C" w:rsidRPr="00445BD4" w:rsidRDefault="00CF3141" w:rsidP="0087645C">
            <w:pPr>
              <w:spacing w:before="60" w:after="60"/>
              <w:rPr>
                <w:szCs w:val="24"/>
              </w:rPr>
            </w:pPr>
            <w:r w:rsidRPr="00445BD4">
              <w:rPr>
                <w:szCs w:val="24"/>
              </w:rPr>
              <w:t>Structural Integrity</w:t>
            </w:r>
          </w:p>
          <w:p w14:paraId="4573E040" w14:textId="3EE0C220" w:rsidR="00CC67B6" w:rsidRPr="00445BD4" w:rsidRDefault="00CC67B6" w:rsidP="0087645C">
            <w:pPr>
              <w:pStyle w:val="ListParagraph"/>
              <w:spacing w:before="60" w:after="60"/>
              <w:ind w:left="0"/>
              <w:rPr>
                <w:szCs w:val="24"/>
              </w:rPr>
            </w:pPr>
          </w:p>
        </w:tc>
        <w:tc>
          <w:tcPr>
            <w:tcW w:w="4949" w:type="dxa"/>
          </w:tcPr>
          <w:p w14:paraId="411BB36A" w14:textId="3EA400FF" w:rsidR="003A6935" w:rsidRPr="00445BD4" w:rsidRDefault="00CC67B6" w:rsidP="00765A20">
            <w:pPr>
              <w:spacing w:before="60" w:after="60"/>
              <w:rPr>
                <w:b/>
                <w:szCs w:val="24"/>
              </w:rPr>
            </w:pPr>
            <w:r w:rsidRPr="00445BD4">
              <w:rPr>
                <w:b/>
                <w:szCs w:val="24"/>
              </w:rPr>
              <w:t>Related technical topic(s):</w:t>
            </w:r>
          </w:p>
          <w:p w14:paraId="5EBEAE4B" w14:textId="77777777" w:rsidR="003A6935" w:rsidRPr="00445BD4" w:rsidRDefault="003A6935" w:rsidP="003A6935">
            <w:pPr>
              <w:spacing w:before="60" w:after="60"/>
              <w:rPr>
                <w:szCs w:val="24"/>
              </w:rPr>
            </w:pPr>
            <w:r w:rsidRPr="00445BD4">
              <w:rPr>
                <w:szCs w:val="24"/>
              </w:rPr>
              <w:t>Chemistry</w:t>
            </w:r>
          </w:p>
          <w:p w14:paraId="54314ECF" w14:textId="77777777" w:rsidR="003A6935" w:rsidRPr="00445BD4" w:rsidRDefault="003A6935" w:rsidP="003A6935">
            <w:pPr>
              <w:spacing w:before="60" w:after="60"/>
              <w:rPr>
                <w:szCs w:val="24"/>
              </w:rPr>
            </w:pPr>
            <w:r w:rsidRPr="00445BD4">
              <w:rPr>
                <w:szCs w:val="24"/>
              </w:rPr>
              <w:t>Civil Engineering</w:t>
            </w:r>
          </w:p>
          <w:p w14:paraId="3CB201B2" w14:textId="77777777" w:rsidR="003A6935" w:rsidRPr="00445BD4" w:rsidRDefault="003A6935" w:rsidP="003A6935">
            <w:pPr>
              <w:spacing w:before="60" w:after="60"/>
              <w:rPr>
                <w:szCs w:val="24"/>
              </w:rPr>
            </w:pPr>
            <w:r w:rsidRPr="00445BD4">
              <w:rPr>
                <w:szCs w:val="24"/>
              </w:rPr>
              <w:t>Fault Studies</w:t>
            </w:r>
          </w:p>
          <w:p w14:paraId="13F7D1E6" w14:textId="77777777" w:rsidR="003A6935" w:rsidRPr="00445BD4" w:rsidRDefault="003A6935" w:rsidP="003A6935">
            <w:pPr>
              <w:spacing w:before="60" w:after="60"/>
              <w:rPr>
                <w:szCs w:val="24"/>
              </w:rPr>
            </w:pPr>
            <w:r w:rsidRPr="00445BD4">
              <w:rPr>
                <w:szCs w:val="24"/>
              </w:rPr>
              <w:t>Fuel and Core</w:t>
            </w:r>
          </w:p>
          <w:p w14:paraId="7E96E90E" w14:textId="2F22DF63" w:rsidR="003A6935" w:rsidRPr="00445BD4" w:rsidRDefault="003A6935" w:rsidP="00765A20">
            <w:pPr>
              <w:spacing w:before="60" w:after="60"/>
              <w:rPr>
                <w:szCs w:val="24"/>
              </w:rPr>
            </w:pPr>
            <w:r w:rsidRPr="00445BD4">
              <w:rPr>
                <w:szCs w:val="24"/>
              </w:rPr>
              <w:t>Probabilistic Safety Analysis</w:t>
            </w:r>
          </w:p>
          <w:p w14:paraId="4573E042" w14:textId="5FEE4076" w:rsidR="00CC67B6" w:rsidRPr="00445BD4" w:rsidRDefault="003A6935" w:rsidP="00A93DFD">
            <w:pPr>
              <w:spacing w:before="60" w:after="60"/>
              <w:rPr>
                <w:szCs w:val="24"/>
              </w:rPr>
            </w:pPr>
            <w:r w:rsidRPr="00445BD4">
              <w:rPr>
                <w:szCs w:val="24"/>
              </w:rPr>
              <w:t>Radiological Protection</w:t>
            </w:r>
            <w:r w:rsidR="00CC67B6" w:rsidRPr="00445BD4">
              <w:rPr>
                <w:szCs w:val="24"/>
                <w:lang w:eastAsia="en-GB"/>
              </w:rPr>
              <w:fldChar w:fldCharType="begin"/>
            </w:r>
            <w:r w:rsidR="00CC67B6" w:rsidRPr="00445BD4">
              <w:rPr>
                <w:szCs w:val="24"/>
                <w:lang w:eastAsia="en-GB"/>
              </w:rPr>
              <w:instrText xml:space="preserve"> MERGEFIELD F10 </w:instrText>
            </w:r>
            <w:r w:rsidR="00CC67B6" w:rsidRPr="00445BD4">
              <w:rPr>
                <w:szCs w:val="24"/>
                <w:lang w:eastAsia="en-GB"/>
              </w:rPr>
              <w:fldChar w:fldCharType="end"/>
            </w:r>
          </w:p>
        </w:tc>
      </w:tr>
      <w:tr w:rsidR="00850471" w:rsidRPr="00445BD4" w14:paraId="4573E045" w14:textId="77777777" w:rsidTr="0516D65D">
        <w:trPr>
          <w:trHeight w:val="242"/>
        </w:trPr>
        <w:tc>
          <w:tcPr>
            <w:tcW w:w="9897" w:type="dxa"/>
            <w:gridSpan w:val="2"/>
            <w:shd w:val="clear" w:color="auto" w:fill="CCCCCC"/>
          </w:tcPr>
          <w:p w14:paraId="4573E044" w14:textId="7ECC632F" w:rsidR="00850471" w:rsidRPr="00445BD4" w:rsidRDefault="00581D5B" w:rsidP="0048438C">
            <w:pPr>
              <w:spacing w:before="60" w:after="60"/>
              <w:rPr>
                <w:b/>
                <w:iCs/>
                <w:szCs w:val="24"/>
              </w:rPr>
            </w:pPr>
            <w:r w:rsidRPr="00445BD4">
              <w:rPr>
                <w:b/>
                <w:iCs/>
                <w:szCs w:val="24"/>
              </w:rPr>
              <w:t>REGULATORY OBSERVATION:</w:t>
            </w:r>
          </w:p>
        </w:tc>
      </w:tr>
      <w:tr w:rsidR="00850471" w:rsidRPr="00445BD4" w14:paraId="4573E049" w14:textId="77777777" w:rsidTr="0516D65D">
        <w:tc>
          <w:tcPr>
            <w:tcW w:w="9897" w:type="dxa"/>
            <w:gridSpan w:val="2"/>
          </w:tcPr>
          <w:p w14:paraId="5EF4D99D" w14:textId="77777777" w:rsidR="00032745" w:rsidRDefault="00032745" w:rsidP="00032745">
            <w:pPr>
              <w:pStyle w:val="Heading1"/>
            </w:pPr>
            <w:r>
              <w:lastRenderedPageBreak/>
              <w:t>Background</w:t>
            </w:r>
          </w:p>
          <w:p w14:paraId="724D3B1E" w14:textId="77777777" w:rsidR="00032745" w:rsidRDefault="00032745" w:rsidP="00032745">
            <w:pPr>
              <w:pStyle w:val="F9-Paragraph"/>
            </w:pPr>
            <w:r>
              <w:t>The design and the choice of materials for each system, structure and component (SSC) of a nuclear reactor is influenced by several factors:</w:t>
            </w:r>
          </w:p>
          <w:p w14:paraId="17E1DAFF" w14:textId="0C6E57DC" w:rsidR="00032745" w:rsidRDefault="00032745" w:rsidP="00032745">
            <w:pPr>
              <w:pStyle w:val="Bulletlist1"/>
            </w:pPr>
            <w:r>
              <w:t>The nuclear safety function requirements of the SSC;</w:t>
            </w:r>
          </w:p>
          <w:p w14:paraId="4E9B2E18" w14:textId="77777777" w:rsidR="00032745" w:rsidRDefault="00032745" w:rsidP="00032745">
            <w:pPr>
              <w:pStyle w:val="Bulletlist1"/>
            </w:pPr>
            <w:r>
              <w:t>The tolerance to degradation of the SSC in the operating environment;</w:t>
            </w:r>
          </w:p>
          <w:p w14:paraId="3244372C" w14:textId="4B4D40F4" w:rsidR="00032745" w:rsidRDefault="00032745" w:rsidP="00032745">
            <w:pPr>
              <w:pStyle w:val="Bulletlist1"/>
            </w:pPr>
            <w:r>
              <w:t xml:space="preserve">The potential hazards and risks, which </w:t>
            </w:r>
            <w:r w:rsidR="0016335A">
              <w:t>should</w:t>
            </w:r>
            <w:r>
              <w:t xml:space="preserve"> either be eliminated, reduced and/or controlled.</w:t>
            </w:r>
          </w:p>
          <w:p w14:paraId="7E054E66" w14:textId="46BC3248" w:rsidR="00032745" w:rsidRDefault="00032745" w:rsidP="00032745">
            <w:pPr>
              <w:pStyle w:val="F9-Paragraph"/>
            </w:pPr>
            <w:r>
              <w:t xml:space="preserve">The justification for the design and materials selection for the main pressure components of the SMR-300, including the </w:t>
            </w:r>
            <w:r w:rsidR="00207854">
              <w:t>reactor pressure vessel (</w:t>
            </w:r>
            <w:r>
              <w:t>RPV</w:t>
            </w:r>
            <w:r w:rsidR="00207854">
              <w:t>)</w:t>
            </w:r>
            <w:r>
              <w:t xml:space="preserve">, steam generator, </w:t>
            </w:r>
            <w:r w:rsidR="00351FE1">
              <w:t>reactor coolant line</w:t>
            </w:r>
            <w:r>
              <w:t xml:space="preserve">, </w:t>
            </w:r>
            <w:r w:rsidR="00351FE1">
              <w:t xml:space="preserve">main steam line, </w:t>
            </w:r>
            <w:proofErr w:type="spellStart"/>
            <w:r w:rsidR="00351FE1">
              <w:t>pressuriser</w:t>
            </w:r>
            <w:proofErr w:type="spellEnd"/>
            <w:r w:rsidR="00351FE1">
              <w:t xml:space="preserve"> and </w:t>
            </w:r>
            <w:r>
              <w:t xml:space="preserve">accumulators, is therefore a balance between what </w:t>
            </w:r>
            <w:r w:rsidR="7F231EB8">
              <w:t>can practicably be</w:t>
            </w:r>
            <w:r>
              <w:t xml:space="preserve"> achieved and the nuclear safety risks. In reaching that balance, there should be a robust demonstration that the relevant risks have been considered and reduced “As Low As Reasonably Practicable” (ALARP)</w:t>
            </w:r>
            <w:r w:rsidR="00A435F0">
              <w:t xml:space="preserve"> </w:t>
            </w:r>
            <w:sdt>
              <w:sdtPr>
                <w:id w:val="477730911"/>
                <w:citation/>
              </w:sdtPr>
              <w:sdtEndPr/>
              <w:sdtContent>
                <w:r w:rsidR="00E01A23">
                  <w:fldChar w:fldCharType="begin"/>
                </w:r>
                <w:r w:rsidR="00E01A23">
                  <w:rPr>
                    <w:lang w:val="en-GB"/>
                  </w:rPr>
                  <w:instrText xml:space="preserve"> CITATION ONR_TAG005 \l 2057 </w:instrText>
                </w:r>
                <w:r w:rsidR="00E01A23">
                  <w:fldChar w:fldCharType="separate"/>
                </w:r>
                <w:r w:rsidR="00A77DB2" w:rsidRPr="00A77DB2">
                  <w:rPr>
                    <w:noProof/>
                    <w:lang w:val="en-GB"/>
                  </w:rPr>
                  <w:t>[1]</w:t>
                </w:r>
                <w:r w:rsidR="00E01A23">
                  <w:fldChar w:fldCharType="end"/>
                </w:r>
              </w:sdtContent>
            </w:sdt>
            <w:r>
              <w:t>.</w:t>
            </w:r>
          </w:p>
          <w:p w14:paraId="2C9DA0D5" w14:textId="77777777" w:rsidR="00032745" w:rsidRPr="00AB4539" w:rsidRDefault="00032745" w:rsidP="00032745">
            <w:pPr>
              <w:pStyle w:val="F9-Paragraph"/>
              <w:numPr>
                <w:ilvl w:val="0"/>
                <w:numId w:val="0"/>
              </w:numPr>
              <w:ind w:left="141"/>
              <w:rPr>
                <w:i/>
                <w:iCs/>
              </w:rPr>
            </w:pPr>
            <w:r w:rsidRPr="00AB4539">
              <w:rPr>
                <w:i/>
                <w:iCs/>
              </w:rPr>
              <w:t xml:space="preserve">Sections of the Preliminary Safety Report (PSR) which </w:t>
            </w:r>
            <w:r>
              <w:rPr>
                <w:i/>
                <w:iCs/>
              </w:rPr>
              <w:t>a</w:t>
            </w:r>
            <w:r w:rsidRPr="00AB4539">
              <w:rPr>
                <w:i/>
                <w:iCs/>
              </w:rPr>
              <w:t>re relevant to ageing and degradation management</w:t>
            </w:r>
          </w:p>
          <w:p w14:paraId="3C05F1F4" w14:textId="5D4A7BDC" w:rsidR="00933FD4" w:rsidRDefault="00032745" w:rsidP="009D6106">
            <w:pPr>
              <w:pStyle w:val="F9-Paragraph"/>
            </w:pPr>
            <w:r>
              <w:t xml:space="preserve">The Requesting Party (RP)’s PSR Part B Chapter 9 in </w:t>
            </w:r>
            <w:sdt>
              <w:sdtPr>
                <w:id w:val="1894541066"/>
                <w:citation/>
              </w:sdtPr>
              <w:sdtEndPr/>
              <w:sdtContent>
                <w:r>
                  <w:fldChar w:fldCharType="begin"/>
                </w:r>
                <w:r>
                  <w:instrText xml:space="preserve"> CITATION Hol24 \l 2057 </w:instrText>
                </w:r>
                <w:r>
                  <w:fldChar w:fldCharType="separate"/>
                </w:r>
                <w:r w:rsidR="00A77DB2">
                  <w:rPr>
                    <w:noProof/>
                  </w:rPr>
                  <w:t>[2]</w:t>
                </w:r>
                <w:r>
                  <w:fldChar w:fldCharType="end"/>
                </w:r>
              </w:sdtContent>
            </w:sdt>
            <w:r>
              <w:t xml:space="preserve"> </w:t>
            </w:r>
            <w:r w:rsidR="006D2240">
              <w:t xml:space="preserve">describes </w:t>
            </w:r>
            <w:r w:rsidR="004A434F">
              <w:t xml:space="preserve">how operational experience has informed </w:t>
            </w:r>
            <w:r w:rsidR="006D2240">
              <w:t>the RP’s approach to examination, inspection, maintenance and testing</w:t>
            </w:r>
            <w:r w:rsidR="00881898">
              <w:t xml:space="preserve"> </w:t>
            </w:r>
            <w:r>
              <w:t>(Section 9.6)</w:t>
            </w:r>
            <w:r w:rsidR="00F9057E">
              <w:t xml:space="preserve">. </w:t>
            </w:r>
            <w:r w:rsidR="00933FD4">
              <w:t xml:space="preserve">The RP identifies the need for </w:t>
            </w:r>
            <w:r w:rsidR="007918E3">
              <w:t xml:space="preserve">the effects of ageing and degradation to be evaluated </w:t>
            </w:r>
            <w:r w:rsidR="00A1221D">
              <w:t>to support the substantiation of the design.</w:t>
            </w:r>
          </w:p>
          <w:p w14:paraId="1E3F73F4" w14:textId="7DDB48D8" w:rsidR="00561238" w:rsidRDefault="00032745" w:rsidP="005C6A23">
            <w:pPr>
              <w:pStyle w:val="F9-Paragraph"/>
            </w:pPr>
            <w:r>
              <w:t xml:space="preserve">The RP’s documentation highlights inspections as the main vector for identifying and monitoring the effects of ageing and degradation on SSCs. </w:t>
            </w:r>
            <w:r w:rsidR="00561238">
              <w:t>It is however ONR’s expectation that the design, the material selection and the scope of SCC inspections is supported and informed by a robust ageing and degradation management strategy drawn out at the design stage. The inspections should not merely be aimed at demonstrating compliance with a design code, but to verify the assumptions of the ageing and degradation strategy.</w:t>
            </w:r>
          </w:p>
          <w:p w14:paraId="7A557C25" w14:textId="77777777" w:rsidR="00032745" w:rsidRPr="001841D2" w:rsidRDefault="00032745" w:rsidP="00032745">
            <w:pPr>
              <w:pStyle w:val="F9-Paragraph"/>
              <w:numPr>
                <w:ilvl w:val="0"/>
                <w:numId w:val="0"/>
              </w:numPr>
              <w:ind w:left="141"/>
              <w:rPr>
                <w:i/>
                <w:iCs/>
              </w:rPr>
            </w:pPr>
            <w:r w:rsidRPr="001841D2">
              <w:rPr>
                <w:i/>
                <w:iCs/>
              </w:rPr>
              <w:t>RQ-01599 – Ageing and Degradation</w:t>
            </w:r>
          </w:p>
          <w:p w14:paraId="3C888C54" w14:textId="6673039C" w:rsidR="00032745" w:rsidRDefault="00032745" w:rsidP="00032745">
            <w:pPr>
              <w:pStyle w:val="F9-Paragraph"/>
            </w:pPr>
            <w:r>
              <w:t xml:space="preserve">The RP provided details about ageing and degradation considerations in response to RQ-01599 (Ageing and Degradation) </w:t>
            </w:r>
            <w:sdt>
              <w:sdtPr>
                <w:id w:val="-1467357075"/>
                <w:citation/>
              </w:sdtPr>
              <w:sdtEndPr/>
              <w:sdtContent>
                <w:r>
                  <w:fldChar w:fldCharType="begin"/>
                </w:r>
                <w:r w:rsidR="003D4C8A">
                  <w:instrText xml:space="preserve">CITATION RQ0 \l 2057 </w:instrText>
                </w:r>
                <w:r>
                  <w:fldChar w:fldCharType="separate"/>
                </w:r>
                <w:r w:rsidR="00A77DB2">
                  <w:rPr>
                    <w:noProof/>
                  </w:rPr>
                  <w:t>[3]</w:t>
                </w:r>
                <w:r>
                  <w:fldChar w:fldCharType="end"/>
                </w:r>
              </w:sdtContent>
            </w:sdt>
            <w:r>
              <w:t xml:space="preserve">. In response to RQ-01599 </w:t>
            </w:r>
            <w:sdt>
              <w:sdtPr>
                <w:id w:val="895702697"/>
                <w:citation/>
              </w:sdtPr>
              <w:sdtEndPr/>
              <w:sdtContent>
                <w:r>
                  <w:fldChar w:fldCharType="begin"/>
                </w:r>
                <w:r w:rsidR="003D4C8A">
                  <w:instrText xml:space="preserve">CITATION RQ0 \l 2057 </w:instrText>
                </w:r>
                <w:r>
                  <w:fldChar w:fldCharType="separate"/>
                </w:r>
                <w:r w:rsidR="00A77DB2">
                  <w:rPr>
                    <w:noProof/>
                  </w:rPr>
                  <w:t>[3]</w:t>
                </w:r>
                <w:r>
                  <w:fldChar w:fldCharType="end"/>
                </w:r>
              </w:sdtContent>
            </w:sdt>
            <w:r>
              <w:t>, the RP states that:</w:t>
            </w:r>
          </w:p>
          <w:p w14:paraId="64F9D863" w14:textId="77777777" w:rsidR="0078271F" w:rsidRDefault="0078271F" w:rsidP="0078271F">
            <w:pPr>
              <w:pStyle w:val="F9-Paragraph"/>
              <w:numPr>
                <w:ilvl w:val="0"/>
                <w:numId w:val="0"/>
              </w:numPr>
              <w:ind w:left="501"/>
            </w:pPr>
            <w:r>
              <w:t>“</w:t>
            </w:r>
            <w:r w:rsidRPr="009102F5">
              <w:t xml:space="preserve">Aging Management is primarily identified and managed through compliance with ASME BPVC Section III and XI requirements. However, it is an expectation in the US that prospective licensees consider the design implications of needing to comply with aging management </w:t>
            </w:r>
            <w:proofErr w:type="spellStart"/>
            <w:r w:rsidRPr="009102F5">
              <w:t>programmes</w:t>
            </w:r>
            <w:proofErr w:type="spellEnd"/>
            <w:r w:rsidRPr="009102F5">
              <w:t xml:space="preserve"> beyond the initial licensing period of 40 years.</w:t>
            </w:r>
            <w:r>
              <w:t>”</w:t>
            </w:r>
          </w:p>
          <w:p w14:paraId="5FEF312B" w14:textId="3D0269EE" w:rsidR="0078271F" w:rsidRDefault="0078271F" w:rsidP="0078271F">
            <w:pPr>
              <w:pStyle w:val="F9-Paragraph"/>
            </w:pPr>
            <w:r>
              <w:t>The sections of the ASME design code highlighted in the RP’s response do not refer to a proactive approach for ageing and degradation management</w:t>
            </w:r>
            <w:r w:rsidR="00FE2D08">
              <w:t>,</w:t>
            </w:r>
            <w:r>
              <w:t xml:space="preserve"> but to relevant good </w:t>
            </w:r>
            <w:r>
              <w:lastRenderedPageBreak/>
              <w:t xml:space="preserve">practice for the design and for in-service inspections. The EPRI reference provided in response to RQ-01599 rightly states that the incubation periods for most proven materials will take a reasonably long period, in the order of two decades or more. However, the EPRI guidance does not justify, nor does it attempt to justify, an exemption to proactive ageing and degradation considerations at the design stage. </w:t>
            </w:r>
          </w:p>
          <w:p w14:paraId="763E2B57" w14:textId="77777777" w:rsidR="0078271F" w:rsidRPr="00957171" w:rsidRDefault="0078271F" w:rsidP="0078271F">
            <w:pPr>
              <w:pStyle w:val="F9-Paragraph"/>
              <w:numPr>
                <w:ilvl w:val="0"/>
                <w:numId w:val="0"/>
              </w:numPr>
              <w:ind w:left="141"/>
              <w:rPr>
                <w:i/>
                <w:iCs/>
              </w:rPr>
            </w:pPr>
            <w:r w:rsidRPr="00957171">
              <w:rPr>
                <w:i/>
                <w:iCs/>
              </w:rPr>
              <w:t>Potential regulatory shortfall</w:t>
            </w:r>
          </w:p>
          <w:p w14:paraId="361EFDDB" w14:textId="1C714719" w:rsidR="00EA27D0" w:rsidRDefault="00DB3BE0" w:rsidP="001C158E">
            <w:pPr>
              <w:pStyle w:val="F9-Paragraph"/>
            </w:pPr>
            <w:r>
              <w:t xml:space="preserve">Some of the pressure equipment of particular concern of structural integrity, such as the RPV and the steam generator, will be difficult to replace during the lifetime of the plant. </w:t>
            </w:r>
            <w:r w:rsidR="00EA27D0">
              <w:t xml:space="preserve">It is </w:t>
            </w:r>
            <w:r>
              <w:t xml:space="preserve">therefore </w:t>
            </w:r>
            <w:r w:rsidR="00EA27D0">
              <w:t>important for ONR to gain confidence in the RP’s considerations of ageing and degradation</w:t>
            </w:r>
            <w:r w:rsidR="00E01925">
              <w:t xml:space="preserve"> and how these considerations have influenced the design and the material selection of the SMR-300. </w:t>
            </w:r>
            <w:r w:rsidR="00B84BFC">
              <w:t xml:space="preserve">In the UK, there is an expectation that </w:t>
            </w:r>
            <w:r w:rsidR="00247A36">
              <w:t xml:space="preserve">ageing and degradation should be considered at the design stage in order to </w:t>
            </w:r>
            <w:r w:rsidR="00A7541E">
              <w:t xml:space="preserve">address </w:t>
            </w:r>
            <w:r w:rsidR="00247A36">
              <w:t xml:space="preserve">the risks of failures during operations (EAD.1, EAD.2). </w:t>
            </w:r>
            <w:r w:rsidR="00A63812">
              <w:t xml:space="preserve">This requires </w:t>
            </w:r>
            <w:r w:rsidR="00B94C97">
              <w:t xml:space="preserve">demonstrating an </w:t>
            </w:r>
            <w:r w:rsidR="00A63812">
              <w:t xml:space="preserve">understanding </w:t>
            </w:r>
            <w:r w:rsidR="00F13EC9">
              <w:t>of the effects of ageing an</w:t>
            </w:r>
            <w:r w:rsidR="3A896E3F">
              <w:t>d</w:t>
            </w:r>
            <w:r w:rsidR="00F13EC9">
              <w:t xml:space="preserve"> degradation mechanisms </w:t>
            </w:r>
            <w:r w:rsidR="1BDD7DA1">
              <w:t>through life</w:t>
            </w:r>
            <w:r w:rsidR="00F13EC9">
              <w:t xml:space="preserve"> </w:t>
            </w:r>
            <w:r w:rsidR="00A63812">
              <w:t xml:space="preserve">as well as </w:t>
            </w:r>
            <w:r w:rsidR="006039B9">
              <w:t xml:space="preserve">the ability to make </w:t>
            </w:r>
            <w:r w:rsidR="00045C1F">
              <w:t xml:space="preserve">conservative </w:t>
            </w:r>
            <w:r w:rsidR="00A63812">
              <w:t>predictions</w:t>
            </w:r>
            <w:r w:rsidR="006039B9">
              <w:t xml:space="preserve"> for the rates of </w:t>
            </w:r>
            <w:r w:rsidR="00A63812">
              <w:t xml:space="preserve">degradation. </w:t>
            </w:r>
            <w:r w:rsidR="007E6CF5">
              <w:t xml:space="preserve">Ageing and degradation aspects are </w:t>
            </w:r>
            <w:r w:rsidR="00EA27D0">
              <w:t xml:space="preserve">particularly </w:t>
            </w:r>
            <w:r w:rsidR="00E01925">
              <w:t xml:space="preserve">important for the SMR-300 </w:t>
            </w:r>
            <w:r w:rsidR="005B2295">
              <w:t xml:space="preserve">given the </w:t>
            </w:r>
            <w:r w:rsidR="005C4A9D">
              <w:t>80</w:t>
            </w:r>
            <w:r w:rsidR="00583117">
              <w:t>-</w:t>
            </w:r>
            <w:r w:rsidR="005C4A9D">
              <w:t xml:space="preserve">year </w:t>
            </w:r>
            <w:r w:rsidR="005B2295">
              <w:t>life the RP claim</w:t>
            </w:r>
            <w:r w:rsidR="00A7541E">
              <w:t>s</w:t>
            </w:r>
            <w:r w:rsidR="005B2295">
              <w:t xml:space="preserve"> for the </w:t>
            </w:r>
            <w:r w:rsidR="008C0BEF">
              <w:t>design</w:t>
            </w:r>
            <w:r w:rsidR="00EA27D0">
              <w:t>.</w:t>
            </w:r>
          </w:p>
          <w:p w14:paraId="062377DC" w14:textId="6B8D4121" w:rsidR="00867F39" w:rsidRDefault="00CE5E61" w:rsidP="00CE5E61">
            <w:pPr>
              <w:pStyle w:val="F9-Paragraph"/>
            </w:pPr>
            <w:r w:rsidRPr="00F06E78">
              <w:t>US experts have identified "important technical issues that still need to be addressed" for lifetime extensions beyond 40 or 60 years due to potential interactions between different ageing and degradation mechanisms</w:t>
            </w:r>
            <w:r>
              <w:t xml:space="preserve"> </w:t>
            </w:r>
            <w:sdt>
              <w:sdtPr>
                <w:id w:val="275678995"/>
                <w:citation/>
              </w:sdtPr>
              <w:sdtEndPr/>
              <w:sdtContent>
                <w:r>
                  <w:fldChar w:fldCharType="begin"/>
                </w:r>
                <w:r>
                  <w:rPr>
                    <w:lang w:val="en-GB"/>
                  </w:rPr>
                  <w:instrText xml:space="preserve">CITATION USN14 \l 2057 </w:instrText>
                </w:r>
                <w:r>
                  <w:fldChar w:fldCharType="separate"/>
                </w:r>
                <w:r w:rsidRPr="00A77DB2">
                  <w:rPr>
                    <w:noProof/>
                    <w:lang w:val="en-GB"/>
                  </w:rPr>
                  <w:t>[4]</w:t>
                </w:r>
                <w:r>
                  <w:fldChar w:fldCharType="end"/>
                </w:r>
              </w:sdtContent>
            </w:sdt>
            <w:r w:rsidRPr="00F06E78">
              <w:t>.</w:t>
            </w:r>
            <w:r>
              <w:t xml:space="preserve"> </w:t>
            </w:r>
            <w:r w:rsidRPr="00F06E78">
              <w:t>The US panel of experts concludes that the ageing and degradation conditions in steel</w:t>
            </w:r>
            <w:r>
              <w:t xml:space="preserve"> </w:t>
            </w:r>
            <w:r w:rsidRPr="00F06E78">
              <w:t>structures and components will need to be "addressed to reduce the uncertainties in RPV material behavior" with respect to operating in these extended lifetime regimes</w:t>
            </w:r>
            <w:r>
              <w:t>.</w:t>
            </w:r>
            <w:r w:rsidR="00867F39">
              <w:t xml:space="preserve"> </w:t>
            </w:r>
          </w:p>
          <w:p w14:paraId="4CF3B67B" w14:textId="77777777" w:rsidR="00980C44" w:rsidRDefault="00980C44" w:rsidP="00867F39">
            <w:pPr>
              <w:pStyle w:val="F9-Paragraph"/>
            </w:pPr>
            <w:r>
              <w:t>It is unclear from the RP’s safety justification how a proactive approach to ageing and degradation has informed and influenced the design and the material selection for the main pressure components of the SMR-300.</w:t>
            </w:r>
          </w:p>
          <w:p w14:paraId="19B9E49A" w14:textId="516A0F4C" w:rsidR="00867F39" w:rsidRDefault="00867F39" w:rsidP="00867F39">
            <w:pPr>
              <w:pStyle w:val="F9-Paragraph"/>
            </w:pPr>
            <w:r>
              <w:t xml:space="preserve">Given the lack of operational experience beyond 60 years and the potential for complex </w:t>
            </w:r>
            <w:r w:rsidR="00E8411C">
              <w:t>and unexpected</w:t>
            </w:r>
            <w:r w:rsidR="00DF6C01">
              <w:t xml:space="preserve"> </w:t>
            </w:r>
            <w:r>
              <w:t xml:space="preserve">long-term degradation effects in SSCs, it is unclear from the RP’s justification how the design life ambitions of the SMR-300 will be </w:t>
            </w:r>
            <w:r w:rsidR="00B6219B">
              <w:t>justified</w:t>
            </w:r>
            <w:r>
              <w:t xml:space="preserve">. </w:t>
            </w:r>
          </w:p>
          <w:p w14:paraId="617E95CD" w14:textId="1B24A7A2" w:rsidR="0078271F" w:rsidRDefault="00980C44" w:rsidP="00D9080E">
            <w:pPr>
              <w:pStyle w:val="F9-Paragraph"/>
            </w:pPr>
            <w:r>
              <w:t xml:space="preserve">There </w:t>
            </w:r>
            <w:r w:rsidR="0078271F">
              <w:t>is therefore a potential shortfall</w:t>
            </w:r>
            <w:r w:rsidR="00E9286F">
              <w:t xml:space="preserve"> in</w:t>
            </w:r>
            <w:r w:rsidR="0078271F">
              <w:t xml:space="preserve"> the RP’s approach with regards to ageing and degradation management</w:t>
            </w:r>
            <w:r w:rsidR="00830B30">
              <w:t xml:space="preserve"> against the relev</w:t>
            </w:r>
            <w:r w:rsidR="0049393D">
              <w:t>ant regulatory expectations highlighted in section 2 below.</w:t>
            </w:r>
          </w:p>
          <w:p w14:paraId="5045BF13" w14:textId="69096117" w:rsidR="0078271F" w:rsidRDefault="0078271F" w:rsidP="0078271F">
            <w:pPr>
              <w:pStyle w:val="F9-Paragraph"/>
            </w:pPr>
            <w:r>
              <w:t>The objective of this Regulatory Observation (RO) is for the RP to demonstrate a proactive approach to ageing and degradation management of SSCs and how ageing and degradation ha</w:t>
            </w:r>
            <w:r w:rsidR="00E91845">
              <w:t>s</w:t>
            </w:r>
            <w:r>
              <w:t xml:space="preserve"> informed the design</w:t>
            </w:r>
            <w:r w:rsidR="007A3BE5">
              <w:t xml:space="preserve">, </w:t>
            </w:r>
            <w:r>
              <w:t xml:space="preserve">the material selection </w:t>
            </w:r>
            <w:r w:rsidR="007A3BE5">
              <w:t xml:space="preserve">and the design life justification for </w:t>
            </w:r>
            <w:r>
              <w:t>the SMR-300.</w:t>
            </w:r>
          </w:p>
          <w:p w14:paraId="1EC0216F" w14:textId="77777777" w:rsidR="0078271F" w:rsidRDefault="0078271F" w:rsidP="0078271F">
            <w:pPr>
              <w:pStyle w:val="Heading1"/>
            </w:pPr>
            <w:r>
              <w:t>Relevant legislation, standards and guidance</w:t>
            </w:r>
          </w:p>
          <w:p w14:paraId="4BCF5785" w14:textId="77777777" w:rsidR="0078271F" w:rsidRDefault="0078271F" w:rsidP="0078271F">
            <w:pPr>
              <w:pStyle w:val="F9-Paragraph"/>
            </w:pPr>
            <w:r>
              <w:t xml:space="preserve">Relevant legislation, standards and guidance are </w:t>
            </w:r>
            <w:proofErr w:type="spellStart"/>
            <w:r>
              <w:t>summarised</w:t>
            </w:r>
            <w:proofErr w:type="spellEnd"/>
            <w:r>
              <w:t xml:space="preserve"> below:</w:t>
            </w:r>
          </w:p>
          <w:p w14:paraId="6C5D6BFF" w14:textId="721767B1" w:rsidR="0078271F" w:rsidRDefault="0078271F" w:rsidP="0078271F">
            <w:pPr>
              <w:pStyle w:val="Bulletlist1"/>
              <w:rPr>
                <w:szCs w:val="24"/>
              </w:rPr>
            </w:pPr>
            <w:r>
              <w:lastRenderedPageBreak/>
              <w:t>For highest reliability SSCs: SAP EMC.3 (c) and EMC.3(d)</w:t>
            </w:r>
            <w:r w:rsidR="00CC70FA">
              <w:t xml:space="preserve"> </w:t>
            </w:r>
            <w:sdt>
              <w:sdtPr>
                <w:id w:val="1185484422"/>
                <w:citation/>
              </w:sdtPr>
              <w:sdtEndPr/>
              <w:sdtContent>
                <w:r w:rsidR="00CC70FA">
                  <w:fldChar w:fldCharType="begin"/>
                </w:r>
                <w:r w:rsidR="00CC70FA">
                  <w:rPr>
                    <w:lang w:val="en-GB"/>
                  </w:rPr>
                  <w:instrText xml:space="preserve"> CITATION ONR3 \l 2057 </w:instrText>
                </w:r>
                <w:r w:rsidR="00CC70FA">
                  <w:fldChar w:fldCharType="separate"/>
                </w:r>
                <w:r w:rsidR="00A77DB2" w:rsidRPr="00A77DB2">
                  <w:rPr>
                    <w:noProof/>
                    <w:lang w:val="en-GB"/>
                  </w:rPr>
                  <w:t>[5]</w:t>
                </w:r>
                <w:r w:rsidR="00CC70FA">
                  <w:fldChar w:fldCharType="end"/>
                </w:r>
              </w:sdtContent>
            </w:sdt>
            <w:r>
              <w:t>;</w:t>
            </w:r>
          </w:p>
          <w:p w14:paraId="5704F7F1" w14:textId="0D6AFE41" w:rsidR="0078271F" w:rsidRDefault="0078271F" w:rsidP="0078271F">
            <w:pPr>
              <w:pStyle w:val="Bulletlist1"/>
            </w:pPr>
            <w:r>
              <w:t xml:space="preserve">For general nuclear SSCs: SAP EAD.1, EAD.2, EMC.11, EMC.13, EMC.33 </w:t>
            </w:r>
            <w:sdt>
              <w:sdtPr>
                <w:id w:val="-1739700186"/>
                <w:citation/>
              </w:sdtPr>
              <w:sdtEndPr/>
              <w:sdtContent>
                <w:r w:rsidR="00CC70FA">
                  <w:fldChar w:fldCharType="begin"/>
                </w:r>
                <w:r w:rsidR="00CC70FA">
                  <w:rPr>
                    <w:lang w:val="en-GB"/>
                  </w:rPr>
                  <w:instrText xml:space="preserve"> CITATION ONR3 \l 2057 </w:instrText>
                </w:r>
                <w:r w:rsidR="00CC70FA">
                  <w:fldChar w:fldCharType="separate"/>
                </w:r>
                <w:r w:rsidR="00A77DB2" w:rsidRPr="00A77DB2">
                  <w:rPr>
                    <w:noProof/>
                    <w:lang w:val="en-GB"/>
                  </w:rPr>
                  <w:t>[5]</w:t>
                </w:r>
                <w:r w:rsidR="00CC70FA">
                  <w:fldChar w:fldCharType="end"/>
                </w:r>
              </w:sdtContent>
            </w:sdt>
            <w:r w:rsidR="00CC70FA">
              <w:t>;</w:t>
            </w:r>
          </w:p>
          <w:p w14:paraId="74A8BE60" w14:textId="29DDB8AA" w:rsidR="0078271F" w:rsidRDefault="0078271F" w:rsidP="0078271F">
            <w:pPr>
              <w:pStyle w:val="Bulletlist1"/>
            </w:pPr>
            <w:r>
              <w:t xml:space="preserve">ONR guidance in </w:t>
            </w:r>
            <w:r w:rsidRPr="00B1161D">
              <w:t>NS-TAST-GD-</w:t>
            </w:r>
            <w:r>
              <w:t xml:space="preserve">109 </w:t>
            </w:r>
            <w:sdt>
              <w:sdtPr>
                <w:id w:val="-904830631"/>
                <w:citation/>
              </w:sdtPr>
              <w:sdtEndPr/>
              <w:sdtContent>
                <w:r>
                  <w:fldChar w:fldCharType="begin"/>
                </w:r>
                <w:r w:rsidR="00313ABE">
                  <w:instrText xml:space="preserve">CITATION NST23 \l 2057 </w:instrText>
                </w:r>
                <w:r>
                  <w:fldChar w:fldCharType="separate"/>
                </w:r>
                <w:r w:rsidR="00A77DB2" w:rsidRPr="00A77DB2">
                  <w:rPr>
                    <w:noProof/>
                  </w:rPr>
                  <w:t>[6]</w:t>
                </w:r>
                <w:r>
                  <w:fldChar w:fldCharType="end"/>
                </w:r>
              </w:sdtContent>
            </w:sdt>
            <w:r>
              <w:t xml:space="preserve"> and </w:t>
            </w:r>
            <w:r w:rsidRPr="00B1161D">
              <w:t>NS-TAST-GD-016</w:t>
            </w:r>
            <w:r>
              <w:t xml:space="preserve"> </w:t>
            </w:r>
            <w:sdt>
              <w:sdtPr>
                <w:id w:val="-630634128"/>
                <w:citation/>
              </w:sdtPr>
              <w:sdtEndPr/>
              <w:sdtContent>
                <w:r w:rsidR="00CC70FA">
                  <w:fldChar w:fldCharType="begin"/>
                </w:r>
                <w:r w:rsidR="00CC70FA">
                  <w:rPr>
                    <w:lang w:val="en-GB"/>
                  </w:rPr>
                  <w:instrText xml:space="preserve"> CITATION NST24 \l 2057 </w:instrText>
                </w:r>
                <w:r w:rsidR="00CC70FA">
                  <w:fldChar w:fldCharType="separate"/>
                </w:r>
                <w:r w:rsidR="00A77DB2" w:rsidRPr="00A77DB2">
                  <w:rPr>
                    <w:noProof/>
                    <w:lang w:val="en-GB"/>
                  </w:rPr>
                  <w:t>[7]</w:t>
                </w:r>
                <w:r w:rsidR="00CC70FA">
                  <w:fldChar w:fldCharType="end"/>
                </w:r>
              </w:sdtContent>
            </w:sdt>
            <w:r w:rsidR="00CC70FA">
              <w:t>;</w:t>
            </w:r>
          </w:p>
          <w:p w14:paraId="0AE95231" w14:textId="42793F43" w:rsidR="00542F7A" w:rsidRDefault="00542F7A" w:rsidP="00542F7A">
            <w:pPr>
              <w:pStyle w:val="Bulletlist1"/>
            </w:pPr>
            <w:r>
              <w:t xml:space="preserve">ONR’s guidance for GDA in Section 3.20 relevant to structural integrity </w:t>
            </w:r>
            <w:r w:rsidR="00CC70FA">
              <w:t xml:space="preserve">in </w:t>
            </w:r>
            <w:sdt>
              <w:sdtPr>
                <w:id w:val="639535692"/>
                <w:citation/>
              </w:sdtPr>
              <w:sdtEndPr/>
              <w:sdtContent>
                <w:r w:rsidR="00EA295B">
                  <w:fldChar w:fldCharType="begin"/>
                </w:r>
                <w:r w:rsidR="00EA295B">
                  <w:rPr>
                    <w:lang w:val="en-GB"/>
                  </w:rPr>
                  <w:instrText xml:space="preserve"> CITATION ONR5 \l 2057 </w:instrText>
                </w:r>
                <w:r w:rsidR="00EA295B">
                  <w:fldChar w:fldCharType="separate"/>
                </w:r>
                <w:r w:rsidR="00A77DB2" w:rsidRPr="00A77DB2">
                  <w:rPr>
                    <w:noProof/>
                    <w:lang w:val="en-GB"/>
                  </w:rPr>
                  <w:t>[8]</w:t>
                </w:r>
                <w:r w:rsidR="00EA295B">
                  <w:fldChar w:fldCharType="end"/>
                </w:r>
              </w:sdtContent>
            </w:sdt>
            <w:r>
              <w:t>;</w:t>
            </w:r>
          </w:p>
          <w:p w14:paraId="3402CA30" w14:textId="0646A6C9" w:rsidR="00542F7A" w:rsidRDefault="00542F7A" w:rsidP="00542F7A">
            <w:pPr>
              <w:pStyle w:val="Bulletlist1"/>
            </w:pPr>
            <w:r>
              <w:t xml:space="preserve">IAEA standards: </w:t>
            </w:r>
            <w:sdt>
              <w:sdtPr>
                <w:id w:val="264590335"/>
                <w:citation/>
              </w:sdtPr>
              <w:sdtEndPr/>
              <w:sdtContent>
                <w:r w:rsidR="00EA295B">
                  <w:fldChar w:fldCharType="begin"/>
                </w:r>
                <w:r w:rsidR="00EA295B">
                  <w:rPr>
                    <w:lang w:val="en-GB"/>
                  </w:rPr>
                  <w:instrText xml:space="preserve"> CITATION IAE18 \l 2057 </w:instrText>
                </w:r>
                <w:r w:rsidR="00EA295B">
                  <w:fldChar w:fldCharType="separate"/>
                </w:r>
                <w:r w:rsidR="00A77DB2" w:rsidRPr="00A77DB2">
                  <w:rPr>
                    <w:noProof/>
                    <w:lang w:val="en-GB"/>
                  </w:rPr>
                  <w:t>[9]</w:t>
                </w:r>
                <w:r w:rsidR="00EA295B">
                  <w:fldChar w:fldCharType="end"/>
                </w:r>
              </w:sdtContent>
            </w:sdt>
            <w:r w:rsidR="00EA295B">
              <w:t>,</w:t>
            </w:r>
            <w:sdt>
              <w:sdtPr>
                <w:id w:val="-1584983287"/>
                <w:citation/>
              </w:sdtPr>
              <w:sdtEndPr/>
              <w:sdtContent>
                <w:r w:rsidR="00EA295B">
                  <w:fldChar w:fldCharType="begin"/>
                </w:r>
                <w:r w:rsidR="00EA295B">
                  <w:rPr>
                    <w:lang w:val="en-GB"/>
                  </w:rPr>
                  <w:instrText xml:space="preserve"> CITATION IAE2 \l 2057 </w:instrText>
                </w:r>
                <w:r w:rsidR="00EA295B">
                  <w:fldChar w:fldCharType="separate"/>
                </w:r>
                <w:r w:rsidR="00A77DB2">
                  <w:rPr>
                    <w:noProof/>
                    <w:lang w:val="en-GB"/>
                  </w:rPr>
                  <w:t xml:space="preserve"> </w:t>
                </w:r>
                <w:r w:rsidR="00A77DB2" w:rsidRPr="00A77DB2">
                  <w:rPr>
                    <w:noProof/>
                    <w:lang w:val="en-GB"/>
                  </w:rPr>
                  <w:t>[10]</w:t>
                </w:r>
                <w:r w:rsidR="00EA295B">
                  <w:fldChar w:fldCharType="end"/>
                </w:r>
              </w:sdtContent>
            </w:sdt>
            <w:r w:rsidR="00EA295B">
              <w:t xml:space="preserve"> and</w:t>
            </w:r>
            <w:sdt>
              <w:sdtPr>
                <w:id w:val="1065216146"/>
                <w:citation/>
              </w:sdtPr>
              <w:sdtEndPr/>
              <w:sdtContent>
                <w:r w:rsidR="00EA295B">
                  <w:fldChar w:fldCharType="begin"/>
                </w:r>
                <w:r w:rsidR="00EA295B">
                  <w:rPr>
                    <w:lang w:val="en-GB"/>
                  </w:rPr>
                  <w:instrText xml:space="preserve"> CITATION IAE6 \l 2057 </w:instrText>
                </w:r>
                <w:r w:rsidR="00EA295B">
                  <w:fldChar w:fldCharType="separate"/>
                </w:r>
                <w:r w:rsidR="00A77DB2">
                  <w:rPr>
                    <w:noProof/>
                    <w:lang w:val="en-GB"/>
                  </w:rPr>
                  <w:t xml:space="preserve"> </w:t>
                </w:r>
                <w:r w:rsidR="00A77DB2" w:rsidRPr="00A77DB2">
                  <w:rPr>
                    <w:noProof/>
                    <w:lang w:val="en-GB"/>
                  </w:rPr>
                  <w:t>[11]</w:t>
                </w:r>
                <w:r w:rsidR="00EA295B">
                  <w:fldChar w:fldCharType="end"/>
                </w:r>
              </w:sdtContent>
            </w:sdt>
            <w:r w:rsidR="0042675D">
              <w:t xml:space="preserve">, </w:t>
            </w:r>
            <w:sdt>
              <w:sdtPr>
                <w:id w:val="898478698"/>
                <w:citation/>
              </w:sdtPr>
              <w:sdtEndPr/>
              <w:sdtContent>
                <w:r w:rsidR="00C031DD">
                  <w:fldChar w:fldCharType="begin"/>
                </w:r>
                <w:r w:rsidR="00C031DD">
                  <w:rPr>
                    <w:lang w:val="en-GB"/>
                  </w:rPr>
                  <w:instrText xml:space="preserve"> CITATION IAE171 \l 2057 </w:instrText>
                </w:r>
                <w:r w:rsidR="00C031DD">
                  <w:fldChar w:fldCharType="separate"/>
                </w:r>
                <w:r w:rsidR="00A77DB2" w:rsidRPr="00A77DB2">
                  <w:rPr>
                    <w:noProof/>
                    <w:lang w:val="en-GB"/>
                  </w:rPr>
                  <w:t>[12]</w:t>
                </w:r>
                <w:r w:rsidR="00C031DD">
                  <w:fldChar w:fldCharType="end"/>
                </w:r>
              </w:sdtContent>
            </w:sdt>
            <w:r w:rsidR="00C031DD">
              <w:t xml:space="preserve"> and</w:t>
            </w:r>
            <w:sdt>
              <w:sdtPr>
                <w:id w:val="-1449623271"/>
                <w:citation/>
              </w:sdtPr>
              <w:sdtEndPr/>
              <w:sdtContent>
                <w:r w:rsidR="00C031DD">
                  <w:fldChar w:fldCharType="begin"/>
                </w:r>
                <w:r w:rsidR="00C031DD">
                  <w:rPr>
                    <w:lang w:val="en-GB"/>
                  </w:rPr>
                  <w:instrText xml:space="preserve"> CITATION IAE5 \l 2057 </w:instrText>
                </w:r>
                <w:r w:rsidR="00C031DD">
                  <w:fldChar w:fldCharType="separate"/>
                </w:r>
                <w:r w:rsidR="00A77DB2">
                  <w:rPr>
                    <w:noProof/>
                    <w:lang w:val="en-GB"/>
                  </w:rPr>
                  <w:t xml:space="preserve"> </w:t>
                </w:r>
                <w:r w:rsidR="00A77DB2" w:rsidRPr="00A77DB2">
                  <w:rPr>
                    <w:noProof/>
                    <w:lang w:val="en-GB"/>
                  </w:rPr>
                  <w:t>[13]</w:t>
                </w:r>
                <w:r w:rsidR="00C031DD">
                  <w:fldChar w:fldCharType="end"/>
                </w:r>
              </w:sdtContent>
            </w:sdt>
            <w:r w:rsidR="00EA295B">
              <w:t>;</w:t>
            </w:r>
          </w:p>
          <w:p w14:paraId="6A13699A" w14:textId="623D4BE9" w:rsidR="00542F7A" w:rsidRDefault="00542F7A" w:rsidP="00542F7A">
            <w:pPr>
              <w:pStyle w:val="Bulletlist1"/>
            </w:pPr>
            <w:r>
              <w:t xml:space="preserve">WENRA guidance </w:t>
            </w:r>
            <w:sdt>
              <w:sdtPr>
                <w:id w:val="807896757"/>
                <w:citation/>
              </w:sdtPr>
              <w:sdtEndPr/>
              <w:sdtContent>
                <w:r w:rsidR="000D7186">
                  <w:fldChar w:fldCharType="begin"/>
                </w:r>
                <w:r w:rsidR="000D7186">
                  <w:rPr>
                    <w:lang w:val="en-GB"/>
                  </w:rPr>
                  <w:instrText xml:space="preserve"> CITATION WEN17 \l 2057 </w:instrText>
                </w:r>
                <w:r w:rsidR="000D7186">
                  <w:fldChar w:fldCharType="separate"/>
                </w:r>
                <w:r w:rsidR="00A77DB2" w:rsidRPr="00A77DB2">
                  <w:rPr>
                    <w:noProof/>
                    <w:lang w:val="en-GB"/>
                  </w:rPr>
                  <w:t>[14]</w:t>
                </w:r>
                <w:r w:rsidR="000D7186">
                  <w:fldChar w:fldCharType="end"/>
                </w:r>
              </w:sdtContent>
            </w:sdt>
            <w:r w:rsidR="000D7186">
              <w:t>;</w:t>
            </w:r>
          </w:p>
          <w:p w14:paraId="05C734CE" w14:textId="0FBBE0DE" w:rsidR="00542F7A" w:rsidRDefault="00542F7A" w:rsidP="00542F7A">
            <w:pPr>
              <w:pStyle w:val="Bulletlist1"/>
            </w:pPr>
            <w:r>
              <w:t xml:space="preserve">EPRI recommended practice </w:t>
            </w:r>
            <w:sdt>
              <w:sdtPr>
                <w:id w:val="1147395782"/>
                <w:citation/>
              </w:sdtPr>
              <w:sdtEndPr/>
              <w:sdtContent>
                <w:r>
                  <w:fldChar w:fldCharType="begin"/>
                </w:r>
                <w:r w:rsidR="003D4C8A">
                  <w:instrText xml:space="preserve">CITATION EPRv3 \l 2057 </w:instrText>
                </w:r>
                <w:r>
                  <w:fldChar w:fldCharType="separate"/>
                </w:r>
                <w:r w:rsidR="00A77DB2" w:rsidRPr="00A77DB2">
                  <w:rPr>
                    <w:noProof/>
                  </w:rPr>
                  <w:t>[15]</w:t>
                </w:r>
                <w:r>
                  <w:fldChar w:fldCharType="end"/>
                </w:r>
              </w:sdtContent>
            </w:sdt>
            <w:r>
              <w:t>;</w:t>
            </w:r>
          </w:p>
          <w:p w14:paraId="46417FFA" w14:textId="3ADDA0F1" w:rsidR="00542F7A" w:rsidRDefault="00542F7A" w:rsidP="00542F7A">
            <w:pPr>
              <w:pStyle w:val="Bulletlist1"/>
            </w:pPr>
            <w:r>
              <w:t>USNRC NUREG guidance</w:t>
            </w:r>
            <w:sdt>
              <w:sdtPr>
                <w:id w:val="298421805"/>
                <w:citation/>
              </w:sdtPr>
              <w:sdtEndPr/>
              <w:sdtContent>
                <w:r w:rsidR="00246BD0">
                  <w:fldChar w:fldCharType="begin"/>
                </w:r>
                <w:r w:rsidR="00A77DB2">
                  <w:rPr>
                    <w:lang w:val="en-GB"/>
                  </w:rPr>
                  <w:instrText xml:space="preserve">CITATION USN14 \l 2057 </w:instrText>
                </w:r>
                <w:r w:rsidR="00246BD0">
                  <w:fldChar w:fldCharType="separate"/>
                </w:r>
                <w:r w:rsidR="00A77DB2">
                  <w:rPr>
                    <w:noProof/>
                    <w:lang w:val="en-GB"/>
                  </w:rPr>
                  <w:t xml:space="preserve"> </w:t>
                </w:r>
                <w:r w:rsidR="00A77DB2" w:rsidRPr="00A77DB2">
                  <w:rPr>
                    <w:noProof/>
                    <w:lang w:val="en-GB"/>
                  </w:rPr>
                  <w:t>[4]</w:t>
                </w:r>
                <w:r w:rsidR="00246BD0">
                  <w:fldChar w:fldCharType="end"/>
                </w:r>
              </w:sdtContent>
            </w:sdt>
            <w:r w:rsidR="00246BD0">
              <w:t xml:space="preserve">, </w:t>
            </w:r>
            <w:sdt>
              <w:sdtPr>
                <w:id w:val="239377971"/>
                <w:citation/>
              </w:sdtPr>
              <w:sdtEndPr/>
              <w:sdtContent>
                <w:r w:rsidR="000D7186">
                  <w:fldChar w:fldCharType="begin"/>
                </w:r>
                <w:r w:rsidR="000D7186">
                  <w:rPr>
                    <w:lang w:val="en-GB"/>
                  </w:rPr>
                  <w:instrText xml:space="preserve"> CITATION USN101 \l 2057 </w:instrText>
                </w:r>
                <w:r w:rsidR="000D7186">
                  <w:fldChar w:fldCharType="separate"/>
                </w:r>
                <w:r w:rsidR="00A77DB2" w:rsidRPr="00A77DB2">
                  <w:rPr>
                    <w:noProof/>
                    <w:lang w:val="en-GB"/>
                  </w:rPr>
                  <w:t>[16]</w:t>
                </w:r>
                <w:r w:rsidR="000D7186">
                  <w:fldChar w:fldCharType="end"/>
                </w:r>
              </w:sdtContent>
            </w:sdt>
            <w:r w:rsidR="000D7186">
              <w:t xml:space="preserve">, </w:t>
            </w:r>
            <w:sdt>
              <w:sdtPr>
                <w:id w:val="-1862652112"/>
                <w:citation/>
              </w:sdtPr>
              <w:sdtEndPr/>
              <w:sdtContent>
                <w:r w:rsidR="00021538">
                  <w:fldChar w:fldCharType="begin"/>
                </w:r>
                <w:r w:rsidR="00021538">
                  <w:rPr>
                    <w:lang w:val="en-GB"/>
                  </w:rPr>
                  <w:instrText xml:space="preserve"> CITATION USN \l 2057 </w:instrText>
                </w:r>
                <w:r w:rsidR="00021538">
                  <w:fldChar w:fldCharType="separate"/>
                </w:r>
                <w:r w:rsidR="00A77DB2" w:rsidRPr="00A77DB2">
                  <w:rPr>
                    <w:noProof/>
                    <w:lang w:val="en-GB"/>
                  </w:rPr>
                  <w:t>[17]</w:t>
                </w:r>
                <w:r w:rsidR="00021538">
                  <w:fldChar w:fldCharType="end"/>
                </w:r>
              </w:sdtContent>
            </w:sdt>
            <w:r w:rsidR="00246BD0">
              <w:t>;</w:t>
            </w:r>
          </w:p>
          <w:p w14:paraId="59D77C0D" w14:textId="4A5CF419" w:rsidR="00542F7A" w:rsidRDefault="00542F7A" w:rsidP="00542F7A">
            <w:pPr>
              <w:pStyle w:val="Bulletlist1"/>
            </w:pPr>
            <w:r>
              <w:t xml:space="preserve">Reduction of the risks to As Low As Reasonably Practicable (ALARP) </w:t>
            </w:r>
            <w:sdt>
              <w:sdtPr>
                <w:id w:val="-1025701930"/>
                <w:citation/>
              </w:sdtPr>
              <w:sdtEndPr/>
              <w:sdtContent>
                <w:r w:rsidR="00015197">
                  <w:fldChar w:fldCharType="begin"/>
                </w:r>
                <w:r w:rsidR="00015197">
                  <w:rPr>
                    <w:lang w:val="en-GB"/>
                  </w:rPr>
                  <w:instrText xml:space="preserve"> CITATION ONR_TAG005 \l 2057 </w:instrText>
                </w:r>
                <w:r w:rsidR="00015197">
                  <w:fldChar w:fldCharType="separate"/>
                </w:r>
                <w:r w:rsidR="00A77DB2" w:rsidRPr="00A77DB2">
                  <w:rPr>
                    <w:noProof/>
                    <w:lang w:val="en-GB"/>
                  </w:rPr>
                  <w:t>[1]</w:t>
                </w:r>
                <w:r w:rsidR="00015197">
                  <w:fldChar w:fldCharType="end"/>
                </w:r>
              </w:sdtContent>
            </w:sdt>
            <w:r w:rsidR="00015197">
              <w:t>.</w:t>
            </w:r>
          </w:p>
          <w:p w14:paraId="3ABEDD95" w14:textId="77777777" w:rsidR="00542F7A" w:rsidRDefault="00542F7A" w:rsidP="00542F7A">
            <w:pPr>
              <w:pStyle w:val="Heading1"/>
            </w:pPr>
            <w:r>
              <w:t>Regulatory Expectations</w:t>
            </w:r>
          </w:p>
          <w:p w14:paraId="47477552" w14:textId="78D311CC" w:rsidR="00542F7A" w:rsidRDefault="00542F7A" w:rsidP="00542F7A">
            <w:pPr>
              <w:pStyle w:val="F9-Paragraph"/>
            </w:pPr>
            <w:r>
              <w:t>ONR views international guidance and recommendations for ageing and degradation management, as described in IAEA, WENRA, USNRC and EPRI documents, as relevant good practice</w:t>
            </w:r>
            <w:r w:rsidR="005D4D31">
              <w:t xml:space="preserve"> (see reference section 4 below)</w:t>
            </w:r>
            <w:r>
              <w:t xml:space="preserve">. ONR’s expectations for ageing and degradation management (EMC.3(c), EMC.3(d), EMC.11, EMC.13, EAD.1 and EAD.2) align with </w:t>
            </w:r>
            <w:r w:rsidR="002C3D97">
              <w:t xml:space="preserve">that </w:t>
            </w:r>
            <w:r>
              <w:t>international recommended practice.</w:t>
            </w:r>
          </w:p>
          <w:p w14:paraId="1B6C9C9D" w14:textId="097FA532" w:rsidR="00542F7A" w:rsidRDefault="00542F7A" w:rsidP="00542F7A">
            <w:pPr>
              <w:pStyle w:val="F9-Paragraph"/>
            </w:pPr>
            <w:r w:rsidRPr="00C85FB1">
              <w:t xml:space="preserve">For </w:t>
            </w:r>
            <w:r w:rsidR="00BB136F">
              <w:t>metallic SSCs</w:t>
            </w:r>
            <w:r w:rsidRPr="00C85FB1">
              <w:t xml:space="preserve">, the consideration of ageing and degradation at the design stage and during service is long established </w:t>
            </w:r>
            <w:r>
              <w:t xml:space="preserve">relevant good </w:t>
            </w:r>
            <w:r w:rsidRPr="00C85FB1">
              <w:t>practice.</w:t>
            </w:r>
            <w:r>
              <w:t xml:space="preserve"> Reduction of risks </w:t>
            </w:r>
            <w:r w:rsidR="00B6219B">
              <w:t xml:space="preserve">associated with designs </w:t>
            </w:r>
            <w:r>
              <w:t xml:space="preserve">to “As Low As Reasonably Practicable” (ALARP) is a legal requirement in the UK </w:t>
            </w:r>
            <w:sdt>
              <w:sdtPr>
                <w:id w:val="1190102261"/>
                <w:citation/>
              </w:sdtPr>
              <w:sdtEndPr/>
              <w:sdtContent>
                <w:r w:rsidR="00015197">
                  <w:fldChar w:fldCharType="begin"/>
                </w:r>
                <w:r w:rsidR="00015197">
                  <w:rPr>
                    <w:lang w:val="en-GB"/>
                  </w:rPr>
                  <w:instrText xml:space="preserve"> CITATION ONR_TAG005 \l 2057 </w:instrText>
                </w:r>
                <w:r w:rsidR="00015197">
                  <w:fldChar w:fldCharType="separate"/>
                </w:r>
                <w:r w:rsidR="00A77DB2" w:rsidRPr="00A77DB2">
                  <w:rPr>
                    <w:noProof/>
                    <w:lang w:val="en-GB"/>
                  </w:rPr>
                  <w:t>[1]</w:t>
                </w:r>
                <w:r w:rsidR="00015197">
                  <w:fldChar w:fldCharType="end"/>
                </w:r>
              </w:sdtContent>
            </w:sdt>
            <w:r w:rsidR="00015197">
              <w:t>.</w:t>
            </w:r>
          </w:p>
          <w:p w14:paraId="30C0F400" w14:textId="77777777" w:rsidR="00542F7A" w:rsidRDefault="00542F7A" w:rsidP="00542F7A">
            <w:pPr>
              <w:pStyle w:val="F9-Paragraph"/>
            </w:pPr>
            <w:r>
              <w:t>It is fundamental for the RP to identify the relevant ageing and degradation mechanisms at the design stage and how these might affect the ability of the SSCs to continue to carry out their nuclear safety functions for the life of the plant.</w:t>
            </w:r>
          </w:p>
          <w:p w14:paraId="755D69FB" w14:textId="2B1BC4E9" w:rsidR="00542F7A" w:rsidRDefault="00542F7A" w:rsidP="00542F7A">
            <w:pPr>
              <w:pStyle w:val="F9-Paragraph"/>
            </w:pPr>
            <w:r>
              <w:t xml:space="preserve">It is </w:t>
            </w:r>
            <w:r w:rsidR="00B6219B">
              <w:t xml:space="preserve">also </w:t>
            </w:r>
            <w:r>
              <w:t xml:space="preserve">fundamental for the RP to demonstrate that the materials selected </w:t>
            </w:r>
            <w:r w:rsidR="00B6219B">
              <w:t xml:space="preserve">for the main pressure components of the SMR-300 </w:t>
            </w:r>
            <w:r>
              <w:t>are the result of a robust process which includes a review of operational experience and the predictions for the rates of degradation of the SSCs.</w:t>
            </w:r>
          </w:p>
          <w:p w14:paraId="1BB7B50D" w14:textId="77777777" w:rsidR="00542F7A" w:rsidRDefault="00542F7A" w:rsidP="00542F7A">
            <w:pPr>
              <w:pStyle w:val="F9-Paragraph"/>
            </w:pPr>
            <w:r w:rsidRPr="003F08A1">
              <w:t xml:space="preserve">Proactive </w:t>
            </w:r>
            <w:r>
              <w:t xml:space="preserve">ageing and degradation </w:t>
            </w:r>
            <w:r w:rsidRPr="003F08A1">
              <w:t>management should be employed through life to ensure related risks are effectively managed.</w:t>
            </w:r>
            <w:r>
              <w:t xml:space="preserve"> Ageing and degradation management should include all SSCs which are relevant to nuclear safety, including highest reliability components.</w:t>
            </w:r>
          </w:p>
          <w:p w14:paraId="54F496C7" w14:textId="18DD338D" w:rsidR="00AC3E49" w:rsidRDefault="00542F7A" w:rsidP="00542F7A">
            <w:pPr>
              <w:pStyle w:val="F9-Paragraph"/>
            </w:pPr>
            <w:r>
              <w:t xml:space="preserve">The expectation is that the RP delivers </w:t>
            </w:r>
            <w:r w:rsidR="00D56E13">
              <w:t xml:space="preserve">an ageing and degradation strategy </w:t>
            </w:r>
            <w:r>
              <w:t>following the UK and international guidelines, as presented in the references section [</w:t>
            </w:r>
            <w:r w:rsidR="007A2B0F">
              <w:t>8</w:t>
            </w:r>
            <w:r>
              <w:t>-</w:t>
            </w:r>
            <w:r w:rsidR="007A2B0F">
              <w:t>17</w:t>
            </w:r>
            <w:r>
              <w:t xml:space="preserve">] (list is non exhaustive). The RP should provide evidence that the </w:t>
            </w:r>
            <w:r w:rsidR="00DE7152">
              <w:t xml:space="preserve">ageing and degradation </w:t>
            </w:r>
            <w:r w:rsidR="00DE7152">
              <w:lastRenderedPageBreak/>
              <w:t>strategy</w:t>
            </w:r>
            <w:r>
              <w:t xml:space="preserve"> has been applied </w:t>
            </w:r>
            <w:r w:rsidR="00DE7152">
              <w:t xml:space="preserve">at the design stage of the SMR-300 </w:t>
            </w:r>
            <w:r>
              <w:t>to establish that the SSCs will be able to carry out their nuclear safety functions throughout their design life.</w:t>
            </w:r>
          </w:p>
          <w:p w14:paraId="46CB2C58" w14:textId="77777777" w:rsidR="00542F7A" w:rsidRDefault="00542F7A" w:rsidP="00542F7A">
            <w:pPr>
              <w:spacing w:before="60" w:after="60"/>
              <w:rPr>
                <w:szCs w:val="24"/>
              </w:rPr>
            </w:pPr>
          </w:p>
          <w:sdt>
            <w:sdtPr>
              <w:rPr>
                <w:b w:val="0"/>
                <w:kern w:val="0"/>
                <w:szCs w:val="22"/>
              </w:rPr>
              <w:id w:val="-29036560"/>
              <w:docPartObj>
                <w:docPartGallery w:val="Bibliographies"/>
                <w:docPartUnique/>
              </w:docPartObj>
            </w:sdtPr>
            <w:sdtEndPr/>
            <w:sdtContent>
              <w:p w14:paraId="2026F410" w14:textId="79D1C296" w:rsidR="00C43C8F" w:rsidRDefault="00C43C8F">
                <w:pPr>
                  <w:pStyle w:val="Heading1"/>
                </w:pPr>
                <w:r>
                  <w:t>References</w:t>
                </w:r>
              </w:p>
              <w:sdt>
                <w:sdtPr>
                  <w:id w:val="-573587230"/>
                  <w:bibliography/>
                </w:sdtPr>
                <w:sdtEndPr/>
                <w:sdtContent>
                  <w:p w14:paraId="1608DFBD" w14:textId="77777777" w:rsidR="00A77DB2" w:rsidRDefault="00C43C8F" w:rsidP="002875B4">
                    <w:pPr>
                      <w:rPr>
                        <w:rFonts w:ascii="Times New Roman" w:hAnsi="Times New Roman" w:cs="Times New Roman"/>
                        <w:noProof/>
                        <w:sz w:val="20"/>
                        <w:szCs w:val="20"/>
                        <w:lang w:val="en-GB" w:eastAsia="en-GB"/>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2"/>
                      <w:gridCol w:w="9141"/>
                    </w:tblGrid>
                    <w:tr w:rsidR="00A77DB2" w14:paraId="72018955" w14:textId="77777777" w:rsidTr="00A77DB2">
                      <w:trPr>
                        <w:divId w:val="1108817397"/>
                        <w:tblCellSpacing w:w="15" w:type="dxa"/>
                      </w:trPr>
                      <w:tc>
                        <w:tcPr>
                          <w:tcW w:w="305" w:type="pct"/>
                          <w:hideMark/>
                        </w:tcPr>
                        <w:p w14:paraId="0F4358EA" w14:textId="13E6BDB7" w:rsidR="00A77DB2" w:rsidRDefault="00A77DB2">
                          <w:pPr>
                            <w:pStyle w:val="Bibliography"/>
                            <w:rPr>
                              <w:noProof/>
                              <w:szCs w:val="24"/>
                            </w:rPr>
                          </w:pPr>
                          <w:r>
                            <w:rPr>
                              <w:noProof/>
                            </w:rPr>
                            <w:t xml:space="preserve">[1] </w:t>
                          </w:r>
                        </w:p>
                      </w:tc>
                      <w:tc>
                        <w:tcPr>
                          <w:tcW w:w="4649" w:type="pct"/>
                          <w:hideMark/>
                        </w:tcPr>
                        <w:p w14:paraId="25B6D476" w14:textId="77777777" w:rsidR="00A77DB2" w:rsidRDefault="00A77DB2">
                          <w:pPr>
                            <w:pStyle w:val="Bibliography"/>
                            <w:rPr>
                              <w:noProof/>
                            </w:rPr>
                          </w:pPr>
                          <w:r>
                            <w:rPr>
                              <w:noProof/>
                            </w:rPr>
                            <w:t>NS-TAST-GD-005. Revision 12.1, "Regulating duties to reduce risks to ALARP," ONR, 2024.</w:t>
                          </w:r>
                        </w:p>
                      </w:tc>
                    </w:tr>
                    <w:tr w:rsidR="00A77DB2" w14:paraId="26EA29E2" w14:textId="77777777" w:rsidTr="00A77DB2">
                      <w:trPr>
                        <w:divId w:val="1108817397"/>
                        <w:tblCellSpacing w:w="15" w:type="dxa"/>
                      </w:trPr>
                      <w:tc>
                        <w:tcPr>
                          <w:tcW w:w="305" w:type="pct"/>
                          <w:hideMark/>
                        </w:tcPr>
                        <w:p w14:paraId="3FFE733F" w14:textId="77777777" w:rsidR="00A77DB2" w:rsidRDefault="00A77DB2">
                          <w:pPr>
                            <w:pStyle w:val="Bibliography"/>
                            <w:rPr>
                              <w:noProof/>
                            </w:rPr>
                          </w:pPr>
                          <w:r>
                            <w:rPr>
                              <w:noProof/>
                            </w:rPr>
                            <w:t xml:space="preserve">[2] </w:t>
                          </w:r>
                        </w:p>
                      </w:tc>
                      <w:tc>
                        <w:tcPr>
                          <w:tcW w:w="4649" w:type="pct"/>
                          <w:hideMark/>
                        </w:tcPr>
                        <w:p w14:paraId="1F980AFC" w14:textId="77777777" w:rsidR="00A77DB2" w:rsidRDefault="00A77DB2">
                          <w:pPr>
                            <w:pStyle w:val="Bibliography"/>
                            <w:rPr>
                              <w:noProof/>
                            </w:rPr>
                          </w:pPr>
                          <w:r>
                            <w:rPr>
                              <w:noProof/>
                            </w:rPr>
                            <w:t>Holtec SMR GDA PSR PART B, "Chapter 9 Description of Operational Aspects/Conduct of Operations," Holtec Britain, HI-2240340, 24 June 2025.</w:t>
                          </w:r>
                        </w:p>
                      </w:tc>
                    </w:tr>
                    <w:tr w:rsidR="00A77DB2" w14:paraId="4A50E657" w14:textId="77777777" w:rsidTr="00A77DB2">
                      <w:trPr>
                        <w:divId w:val="1108817397"/>
                        <w:tblCellSpacing w:w="15" w:type="dxa"/>
                      </w:trPr>
                      <w:tc>
                        <w:tcPr>
                          <w:tcW w:w="305" w:type="pct"/>
                          <w:hideMark/>
                        </w:tcPr>
                        <w:p w14:paraId="00558FC2" w14:textId="77777777" w:rsidR="00A77DB2" w:rsidRDefault="00A77DB2">
                          <w:pPr>
                            <w:pStyle w:val="Bibliography"/>
                            <w:rPr>
                              <w:noProof/>
                            </w:rPr>
                          </w:pPr>
                          <w:r>
                            <w:rPr>
                              <w:noProof/>
                            </w:rPr>
                            <w:t xml:space="preserve">[3] </w:t>
                          </w:r>
                        </w:p>
                      </w:tc>
                      <w:tc>
                        <w:tcPr>
                          <w:tcW w:w="4649" w:type="pct"/>
                          <w:hideMark/>
                        </w:tcPr>
                        <w:p w14:paraId="6D78B1FB" w14:textId="77777777" w:rsidR="00A77DB2" w:rsidRDefault="00A77DB2">
                          <w:pPr>
                            <w:pStyle w:val="Bibliography"/>
                            <w:rPr>
                              <w:noProof/>
                            </w:rPr>
                          </w:pPr>
                          <w:r>
                            <w:rPr>
                              <w:noProof/>
                            </w:rPr>
                            <w:t>ONR Regulatory Query (RQ)-01599, "Structural Integrity: Ageing and Degradation," 14 February 2025.</w:t>
                          </w:r>
                        </w:p>
                      </w:tc>
                    </w:tr>
                    <w:tr w:rsidR="00A77DB2" w14:paraId="4575117B" w14:textId="77777777" w:rsidTr="00A77DB2">
                      <w:trPr>
                        <w:divId w:val="1108817397"/>
                        <w:tblCellSpacing w:w="15" w:type="dxa"/>
                      </w:trPr>
                      <w:tc>
                        <w:tcPr>
                          <w:tcW w:w="305" w:type="pct"/>
                          <w:hideMark/>
                        </w:tcPr>
                        <w:p w14:paraId="1CA17F15" w14:textId="77777777" w:rsidR="00A77DB2" w:rsidRDefault="00A77DB2">
                          <w:pPr>
                            <w:pStyle w:val="Bibliography"/>
                            <w:rPr>
                              <w:noProof/>
                            </w:rPr>
                          </w:pPr>
                          <w:r>
                            <w:rPr>
                              <w:noProof/>
                            </w:rPr>
                            <w:t xml:space="preserve">[4] </w:t>
                          </w:r>
                        </w:p>
                      </w:tc>
                      <w:tc>
                        <w:tcPr>
                          <w:tcW w:w="4649" w:type="pct"/>
                          <w:hideMark/>
                        </w:tcPr>
                        <w:p w14:paraId="7A951C8C" w14:textId="77777777" w:rsidR="00A77DB2" w:rsidRDefault="00A77DB2">
                          <w:pPr>
                            <w:pStyle w:val="Bibliography"/>
                            <w:rPr>
                              <w:noProof/>
                            </w:rPr>
                          </w:pPr>
                          <w:r>
                            <w:rPr>
                              <w:noProof/>
                            </w:rPr>
                            <w:t>NUREG/CR-7153, "Expanded Materials Degradation Assessment (EMDA)," US NRC, https://www.nrc.gov/, 2014.</w:t>
                          </w:r>
                        </w:p>
                      </w:tc>
                    </w:tr>
                    <w:tr w:rsidR="00A77DB2" w14:paraId="6297AE68" w14:textId="77777777" w:rsidTr="00A77DB2">
                      <w:trPr>
                        <w:divId w:val="1108817397"/>
                        <w:tblCellSpacing w:w="15" w:type="dxa"/>
                      </w:trPr>
                      <w:tc>
                        <w:tcPr>
                          <w:tcW w:w="305" w:type="pct"/>
                          <w:hideMark/>
                        </w:tcPr>
                        <w:p w14:paraId="372C87CE" w14:textId="77777777" w:rsidR="00A77DB2" w:rsidRDefault="00A77DB2">
                          <w:pPr>
                            <w:pStyle w:val="Bibliography"/>
                            <w:rPr>
                              <w:noProof/>
                            </w:rPr>
                          </w:pPr>
                          <w:r>
                            <w:rPr>
                              <w:noProof/>
                            </w:rPr>
                            <w:t xml:space="preserve">[5] </w:t>
                          </w:r>
                        </w:p>
                      </w:tc>
                      <w:tc>
                        <w:tcPr>
                          <w:tcW w:w="4649" w:type="pct"/>
                          <w:hideMark/>
                        </w:tcPr>
                        <w:p w14:paraId="4262C7CC" w14:textId="77777777" w:rsidR="00A77DB2" w:rsidRDefault="00A77DB2">
                          <w:pPr>
                            <w:pStyle w:val="Bibliography"/>
                            <w:rPr>
                              <w:noProof/>
                            </w:rPr>
                          </w:pPr>
                          <w:r>
                            <w:rPr>
                              <w:noProof/>
                            </w:rPr>
                            <w:t>ONR, "Safety Assessment Principles for Nuclear Facilities (SAPs), 2014 Edition, Revision 1," https://www.onr.org.uk/, 2020.</w:t>
                          </w:r>
                        </w:p>
                      </w:tc>
                    </w:tr>
                    <w:tr w:rsidR="00A77DB2" w14:paraId="005EEF4F" w14:textId="77777777" w:rsidTr="00A77DB2">
                      <w:trPr>
                        <w:divId w:val="1108817397"/>
                        <w:tblCellSpacing w:w="15" w:type="dxa"/>
                      </w:trPr>
                      <w:tc>
                        <w:tcPr>
                          <w:tcW w:w="305" w:type="pct"/>
                          <w:hideMark/>
                        </w:tcPr>
                        <w:p w14:paraId="700AA8B1" w14:textId="77777777" w:rsidR="00A77DB2" w:rsidRDefault="00A77DB2">
                          <w:pPr>
                            <w:pStyle w:val="Bibliography"/>
                            <w:rPr>
                              <w:noProof/>
                            </w:rPr>
                          </w:pPr>
                          <w:r>
                            <w:rPr>
                              <w:noProof/>
                            </w:rPr>
                            <w:t xml:space="preserve">[6] </w:t>
                          </w:r>
                        </w:p>
                      </w:tc>
                      <w:tc>
                        <w:tcPr>
                          <w:tcW w:w="4649" w:type="pct"/>
                          <w:hideMark/>
                        </w:tcPr>
                        <w:p w14:paraId="63F67121" w14:textId="77777777" w:rsidR="00A77DB2" w:rsidRDefault="00A77DB2">
                          <w:pPr>
                            <w:pStyle w:val="Bibliography"/>
                            <w:rPr>
                              <w:noProof/>
                            </w:rPr>
                          </w:pPr>
                          <w:r>
                            <w:rPr>
                              <w:noProof/>
                            </w:rPr>
                            <w:t>NS-TAST-GD-109, "Ageing and Degradation Management," https://www.onr.org.uk/, 2023.</w:t>
                          </w:r>
                        </w:p>
                      </w:tc>
                    </w:tr>
                    <w:tr w:rsidR="00A77DB2" w14:paraId="759722F4" w14:textId="77777777" w:rsidTr="00A77DB2">
                      <w:trPr>
                        <w:divId w:val="1108817397"/>
                        <w:tblCellSpacing w:w="15" w:type="dxa"/>
                      </w:trPr>
                      <w:tc>
                        <w:tcPr>
                          <w:tcW w:w="305" w:type="pct"/>
                          <w:hideMark/>
                        </w:tcPr>
                        <w:p w14:paraId="550F67E4" w14:textId="77777777" w:rsidR="00A77DB2" w:rsidRDefault="00A77DB2">
                          <w:pPr>
                            <w:pStyle w:val="Bibliography"/>
                            <w:rPr>
                              <w:noProof/>
                            </w:rPr>
                          </w:pPr>
                          <w:r>
                            <w:rPr>
                              <w:noProof/>
                            </w:rPr>
                            <w:t xml:space="preserve">[7] </w:t>
                          </w:r>
                        </w:p>
                      </w:tc>
                      <w:tc>
                        <w:tcPr>
                          <w:tcW w:w="4649" w:type="pct"/>
                          <w:hideMark/>
                        </w:tcPr>
                        <w:p w14:paraId="4B116687" w14:textId="77777777" w:rsidR="00A77DB2" w:rsidRDefault="00A77DB2">
                          <w:pPr>
                            <w:pStyle w:val="Bibliography"/>
                            <w:rPr>
                              <w:noProof/>
                            </w:rPr>
                          </w:pPr>
                          <w:r>
                            <w:rPr>
                              <w:noProof/>
                            </w:rPr>
                            <w:t>NS-TAST-GD-016, "Integrity of Metal Structures, Systems and Components, Version 7.1," Office for Nuclear Regulation, https://www.onr.org.uk/, 2024.</w:t>
                          </w:r>
                        </w:p>
                      </w:tc>
                    </w:tr>
                    <w:tr w:rsidR="00A77DB2" w14:paraId="10F6AA17" w14:textId="77777777" w:rsidTr="00A77DB2">
                      <w:trPr>
                        <w:divId w:val="1108817397"/>
                        <w:tblCellSpacing w:w="15" w:type="dxa"/>
                      </w:trPr>
                      <w:tc>
                        <w:tcPr>
                          <w:tcW w:w="305" w:type="pct"/>
                          <w:hideMark/>
                        </w:tcPr>
                        <w:p w14:paraId="4224E9A5" w14:textId="77777777" w:rsidR="00A77DB2" w:rsidRDefault="00A77DB2">
                          <w:pPr>
                            <w:pStyle w:val="Bibliography"/>
                            <w:rPr>
                              <w:noProof/>
                            </w:rPr>
                          </w:pPr>
                          <w:r>
                            <w:rPr>
                              <w:noProof/>
                            </w:rPr>
                            <w:t xml:space="preserve">[8] </w:t>
                          </w:r>
                        </w:p>
                      </w:tc>
                      <w:tc>
                        <w:tcPr>
                          <w:tcW w:w="4649" w:type="pct"/>
                          <w:hideMark/>
                        </w:tcPr>
                        <w:p w14:paraId="1D24344A" w14:textId="77777777" w:rsidR="00A77DB2" w:rsidRDefault="00A77DB2">
                          <w:pPr>
                            <w:pStyle w:val="Bibliography"/>
                            <w:rPr>
                              <w:noProof/>
                            </w:rPr>
                          </w:pPr>
                          <w:r>
                            <w:rPr>
                              <w:noProof/>
                            </w:rPr>
                            <w:t>ONR-GDA-GD-007, "New Nuclear Power Plants: Generic Design Assessment Technical Guidance," Revision 0, https://www.onr.org.uk/, 2019.</w:t>
                          </w:r>
                        </w:p>
                      </w:tc>
                    </w:tr>
                    <w:tr w:rsidR="00A77DB2" w14:paraId="2D0CA7D7" w14:textId="77777777" w:rsidTr="00A77DB2">
                      <w:trPr>
                        <w:divId w:val="1108817397"/>
                        <w:tblCellSpacing w:w="15" w:type="dxa"/>
                      </w:trPr>
                      <w:tc>
                        <w:tcPr>
                          <w:tcW w:w="305" w:type="pct"/>
                          <w:hideMark/>
                        </w:tcPr>
                        <w:p w14:paraId="61E7F877" w14:textId="77777777" w:rsidR="00A77DB2" w:rsidRDefault="00A77DB2">
                          <w:pPr>
                            <w:pStyle w:val="Bibliography"/>
                            <w:rPr>
                              <w:noProof/>
                            </w:rPr>
                          </w:pPr>
                          <w:r>
                            <w:rPr>
                              <w:noProof/>
                            </w:rPr>
                            <w:t xml:space="preserve">[9] </w:t>
                          </w:r>
                        </w:p>
                      </w:tc>
                      <w:tc>
                        <w:tcPr>
                          <w:tcW w:w="4649" w:type="pct"/>
                          <w:hideMark/>
                        </w:tcPr>
                        <w:p w14:paraId="1B33CB58" w14:textId="77777777" w:rsidR="00A77DB2" w:rsidRDefault="00A77DB2">
                          <w:pPr>
                            <w:pStyle w:val="Bibliography"/>
                            <w:rPr>
                              <w:noProof/>
                            </w:rPr>
                          </w:pPr>
                          <w:r>
                            <w:rPr>
                              <w:noProof/>
                            </w:rPr>
                            <w:t>IAEA Report, Specific Safety Guide No. SSG-48, "Ageing Management and Development of a Programme for Long Term Operation of Nuclear Power Plants," Vienna, 2018.</w:t>
                          </w:r>
                        </w:p>
                      </w:tc>
                    </w:tr>
                    <w:tr w:rsidR="00A77DB2" w14:paraId="3FC2066D" w14:textId="77777777" w:rsidTr="00A77DB2">
                      <w:trPr>
                        <w:divId w:val="1108817397"/>
                        <w:tblCellSpacing w:w="15" w:type="dxa"/>
                      </w:trPr>
                      <w:tc>
                        <w:tcPr>
                          <w:tcW w:w="305" w:type="pct"/>
                          <w:hideMark/>
                        </w:tcPr>
                        <w:p w14:paraId="598FB7C6" w14:textId="77777777" w:rsidR="00A77DB2" w:rsidRDefault="00A77DB2">
                          <w:pPr>
                            <w:pStyle w:val="Bibliography"/>
                            <w:rPr>
                              <w:noProof/>
                            </w:rPr>
                          </w:pPr>
                          <w:r>
                            <w:rPr>
                              <w:noProof/>
                            </w:rPr>
                            <w:t xml:space="preserve">[10] </w:t>
                          </w:r>
                        </w:p>
                      </w:tc>
                      <w:tc>
                        <w:tcPr>
                          <w:tcW w:w="4649" w:type="pct"/>
                          <w:hideMark/>
                        </w:tcPr>
                        <w:p w14:paraId="798A0A82" w14:textId="77777777" w:rsidR="00A77DB2" w:rsidRDefault="00A77DB2">
                          <w:pPr>
                            <w:pStyle w:val="Bibliography"/>
                            <w:rPr>
                              <w:noProof/>
                            </w:rPr>
                          </w:pPr>
                          <w:r>
                            <w:rPr>
                              <w:noProof/>
                            </w:rPr>
                            <w:t>IAEA TECDOC-1556, "Assessment and Management of Ageing of Major Nuclear Power Plant Components Important to Safety: PWR Pressure Vessels," International Atomic Energy Agency, Vienna, 2007.</w:t>
                          </w:r>
                        </w:p>
                      </w:tc>
                    </w:tr>
                    <w:tr w:rsidR="00A77DB2" w14:paraId="311B9080" w14:textId="77777777" w:rsidTr="00A77DB2">
                      <w:trPr>
                        <w:divId w:val="1108817397"/>
                        <w:tblCellSpacing w:w="15" w:type="dxa"/>
                      </w:trPr>
                      <w:tc>
                        <w:tcPr>
                          <w:tcW w:w="305" w:type="pct"/>
                          <w:hideMark/>
                        </w:tcPr>
                        <w:p w14:paraId="117D5E57" w14:textId="77777777" w:rsidR="00A77DB2" w:rsidRDefault="00A77DB2">
                          <w:pPr>
                            <w:pStyle w:val="Bibliography"/>
                            <w:rPr>
                              <w:noProof/>
                            </w:rPr>
                          </w:pPr>
                          <w:r>
                            <w:rPr>
                              <w:noProof/>
                            </w:rPr>
                            <w:t xml:space="preserve">[11] </w:t>
                          </w:r>
                        </w:p>
                      </w:tc>
                      <w:tc>
                        <w:tcPr>
                          <w:tcW w:w="4649" w:type="pct"/>
                          <w:hideMark/>
                        </w:tcPr>
                        <w:p w14:paraId="1198E1D0" w14:textId="77777777" w:rsidR="00A77DB2" w:rsidRDefault="00A77DB2">
                          <w:pPr>
                            <w:pStyle w:val="Bibliography"/>
                            <w:rPr>
                              <w:noProof/>
                            </w:rPr>
                          </w:pPr>
                          <w:r>
                            <w:rPr>
                              <w:noProof/>
                            </w:rPr>
                            <w:t>Specific Safety Requirements No. SSR-2/2, "Safety of Nuclear Plants: Commissioning and Operation, Revision 1," International Atomic Energy Agency, https://www-pub.iaea.org/, 2016.</w:t>
                          </w:r>
                        </w:p>
                      </w:tc>
                    </w:tr>
                    <w:tr w:rsidR="00A77DB2" w14:paraId="75F4D891" w14:textId="77777777" w:rsidTr="00A77DB2">
                      <w:trPr>
                        <w:divId w:val="1108817397"/>
                        <w:tblCellSpacing w:w="15" w:type="dxa"/>
                      </w:trPr>
                      <w:tc>
                        <w:tcPr>
                          <w:tcW w:w="305" w:type="pct"/>
                          <w:hideMark/>
                        </w:tcPr>
                        <w:p w14:paraId="09835139" w14:textId="77777777" w:rsidR="00A77DB2" w:rsidRDefault="00A77DB2">
                          <w:pPr>
                            <w:pStyle w:val="Bibliography"/>
                            <w:rPr>
                              <w:noProof/>
                            </w:rPr>
                          </w:pPr>
                          <w:r>
                            <w:rPr>
                              <w:noProof/>
                            </w:rPr>
                            <w:t xml:space="preserve">[12] </w:t>
                          </w:r>
                        </w:p>
                      </w:tc>
                      <w:tc>
                        <w:tcPr>
                          <w:tcW w:w="4649" w:type="pct"/>
                          <w:hideMark/>
                        </w:tcPr>
                        <w:p w14:paraId="0DCFBF91" w14:textId="77777777" w:rsidR="00A77DB2" w:rsidRDefault="00A77DB2">
                          <w:pPr>
                            <w:pStyle w:val="Bibliography"/>
                            <w:rPr>
                              <w:noProof/>
                            </w:rPr>
                          </w:pPr>
                          <w:r>
                            <w:rPr>
                              <w:noProof/>
                            </w:rPr>
                            <w:t>Nuclear Energy Series No. NP-T-3.24, "Handbook on ageing management for nuclear power plants," International Atomic Energy Agency, https://www.iaea.org/, 2017.</w:t>
                          </w:r>
                        </w:p>
                      </w:tc>
                    </w:tr>
                    <w:tr w:rsidR="00A77DB2" w14:paraId="6506AD4E" w14:textId="77777777" w:rsidTr="00A77DB2">
                      <w:trPr>
                        <w:divId w:val="1108817397"/>
                        <w:tblCellSpacing w:w="15" w:type="dxa"/>
                      </w:trPr>
                      <w:tc>
                        <w:tcPr>
                          <w:tcW w:w="305" w:type="pct"/>
                          <w:hideMark/>
                        </w:tcPr>
                        <w:p w14:paraId="4D252A09" w14:textId="77777777" w:rsidR="00A77DB2" w:rsidRDefault="00A77DB2">
                          <w:pPr>
                            <w:pStyle w:val="Bibliography"/>
                            <w:rPr>
                              <w:noProof/>
                            </w:rPr>
                          </w:pPr>
                          <w:r>
                            <w:rPr>
                              <w:noProof/>
                            </w:rPr>
                            <w:t xml:space="preserve">[13] </w:t>
                          </w:r>
                        </w:p>
                      </w:tc>
                      <w:tc>
                        <w:tcPr>
                          <w:tcW w:w="4649" w:type="pct"/>
                          <w:hideMark/>
                        </w:tcPr>
                        <w:p w14:paraId="25CA82BF" w14:textId="77777777" w:rsidR="00A77DB2" w:rsidRDefault="00A77DB2">
                          <w:pPr>
                            <w:pStyle w:val="Bibliography"/>
                            <w:rPr>
                              <w:noProof/>
                            </w:rPr>
                          </w:pPr>
                          <w:r>
                            <w:rPr>
                              <w:noProof/>
                            </w:rPr>
                            <w:t>Specific Safety Requirements No. SSR-2/1, "Safety Design of Nuclear Plants: Design, Revision 1," International Atomic Energy Agency, https://www-pub.iaea.org/, 2016.</w:t>
                          </w:r>
                        </w:p>
                      </w:tc>
                    </w:tr>
                    <w:tr w:rsidR="00A77DB2" w14:paraId="77954BB6" w14:textId="77777777" w:rsidTr="00A77DB2">
                      <w:trPr>
                        <w:divId w:val="1108817397"/>
                        <w:tblCellSpacing w:w="15" w:type="dxa"/>
                      </w:trPr>
                      <w:tc>
                        <w:tcPr>
                          <w:tcW w:w="305" w:type="pct"/>
                          <w:hideMark/>
                        </w:tcPr>
                        <w:p w14:paraId="4C3373F5" w14:textId="77777777" w:rsidR="00A77DB2" w:rsidRDefault="00A77DB2">
                          <w:pPr>
                            <w:pStyle w:val="Bibliography"/>
                            <w:rPr>
                              <w:noProof/>
                            </w:rPr>
                          </w:pPr>
                          <w:r>
                            <w:rPr>
                              <w:noProof/>
                            </w:rPr>
                            <w:t xml:space="preserve">[14] </w:t>
                          </w:r>
                        </w:p>
                      </w:tc>
                      <w:tc>
                        <w:tcPr>
                          <w:tcW w:w="4649" w:type="pct"/>
                          <w:hideMark/>
                        </w:tcPr>
                        <w:p w14:paraId="6CF46A0C" w14:textId="77777777" w:rsidR="00A77DB2" w:rsidRDefault="00A77DB2">
                          <w:pPr>
                            <w:pStyle w:val="Bibliography"/>
                            <w:rPr>
                              <w:noProof/>
                            </w:rPr>
                          </w:pPr>
                          <w:r>
                            <w:rPr>
                              <w:noProof/>
                            </w:rPr>
                            <w:t>WENRA Topical Peer Review, "Ageing Management Technical Specification for the National Assessment Reports," https://www.wenra.eu/, 2017.</w:t>
                          </w:r>
                        </w:p>
                      </w:tc>
                    </w:tr>
                    <w:tr w:rsidR="00A77DB2" w14:paraId="431DA678" w14:textId="77777777" w:rsidTr="00A77DB2">
                      <w:trPr>
                        <w:divId w:val="1108817397"/>
                        <w:tblCellSpacing w:w="15" w:type="dxa"/>
                      </w:trPr>
                      <w:tc>
                        <w:tcPr>
                          <w:tcW w:w="305" w:type="pct"/>
                          <w:hideMark/>
                        </w:tcPr>
                        <w:p w14:paraId="358680FA" w14:textId="77777777" w:rsidR="00A77DB2" w:rsidRDefault="00A77DB2">
                          <w:pPr>
                            <w:pStyle w:val="Bibliography"/>
                            <w:rPr>
                              <w:noProof/>
                            </w:rPr>
                          </w:pPr>
                          <w:r>
                            <w:rPr>
                              <w:noProof/>
                            </w:rPr>
                            <w:t xml:space="preserve">[15] </w:t>
                          </w:r>
                        </w:p>
                      </w:tc>
                      <w:tc>
                        <w:tcPr>
                          <w:tcW w:w="4649" w:type="pct"/>
                          <w:hideMark/>
                        </w:tcPr>
                        <w:p w14:paraId="040EB40A" w14:textId="77777777" w:rsidR="00A77DB2" w:rsidRDefault="00A77DB2">
                          <w:pPr>
                            <w:pStyle w:val="Bibliography"/>
                            <w:rPr>
                              <w:noProof/>
                            </w:rPr>
                          </w:pPr>
                          <w:r>
                            <w:rPr>
                              <w:noProof/>
                            </w:rPr>
                            <w:t>Electric Power Research Institute, "EPRI Materials Degradation Matrix," https://www.epri.com/, 2018.</w:t>
                          </w:r>
                        </w:p>
                      </w:tc>
                    </w:tr>
                    <w:tr w:rsidR="00A77DB2" w14:paraId="43FF48B7" w14:textId="77777777" w:rsidTr="00A77DB2">
                      <w:trPr>
                        <w:divId w:val="1108817397"/>
                        <w:tblCellSpacing w:w="15" w:type="dxa"/>
                      </w:trPr>
                      <w:tc>
                        <w:tcPr>
                          <w:tcW w:w="305" w:type="pct"/>
                          <w:hideMark/>
                        </w:tcPr>
                        <w:p w14:paraId="63882454" w14:textId="77777777" w:rsidR="00A77DB2" w:rsidRDefault="00A77DB2">
                          <w:pPr>
                            <w:pStyle w:val="Bibliography"/>
                            <w:rPr>
                              <w:noProof/>
                            </w:rPr>
                          </w:pPr>
                          <w:r>
                            <w:rPr>
                              <w:noProof/>
                            </w:rPr>
                            <w:t xml:space="preserve">[16] </w:t>
                          </w:r>
                        </w:p>
                      </w:tc>
                      <w:tc>
                        <w:tcPr>
                          <w:tcW w:w="4649" w:type="pct"/>
                          <w:hideMark/>
                        </w:tcPr>
                        <w:p w14:paraId="78E6A971" w14:textId="77777777" w:rsidR="00A77DB2" w:rsidRDefault="00A77DB2">
                          <w:pPr>
                            <w:pStyle w:val="Bibliography"/>
                            <w:rPr>
                              <w:noProof/>
                            </w:rPr>
                          </w:pPr>
                          <w:r>
                            <w:rPr>
                              <w:noProof/>
                            </w:rPr>
                            <w:t>NUREG-1801, "Generic Ageing Lessons Learned (GALL) Report," USNRC, https://www.nrc.gov/, 2010.</w:t>
                          </w:r>
                        </w:p>
                      </w:tc>
                    </w:tr>
                    <w:tr w:rsidR="00A77DB2" w14:paraId="13EDD38A" w14:textId="77777777" w:rsidTr="00A77DB2">
                      <w:trPr>
                        <w:divId w:val="1108817397"/>
                        <w:tblCellSpacing w:w="15" w:type="dxa"/>
                      </w:trPr>
                      <w:tc>
                        <w:tcPr>
                          <w:tcW w:w="305" w:type="pct"/>
                          <w:hideMark/>
                        </w:tcPr>
                        <w:p w14:paraId="33956747" w14:textId="77777777" w:rsidR="00A77DB2" w:rsidRDefault="00A77DB2">
                          <w:pPr>
                            <w:pStyle w:val="Bibliography"/>
                            <w:rPr>
                              <w:noProof/>
                            </w:rPr>
                          </w:pPr>
                          <w:r>
                            <w:rPr>
                              <w:noProof/>
                            </w:rPr>
                            <w:lastRenderedPageBreak/>
                            <w:t xml:space="preserve">[17] </w:t>
                          </w:r>
                        </w:p>
                      </w:tc>
                      <w:tc>
                        <w:tcPr>
                          <w:tcW w:w="4649" w:type="pct"/>
                          <w:hideMark/>
                        </w:tcPr>
                        <w:p w14:paraId="05A7DD9F" w14:textId="77777777" w:rsidR="00A77DB2" w:rsidRDefault="00A77DB2">
                          <w:pPr>
                            <w:pStyle w:val="Bibliography"/>
                            <w:rPr>
                              <w:noProof/>
                            </w:rPr>
                          </w:pPr>
                          <w:r>
                            <w:rPr>
                              <w:noProof/>
                            </w:rPr>
                            <w:t>NUREG/CR-6923, "Expert Panel Report on Proactive Materials Degradation Assessment," US NRC Report, https://www.nrc.gov/, 2007.</w:t>
                          </w:r>
                        </w:p>
                      </w:tc>
                    </w:tr>
                  </w:tbl>
                  <w:p w14:paraId="25D90025" w14:textId="77777777" w:rsidR="00A77DB2" w:rsidRDefault="00A77DB2">
                    <w:pPr>
                      <w:divId w:val="1108817397"/>
                      <w:rPr>
                        <w:noProof/>
                      </w:rPr>
                    </w:pPr>
                  </w:p>
                  <w:p w14:paraId="4573E048" w14:textId="139EF30A" w:rsidR="007B0CC7" w:rsidRPr="002875B4" w:rsidRDefault="00C43C8F" w:rsidP="002875B4">
                    <w:r>
                      <w:rPr>
                        <w:b/>
                        <w:bCs/>
                        <w:noProof/>
                      </w:rPr>
                      <w:fldChar w:fldCharType="end"/>
                    </w:r>
                  </w:p>
                </w:sdtContent>
              </w:sdt>
            </w:sdtContent>
          </w:sdt>
        </w:tc>
      </w:tr>
      <w:tr w:rsidR="00850471" w:rsidRPr="00445BD4" w14:paraId="4573E04B" w14:textId="77777777" w:rsidTr="0516D65D">
        <w:tc>
          <w:tcPr>
            <w:tcW w:w="9897" w:type="dxa"/>
            <w:gridSpan w:val="2"/>
            <w:shd w:val="clear" w:color="auto" w:fill="D9D9D9" w:themeFill="background1" w:themeFillShade="D9"/>
          </w:tcPr>
          <w:p w14:paraId="4573E04A" w14:textId="6BD52BAF" w:rsidR="00850471" w:rsidRPr="00445BD4" w:rsidRDefault="00581D5B" w:rsidP="0048438C">
            <w:pPr>
              <w:spacing w:before="60" w:after="60"/>
              <w:rPr>
                <w:b/>
                <w:iCs/>
                <w:szCs w:val="24"/>
              </w:rPr>
            </w:pPr>
            <w:r w:rsidRPr="00445BD4">
              <w:rPr>
                <w:b/>
                <w:iCs/>
                <w:szCs w:val="24"/>
              </w:rPr>
              <w:lastRenderedPageBreak/>
              <w:t>REGULATORY OBSERVATION ACTIONS</w:t>
            </w:r>
          </w:p>
        </w:tc>
      </w:tr>
      <w:tr w:rsidR="007B0CC7" w:rsidRPr="00445BD4" w14:paraId="3200208F" w14:textId="77777777" w:rsidTr="0516D65D">
        <w:tc>
          <w:tcPr>
            <w:tcW w:w="9897" w:type="dxa"/>
            <w:gridSpan w:val="2"/>
          </w:tcPr>
          <w:p w14:paraId="4CB8D090" w14:textId="57983285" w:rsidR="007B0CC7" w:rsidRPr="00445BD4" w:rsidRDefault="007B0CC7" w:rsidP="007B0CC7">
            <w:pPr>
              <w:spacing w:before="60" w:after="60"/>
              <w:rPr>
                <w:b/>
                <w:szCs w:val="24"/>
              </w:rPr>
            </w:pPr>
            <w:r w:rsidRPr="00445BD4">
              <w:rPr>
                <w:b/>
                <w:szCs w:val="24"/>
              </w:rPr>
              <w:t>RO-Holtec SMR-300-</w:t>
            </w:r>
            <w:r w:rsidR="0014210B">
              <w:rPr>
                <w:b/>
                <w:szCs w:val="24"/>
              </w:rPr>
              <w:t>008</w:t>
            </w:r>
            <w:r w:rsidRPr="00445BD4">
              <w:rPr>
                <w:b/>
                <w:szCs w:val="24"/>
              </w:rPr>
              <w:t xml:space="preserve">.A1 – Ageing and </w:t>
            </w:r>
            <w:r w:rsidR="00471E66">
              <w:rPr>
                <w:b/>
                <w:szCs w:val="24"/>
              </w:rPr>
              <w:t>d</w:t>
            </w:r>
            <w:r w:rsidRPr="00445BD4">
              <w:rPr>
                <w:b/>
                <w:szCs w:val="24"/>
              </w:rPr>
              <w:t xml:space="preserve">egradation </w:t>
            </w:r>
            <w:r w:rsidR="00471E66">
              <w:rPr>
                <w:b/>
                <w:szCs w:val="24"/>
              </w:rPr>
              <w:t>m</w:t>
            </w:r>
            <w:r w:rsidRPr="00445BD4">
              <w:rPr>
                <w:b/>
                <w:szCs w:val="24"/>
              </w:rPr>
              <w:t xml:space="preserve">anagement </w:t>
            </w:r>
            <w:r w:rsidR="00471E66">
              <w:rPr>
                <w:b/>
                <w:szCs w:val="24"/>
              </w:rPr>
              <w:t>s</w:t>
            </w:r>
            <w:r w:rsidRPr="00445BD4">
              <w:rPr>
                <w:b/>
                <w:szCs w:val="24"/>
              </w:rPr>
              <w:t>trategy.</w:t>
            </w:r>
          </w:p>
          <w:p w14:paraId="29D704FB" w14:textId="77777777" w:rsidR="008D4B92" w:rsidRDefault="008D4B92" w:rsidP="007B0CC7">
            <w:pPr>
              <w:spacing w:before="60" w:after="60"/>
            </w:pPr>
          </w:p>
          <w:p w14:paraId="6FA865F4" w14:textId="12C9255F" w:rsidR="007B0CC7" w:rsidRDefault="008D4B92" w:rsidP="00945308">
            <w:pPr>
              <w:spacing w:before="60" w:after="240"/>
            </w:pPr>
            <w:r>
              <w:t>In response to this action, t</w:t>
            </w:r>
            <w:r w:rsidR="007B0CC7" w:rsidRPr="00445BD4">
              <w:t>he RP should demonstrat</w:t>
            </w:r>
            <w:r w:rsidR="00B6219B">
              <w:t>e</w:t>
            </w:r>
            <w:r w:rsidR="007B0CC7" w:rsidRPr="00445BD4">
              <w:t xml:space="preserve"> that the RP’s approach to ageing and degradation management </w:t>
            </w:r>
            <w:r w:rsidR="007B0CC7">
              <w:t>aligns with ONR’s expectations and with international relevant good practice, as de</w:t>
            </w:r>
            <w:r w:rsidR="009F6952">
              <w:t>s</w:t>
            </w:r>
            <w:r w:rsidR="007B0CC7">
              <w:t>cribed in this RO.</w:t>
            </w:r>
          </w:p>
          <w:p w14:paraId="3883C3ED" w14:textId="20290BF3" w:rsidR="007B0CC7" w:rsidRPr="00445BD4" w:rsidRDefault="007B0CC7" w:rsidP="0048438C">
            <w:pPr>
              <w:spacing w:before="60" w:after="60"/>
              <w:rPr>
                <w:i/>
                <w:iCs/>
              </w:rPr>
            </w:pPr>
            <w:r w:rsidRPr="000A4F54">
              <w:t>Resolution required by</w:t>
            </w:r>
            <w:r w:rsidRPr="00EB25CB">
              <w:rPr>
                <w:i/>
                <w:iCs/>
              </w:rPr>
              <w:t xml:space="preserve"> 'to be determined by Holtec Resolution Plan'</w:t>
            </w:r>
          </w:p>
        </w:tc>
      </w:tr>
      <w:tr w:rsidR="73C6D034" w14:paraId="08286937" w14:textId="77777777" w:rsidTr="73C6D034">
        <w:trPr>
          <w:trHeight w:val="300"/>
        </w:trPr>
        <w:tc>
          <w:tcPr>
            <w:tcW w:w="9897" w:type="dxa"/>
            <w:gridSpan w:val="2"/>
          </w:tcPr>
          <w:p w14:paraId="7205AA70" w14:textId="67FAD1A2" w:rsidR="1C103F9B" w:rsidRDefault="1C103F9B" w:rsidP="73C6D034">
            <w:pPr>
              <w:spacing w:before="60" w:after="60"/>
              <w:rPr>
                <w:b/>
                <w:bCs/>
              </w:rPr>
            </w:pPr>
            <w:r w:rsidRPr="73C6D034">
              <w:rPr>
                <w:b/>
                <w:bCs/>
              </w:rPr>
              <w:t>RO-Holtec SMR-300-008.A2 – Application of the ageing and degradation management strategy to the design and material selection of the SMR-300.</w:t>
            </w:r>
          </w:p>
          <w:p w14:paraId="2C61B89B" w14:textId="77777777" w:rsidR="73C6D034" w:rsidRDefault="73C6D034" w:rsidP="73C6D034">
            <w:pPr>
              <w:spacing w:before="60" w:after="60"/>
              <w:rPr>
                <w:b/>
                <w:bCs/>
              </w:rPr>
            </w:pPr>
          </w:p>
          <w:p w14:paraId="4A2CBC9A" w14:textId="5BC62F22" w:rsidR="1C103F9B" w:rsidRDefault="1C103F9B" w:rsidP="73C6D034">
            <w:pPr>
              <w:spacing w:before="60" w:after="60"/>
            </w:pPr>
            <w:r>
              <w:t xml:space="preserve">In response to this action, the RP should demonstrate how ageing and degradation considerations have informed and influenced the design and the material selection of the relevant SSCs for the SMR-300. </w:t>
            </w:r>
          </w:p>
          <w:p w14:paraId="16FE88E9" w14:textId="667A2EB3" w:rsidR="1C103F9B" w:rsidRDefault="1C103F9B" w:rsidP="73C6D034">
            <w:pPr>
              <w:pStyle w:val="F9-Paragraph"/>
              <w:numPr>
                <w:ilvl w:val="0"/>
                <w:numId w:val="0"/>
              </w:numPr>
              <w:rPr>
                <w:i/>
                <w:iCs/>
              </w:rPr>
            </w:pPr>
            <w:r>
              <w:t>Resolution required by</w:t>
            </w:r>
            <w:r w:rsidRPr="73C6D034">
              <w:rPr>
                <w:i/>
                <w:iCs/>
              </w:rPr>
              <w:t xml:space="preserve"> 'to be determined by Holtec Resolution Plan'</w:t>
            </w:r>
          </w:p>
        </w:tc>
      </w:tr>
      <w:tr w:rsidR="73C6D034" w14:paraId="618D0B73" w14:textId="77777777" w:rsidTr="73C6D034">
        <w:trPr>
          <w:trHeight w:val="300"/>
        </w:trPr>
        <w:tc>
          <w:tcPr>
            <w:tcW w:w="9897" w:type="dxa"/>
            <w:gridSpan w:val="2"/>
          </w:tcPr>
          <w:p w14:paraId="16874221" w14:textId="082DF167" w:rsidR="1C103F9B" w:rsidRDefault="1C103F9B" w:rsidP="73C6D034">
            <w:pPr>
              <w:spacing w:before="60" w:after="60"/>
              <w:rPr>
                <w:b/>
                <w:bCs/>
              </w:rPr>
            </w:pPr>
            <w:r w:rsidRPr="73C6D034">
              <w:rPr>
                <w:b/>
                <w:bCs/>
              </w:rPr>
              <w:t>RO-Holtec SMR-300-008.A3 – Justification of the design life for the SMR-300.</w:t>
            </w:r>
          </w:p>
          <w:p w14:paraId="354BD8F2" w14:textId="77777777" w:rsidR="73C6D034" w:rsidRDefault="73C6D034" w:rsidP="73C6D034">
            <w:pPr>
              <w:spacing w:before="60" w:after="60"/>
            </w:pPr>
          </w:p>
          <w:p w14:paraId="34499133" w14:textId="6D247CA4" w:rsidR="1C103F9B" w:rsidRDefault="1C103F9B" w:rsidP="73C6D034">
            <w:pPr>
              <w:spacing w:before="60" w:after="60"/>
            </w:pPr>
            <w:r>
              <w:t xml:space="preserve">In response to this action, the RP should demonstrate how the long-term design life objectives of the SMR-300 will be met </w:t>
            </w:r>
            <w:r w:rsidRPr="73C6D034">
              <w:rPr>
                <w:lang w:val="en-GB"/>
              </w:rPr>
              <w:t>and that the main SSCs within the nuclear island will be able to carry out their nuclear safety functions throughout their design life</w:t>
            </w:r>
            <w:r>
              <w:t xml:space="preserve">. </w:t>
            </w:r>
          </w:p>
          <w:p w14:paraId="28DC274D" w14:textId="7207957E" w:rsidR="1C103F9B" w:rsidRDefault="1C103F9B" w:rsidP="73C6D034">
            <w:pPr>
              <w:pStyle w:val="F9-Paragraph"/>
              <w:numPr>
                <w:ilvl w:val="0"/>
                <w:numId w:val="0"/>
              </w:numPr>
              <w:rPr>
                <w:i/>
                <w:iCs/>
              </w:rPr>
            </w:pPr>
            <w:r>
              <w:t>Resolution required by</w:t>
            </w:r>
            <w:r w:rsidRPr="73C6D034">
              <w:rPr>
                <w:i/>
                <w:iCs/>
              </w:rPr>
              <w:t xml:space="preserve"> 'to be determined by Holtec Resolution Plan'</w:t>
            </w:r>
          </w:p>
        </w:tc>
      </w:tr>
    </w:tbl>
    <w:p w14:paraId="6E129088" w14:textId="77777777" w:rsidR="00D837C8" w:rsidRPr="00445BD4" w:rsidRDefault="00D837C8"/>
    <w:p w14:paraId="4E4D2E89" w14:textId="13C3543E" w:rsidR="73C6D034" w:rsidRDefault="73C6D034"/>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45BD4" w14:paraId="4573E050" w14:textId="77777777" w:rsidTr="00D837C8">
        <w:trPr>
          <w:trHeight w:val="316"/>
        </w:trPr>
        <w:tc>
          <w:tcPr>
            <w:tcW w:w="9897" w:type="dxa"/>
            <w:gridSpan w:val="2"/>
            <w:shd w:val="clear" w:color="auto" w:fill="D9D9D9" w:themeFill="background1" w:themeFillShade="D9"/>
          </w:tcPr>
          <w:p w14:paraId="4573E04F" w14:textId="77777777" w:rsidR="00850471" w:rsidRPr="00445BD4" w:rsidRDefault="00850471" w:rsidP="0048438C">
            <w:pPr>
              <w:spacing w:before="60" w:after="60"/>
              <w:jc w:val="center"/>
              <w:rPr>
                <w:szCs w:val="24"/>
              </w:rPr>
            </w:pPr>
            <w:r w:rsidRPr="00445BD4">
              <w:rPr>
                <w:b/>
                <w:szCs w:val="24"/>
              </w:rPr>
              <w:t>REQUESTING PARTY TO COMPLETE</w:t>
            </w:r>
          </w:p>
        </w:tc>
      </w:tr>
      <w:tr w:rsidR="00850471" w:rsidRPr="00445BD4" w14:paraId="4573E053" w14:textId="77777777" w:rsidTr="009459D7">
        <w:trPr>
          <w:trHeight w:val="204"/>
        </w:trPr>
        <w:tc>
          <w:tcPr>
            <w:tcW w:w="6436" w:type="dxa"/>
          </w:tcPr>
          <w:p w14:paraId="4573E051" w14:textId="4EF38771" w:rsidR="00850471" w:rsidRPr="00445BD4" w:rsidRDefault="00850471" w:rsidP="0048438C">
            <w:pPr>
              <w:spacing w:before="60" w:after="60"/>
              <w:rPr>
                <w:b/>
                <w:szCs w:val="24"/>
              </w:rPr>
            </w:pPr>
            <w:r w:rsidRPr="00445BD4">
              <w:rPr>
                <w:b/>
                <w:szCs w:val="24"/>
              </w:rPr>
              <w:t>Actual Acknowledgement date</w:t>
            </w:r>
            <w:r w:rsidR="00367C32" w:rsidRPr="00445BD4">
              <w:rPr>
                <w:b/>
                <w:szCs w:val="24"/>
              </w:rPr>
              <w:t xml:space="preserve"> </w:t>
            </w:r>
            <w:r w:rsidR="00367C32" w:rsidRPr="00445BD4">
              <w:rPr>
                <w:bCs/>
                <w:szCs w:val="24"/>
              </w:rPr>
              <w:t>(dd/mm/</w:t>
            </w:r>
            <w:proofErr w:type="spellStart"/>
            <w:r w:rsidR="00367C32" w:rsidRPr="00445BD4">
              <w:rPr>
                <w:bCs/>
                <w:szCs w:val="24"/>
              </w:rPr>
              <w:t>yy</w:t>
            </w:r>
            <w:proofErr w:type="spellEnd"/>
            <w:r w:rsidR="00367C32" w:rsidRPr="00445BD4">
              <w:rPr>
                <w:bCs/>
                <w:szCs w:val="24"/>
              </w:rPr>
              <w:t>)</w:t>
            </w:r>
            <w:r w:rsidRPr="00445BD4">
              <w:rPr>
                <w:b/>
                <w:szCs w:val="24"/>
              </w:rPr>
              <w:t>:</w:t>
            </w:r>
          </w:p>
        </w:tc>
        <w:tc>
          <w:tcPr>
            <w:tcW w:w="3461" w:type="dxa"/>
          </w:tcPr>
          <w:p w14:paraId="4573E052" w14:textId="77777777" w:rsidR="00850471" w:rsidRPr="00445BD4" w:rsidRDefault="00850471" w:rsidP="0048438C">
            <w:pPr>
              <w:spacing w:before="60" w:after="60"/>
              <w:jc w:val="center"/>
              <w:rPr>
                <w:b/>
                <w:szCs w:val="24"/>
              </w:rPr>
            </w:pPr>
          </w:p>
        </w:tc>
      </w:tr>
      <w:tr w:rsidR="00850471" w:rsidRPr="00445BD4" w14:paraId="4573E056" w14:textId="77777777" w:rsidTr="009459D7">
        <w:trPr>
          <w:trHeight w:val="204"/>
        </w:trPr>
        <w:tc>
          <w:tcPr>
            <w:tcW w:w="6436" w:type="dxa"/>
          </w:tcPr>
          <w:p w14:paraId="4573E054" w14:textId="2C1E1120" w:rsidR="00850471" w:rsidRPr="00445BD4" w:rsidRDefault="00850471" w:rsidP="0048438C">
            <w:pPr>
              <w:spacing w:before="60" w:after="60"/>
              <w:rPr>
                <w:b/>
                <w:szCs w:val="24"/>
              </w:rPr>
            </w:pPr>
            <w:r w:rsidRPr="00445BD4">
              <w:rPr>
                <w:b/>
                <w:szCs w:val="24"/>
              </w:rPr>
              <w:t>RP stated Resolution Plan agreement date</w:t>
            </w:r>
            <w:r w:rsidR="009459D7" w:rsidRPr="00445BD4">
              <w:rPr>
                <w:b/>
                <w:szCs w:val="24"/>
              </w:rPr>
              <w:t xml:space="preserve"> </w:t>
            </w:r>
            <w:r w:rsidR="009459D7" w:rsidRPr="00445BD4">
              <w:rPr>
                <w:bCs/>
                <w:szCs w:val="24"/>
              </w:rPr>
              <w:t>(dd/mm/</w:t>
            </w:r>
            <w:proofErr w:type="spellStart"/>
            <w:r w:rsidR="009459D7" w:rsidRPr="00445BD4">
              <w:rPr>
                <w:bCs/>
                <w:szCs w:val="24"/>
              </w:rPr>
              <w:t>yy</w:t>
            </w:r>
            <w:proofErr w:type="spellEnd"/>
            <w:r w:rsidR="009459D7" w:rsidRPr="00445BD4">
              <w:rPr>
                <w:bCs/>
                <w:szCs w:val="24"/>
              </w:rPr>
              <w:t>)</w:t>
            </w:r>
            <w:r w:rsidRPr="00445BD4">
              <w:rPr>
                <w:b/>
                <w:szCs w:val="24"/>
              </w:rPr>
              <w:t>:</w:t>
            </w:r>
          </w:p>
        </w:tc>
        <w:tc>
          <w:tcPr>
            <w:tcW w:w="3461" w:type="dxa"/>
          </w:tcPr>
          <w:p w14:paraId="4573E055" w14:textId="77777777" w:rsidR="00850471" w:rsidRPr="00445BD4"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headerReference w:type="default" r:id="rId12"/>
      <w:footerReference w:type="even" r:id="rId13"/>
      <w:footerReference w:type="default" r:id="rId14"/>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7649" w14:textId="77777777" w:rsidR="000D63B2" w:rsidRPr="00445BD4" w:rsidRDefault="000D63B2">
      <w:r w:rsidRPr="00445BD4">
        <w:separator/>
      </w:r>
    </w:p>
  </w:endnote>
  <w:endnote w:type="continuationSeparator" w:id="0">
    <w:p w14:paraId="001D7171" w14:textId="77777777" w:rsidR="000D63B2" w:rsidRPr="00445BD4" w:rsidRDefault="000D63B2">
      <w:r w:rsidRPr="00445B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Pr="00445BD4" w:rsidRDefault="00C15B6D">
    <w:pPr>
      <w:pStyle w:val="Footer"/>
      <w:framePr w:wrap="around" w:vAnchor="text" w:hAnchor="margin" w:xAlign="center" w:y="1"/>
      <w:rPr>
        <w:rStyle w:val="PageNumber"/>
      </w:rPr>
    </w:pPr>
    <w:r w:rsidRPr="00445BD4">
      <w:rPr>
        <w:rStyle w:val="PageNumber"/>
      </w:rPr>
      <w:fldChar w:fldCharType="begin"/>
    </w:r>
    <w:r w:rsidRPr="00445BD4">
      <w:rPr>
        <w:rStyle w:val="PageNumber"/>
      </w:rPr>
      <w:instrText xml:space="preserve">PAGE  </w:instrText>
    </w:r>
    <w:r w:rsidRPr="00445BD4">
      <w:rPr>
        <w:rStyle w:val="PageNumber"/>
      </w:rPr>
      <w:fldChar w:fldCharType="end"/>
    </w:r>
  </w:p>
  <w:p w14:paraId="4573E05E" w14:textId="77777777" w:rsidR="00C15B6D" w:rsidRPr="00445BD4"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16FB38CC" w:rsidR="00C15B6D" w:rsidRPr="00445BD4" w:rsidRDefault="005A547C" w:rsidP="00583F64">
    <w:pPr>
      <w:pStyle w:val="Footer"/>
      <w:tabs>
        <w:tab w:val="clear" w:pos="8306"/>
        <w:tab w:val="right" w:pos="9840"/>
      </w:tabs>
      <w:spacing w:before="120"/>
      <w:jc w:val="right"/>
    </w:pPr>
    <w:r w:rsidRPr="00445BD4">
      <w:rPr>
        <w:sz w:val="22"/>
        <w:szCs w:val="22"/>
      </w:rPr>
      <w:t xml:space="preserve">Page </w:t>
    </w:r>
    <w:r w:rsidRPr="00445BD4">
      <w:rPr>
        <w:sz w:val="22"/>
        <w:szCs w:val="22"/>
      </w:rPr>
      <w:fldChar w:fldCharType="begin"/>
    </w:r>
    <w:r w:rsidRPr="00445BD4">
      <w:rPr>
        <w:sz w:val="22"/>
        <w:szCs w:val="22"/>
      </w:rPr>
      <w:instrText xml:space="preserve"> PAGE </w:instrText>
    </w:r>
    <w:r w:rsidRPr="00445BD4">
      <w:rPr>
        <w:sz w:val="22"/>
        <w:szCs w:val="22"/>
      </w:rPr>
      <w:fldChar w:fldCharType="separate"/>
    </w:r>
    <w:r w:rsidRPr="00445BD4">
      <w:rPr>
        <w:sz w:val="22"/>
      </w:rPr>
      <w:t>1</w:t>
    </w:r>
    <w:r w:rsidRPr="00445BD4">
      <w:rPr>
        <w:sz w:val="22"/>
        <w:szCs w:val="22"/>
      </w:rPr>
      <w:fldChar w:fldCharType="end"/>
    </w:r>
    <w:r w:rsidRPr="00445BD4">
      <w:rPr>
        <w:sz w:val="22"/>
        <w:szCs w:val="22"/>
      </w:rPr>
      <w:t xml:space="preserve"> of </w:t>
    </w:r>
    <w:r w:rsidRPr="00445BD4">
      <w:rPr>
        <w:sz w:val="22"/>
        <w:szCs w:val="22"/>
      </w:rPr>
      <w:fldChar w:fldCharType="begin"/>
    </w:r>
    <w:r w:rsidRPr="00445BD4">
      <w:rPr>
        <w:sz w:val="22"/>
        <w:szCs w:val="22"/>
      </w:rPr>
      <w:instrText xml:space="preserve"> NUMPAGES </w:instrText>
    </w:r>
    <w:r w:rsidRPr="00445BD4">
      <w:rPr>
        <w:sz w:val="22"/>
        <w:szCs w:val="22"/>
      </w:rPr>
      <w:fldChar w:fldCharType="separate"/>
    </w:r>
    <w:r w:rsidRPr="00445BD4">
      <w:rPr>
        <w:sz w:val="22"/>
      </w:rPr>
      <w:t>3</w:t>
    </w:r>
    <w:r w:rsidRPr="00445BD4">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F6AD" w14:textId="77777777" w:rsidR="000D63B2" w:rsidRPr="00445BD4" w:rsidRDefault="000D63B2">
      <w:r w:rsidRPr="00445BD4">
        <w:separator/>
      </w:r>
    </w:p>
  </w:footnote>
  <w:footnote w:type="continuationSeparator" w:id="0">
    <w:p w14:paraId="1C44438B" w14:textId="77777777" w:rsidR="000D63B2" w:rsidRPr="00445BD4" w:rsidRDefault="000D63B2">
      <w:r w:rsidRPr="00445B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61D4D106" w:rsidR="003B6ACD" w:rsidRPr="00445BD4"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445BD4" w14:paraId="2513218A" w14:textId="77777777" w:rsidTr="007A729E">
      <w:tc>
        <w:tcPr>
          <w:tcW w:w="3996" w:type="dxa"/>
        </w:tcPr>
        <w:p w14:paraId="6BEF3B11" w14:textId="77777777" w:rsidR="003B6ACD" w:rsidRPr="00445BD4" w:rsidRDefault="003B6ACD" w:rsidP="003B6ACD">
          <w:pPr>
            <w:tabs>
              <w:tab w:val="center" w:pos="4513"/>
              <w:tab w:val="right" w:pos="9026"/>
            </w:tabs>
            <w:spacing w:before="240"/>
            <w:rPr>
              <w:bCs/>
              <w:iCs/>
              <w:kern w:val="36"/>
              <w:sz w:val="18"/>
              <w:szCs w:val="18"/>
            </w:rPr>
          </w:pPr>
          <w:r w:rsidRPr="00445BD4">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445BD4" w:rsidRDefault="003B6ACD" w:rsidP="003B6ACD">
          <w:pPr>
            <w:tabs>
              <w:tab w:val="center" w:pos="4513"/>
              <w:tab w:val="right" w:pos="9026"/>
            </w:tabs>
            <w:jc w:val="center"/>
            <w:rPr>
              <w:bCs/>
              <w:iCs/>
              <w:kern w:val="36"/>
              <w:sz w:val="18"/>
              <w:szCs w:val="18"/>
            </w:rPr>
          </w:pPr>
          <w:r w:rsidRPr="00445BD4">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445BD4" w:rsidRDefault="003B6ACD" w:rsidP="003B6ACD">
          <w:pPr>
            <w:tabs>
              <w:tab w:val="center" w:pos="4513"/>
              <w:tab w:val="right" w:pos="9026"/>
            </w:tabs>
            <w:jc w:val="right"/>
            <w:rPr>
              <w:bCs/>
              <w:iCs/>
              <w:kern w:val="36"/>
              <w:sz w:val="18"/>
              <w:szCs w:val="18"/>
            </w:rPr>
          </w:pPr>
          <w:r w:rsidRPr="00445BD4">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445BD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3205E2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C303F1"/>
    <w:multiLevelType w:val="hybridMultilevel"/>
    <w:tmpl w:val="A27A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F3826"/>
    <w:multiLevelType w:val="hybridMultilevel"/>
    <w:tmpl w:val="FD9A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D6379"/>
    <w:multiLevelType w:val="hybridMultilevel"/>
    <w:tmpl w:val="AD286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A45E14"/>
    <w:multiLevelType w:val="hybridMultilevel"/>
    <w:tmpl w:val="C75A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75F46359"/>
    <w:multiLevelType w:val="hybridMultilevel"/>
    <w:tmpl w:val="B36CA712"/>
    <w:lvl w:ilvl="0" w:tplc="3CB8B750">
      <w:start w:val="1"/>
      <w:numFmt w:val="bullet"/>
      <w:pStyle w:val="Bulletlist1"/>
      <w:lvlText w:val=""/>
      <w:lvlJc w:val="left"/>
      <w:pPr>
        <w:ind w:left="1080" w:hanging="360"/>
      </w:pPr>
      <w:rPr>
        <w:rFonts w:ascii="Symbol" w:hAnsi="Symbol" w:hint="default"/>
        <w:strike w:val="0"/>
        <w:dstrike w:val="0"/>
        <w:color w:val="auto"/>
        <w:sz w:val="24"/>
      </w:rPr>
    </w:lvl>
    <w:lvl w:ilvl="1" w:tplc="BF56C7A0">
      <w:start w:val="1"/>
      <w:numFmt w:val="bullet"/>
      <w:pStyle w:val="Bulletlist2"/>
      <w:lvlText w:val="o"/>
      <w:lvlJc w:val="left"/>
      <w:pPr>
        <w:ind w:left="2160" w:hanging="360"/>
      </w:pPr>
      <w:rPr>
        <w:rFonts w:ascii="Courier New" w:hAnsi="Courier New" w:cs="Courier New" w:hint="default"/>
      </w:rPr>
    </w:lvl>
    <w:lvl w:ilvl="2" w:tplc="2B640262">
      <w:start w:val="1"/>
      <w:numFmt w:val="bullet"/>
      <w:pStyle w:val="BulletList3"/>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9447535"/>
    <w:multiLevelType w:val="multilevel"/>
    <w:tmpl w:val="A378D14E"/>
    <w:lvl w:ilvl="0">
      <w:start w:val="1"/>
      <w:numFmt w:val="decimal"/>
      <w:pStyle w:val="F9-Paragraph"/>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4580136">
    <w:abstractNumId w:val="19"/>
  </w:num>
  <w:num w:numId="2" w16cid:durableId="1038162188">
    <w:abstractNumId w:val="19"/>
  </w:num>
  <w:num w:numId="3" w16cid:durableId="1457485129">
    <w:abstractNumId w:val="19"/>
  </w:num>
  <w:num w:numId="4" w16cid:durableId="605386637">
    <w:abstractNumId w:val="17"/>
  </w:num>
  <w:num w:numId="5" w16cid:durableId="642780601">
    <w:abstractNumId w:val="14"/>
  </w:num>
  <w:num w:numId="6" w16cid:durableId="1993218993">
    <w:abstractNumId w:val="19"/>
  </w:num>
  <w:num w:numId="7" w16cid:durableId="1210649461">
    <w:abstractNumId w:val="19"/>
  </w:num>
  <w:num w:numId="8" w16cid:durableId="777143800">
    <w:abstractNumId w:val="19"/>
  </w:num>
  <w:num w:numId="9" w16cid:durableId="416095553">
    <w:abstractNumId w:val="19"/>
  </w:num>
  <w:num w:numId="10" w16cid:durableId="157312330">
    <w:abstractNumId w:val="19"/>
  </w:num>
  <w:num w:numId="11" w16cid:durableId="272445445">
    <w:abstractNumId w:val="19"/>
  </w:num>
  <w:num w:numId="12" w16cid:durableId="1954940256">
    <w:abstractNumId w:val="4"/>
  </w:num>
  <w:num w:numId="13" w16cid:durableId="228197380">
    <w:abstractNumId w:val="3"/>
  </w:num>
  <w:num w:numId="14" w16cid:durableId="717900545">
    <w:abstractNumId w:val="2"/>
  </w:num>
  <w:num w:numId="15" w16cid:durableId="936597274">
    <w:abstractNumId w:val="1"/>
  </w:num>
  <w:num w:numId="16" w16cid:durableId="1357922998">
    <w:abstractNumId w:val="0"/>
  </w:num>
  <w:num w:numId="17" w16cid:durableId="833574136">
    <w:abstractNumId w:val="11"/>
  </w:num>
  <w:num w:numId="18" w16cid:durableId="1027683759">
    <w:abstractNumId w:val="10"/>
  </w:num>
  <w:num w:numId="19" w16cid:durableId="1637100462">
    <w:abstractNumId w:val="16"/>
  </w:num>
  <w:num w:numId="20" w16cid:durableId="1174806318">
    <w:abstractNumId w:val="12"/>
  </w:num>
  <w:num w:numId="21" w16cid:durableId="945313271">
    <w:abstractNumId w:val="7"/>
  </w:num>
  <w:num w:numId="22" w16cid:durableId="1200700022">
    <w:abstractNumId w:val="8"/>
  </w:num>
  <w:num w:numId="23" w16cid:durableId="645672170">
    <w:abstractNumId w:val="5"/>
  </w:num>
  <w:num w:numId="24" w16cid:durableId="1840466613">
    <w:abstractNumId w:val="13"/>
  </w:num>
  <w:num w:numId="25" w16cid:durableId="395398131">
    <w:abstractNumId w:val="18"/>
  </w:num>
  <w:num w:numId="26" w16cid:durableId="1959990583">
    <w:abstractNumId w:val="6"/>
  </w:num>
  <w:num w:numId="27" w16cid:durableId="1591042022">
    <w:abstractNumId w:val="15"/>
  </w:num>
  <w:num w:numId="28" w16cid:durableId="1557205700">
    <w:abstractNumId w:val="9"/>
  </w:num>
  <w:num w:numId="29" w16cid:durableId="1787460813">
    <w:abstractNumId w:val="20"/>
  </w:num>
  <w:num w:numId="30" w16cid:durableId="15205861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781D"/>
    <w:rsid w:val="00007B79"/>
    <w:rsid w:val="000126BB"/>
    <w:rsid w:val="000147D8"/>
    <w:rsid w:val="00015197"/>
    <w:rsid w:val="00021538"/>
    <w:rsid w:val="00021EFB"/>
    <w:rsid w:val="0002631F"/>
    <w:rsid w:val="00032745"/>
    <w:rsid w:val="00033AA8"/>
    <w:rsid w:val="00034213"/>
    <w:rsid w:val="00045C1F"/>
    <w:rsid w:val="00047346"/>
    <w:rsid w:val="000534BF"/>
    <w:rsid w:val="000576C3"/>
    <w:rsid w:val="000758E9"/>
    <w:rsid w:val="000875C1"/>
    <w:rsid w:val="00093E19"/>
    <w:rsid w:val="000977CC"/>
    <w:rsid w:val="000A166B"/>
    <w:rsid w:val="000A4D26"/>
    <w:rsid w:val="000A4F54"/>
    <w:rsid w:val="000B3EBE"/>
    <w:rsid w:val="000B699C"/>
    <w:rsid w:val="000C09A8"/>
    <w:rsid w:val="000C666C"/>
    <w:rsid w:val="000D081D"/>
    <w:rsid w:val="000D2287"/>
    <w:rsid w:val="000D63B2"/>
    <w:rsid w:val="000D7186"/>
    <w:rsid w:val="000E476E"/>
    <w:rsid w:val="000F1E13"/>
    <w:rsid w:val="000F3769"/>
    <w:rsid w:val="00105D88"/>
    <w:rsid w:val="00110D12"/>
    <w:rsid w:val="001178D5"/>
    <w:rsid w:val="00120C91"/>
    <w:rsid w:val="00123E23"/>
    <w:rsid w:val="00125578"/>
    <w:rsid w:val="00134719"/>
    <w:rsid w:val="00135434"/>
    <w:rsid w:val="00141E00"/>
    <w:rsid w:val="0014210B"/>
    <w:rsid w:val="001438BC"/>
    <w:rsid w:val="001452A1"/>
    <w:rsid w:val="00146210"/>
    <w:rsid w:val="001522C3"/>
    <w:rsid w:val="0016335A"/>
    <w:rsid w:val="00163D2C"/>
    <w:rsid w:val="00170A05"/>
    <w:rsid w:val="0017695D"/>
    <w:rsid w:val="00185D10"/>
    <w:rsid w:val="001B002F"/>
    <w:rsid w:val="001C1EEF"/>
    <w:rsid w:val="001D4826"/>
    <w:rsid w:val="001D675B"/>
    <w:rsid w:val="001E24FE"/>
    <w:rsid w:val="001F014B"/>
    <w:rsid w:val="001F36BA"/>
    <w:rsid w:val="001F64AA"/>
    <w:rsid w:val="001F685B"/>
    <w:rsid w:val="0020016F"/>
    <w:rsid w:val="0020150E"/>
    <w:rsid w:val="00202AC7"/>
    <w:rsid w:val="00207854"/>
    <w:rsid w:val="00212157"/>
    <w:rsid w:val="002165BA"/>
    <w:rsid w:val="00220466"/>
    <w:rsid w:val="00221347"/>
    <w:rsid w:val="002245BD"/>
    <w:rsid w:val="00224CA3"/>
    <w:rsid w:val="00225AEB"/>
    <w:rsid w:val="00226462"/>
    <w:rsid w:val="002325CD"/>
    <w:rsid w:val="00246BD0"/>
    <w:rsid w:val="00247A36"/>
    <w:rsid w:val="002537E6"/>
    <w:rsid w:val="00262C00"/>
    <w:rsid w:val="0028342D"/>
    <w:rsid w:val="002860FC"/>
    <w:rsid w:val="002875B4"/>
    <w:rsid w:val="00287B71"/>
    <w:rsid w:val="002A537F"/>
    <w:rsid w:val="002A6601"/>
    <w:rsid w:val="002A7CFE"/>
    <w:rsid w:val="002B030E"/>
    <w:rsid w:val="002B2151"/>
    <w:rsid w:val="002B6E2B"/>
    <w:rsid w:val="002C0193"/>
    <w:rsid w:val="002C0396"/>
    <w:rsid w:val="002C3D97"/>
    <w:rsid w:val="002C4494"/>
    <w:rsid w:val="002C78D2"/>
    <w:rsid w:val="002D4EA3"/>
    <w:rsid w:val="002D6A65"/>
    <w:rsid w:val="002F22DA"/>
    <w:rsid w:val="002F41FA"/>
    <w:rsid w:val="002F54D9"/>
    <w:rsid w:val="002F6E03"/>
    <w:rsid w:val="002F73B0"/>
    <w:rsid w:val="00304E9F"/>
    <w:rsid w:val="003069EF"/>
    <w:rsid w:val="003113C9"/>
    <w:rsid w:val="003132D6"/>
    <w:rsid w:val="003137B2"/>
    <w:rsid w:val="00313ABE"/>
    <w:rsid w:val="00317A60"/>
    <w:rsid w:val="00320497"/>
    <w:rsid w:val="003234E6"/>
    <w:rsid w:val="0032663C"/>
    <w:rsid w:val="003337F3"/>
    <w:rsid w:val="003365F0"/>
    <w:rsid w:val="00337177"/>
    <w:rsid w:val="003425BF"/>
    <w:rsid w:val="00343E9C"/>
    <w:rsid w:val="00347213"/>
    <w:rsid w:val="00351FE1"/>
    <w:rsid w:val="0035703F"/>
    <w:rsid w:val="00365069"/>
    <w:rsid w:val="00366AEB"/>
    <w:rsid w:val="00367C32"/>
    <w:rsid w:val="00370D34"/>
    <w:rsid w:val="003874A4"/>
    <w:rsid w:val="003A66C4"/>
    <w:rsid w:val="003A6935"/>
    <w:rsid w:val="003B6ACD"/>
    <w:rsid w:val="003C7579"/>
    <w:rsid w:val="003D48D8"/>
    <w:rsid w:val="003D4C8A"/>
    <w:rsid w:val="003F6FAA"/>
    <w:rsid w:val="003F7FA2"/>
    <w:rsid w:val="004019BD"/>
    <w:rsid w:val="0040443F"/>
    <w:rsid w:val="004205B5"/>
    <w:rsid w:val="004214AE"/>
    <w:rsid w:val="0042675D"/>
    <w:rsid w:val="004314CA"/>
    <w:rsid w:val="00431EC9"/>
    <w:rsid w:val="00436D30"/>
    <w:rsid w:val="00441E02"/>
    <w:rsid w:val="00444C41"/>
    <w:rsid w:val="00444D18"/>
    <w:rsid w:val="00445BD4"/>
    <w:rsid w:val="00446D09"/>
    <w:rsid w:val="00450F1C"/>
    <w:rsid w:val="00471E66"/>
    <w:rsid w:val="0048024A"/>
    <w:rsid w:val="0048438C"/>
    <w:rsid w:val="004864B2"/>
    <w:rsid w:val="00487E0E"/>
    <w:rsid w:val="0049110F"/>
    <w:rsid w:val="0049393D"/>
    <w:rsid w:val="00494EE4"/>
    <w:rsid w:val="0049747A"/>
    <w:rsid w:val="004A434F"/>
    <w:rsid w:val="004A65D6"/>
    <w:rsid w:val="004C036E"/>
    <w:rsid w:val="004D271A"/>
    <w:rsid w:val="004E4A72"/>
    <w:rsid w:val="004E5017"/>
    <w:rsid w:val="004F7308"/>
    <w:rsid w:val="00501A0B"/>
    <w:rsid w:val="0050328B"/>
    <w:rsid w:val="00523811"/>
    <w:rsid w:val="00525180"/>
    <w:rsid w:val="00541992"/>
    <w:rsid w:val="00542CA2"/>
    <w:rsid w:val="00542F7A"/>
    <w:rsid w:val="00543ED1"/>
    <w:rsid w:val="0055746B"/>
    <w:rsid w:val="00560C5D"/>
    <w:rsid w:val="00561238"/>
    <w:rsid w:val="00574211"/>
    <w:rsid w:val="0057442F"/>
    <w:rsid w:val="00581D5B"/>
    <w:rsid w:val="00583117"/>
    <w:rsid w:val="00583F64"/>
    <w:rsid w:val="0058522F"/>
    <w:rsid w:val="005933F1"/>
    <w:rsid w:val="005A36C1"/>
    <w:rsid w:val="005A547C"/>
    <w:rsid w:val="005A72AC"/>
    <w:rsid w:val="005B2295"/>
    <w:rsid w:val="005C4812"/>
    <w:rsid w:val="005C4A9D"/>
    <w:rsid w:val="005C74A1"/>
    <w:rsid w:val="005C773F"/>
    <w:rsid w:val="005D3796"/>
    <w:rsid w:val="005D4D31"/>
    <w:rsid w:val="005D7BAC"/>
    <w:rsid w:val="005E0ED4"/>
    <w:rsid w:val="005E6632"/>
    <w:rsid w:val="005E6A8B"/>
    <w:rsid w:val="005F0643"/>
    <w:rsid w:val="005F17A6"/>
    <w:rsid w:val="005F2D88"/>
    <w:rsid w:val="005F4CBD"/>
    <w:rsid w:val="005F56D3"/>
    <w:rsid w:val="006006BE"/>
    <w:rsid w:val="006039B9"/>
    <w:rsid w:val="00604A3F"/>
    <w:rsid w:val="006111B9"/>
    <w:rsid w:val="0061429D"/>
    <w:rsid w:val="00614647"/>
    <w:rsid w:val="00614958"/>
    <w:rsid w:val="00614F0F"/>
    <w:rsid w:val="00627D12"/>
    <w:rsid w:val="006300E5"/>
    <w:rsid w:val="00640538"/>
    <w:rsid w:val="00642BC4"/>
    <w:rsid w:val="00646031"/>
    <w:rsid w:val="0064751A"/>
    <w:rsid w:val="00652AC6"/>
    <w:rsid w:val="00657ECE"/>
    <w:rsid w:val="00660949"/>
    <w:rsid w:val="00666ED8"/>
    <w:rsid w:val="00667ACF"/>
    <w:rsid w:val="006700EE"/>
    <w:rsid w:val="0067017F"/>
    <w:rsid w:val="0067632F"/>
    <w:rsid w:val="00676552"/>
    <w:rsid w:val="006779DA"/>
    <w:rsid w:val="006836D8"/>
    <w:rsid w:val="00684E8C"/>
    <w:rsid w:val="00690D1B"/>
    <w:rsid w:val="0069375A"/>
    <w:rsid w:val="00694D66"/>
    <w:rsid w:val="006A5AF2"/>
    <w:rsid w:val="006B5F31"/>
    <w:rsid w:val="006B62B6"/>
    <w:rsid w:val="006C4CDF"/>
    <w:rsid w:val="006C5A4B"/>
    <w:rsid w:val="006C635A"/>
    <w:rsid w:val="006D2240"/>
    <w:rsid w:val="006E063D"/>
    <w:rsid w:val="006E1762"/>
    <w:rsid w:val="00702CD3"/>
    <w:rsid w:val="00703B2A"/>
    <w:rsid w:val="00705971"/>
    <w:rsid w:val="00706C65"/>
    <w:rsid w:val="00707DA5"/>
    <w:rsid w:val="007102C7"/>
    <w:rsid w:val="0071141F"/>
    <w:rsid w:val="00722D72"/>
    <w:rsid w:val="00723925"/>
    <w:rsid w:val="00744AA9"/>
    <w:rsid w:val="0075487C"/>
    <w:rsid w:val="00764103"/>
    <w:rsid w:val="00765A20"/>
    <w:rsid w:val="00771D99"/>
    <w:rsid w:val="00776092"/>
    <w:rsid w:val="007816F1"/>
    <w:rsid w:val="0078271F"/>
    <w:rsid w:val="007841B7"/>
    <w:rsid w:val="00787199"/>
    <w:rsid w:val="007918E3"/>
    <w:rsid w:val="007A2B0F"/>
    <w:rsid w:val="007A3BE5"/>
    <w:rsid w:val="007A5ECD"/>
    <w:rsid w:val="007A6BAC"/>
    <w:rsid w:val="007B08E3"/>
    <w:rsid w:val="007B0CC7"/>
    <w:rsid w:val="007B0CDB"/>
    <w:rsid w:val="007B4B69"/>
    <w:rsid w:val="007B6133"/>
    <w:rsid w:val="007B66BD"/>
    <w:rsid w:val="007C3A9A"/>
    <w:rsid w:val="007C7AA0"/>
    <w:rsid w:val="007D6CA2"/>
    <w:rsid w:val="007D74A8"/>
    <w:rsid w:val="007E6CF5"/>
    <w:rsid w:val="007F2678"/>
    <w:rsid w:val="007F33D6"/>
    <w:rsid w:val="00805723"/>
    <w:rsid w:val="00805B19"/>
    <w:rsid w:val="008103D8"/>
    <w:rsid w:val="0081099A"/>
    <w:rsid w:val="00817A33"/>
    <w:rsid w:val="00830B30"/>
    <w:rsid w:val="008336D1"/>
    <w:rsid w:val="0083714D"/>
    <w:rsid w:val="00850471"/>
    <w:rsid w:val="00854437"/>
    <w:rsid w:val="008634D8"/>
    <w:rsid w:val="008657F1"/>
    <w:rsid w:val="00867341"/>
    <w:rsid w:val="00867F39"/>
    <w:rsid w:val="00873BFD"/>
    <w:rsid w:val="00875755"/>
    <w:rsid w:val="0087645C"/>
    <w:rsid w:val="00881898"/>
    <w:rsid w:val="008832A1"/>
    <w:rsid w:val="00885341"/>
    <w:rsid w:val="008917F0"/>
    <w:rsid w:val="0089701F"/>
    <w:rsid w:val="008A56ED"/>
    <w:rsid w:val="008B3374"/>
    <w:rsid w:val="008B7C2C"/>
    <w:rsid w:val="008C00B9"/>
    <w:rsid w:val="008C03F9"/>
    <w:rsid w:val="008C0BEF"/>
    <w:rsid w:val="008C2156"/>
    <w:rsid w:val="008D2099"/>
    <w:rsid w:val="008D3DE4"/>
    <w:rsid w:val="008D488C"/>
    <w:rsid w:val="008D4B92"/>
    <w:rsid w:val="008E3BB3"/>
    <w:rsid w:val="008E6F07"/>
    <w:rsid w:val="0090244F"/>
    <w:rsid w:val="00902B4D"/>
    <w:rsid w:val="00904BC3"/>
    <w:rsid w:val="009073A7"/>
    <w:rsid w:val="00914D84"/>
    <w:rsid w:val="00917D34"/>
    <w:rsid w:val="0092073F"/>
    <w:rsid w:val="00925E25"/>
    <w:rsid w:val="00930F17"/>
    <w:rsid w:val="00932699"/>
    <w:rsid w:val="00933FD4"/>
    <w:rsid w:val="0093505A"/>
    <w:rsid w:val="009405AE"/>
    <w:rsid w:val="00945308"/>
    <w:rsid w:val="009459D7"/>
    <w:rsid w:val="00950653"/>
    <w:rsid w:val="00951EF3"/>
    <w:rsid w:val="009807F1"/>
    <w:rsid w:val="00980C44"/>
    <w:rsid w:val="00982275"/>
    <w:rsid w:val="00990101"/>
    <w:rsid w:val="009966E4"/>
    <w:rsid w:val="009A270D"/>
    <w:rsid w:val="009A74DE"/>
    <w:rsid w:val="009B00A2"/>
    <w:rsid w:val="009B2509"/>
    <w:rsid w:val="009B4EFB"/>
    <w:rsid w:val="009B5A9C"/>
    <w:rsid w:val="009D0C8B"/>
    <w:rsid w:val="009D7E89"/>
    <w:rsid w:val="009E6D65"/>
    <w:rsid w:val="009F6952"/>
    <w:rsid w:val="00A1221D"/>
    <w:rsid w:val="00A1328D"/>
    <w:rsid w:val="00A153F6"/>
    <w:rsid w:val="00A1614E"/>
    <w:rsid w:val="00A237FC"/>
    <w:rsid w:val="00A23D72"/>
    <w:rsid w:val="00A435F0"/>
    <w:rsid w:val="00A518B1"/>
    <w:rsid w:val="00A562B4"/>
    <w:rsid w:val="00A63547"/>
    <w:rsid w:val="00A63812"/>
    <w:rsid w:val="00A70A5F"/>
    <w:rsid w:val="00A7541E"/>
    <w:rsid w:val="00A77DB2"/>
    <w:rsid w:val="00A86DBC"/>
    <w:rsid w:val="00A93DFD"/>
    <w:rsid w:val="00AA0979"/>
    <w:rsid w:val="00AA3345"/>
    <w:rsid w:val="00AA5365"/>
    <w:rsid w:val="00AB17DC"/>
    <w:rsid w:val="00AB1EA2"/>
    <w:rsid w:val="00AC38E8"/>
    <w:rsid w:val="00AC3E49"/>
    <w:rsid w:val="00AC6668"/>
    <w:rsid w:val="00AD2A86"/>
    <w:rsid w:val="00AE439A"/>
    <w:rsid w:val="00AE4F13"/>
    <w:rsid w:val="00AF4B24"/>
    <w:rsid w:val="00AF73A6"/>
    <w:rsid w:val="00B05D8D"/>
    <w:rsid w:val="00B10AA0"/>
    <w:rsid w:val="00B1601C"/>
    <w:rsid w:val="00B23213"/>
    <w:rsid w:val="00B419BC"/>
    <w:rsid w:val="00B46F11"/>
    <w:rsid w:val="00B53DC4"/>
    <w:rsid w:val="00B5423F"/>
    <w:rsid w:val="00B6219B"/>
    <w:rsid w:val="00B639C6"/>
    <w:rsid w:val="00B66199"/>
    <w:rsid w:val="00B71518"/>
    <w:rsid w:val="00B71824"/>
    <w:rsid w:val="00B72922"/>
    <w:rsid w:val="00B84516"/>
    <w:rsid w:val="00B84BFC"/>
    <w:rsid w:val="00B85D99"/>
    <w:rsid w:val="00B94C97"/>
    <w:rsid w:val="00BA1B78"/>
    <w:rsid w:val="00BA1C0B"/>
    <w:rsid w:val="00BA3607"/>
    <w:rsid w:val="00BA4154"/>
    <w:rsid w:val="00BB136F"/>
    <w:rsid w:val="00BB221F"/>
    <w:rsid w:val="00BB2D8B"/>
    <w:rsid w:val="00BD08B9"/>
    <w:rsid w:val="00BD206A"/>
    <w:rsid w:val="00BD3DD4"/>
    <w:rsid w:val="00C02D8F"/>
    <w:rsid w:val="00C031DD"/>
    <w:rsid w:val="00C06823"/>
    <w:rsid w:val="00C074DF"/>
    <w:rsid w:val="00C14744"/>
    <w:rsid w:val="00C15B6D"/>
    <w:rsid w:val="00C23E3C"/>
    <w:rsid w:val="00C34CBC"/>
    <w:rsid w:val="00C41166"/>
    <w:rsid w:val="00C43AD7"/>
    <w:rsid w:val="00C43B41"/>
    <w:rsid w:val="00C43C8F"/>
    <w:rsid w:val="00C4709D"/>
    <w:rsid w:val="00C5137A"/>
    <w:rsid w:val="00C53C05"/>
    <w:rsid w:val="00C57AAC"/>
    <w:rsid w:val="00C6347C"/>
    <w:rsid w:val="00C73242"/>
    <w:rsid w:val="00C80555"/>
    <w:rsid w:val="00C861B8"/>
    <w:rsid w:val="00CA74CA"/>
    <w:rsid w:val="00CC345A"/>
    <w:rsid w:val="00CC67B6"/>
    <w:rsid w:val="00CC70FA"/>
    <w:rsid w:val="00CD0CD2"/>
    <w:rsid w:val="00CD0E06"/>
    <w:rsid w:val="00CD305F"/>
    <w:rsid w:val="00CE4CE6"/>
    <w:rsid w:val="00CE52B2"/>
    <w:rsid w:val="00CE5E61"/>
    <w:rsid w:val="00CF1EEE"/>
    <w:rsid w:val="00CF3141"/>
    <w:rsid w:val="00D0275F"/>
    <w:rsid w:val="00D04808"/>
    <w:rsid w:val="00D126F2"/>
    <w:rsid w:val="00D2193B"/>
    <w:rsid w:val="00D266E9"/>
    <w:rsid w:val="00D42357"/>
    <w:rsid w:val="00D56E13"/>
    <w:rsid w:val="00D67882"/>
    <w:rsid w:val="00D74369"/>
    <w:rsid w:val="00D800F0"/>
    <w:rsid w:val="00D81CBE"/>
    <w:rsid w:val="00D837C8"/>
    <w:rsid w:val="00D86150"/>
    <w:rsid w:val="00D869A9"/>
    <w:rsid w:val="00DA0A23"/>
    <w:rsid w:val="00DA4F12"/>
    <w:rsid w:val="00DB2317"/>
    <w:rsid w:val="00DB2F98"/>
    <w:rsid w:val="00DB340F"/>
    <w:rsid w:val="00DB3BE0"/>
    <w:rsid w:val="00DC6A24"/>
    <w:rsid w:val="00DC7F75"/>
    <w:rsid w:val="00DD4EA3"/>
    <w:rsid w:val="00DE7152"/>
    <w:rsid w:val="00DF00F0"/>
    <w:rsid w:val="00DF0B9F"/>
    <w:rsid w:val="00DF12CF"/>
    <w:rsid w:val="00DF6C01"/>
    <w:rsid w:val="00E01925"/>
    <w:rsid w:val="00E01A23"/>
    <w:rsid w:val="00E03075"/>
    <w:rsid w:val="00E13AEE"/>
    <w:rsid w:val="00E15F62"/>
    <w:rsid w:val="00E23BC3"/>
    <w:rsid w:val="00E26430"/>
    <w:rsid w:val="00E524CE"/>
    <w:rsid w:val="00E52918"/>
    <w:rsid w:val="00E562BD"/>
    <w:rsid w:val="00E60CE3"/>
    <w:rsid w:val="00E61E1C"/>
    <w:rsid w:val="00E62DDC"/>
    <w:rsid w:val="00E632C9"/>
    <w:rsid w:val="00E66481"/>
    <w:rsid w:val="00E70239"/>
    <w:rsid w:val="00E710BD"/>
    <w:rsid w:val="00E75370"/>
    <w:rsid w:val="00E8180F"/>
    <w:rsid w:val="00E8411C"/>
    <w:rsid w:val="00E91845"/>
    <w:rsid w:val="00E9286F"/>
    <w:rsid w:val="00E93A42"/>
    <w:rsid w:val="00EA27D0"/>
    <w:rsid w:val="00EA295B"/>
    <w:rsid w:val="00EB162F"/>
    <w:rsid w:val="00EB25CB"/>
    <w:rsid w:val="00EB292F"/>
    <w:rsid w:val="00EB7D33"/>
    <w:rsid w:val="00EC1733"/>
    <w:rsid w:val="00EC1FFE"/>
    <w:rsid w:val="00EC409B"/>
    <w:rsid w:val="00EC5DC5"/>
    <w:rsid w:val="00ED1ADA"/>
    <w:rsid w:val="00ED1C99"/>
    <w:rsid w:val="00ED420C"/>
    <w:rsid w:val="00ED4B4F"/>
    <w:rsid w:val="00EE0472"/>
    <w:rsid w:val="00EE0A6A"/>
    <w:rsid w:val="00EE0D5F"/>
    <w:rsid w:val="00EE2260"/>
    <w:rsid w:val="00EE7506"/>
    <w:rsid w:val="00EF0E74"/>
    <w:rsid w:val="00EF17B2"/>
    <w:rsid w:val="00EF5C72"/>
    <w:rsid w:val="00F03F57"/>
    <w:rsid w:val="00F13EC9"/>
    <w:rsid w:val="00F16EB2"/>
    <w:rsid w:val="00F35C17"/>
    <w:rsid w:val="00F44400"/>
    <w:rsid w:val="00F52957"/>
    <w:rsid w:val="00F61C88"/>
    <w:rsid w:val="00F65462"/>
    <w:rsid w:val="00F725F4"/>
    <w:rsid w:val="00F82D1B"/>
    <w:rsid w:val="00F8618C"/>
    <w:rsid w:val="00F87E0A"/>
    <w:rsid w:val="00F9057E"/>
    <w:rsid w:val="00F907BB"/>
    <w:rsid w:val="00FA4C46"/>
    <w:rsid w:val="00FA62B5"/>
    <w:rsid w:val="00FB45F9"/>
    <w:rsid w:val="00FB6334"/>
    <w:rsid w:val="00FC4D11"/>
    <w:rsid w:val="00FD0CB5"/>
    <w:rsid w:val="00FD13EF"/>
    <w:rsid w:val="00FD211F"/>
    <w:rsid w:val="00FD72D7"/>
    <w:rsid w:val="00FE2D08"/>
    <w:rsid w:val="00FE4C3D"/>
    <w:rsid w:val="0516D65D"/>
    <w:rsid w:val="1127E87E"/>
    <w:rsid w:val="1BDD7DA1"/>
    <w:rsid w:val="1C103F9B"/>
    <w:rsid w:val="2C376202"/>
    <w:rsid w:val="3A896E3F"/>
    <w:rsid w:val="5FA42932"/>
    <w:rsid w:val="6B5790AF"/>
    <w:rsid w:val="73C6D034"/>
    <w:rsid w:val="76E6793D"/>
    <w:rsid w:val="7F231E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A9FAF6FA-AA71-4276-A401-BAA0F8A4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val="en-US" w:eastAsia="en-US"/>
    </w:rPr>
  </w:style>
  <w:style w:type="paragraph" w:styleId="Heading1">
    <w:name w:val="heading 1"/>
    <w:basedOn w:val="Normal"/>
    <w:next w:val="Normal"/>
    <w:link w:val="Heading1Char"/>
    <w:uiPriority w:val="9"/>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4751A"/>
    <w:rPr>
      <w:sz w:val="16"/>
      <w:szCs w:val="16"/>
    </w:rPr>
  </w:style>
  <w:style w:type="paragraph" w:styleId="CommentText">
    <w:name w:val="annotation text"/>
    <w:basedOn w:val="Normal"/>
    <w:link w:val="CommentTextChar"/>
    <w:unhideWhenUsed/>
    <w:rsid w:val="0064751A"/>
    <w:rPr>
      <w:sz w:val="20"/>
      <w:szCs w:val="20"/>
    </w:rPr>
  </w:style>
  <w:style w:type="character" w:customStyle="1" w:styleId="CommentTextChar">
    <w:name w:val="Comment Text Char"/>
    <w:basedOn w:val="DefaultParagraphFont"/>
    <w:link w:val="CommentText"/>
    <w:rsid w:val="0064751A"/>
    <w:rPr>
      <w:rFonts w:ascii="Arial" w:hAnsi="Arial" w:cs="Arial"/>
      <w:lang w:eastAsia="en-US"/>
    </w:rPr>
  </w:style>
  <w:style w:type="paragraph" w:styleId="CommentSubject">
    <w:name w:val="annotation subject"/>
    <w:basedOn w:val="CommentText"/>
    <w:next w:val="CommentText"/>
    <w:link w:val="CommentSubjectChar"/>
    <w:semiHidden/>
    <w:unhideWhenUsed/>
    <w:rsid w:val="0064751A"/>
    <w:rPr>
      <w:b/>
      <w:bCs/>
    </w:rPr>
  </w:style>
  <w:style w:type="character" w:customStyle="1" w:styleId="CommentSubjectChar">
    <w:name w:val="Comment Subject Char"/>
    <w:basedOn w:val="CommentTextChar"/>
    <w:link w:val="CommentSubject"/>
    <w:semiHidden/>
    <w:rsid w:val="0064751A"/>
    <w:rPr>
      <w:rFonts w:ascii="Arial" w:hAnsi="Arial" w:cs="Arial"/>
      <w:b/>
      <w:bCs/>
      <w:lang w:eastAsia="en-US"/>
    </w:rPr>
  </w:style>
  <w:style w:type="paragraph" w:customStyle="1" w:styleId="Bulletlist1">
    <w:name w:val="Bullet list 1"/>
    <w:basedOn w:val="Normal"/>
    <w:next w:val="ListBullet"/>
    <w:autoRedefine/>
    <w:uiPriority w:val="1"/>
    <w:qFormat/>
    <w:rsid w:val="00B46F11"/>
    <w:pPr>
      <w:numPr>
        <w:numId w:val="29"/>
      </w:numPr>
      <w:spacing w:after="240" w:line="252" w:lineRule="auto"/>
    </w:pPr>
    <w:rPr>
      <w:rFonts w:eastAsia="Calibri"/>
      <w:color w:val="000000" w:themeColor="text1"/>
      <w:lang w:bidi="he-IL"/>
    </w:rPr>
  </w:style>
  <w:style w:type="paragraph" w:customStyle="1" w:styleId="Bulletlist2">
    <w:name w:val="Bullet list 2"/>
    <w:basedOn w:val="Bulletlist1"/>
    <w:uiPriority w:val="1"/>
    <w:qFormat/>
    <w:rsid w:val="000576C3"/>
    <w:pPr>
      <w:numPr>
        <w:ilvl w:val="1"/>
      </w:numPr>
    </w:pPr>
    <w:rPr>
      <w:bCs/>
    </w:rPr>
  </w:style>
  <w:style w:type="paragraph" w:customStyle="1" w:styleId="BulletList3">
    <w:name w:val="Bullet List 3"/>
    <w:basedOn w:val="Bulletlist2"/>
    <w:uiPriority w:val="1"/>
    <w:qFormat/>
    <w:rsid w:val="000576C3"/>
    <w:pPr>
      <w:numPr>
        <w:ilvl w:val="2"/>
      </w:numPr>
    </w:pPr>
  </w:style>
  <w:style w:type="paragraph" w:customStyle="1" w:styleId="F9-Paragraph">
    <w:name w:val="F9 - # Paragraph"/>
    <w:basedOn w:val="Normal"/>
    <w:link w:val="F9-ParagraphChar"/>
    <w:qFormat/>
    <w:rsid w:val="000576C3"/>
    <w:pPr>
      <w:numPr>
        <w:numId w:val="30"/>
      </w:numPr>
      <w:spacing w:before="240" w:after="120"/>
    </w:pPr>
    <w:rPr>
      <w:szCs w:val="24"/>
      <w:lang w:bidi="he-IL"/>
    </w:rPr>
  </w:style>
  <w:style w:type="character" w:customStyle="1" w:styleId="F9-ParagraphChar">
    <w:name w:val="F9 - # Paragraph Char"/>
    <w:basedOn w:val="DefaultParagraphFont"/>
    <w:link w:val="F9-Paragraph"/>
    <w:rsid w:val="000576C3"/>
    <w:rPr>
      <w:rFonts w:ascii="Arial" w:hAnsi="Arial" w:cs="Arial"/>
      <w:sz w:val="24"/>
      <w:szCs w:val="24"/>
      <w:lang w:eastAsia="en-US" w:bidi="he-IL"/>
    </w:rPr>
  </w:style>
  <w:style w:type="character" w:customStyle="1" w:styleId="Heading1Char">
    <w:name w:val="Heading 1 Char"/>
    <w:basedOn w:val="DefaultParagraphFont"/>
    <w:link w:val="Heading1"/>
    <w:uiPriority w:val="9"/>
    <w:rsid w:val="000576C3"/>
    <w:rPr>
      <w:rFonts w:ascii="Arial" w:hAnsi="Arial" w:cs="Arial"/>
      <w:b/>
      <w:kern w:val="32"/>
      <w:sz w:val="24"/>
      <w:szCs w:val="32"/>
      <w:lang w:eastAsia="en-US"/>
    </w:rPr>
  </w:style>
  <w:style w:type="paragraph" w:styleId="Bibliography">
    <w:name w:val="Bibliography"/>
    <w:basedOn w:val="Normal"/>
    <w:next w:val="Normal"/>
    <w:uiPriority w:val="37"/>
    <w:unhideWhenUsed/>
    <w:rsid w:val="000576C3"/>
  </w:style>
  <w:style w:type="paragraph" w:styleId="NormalWeb">
    <w:name w:val="Normal (Web)"/>
    <w:basedOn w:val="Normal"/>
    <w:semiHidden/>
    <w:unhideWhenUsed/>
    <w:rsid w:val="005A36C1"/>
    <w:rPr>
      <w:rFonts w:ascii="Times New Roman" w:hAnsi="Times New Roman" w:cs="Times New Roman"/>
      <w:szCs w:val="24"/>
    </w:rPr>
  </w:style>
  <w:style w:type="paragraph" w:styleId="Revision">
    <w:name w:val="Revision"/>
    <w:hidden/>
    <w:uiPriority w:val="99"/>
    <w:semiHidden/>
    <w:rsid w:val="00A7541E"/>
    <w:rPr>
      <w:rFonts w:ascii="Arial" w:hAnsi="Arial" w:cs="Arial"/>
      <w:sz w:val="24"/>
      <w:szCs w:val="22"/>
      <w:lang w:val="en-US" w:eastAsia="en-US"/>
    </w:rPr>
  </w:style>
  <w:style w:type="paragraph" w:styleId="ListBullet">
    <w:name w:val="List Bullet"/>
    <w:basedOn w:val="Normal"/>
    <w:semiHidden/>
    <w:unhideWhenUsed/>
    <w:rsid w:val="00E23BC3"/>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576">
      <w:bodyDiv w:val="1"/>
      <w:marLeft w:val="0"/>
      <w:marRight w:val="0"/>
      <w:marTop w:val="0"/>
      <w:marBottom w:val="0"/>
      <w:divBdr>
        <w:top w:val="none" w:sz="0" w:space="0" w:color="auto"/>
        <w:left w:val="none" w:sz="0" w:space="0" w:color="auto"/>
        <w:bottom w:val="none" w:sz="0" w:space="0" w:color="auto"/>
        <w:right w:val="none" w:sz="0" w:space="0" w:color="auto"/>
      </w:divBdr>
    </w:div>
    <w:div w:id="8414475">
      <w:bodyDiv w:val="1"/>
      <w:marLeft w:val="0"/>
      <w:marRight w:val="0"/>
      <w:marTop w:val="0"/>
      <w:marBottom w:val="0"/>
      <w:divBdr>
        <w:top w:val="none" w:sz="0" w:space="0" w:color="auto"/>
        <w:left w:val="none" w:sz="0" w:space="0" w:color="auto"/>
        <w:bottom w:val="none" w:sz="0" w:space="0" w:color="auto"/>
        <w:right w:val="none" w:sz="0" w:space="0" w:color="auto"/>
      </w:divBdr>
    </w:div>
    <w:div w:id="10421251">
      <w:bodyDiv w:val="1"/>
      <w:marLeft w:val="0"/>
      <w:marRight w:val="0"/>
      <w:marTop w:val="0"/>
      <w:marBottom w:val="0"/>
      <w:divBdr>
        <w:top w:val="none" w:sz="0" w:space="0" w:color="auto"/>
        <w:left w:val="none" w:sz="0" w:space="0" w:color="auto"/>
        <w:bottom w:val="none" w:sz="0" w:space="0" w:color="auto"/>
        <w:right w:val="none" w:sz="0" w:space="0" w:color="auto"/>
      </w:divBdr>
    </w:div>
    <w:div w:id="12418600">
      <w:bodyDiv w:val="1"/>
      <w:marLeft w:val="0"/>
      <w:marRight w:val="0"/>
      <w:marTop w:val="0"/>
      <w:marBottom w:val="0"/>
      <w:divBdr>
        <w:top w:val="none" w:sz="0" w:space="0" w:color="auto"/>
        <w:left w:val="none" w:sz="0" w:space="0" w:color="auto"/>
        <w:bottom w:val="none" w:sz="0" w:space="0" w:color="auto"/>
        <w:right w:val="none" w:sz="0" w:space="0" w:color="auto"/>
      </w:divBdr>
    </w:div>
    <w:div w:id="16003915">
      <w:bodyDiv w:val="1"/>
      <w:marLeft w:val="0"/>
      <w:marRight w:val="0"/>
      <w:marTop w:val="0"/>
      <w:marBottom w:val="0"/>
      <w:divBdr>
        <w:top w:val="none" w:sz="0" w:space="0" w:color="auto"/>
        <w:left w:val="none" w:sz="0" w:space="0" w:color="auto"/>
        <w:bottom w:val="none" w:sz="0" w:space="0" w:color="auto"/>
        <w:right w:val="none" w:sz="0" w:space="0" w:color="auto"/>
      </w:divBdr>
    </w:div>
    <w:div w:id="41947356">
      <w:bodyDiv w:val="1"/>
      <w:marLeft w:val="0"/>
      <w:marRight w:val="0"/>
      <w:marTop w:val="0"/>
      <w:marBottom w:val="0"/>
      <w:divBdr>
        <w:top w:val="none" w:sz="0" w:space="0" w:color="auto"/>
        <w:left w:val="none" w:sz="0" w:space="0" w:color="auto"/>
        <w:bottom w:val="none" w:sz="0" w:space="0" w:color="auto"/>
        <w:right w:val="none" w:sz="0" w:space="0" w:color="auto"/>
      </w:divBdr>
    </w:div>
    <w:div w:id="45760132">
      <w:bodyDiv w:val="1"/>
      <w:marLeft w:val="0"/>
      <w:marRight w:val="0"/>
      <w:marTop w:val="0"/>
      <w:marBottom w:val="0"/>
      <w:divBdr>
        <w:top w:val="none" w:sz="0" w:space="0" w:color="auto"/>
        <w:left w:val="none" w:sz="0" w:space="0" w:color="auto"/>
        <w:bottom w:val="none" w:sz="0" w:space="0" w:color="auto"/>
        <w:right w:val="none" w:sz="0" w:space="0" w:color="auto"/>
      </w:divBdr>
    </w:div>
    <w:div w:id="70198872">
      <w:bodyDiv w:val="1"/>
      <w:marLeft w:val="0"/>
      <w:marRight w:val="0"/>
      <w:marTop w:val="0"/>
      <w:marBottom w:val="0"/>
      <w:divBdr>
        <w:top w:val="none" w:sz="0" w:space="0" w:color="auto"/>
        <w:left w:val="none" w:sz="0" w:space="0" w:color="auto"/>
        <w:bottom w:val="none" w:sz="0" w:space="0" w:color="auto"/>
        <w:right w:val="none" w:sz="0" w:space="0" w:color="auto"/>
      </w:divBdr>
    </w:div>
    <w:div w:id="77947579">
      <w:bodyDiv w:val="1"/>
      <w:marLeft w:val="0"/>
      <w:marRight w:val="0"/>
      <w:marTop w:val="0"/>
      <w:marBottom w:val="0"/>
      <w:divBdr>
        <w:top w:val="none" w:sz="0" w:space="0" w:color="auto"/>
        <w:left w:val="none" w:sz="0" w:space="0" w:color="auto"/>
        <w:bottom w:val="none" w:sz="0" w:space="0" w:color="auto"/>
        <w:right w:val="none" w:sz="0" w:space="0" w:color="auto"/>
      </w:divBdr>
    </w:div>
    <w:div w:id="79642001">
      <w:bodyDiv w:val="1"/>
      <w:marLeft w:val="0"/>
      <w:marRight w:val="0"/>
      <w:marTop w:val="0"/>
      <w:marBottom w:val="0"/>
      <w:divBdr>
        <w:top w:val="none" w:sz="0" w:space="0" w:color="auto"/>
        <w:left w:val="none" w:sz="0" w:space="0" w:color="auto"/>
        <w:bottom w:val="none" w:sz="0" w:space="0" w:color="auto"/>
        <w:right w:val="none" w:sz="0" w:space="0" w:color="auto"/>
      </w:divBdr>
    </w:div>
    <w:div w:id="87162885">
      <w:bodyDiv w:val="1"/>
      <w:marLeft w:val="0"/>
      <w:marRight w:val="0"/>
      <w:marTop w:val="0"/>
      <w:marBottom w:val="0"/>
      <w:divBdr>
        <w:top w:val="none" w:sz="0" w:space="0" w:color="auto"/>
        <w:left w:val="none" w:sz="0" w:space="0" w:color="auto"/>
        <w:bottom w:val="none" w:sz="0" w:space="0" w:color="auto"/>
        <w:right w:val="none" w:sz="0" w:space="0" w:color="auto"/>
      </w:divBdr>
    </w:div>
    <w:div w:id="115829384">
      <w:bodyDiv w:val="1"/>
      <w:marLeft w:val="0"/>
      <w:marRight w:val="0"/>
      <w:marTop w:val="0"/>
      <w:marBottom w:val="0"/>
      <w:divBdr>
        <w:top w:val="none" w:sz="0" w:space="0" w:color="auto"/>
        <w:left w:val="none" w:sz="0" w:space="0" w:color="auto"/>
        <w:bottom w:val="none" w:sz="0" w:space="0" w:color="auto"/>
        <w:right w:val="none" w:sz="0" w:space="0" w:color="auto"/>
      </w:divBdr>
    </w:div>
    <w:div w:id="117265191">
      <w:bodyDiv w:val="1"/>
      <w:marLeft w:val="0"/>
      <w:marRight w:val="0"/>
      <w:marTop w:val="0"/>
      <w:marBottom w:val="0"/>
      <w:divBdr>
        <w:top w:val="none" w:sz="0" w:space="0" w:color="auto"/>
        <w:left w:val="none" w:sz="0" w:space="0" w:color="auto"/>
        <w:bottom w:val="none" w:sz="0" w:space="0" w:color="auto"/>
        <w:right w:val="none" w:sz="0" w:space="0" w:color="auto"/>
      </w:divBdr>
    </w:div>
    <w:div w:id="118647870">
      <w:bodyDiv w:val="1"/>
      <w:marLeft w:val="0"/>
      <w:marRight w:val="0"/>
      <w:marTop w:val="0"/>
      <w:marBottom w:val="0"/>
      <w:divBdr>
        <w:top w:val="none" w:sz="0" w:space="0" w:color="auto"/>
        <w:left w:val="none" w:sz="0" w:space="0" w:color="auto"/>
        <w:bottom w:val="none" w:sz="0" w:space="0" w:color="auto"/>
        <w:right w:val="none" w:sz="0" w:space="0" w:color="auto"/>
      </w:divBdr>
    </w:div>
    <w:div w:id="118843184">
      <w:bodyDiv w:val="1"/>
      <w:marLeft w:val="0"/>
      <w:marRight w:val="0"/>
      <w:marTop w:val="0"/>
      <w:marBottom w:val="0"/>
      <w:divBdr>
        <w:top w:val="none" w:sz="0" w:space="0" w:color="auto"/>
        <w:left w:val="none" w:sz="0" w:space="0" w:color="auto"/>
        <w:bottom w:val="none" w:sz="0" w:space="0" w:color="auto"/>
        <w:right w:val="none" w:sz="0" w:space="0" w:color="auto"/>
      </w:divBdr>
    </w:div>
    <w:div w:id="135342237">
      <w:bodyDiv w:val="1"/>
      <w:marLeft w:val="0"/>
      <w:marRight w:val="0"/>
      <w:marTop w:val="0"/>
      <w:marBottom w:val="0"/>
      <w:divBdr>
        <w:top w:val="none" w:sz="0" w:space="0" w:color="auto"/>
        <w:left w:val="none" w:sz="0" w:space="0" w:color="auto"/>
        <w:bottom w:val="none" w:sz="0" w:space="0" w:color="auto"/>
        <w:right w:val="none" w:sz="0" w:space="0" w:color="auto"/>
      </w:divBdr>
    </w:div>
    <w:div w:id="148063075">
      <w:bodyDiv w:val="1"/>
      <w:marLeft w:val="0"/>
      <w:marRight w:val="0"/>
      <w:marTop w:val="0"/>
      <w:marBottom w:val="0"/>
      <w:divBdr>
        <w:top w:val="none" w:sz="0" w:space="0" w:color="auto"/>
        <w:left w:val="none" w:sz="0" w:space="0" w:color="auto"/>
        <w:bottom w:val="none" w:sz="0" w:space="0" w:color="auto"/>
        <w:right w:val="none" w:sz="0" w:space="0" w:color="auto"/>
      </w:divBdr>
    </w:div>
    <w:div w:id="164637235">
      <w:bodyDiv w:val="1"/>
      <w:marLeft w:val="0"/>
      <w:marRight w:val="0"/>
      <w:marTop w:val="0"/>
      <w:marBottom w:val="0"/>
      <w:divBdr>
        <w:top w:val="none" w:sz="0" w:space="0" w:color="auto"/>
        <w:left w:val="none" w:sz="0" w:space="0" w:color="auto"/>
        <w:bottom w:val="none" w:sz="0" w:space="0" w:color="auto"/>
        <w:right w:val="none" w:sz="0" w:space="0" w:color="auto"/>
      </w:divBdr>
    </w:div>
    <w:div w:id="197858624">
      <w:bodyDiv w:val="1"/>
      <w:marLeft w:val="0"/>
      <w:marRight w:val="0"/>
      <w:marTop w:val="0"/>
      <w:marBottom w:val="0"/>
      <w:divBdr>
        <w:top w:val="none" w:sz="0" w:space="0" w:color="auto"/>
        <w:left w:val="none" w:sz="0" w:space="0" w:color="auto"/>
        <w:bottom w:val="none" w:sz="0" w:space="0" w:color="auto"/>
        <w:right w:val="none" w:sz="0" w:space="0" w:color="auto"/>
      </w:divBdr>
    </w:div>
    <w:div w:id="198713065">
      <w:bodyDiv w:val="1"/>
      <w:marLeft w:val="0"/>
      <w:marRight w:val="0"/>
      <w:marTop w:val="0"/>
      <w:marBottom w:val="0"/>
      <w:divBdr>
        <w:top w:val="none" w:sz="0" w:space="0" w:color="auto"/>
        <w:left w:val="none" w:sz="0" w:space="0" w:color="auto"/>
        <w:bottom w:val="none" w:sz="0" w:space="0" w:color="auto"/>
        <w:right w:val="none" w:sz="0" w:space="0" w:color="auto"/>
      </w:divBdr>
    </w:div>
    <w:div w:id="213123903">
      <w:bodyDiv w:val="1"/>
      <w:marLeft w:val="0"/>
      <w:marRight w:val="0"/>
      <w:marTop w:val="0"/>
      <w:marBottom w:val="0"/>
      <w:divBdr>
        <w:top w:val="none" w:sz="0" w:space="0" w:color="auto"/>
        <w:left w:val="none" w:sz="0" w:space="0" w:color="auto"/>
        <w:bottom w:val="none" w:sz="0" w:space="0" w:color="auto"/>
        <w:right w:val="none" w:sz="0" w:space="0" w:color="auto"/>
      </w:divBdr>
    </w:div>
    <w:div w:id="228807595">
      <w:bodyDiv w:val="1"/>
      <w:marLeft w:val="0"/>
      <w:marRight w:val="0"/>
      <w:marTop w:val="0"/>
      <w:marBottom w:val="0"/>
      <w:divBdr>
        <w:top w:val="none" w:sz="0" w:space="0" w:color="auto"/>
        <w:left w:val="none" w:sz="0" w:space="0" w:color="auto"/>
        <w:bottom w:val="none" w:sz="0" w:space="0" w:color="auto"/>
        <w:right w:val="none" w:sz="0" w:space="0" w:color="auto"/>
      </w:divBdr>
    </w:div>
    <w:div w:id="241448852">
      <w:bodyDiv w:val="1"/>
      <w:marLeft w:val="0"/>
      <w:marRight w:val="0"/>
      <w:marTop w:val="0"/>
      <w:marBottom w:val="0"/>
      <w:divBdr>
        <w:top w:val="none" w:sz="0" w:space="0" w:color="auto"/>
        <w:left w:val="none" w:sz="0" w:space="0" w:color="auto"/>
        <w:bottom w:val="none" w:sz="0" w:space="0" w:color="auto"/>
        <w:right w:val="none" w:sz="0" w:space="0" w:color="auto"/>
      </w:divBdr>
    </w:div>
    <w:div w:id="259337371">
      <w:bodyDiv w:val="1"/>
      <w:marLeft w:val="0"/>
      <w:marRight w:val="0"/>
      <w:marTop w:val="0"/>
      <w:marBottom w:val="0"/>
      <w:divBdr>
        <w:top w:val="none" w:sz="0" w:space="0" w:color="auto"/>
        <w:left w:val="none" w:sz="0" w:space="0" w:color="auto"/>
        <w:bottom w:val="none" w:sz="0" w:space="0" w:color="auto"/>
        <w:right w:val="none" w:sz="0" w:space="0" w:color="auto"/>
      </w:divBdr>
    </w:div>
    <w:div w:id="263922482">
      <w:bodyDiv w:val="1"/>
      <w:marLeft w:val="0"/>
      <w:marRight w:val="0"/>
      <w:marTop w:val="0"/>
      <w:marBottom w:val="0"/>
      <w:divBdr>
        <w:top w:val="none" w:sz="0" w:space="0" w:color="auto"/>
        <w:left w:val="none" w:sz="0" w:space="0" w:color="auto"/>
        <w:bottom w:val="none" w:sz="0" w:space="0" w:color="auto"/>
        <w:right w:val="none" w:sz="0" w:space="0" w:color="auto"/>
      </w:divBdr>
    </w:div>
    <w:div w:id="299119236">
      <w:bodyDiv w:val="1"/>
      <w:marLeft w:val="0"/>
      <w:marRight w:val="0"/>
      <w:marTop w:val="0"/>
      <w:marBottom w:val="0"/>
      <w:divBdr>
        <w:top w:val="none" w:sz="0" w:space="0" w:color="auto"/>
        <w:left w:val="none" w:sz="0" w:space="0" w:color="auto"/>
        <w:bottom w:val="none" w:sz="0" w:space="0" w:color="auto"/>
        <w:right w:val="none" w:sz="0" w:space="0" w:color="auto"/>
      </w:divBdr>
    </w:div>
    <w:div w:id="307635536">
      <w:bodyDiv w:val="1"/>
      <w:marLeft w:val="0"/>
      <w:marRight w:val="0"/>
      <w:marTop w:val="0"/>
      <w:marBottom w:val="0"/>
      <w:divBdr>
        <w:top w:val="none" w:sz="0" w:space="0" w:color="auto"/>
        <w:left w:val="none" w:sz="0" w:space="0" w:color="auto"/>
        <w:bottom w:val="none" w:sz="0" w:space="0" w:color="auto"/>
        <w:right w:val="none" w:sz="0" w:space="0" w:color="auto"/>
      </w:divBdr>
    </w:div>
    <w:div w:id="326447837">
      <w:bodyDiv w:val="1"/>
      <w:marLeft w:val="0"/>
      <w:marRight w:val="0"/>
      <w:marTop w:val="0"/>
      <w:marBottom w:val="0"/>
      <w:divBdr>
        <w:top w:val="none" w:sz="0" w:space="0" w:color="auto"/>
        <w:left w:val="none" w:sz="0" w:space="0" w:color="auto"/>
        <w:bottom w:val="none" w:sz="0" w:space="0" w:color="auto"/>
        <w:right w:val="none" w:sz="0" w:space="0" w:color="auto"/>
      </w:divBdr>
    </w:div>
    <w:div w:id="335616460">
      <w:bodyDiv w:val="1"/>
      <w:marLeft w:val="0"/>
      <w:marRight w:val="0"/>
      <w:marTop w:val="0"/>
      <w:marBottom w:val="0"/>
      <w:divBdr>
        <w:top w:val="none" w:sz="0" w:space="0" w:color="auto"/>
        <w:left w:val="none" w:sz="0" w:space="0" w:color="auto"/>
        <w:bottom w:val="none" w:sz="0" w:space="0" w:color="auto"/>
        <w:right w:val="none" w:sz="0" w:space="0" w:color="auto"/>
      </w:divBdr>
    </w:div>
    <w:div w:id="341517524">
      <w:bodyDiv w:val="1"/>
      <w:marLeft w:val="0"/>
      <w:marRight w:val="0"/>
      <w:marTop w:val="0"/>
      <w:marBottom w:val="0"/>
      <w:divBdr>
        <w:top w:val="none" w:sz="0" w:space="0" w:color="auto"/>
        <w:left w:val="none" w:sz="0" w:space="0" w:color="auto"/>
        <w:bottom w:val="none" w:sz="0" w:space="0" w:color="auto"/>
        <w:right w:val="none" w:sz="0" w:space="0" w:color="auto"/>
      </w:divBdr>
    </w:div>
    <w:div w:id="348798218">
      <w:bodyDiv w:val="1"/>
      <w:marLeft w:val="0"/>
      <w:marRight w:val="0"/>
      <w:marTop w:val="0"/>
      <w:marBottom w:val="0"/>
      <w:divBdr>
        <w:top w:val="none" w:sz="0" w:space="0" w:color="auto"/>
        <w:left w:val="none" w:sz="0" w:space="0" w:color="auto"/>
        <w:bottom w:val="none" w:sz="0" w:space="0" w:color="auto"/>
        <w:right w:val="none" w:sz="0" w:space="0" w:color="auto"/>
      </w:divBdr>
    </w:div>
    <w:div w:id="390731937">
      <w:bodyDiv w:val="1"/>
      <w:marLeft w:val="0"/>
      <w:marRight w:val="0"/>
      <w:marTop w:val="0"/>
      <w:marBottom w:val="0"/>
      <w:divBdr>
        <w:top w:val="none" w:sz="0" w:space="0" w:color="auto"/>
        <w:left w:val="none" w:sz="0" w:space="0" w:color="auto"/>
        <w:bottom w:val="none" w:sz="0" w:space="0" w:color="auto"/>
        <w:right w:val="none" w:sz="0" w:space="0" w:color="auto"/>
      </w:divBdr>
    </w:div>
    <w:div w:id="395669146">
      <w:bodyDiv w:val="1"/>
      <w:marLeft w:val="0"/>
      <w:marRight w:val="0"/>
      <w:marTop w:val="0"/>
      <w:marBottom w:val="0"/>
      <w:divBdr>
        <w:top w:val="none" w:sz="0" w:space="0" w:color="auto"/>
        <w:left w:val="none" w:sz="0" w:space="0" w:color="auto"/>
        <w:bottom w:val="none" w:sz="0" w:space="0" w:color="auto"/>
        <w:right w:val="none" w:sz="0" w:space="0" w:color="auto"/>
      </w:divBdr>
    </w:div>
    <w:div w:id="411508081">
      <w:bodyDiv w:val="1"/>
      <w:marLeft w:val="0"/>
      <w:marRight w:val="0"/>
      <w:marTop w:val="0"/>
      <w:marBottom w:val="0"/>
      <w:divBdr>
        <w:top w:val="none" w:sz="0" w:space="0" w:color="auto"/>
        <w:left w:val="none" w:sz="0" w:space="0" w:color="auto"/>
        <w:bottom w:val="none" w:sz="0" w:space="0" w:color="auto"/>
        <w:right w:val="none" w:sz="0" w:space="0" w:color="auto"/>
      </w:divBdr>
    </w:div>
    <w:div w:id="413094977">
      <w:bodyDiv w:val="1"/>
      <w:marLeft w:val="0"/>
      <w:marRight w:val="0"/>
      <w:marTop w:val="0"/>
      <w:marBottom w:val="0"/>
      <w:divBdr>
        <w:top w:val="none" w:sz="0" w:space="0" w:color="auto"/>
        <w:left w:val="none" w:sz="0" w:space="0" w:color="auto"/>
        <w:bottom w:val="none" w:sz="0" w:space="0" w:color="auto"/>
        <w:right w:val="none" w:sz="0" w:space="0" w:color="auto"/>
      </w:divBdr>
    </w:div>
    <w:div w:id="422069131">
      <w:bodyDiv w:val="1"/>
      <w:marLeft w:val="0"/>
      <w:marRight w:val="0"/>
      <w:marTop w:val="0"/>
      <w:marBottom w:val="0"/>
      <w:divBdr>
        <w:top w:val="none" w:sz="0" w:space="0" w:color="auto"/>
        <w:left w:val="none" w:sz="0" w:space="0" w:color="auto"/>
        <w:bottom w:val="none" w:sz="0" w:space="0" w:color="auto"/>
        <w:right w:val="none" w:sz="0" w:space="0" w:color="auto"/>
      </w:divBdr>
    </w:div>
    <w:div w:id="432171814">
      <w:bodyDiv w:val="1"/>
      <w:marLeft w:val="0"/>
      <w:marRight w:val="0"/>
      <w:marTop w:val="0"/>
      <w:marBottom w:val="0"/>
      <w:divBdr>
        <w:top w:val="none" w:sz="0" w:space="0" w:color="auto"/>
        <w:left w:val="none" w:sz="0" w:space="0" w:color="auto"/>
        <w:bottom w:val="none" w:sz="0" w:space="0" w:color="auto"/>
        <w:right w:val="none" w:sz="0" w:space="0" w:color="auto"/>
      </w:divBdr>
    </w:div>
    <w:div w:id="437220870">
      <w:bodyDiv w:val="1"/>
      <w:marLeft w:val="0"/>
      <w:marRight w:val="0"/>
      <w:marTop w:val="0"/>
      <w:marBottom w:val="0"/>
      <w:divBdr>
        <w:top w:val="none" w:sz="0" w:space="0" w:color="auto"/>
        <w:left w:val="none" w:sz="0" w:space="0" w:color="auto"/>
        <w:bottom w:val="none" w:sz="0" w:space="0" w:color="auto"/>
        <w:right w:val="none" w:sz="0" w:space="0" w:color="auto"/>
      </w:divBdr>
    </w:div>
    <w:div w:id="493028654">
      <w:bodyDiv w:val="1"/>
      <w:marLeft w:val="0"/>
      <w:marRight w:val="0"/>
      <w:marTop w:val="0"/>
      <w:marBottom w:val="0"/>
      <w:divBdr>
        <w:top w:val="none" w:sz="0" w:space="0" w:color="auto"/>
        <w:left w:val="none" w:sz="0" w:space="0" w:color="auto"/>
        <w:bottom w:val="none" w:sz="0" w:space="0" w:color="auto"/>
        <w:right w:val="none" w:sz="0" w:space="0" w:color="auto"/>
      </w:divBdr>
    </w:div>
    <w:div w:id="494611883">
      <w:bodyDiv w:val="1"/>
      <w:marLeft w:val="0"/>
      <w:marRight w:val="0"/>
      <w:marTop w:val="0"/>
      <w:marBottom w:val="0"/>
      <w:divBdr>
        <w:top w:val="none" w:sz="0" w:space="0" w:color="auto"/>
        <w:left w:val="none" w:sz="0" w:space="0" w:color="auto"/>
        <w:bottom w:val="none" w:sz="0" w:space="0" w:color="auto"/>
        <w:right w:val="none" w:sz="0" w:space="0" w:color="auto"/>
      </w:divBdr>
    </w:div>
    <w:div w:id="499084396">
      <w:bodyDiv w:val="1"/>
      <w:marLeft w:val="0"/>
      <w:marRight w:val="0"/>
      <w:marTop w:val="0"/>
      <w:marBottom w:val="0"/>
      <w:divBdr>
        <w:top w:val="none" w:sz="0" w:space="0" w:color="auto"/>
        <w:left w:val="none" w:sz="0" w:space="0" w:color="auto"/>
        <w:bottom w:val="none" w:sz="0" w:space="0" w:color="auto"/>
        <w:right w:val="none" w:sz="0" w:space="0" w:color="auto"/>
      </w:divBdr>
    </w:div>
    <w:div w:id="501701909">
      <w:bodyDiv w:val="1"/>
      <w:marLeft w:val="0"/>
      <w:marRight w:val="0"/>
      <w:marTop w:val="0"/>
      <w:marBottom w:val="0"/>
      <w:divBdr>
        <w:top w:val="none" w:sz="0" w:space="0" w:color="auto"/>
        <w:left w:val="none" w:sz="0" w:space="0" w:color="auto"/>
        <w:bottom w:val="none" w:sz="0" w:space="0" w:color="auto"/>
        <w:right w:val="none" w:sz="0" w:space="0" w:color="auto"/>
      </w:divBdr>
    </w:div>
    <w:div w:id="513345661">
      <w:bodyDiv w:val="1"/>
      <w:marLeft w:val="0"/>
      <w:marRight w:val="0"/>
      <w:marTop w:val="0"/>
      <w:marBottom w:val="0"/>
      <w:divBdr>
        <w:top w:val="none" w:sz="0" w:space="0" w:color="auto"/>
        <w:left w:val="none" w:sz="0" w:space="0" w:color="auto"/>
        <w:bottom w:val="none" w:sz="0" w:space="0" w:color="auto"/>
        <w:right w:val="none" w:sz="0" w:space="0" w:color="auto"/>
      </w:divBdr>
    </w:div>
    <w:div w:id="522405048">
      <w:bodyDiv w:val="1"/>
      <w:marLeft w:val="0"/>
      <w:marRight w:val="0"/>
      <w:marTop w:val="0"/>
      <w:marBottom w:val="0"/>
      <w:divBdr>
        <w:top w:val="none" w:sz="0" w:space="0" w:color="auto"/>
        <w:left w:val="none" w:sz="0" w:space="0" w:color="auto"/>
        <w:bottom w:val="none" w:sz="0" w:space="0" w:color="auto"/>
        <w:right w:val="none" w:sz="0" w:space="0" w:color="auto"/>
      </w:divBdr>
    </w:div>
    <w:div w:id="543100608">
      <w:bodyDiv w:val="1"/>
      <w:marLeft w:val="0"/>
      <w:marRight w:val="0"/>
      <w:marTop w:val="0"/>
      <w:marBottom w:val="0"/>
      <w:divBdr>
        <w:top w:val="none" w:sz="0" w:space="0" w:color="auto"/>
        <w:left w:val="none" w:sz="0" w:space="0" w:color="auto"/>
        <w:bottom w:val="none" w:sz="0" w:space="0" w:color="auto"/>
        <w:right w:val="none" w:sz="0" w:space="0" w:color="auto"/>
      </w:divBdr>
    </w:div>
    <w:div w:id="545140810">
      <w:bodyDiv w:val="1"/>
      <w:marLeft w:val="0"/>
      <w:marRight w:val="0"/>
      <w:marTop w:val="0"/>
      <w:marBottom w:val="0"/>
      <w:divBdr>
        <w:top w:val="none" w:sz="0" w:space="0" w:color="auto"/>
        <w:left w:val="none" w:sz="0" w:space="0" w:color="auto"/>
        <w:bottom w:val="none" w:sz="0" w:space="0" w:color="auto"/>
        <w:right w:val="none" w:sz="0" w:space="0" w:color="auto"/>
      </w:divBdr>
    </w:div>
    <w:div w:id="561869867">
      <w:bodyDiv w:val="1"/>
      <w:marLeft w:val="0"/>
      <w:marRight w:val="0"/>
      <w:marTop w:val="0"/>
      <w:marBottom w:val="0"/>
      <w:divBdr>
        <w:top w:val="none" w:sz="0" w:space="0" w:color="auto"/>
        <w:left w:val="none" w:sz="0" w:space="0" w:color="auto"/>
        <w:bottom w:val="none" w:sz="0" w:space="0" w:color="auto"/>
        <w:right w:val="none" w:sz="0" w:space="0" w:color="auto"/>
      </w:divBdr>
    </w:div>
    <w:div w:id="568346000">
      <w:bodyDiv w:val="1"/>
      <w:marLeft w:val="0"/>
      <w:marRight w:val="0"/>
      <w:marTop w:val="0"/>
      <w:marBottom w:val="0"/>
      <w:divBdr>
        <w:top w:val="none" w:sz="0" w:space="0" w:color="auto"/>
        <w:left w:val="none" w:sz="0" w:space="0" w:color="auto"/>
        <w:bottom w:val="none" w:sz="0" w:space="0" w:color="auto"/>
        <w:right w:val="none" w:sz="0" w:space="0" w:color="auto"/>
      </w:divBdr>
    </w:div>
    <w:div w:id="585109770">
      <w:bodyDiv w:val="1"/>
      <w:marLeft w:val="0"/>
      <w:marRight w:val="0"/>
      <w:marTop w:val="0"/>
      <w:marBottom w:val="0"/>
      <w:divBdr>
        <w:top w:val="none" w:sz="0" w:space="0" w:color="auto"/>
        <w:left w:val="none" w:sz="0" w:space="0" w:color="auto"/>
        <w:bottom w:val="none" w:sz="0" w:space="0" w:color="auto"/>
        <w:right w:val="none" w:sz="0" w:space="0" w:color="auto"/>
      </w:divBdr>
    </w:div>
    <w:div w:id="587736387">
      <w:bodyDiv w:val="1"/>
      <w:marLeft w:val="0"/>
      <w:marRight w:val="0"/>
      <w:marTop w:val="0"/>
      <w:marBottom w:val="0"/>
      <w:divBdr>
        <w:top w:val="none" w:sz="0" w:space="0" w:color="auto"/>
        <w:left w:val="none" w:sz="0" w:space="0" w:color="auto"/>
        <w:bottom w:val="none" w:sz="0" w:space="0" w:color="auto"/>
        <w:right w:val="none" w:sz="0" w:space="0" w:color="auto"/>
      </w:divBdr>
    </w:div>
    <w:div w:id="591281214">
      <w:bodyDiv w:val="1"/>
      <w:marLeft w:val="0"/>
      <w:marRight w:val="0"/>
      <w:marTop w:val="0"/>
      <w:marBottom w:val="0"/>
      <w:divBdr>
        <w:top w:val="none" w:sz="0" w:space="0" w:color="auto"/>
        <w:left w:val="none" w:sz="0" w:space="0" w:color="auto"/>
        <w:bottom w:val="none" w:sz="0" w:space="0" w:color="auto"/>
        <w:right w:val="none" w:sz="0" w:space="0" w:color="auto"/>
      </w:divBdr>
    </w:div>
    <w:div w:id="596333237">
      <w:bodyDiv w:val="1"/>
      <w:marLeft w:val="0"/>
      <w:marRight w:val="0"/>
      <w:marTop w:val="0"/>
      <w:marBottom w:val="0"/>
      <w:divBdr>
        <w:top w:val="none" w:sz="0" w:space="0" w:color="auto"/>
        <w:left w:val="none" w:sz="0" w:space="0" w:color="auto"/>
        <w:bottom w:val="none" w:sz="0" w:space="0" w:color="auto"/>
        <w:right w:val="none" w:sz="0" w:space="0" w:color="auto"/>
      </w:divBdr>
    </w:div>
    <w:div w:id="610823520">
      <w:bodyDiv w:val="1"/>
      <w:marLeft w:val="0"/>
      <w:marRight w:val="0"/>
      <w:marTop w:val="0"/>
      <w:marBottom w:val="0"/>
      <w:divBdr>
        <w:top w:val="none" w:sz="0" w:space="0" w:color="auto"/>
        <w:left w:val="none" w:sz="0" w:space="0" w:color="auto"/>
        <w:bottom w:val="none" w:sz="0" w:space="0" w:color="auto"/>
        <w:right w:val="none" w:sz="0" w:space="0" w:color="auto"/>
      </w:divBdr>
    </w:div>
    <w:div w:id="619410420">
      <w:bodyDiv w:val="1"/>
      <w:marLeft w:val="0"/>
      <w:marRight w:val="0"/>
      <w:marTop w:val="0"/>
      <w:marBottom w:val="0"/>
      <w:divBdr>
        <w:top w:val="none" w:sz="0" w:space="0" w:color="auto"/>
        <w:left w:val="none" w:sz="0" w:space="0" w:color="auto"/>
        <w:bottom w:val="none" w:sz="0" w:space="0" w:color="auto"/>
        <w:right w:val="none" w:sz="0" w:space="0" w:color="auto"/>
      </w:divBdr>
    </w:div>
    <w:div w:id="622615725">
      <w:bodyDiv w:val="1"/>
      <w:marLeft w:val="0"/>
      <w:marRight w:val="0"/>
      <w:marTop w:val="0"/>
      <w:marBottom w:val="0"/>
      <w:divBdr>
        <w:top w:val="none" w:sz="0" w:space="0" w:color="auto"/>
        <w:left w:val="none" w:sz="0" w:space="0" w:color="auto"/>
        <w:bottom w:val="none" w:sz="0" w:space="0" w:color="auto"/>
        <w:right w:val="none" w:sz="0" w:space="0" w:color="auto"/>
      </w:divBdr>
    </w:div>
    <w:div w:id="623737540">
      <w:bodyDiv w:val="1"/>
      <w:marLeft w:val="0"/>
      <w:marRight w:val="0"/>
      <w:marTop w:val="0"/>
      <w:marBottom w:val="0"/>
      <w:divBdr>
        <w:top w:val="none" w:sz="0" w:space="0" w:color="auto"/>
        <w:left w:val="none" w:sz="0" w:space="0" w:color="auto"/>
        <w:bottom w:val="none" w:sz="0" w:space="0" w:color="auto"/>
        <w:right w:val="none" w:sz="0" w:space="0" w:color="auto"/>
      </w:divBdr>
    </w:div>
    <w:div w:id="625429659">
      <w:bodyDiv w:val="1"/>
      <w:marLeft w:val="0"/>
      <w:marRight w:val="0"/>
      <w:marTop w:val="0"/>
      <w:marBottom w:val="0"/>
      <w:divBdr>
        <w:top w:val="none" w:sz="0" w:space="0" w:color="auto"/>
        <w:left w:val="none" w:sz="0" w:space="0" w:color="auto"/>
        <w:bottom w:val="none" w:sz="0" w:space="0" w:color="auto"/>
        <w:right w:val="none" w:sz="0" w:space="0" w:color="auto"/>
      </w:divBdr>
    </w:div>
    <w:div w:id="659698462">
      <w:bodyDiv w:val="1"/>
      <w:marLeft w:val="0"/>
      <w:marRight w:val="0"/>
      <w:marTop w:val="0"/>
      <w:marBottom w:val="0"/>
      <w:divBdr>
        <w:top w:val="none" w:sz="0" w:space="0" w:color="auto"/>
        <w:left w:val="none" w:sz="0" w:space="0" w:color="auto"/>
        <w:bottom w:val="none" w:sz="0" w:space="0" w:color="auto"/>
        <w:right w:val="none" w:sz="0" w:space="0" w:color="auto"/>
      </w:divBdr>
    </w:div>
    <w:div w:id="672882178">
      <w:bodyDiv w:val="1"/>
      <w:marLeft w:val="0"/>
      <w:marRight w:val="0"/>
      <w:marTop w:val="0"/>
      <w:marBottom w:val="0"/>
      <w:divBdr>
        <w:top w:val="none" w:sz="0" w:space="0" w:color="auto"/>
        <w:left w:val="none" w:sz="0" w:space="0" w:color="auto"/>
        <w:bottom w:val="none" w:sz="0" w:space="0" w:color="auto"/>
        <w:right w:val="none" w:sz="0" w:space="0" w:color="auto"/>
      </w:divBdr>
    </w:div>
    <w:div w:id="688483941">
      <w:bodyDiv w:val="1"/>
      <w:marLeft w:val="0"/>
      <w:marRight w:val="0"/>
      <w:marTop w:val="0"/>
      <w:marBottom w:val="0"/>
      <w:divBdr>
        <w:top w:val="none" w:sz="0" w:space="0" w:color="auto"/>
        <w:left w:val="none" w:sz="0" w:space="0" w:color="auto"/>
        <w:bottom w:val="none" w:sz="0" w:space="0" w:color="auto"/>
        <w:right w:val="none" w:sz="0" w:space="0" w:color="auto"/>
      </w:divBdr>
    </w:div>
    <w:div w:id="692612303">
      <w:bodyDiv w:val="1"/>
      <w:marLeft w:val="0"/>
      <w:marRight w:val="0"/>
      <w:marTop w:val="0"/>
      <w:marBottom w:val="0"/>
      <w:divBdr>
        <w:top w:val="none" w:sz="0" w:space="0" w:color="auto"/>
        <w:left w:val="none" w:sz="0" w:space="0" w:color="auto"/>
        <w:bottom w:val="none" w:sz="0" w:space="0" w:color="auto"/>
        <w:right w:val="none" w:sz="0" w:space="0" w:color="auto"/>
      </w:divBdr>
    </w:div>
    <w:div w:id="693769610">
      <w:bodyDiv w:val="1"/>
      <w:marLeft w:val="0"/>
      <w:marRight w:val="0"/>
      <w:marTop w:val="0"/>
      <w:marBottom w:val="0"/>
      <w:divBdr>
        <w:top w:val="none" w:sz="0" w:space="0" w:color="auto"/>
        <w:left w:val="none" w:sz="0" w:space="0" w:color="auto"/>
        <w:bottom w:val="none" w:sz="0" w:space="0" w:color="auto"/>
        <w:right w:val="none" w:sz="0" w:space="0" w:color="auto"/>
      </w:divBdr>
    </w:div>
    <w:div w:id="700131939">
      <w:bodyDiv w:val="1"/>
      <w:marLeft w:val="0"/>
      <w:marRight w:val="0"/>
      <w:marTop w:val="0"/>
      <w:marBottom w:val="0"/>
      <w:divBdr>
        <w:top w:val="none" w:sz="0" w:space="0" w:color="auto"/>
        <w:left w:val="none" w:sz="0" w:space="0" w:color="auto"/>
        <w:bottom w:val="none" w:sz="0" w:space="0" w:color="auto"/>
        <w:right w:val="none" w:sz="0" w:space="0" w:color="auto"/>
      </w:divBdr>
    </w:div>
    <w:div w:id="700596982">
      <w:bodyDiv w:val="1"/>
      <w:marLeft w:val="0"/>
      <w:marRight w:val="0"/>
      <w:marTop w:val="0"/>
      <w:marBottom w:val="0"/>
      <w:divBdr>
        <w:top w:val="none" w:sz="0" w:space="0" w:color="auto"/>
        <w:left w:val="none" w:sz="0" w:space="0" w:color="auto"/>
        <w:bottom w:val="none" w:sz="0" w:space="0" w:color="auto"/>
        <w:right w:val="none" w:sz="0" w:space="0" w:color="auto"/>
      </w:divBdr>
    </w:div>
    <w:div w:id="700711886">
      <w:bodyDiv w:val="1"/>
      <w:marLeft w:val="0"/>
      <w:marRight w:val="0"/>
      <w:marTop w:val="0"/>
      <w:marBottom w:val="0"/>
      <w:divBdr>
        <w:top w:val="none" w:sz="0" w:space="0" w:color="auto"/>
        <w:left w:val="none" w:sz="0" w:space="0" w:color="auto"/>
        <w:bottom w:val="none" w:sz="0" w:space="0" w:color="auto"/>
        <w:right w:val="none" w:sz="0" w:space="0" w:color="auto"/>
      </w:divBdr>
    </w:div>
    <w:div w:id="701518875">
      <w:bodyDiv w:val="1"/>
      <w:marLeft w:val="0"/>
      <w:marRight w:val="0"/>
      <w:marTop w:val="0"/>
      <w:marBottom w:val="0"/>
      <w:divBdr>
        <w:top w:val="none" w:sz="0" w:space="0" w:color="auto"/>
        <w:left w:val="none" w:sz="0" w:space="0" w:color="auto"/>
        <w:bottom w:val="none" w:sz="0" w:space="0" w:color="auto"/>
        <w:right w:val="none" w:sz="0" w:space="0" w:color="auto"/>
      </w:divBdr>
    </w:div>
    <w:div w:id="704213016">
      <w:bodyDiv w:val="1"/>
      <w:marLeft w:val="0"/>
      <w:marRight w:val="0"/>
      <w:marTop w:val="0"/>
      <w:marBottom w:val="0"/>
      <w:divBdr>
        <w:top w:val="none" w:sz="0" w:space="0" w:color="auto"/>
        <w:left w:val="none" w:sz="0" w:space="0" w:color="auto"/>
        <w:bottom w:val="none" w:sz="0" w:space="0" w:color="auto"/>
        <w:right w:val="none" w:sz="0" w:space="0" w:color="auto"/>
      </w:divBdr>
    </w:div>
    <w:div w:id="723333781">
      <w:bodyDiv w:val="1"/>
      <w:marLeft w:val="0"/>
      <w:marRight w:val="0"/>
      <w:marTop w:val="0"/>
      <w:marBottom w:val="0"/>
      <w:divBdr>
        <w:top w:val="none" w:sz="0" w:space="0" w:color="auto"/>
        <w:left w:val="none" w:sz="0" w:space="0" w:color="auto"/>
        <w:bottom w:val="none" w:sz="0" w:space="0" w:color="auto"/>
        <w:right w:val="none" w:sz="0" w:space="0" w:color="auto"/>
      </w:divBdr>
    </w:div>
    <w:div w:id="738476598">
      <w:bodyDiv w:val="1"/>
      <w:marLeft w:val="0"/>
      <w:marRight w:val="0"/>
      <w:marTop w:val="0"/>
      <w:marBottom w:val="0"/>
      <w:divBdr>
        <w:top w:val="none" w:sz="0" w:space="0" w:color="auto"/>
        <w:left w:val="none" w:sz="0" w:space="0" w:color="auto"/>
        <w:bottom w:val="none" w:sz="0" w:space="0" w:color="auto"/>
        <w:right w:val="none" w:sz="0" w:space="0" w:color="auto"/>
      </w:divBdr>
    </w:div>
    <w:div w:id="739594459">
      <w:bodyDiv w:val="1"/>
      <w:marLeft w:val="0"/>
      <w:marRight w:val="0"/>
      <w:marTop w:val="0"/>
      <w:marBottom w:val="0"/>
      <w:divBdr>
        <w:top w:val="none" w:sz="0" w:space="0" w:color="auto"/>
        <w:left w:val="none" w:sz="0" w:space="0" w:color="auto"/>
        <w:bottom w:val="none" w:sz="0" w:space="0" w:color="auto"/>
        <w:right w:val="none" w:sz="0" w:space="0" w:color="auto"/>
      </w:divBdr>
    </w:div>
    <w:div w:id="741029981">
      <w:bodyDiv w:val="1"/>
      <w:marLeft w:val="0"/>
      <w:marRight w:val="0"/>
      <w:marTop w:val="0"/>
      <w:marBottom w:val="0"/>
      <w:divBdr>
        <w:top w:val="none" w:sz="0" w:space="0" w:color="auto"/>
        <w:left w:val="none" w:sz="0" w:space="0" w:color="auto"/>
        <w:bottom w:val="none" w:sz="0" w:space="0" w:color="auto"/>
        <w:right w:val="none" w:sz="0" w:space="0" w:color="auto"/>
      </w:divBdr>
    </w:div>
    <w:div w:id="757676105">
      <w:bodyDiv w:val="1"/>
      <w:marLeft w:val="0"/>
      <w:marRight w:val="0"/>
      <w:marTop w:val="0"/>
      <w:marBottom w:val="0"/>
      <w:divBdr>
        <w:top w:val="none" w:sz="0" w:space="0" w:color="auto"/>
        <w:left w:val="none" w:sz="0" w:space="0" w:color="auto"/>
        <w:bottom w:val="none" w:sz="0" w:space="0" w:color="auto"/>
        <w:right w:val="none" w:sz="0" w:space="0" w:color="auto"/>
      </w:divBdr>
    </w:div>
    <w:div w:id="773550498">
      <w:bodyDiv w:val="1"/>
      <w:marLeft w:val="0"/>
      <w:marRight w:val="0"/>
      <w:marTop w:val="0"/>
      <w:marBottom w:val="0"/>
      <w:divBdr>
        <w:top w:val="none" w:sz="0" w:space="0" w:color="auto"/>
        <w:left w:val="none" w:sz="0" w:space="0" w:color="auto"/>
        <w:bottom w:val="none" w:sz="0" w:space="0" w:color="auto"/>
        <w:right w:val="none" w:sz="0" w:space="0" w:color="auto"/>
      </w:divBdr>
    </w:div>
    <w:div w:id="776174647">
      <w:bodyDiv w:val="1"/>
      <w:marLeft w:val="0"/>
      <w:marRight w:val="0"/>
      <w:marTop w:val="0"/>
      <w:marBottom w:val="0"/>
      <w:divBdr>
        <w:top w:val="none" w:sz="0" w:space="0" w:color="auto"/>
        <w:left w:val="none" w:sz="0" w:space="0" w:color="auto"/>
        <w:bottom w:val="none" w:sz="0" w:space="0" w:color="auto"/>
        <w:right w:val="none" w:sz="0" w:space="0" w:color="auto"/>
      </w:divBdr>
    </w:div>
    <w:div w:id="787697826">
      <w:bodyDiv w:val="1"/>
      <w:marLeft w:val="0"/>
      <w:marRight w:val="0"/>
      <w:marTop w:val="0"/>
      <w:marBottom w:val="0"/>
      <w:divBdr>
        <w:top w:val="none" w:sz="0" w:space="0" w:color="auto"/>
        <w:left w:val="none" w:sz="0" w:space="0" w:color="auto"/>
        <w:bottom w:val="none" w:sz="0" w:space="0" w:color="auto"/>
        <w:right w:val="none" w:sz="0" w:space="0" w:color="auto"/>
      </w:divBdr>
    </w:div>
    <w:div w:id="799761627">
      <w:bodyDiv w:val="1"/>
      <w:marLeft w:val="0"/>
      <w:marRight w:val="0"/>
      <w:marTop w:val="0"/>
      <w:marBottom w:val="0"/>
      <w:divBdr>
        <w:top w:val="none" w:sz="0" w:space="0" w:color="auto"/>
        <w:left w:val="none" w:sz="0" w:space="0" w:color="auto"/>
        <w:bottom w:val="none" w:sz="0" w:space="0" w:color="auto"/>
        <w:right w:val="none" w:sz="0" w:space="0" w:color="auto"/>
      </w:divBdr>
    </w:div>
    <w:div w:id="817183253">
      <w:bodyDiv w:val="1"/>
      <w:marLeft w:val="0"/>
      <w:marRight w:val="0"/>
      <w:marTop w:val="0"/>
      <w:marBottom w:val="0"/>
      <w:divBdr>
        <w:top w:val="none" w:sz="0" w:space="0" w:color="auto"/>
        <w:left w:val="none" w:sz="0" w:space="0" w:color="auto"/>
        <w:bottom w:val="none" w:sz="0" w:space="0" w:color="auto"/>
        <w:right w:val="none" w:sz="0" w:space="0" w:color="auto"/>
      </w:divBdr>
    </w:div>
    <w:div w:id="827667938">
      <w:bodyDiv w:val="1"/>
      <w:marLeft w:val="0"/>
      <w:marRight w:val="0"/>
      <w:marTop w:val="0"/>
      <w:marBottom w:val="0"/>
      <w:divBdr>
        <w:top w:val="none" w:sz="0" w:space="0" w:color="auto"/>
        <w:left w:val="none" w:sz="0" w:space="0" w:color="auto"/>
        <w:bottom w:val="none" w:sz="0" w:space="0" w:color="auto"/>
        <w:right w:val="none" w:sz="0" w:space="0" w:color="auto"/>
      </w:divBdr>
    </w:div>
    <w:div w:id="838079626">
      <w:bodyDiv w:val="1"/>
      <w:marLeft w:val="0"/>
      <w:marRight w:val="0"/>
      <w:marTop w:val="0"/>
      <w:marBottom w:val="0"/>
      <w:divBdr>
        <w:top w:val="none" w:sz="0" w:space="0" w:color="auto"/>
        <w:left w:val="none" w:sz="0" w:space="0" w:color="auto"/>
        <w:bottom w:val="none" w:sz="0" w:space="0" w:color="auto"/>
        <w:right w:val="none" w:sz="0" w:space="0" w:color="auto"/>
      </w:divBdr>
    </w:div>
    <w:div w:id="849100542">
      <w:bodyDiv w:val="1"/>
      <w:marLeft w:val="0"/>
      <w:marRight w:val="0"/>
      <w:marTop w:val="0"/>
      <w:marBottom w:val="0"/>
      <w:divBdr>
        <w:top w:val="none" w:sz="0" w:space="0" w:color="auto"/>
        <w:left w:val="none" w:sz="0" w:space="0" w:color="auto"/>
        <w:bottom w:val="none" w:sz="0" w:space="0" w:color="auto"/>
        <w:right w:val="none" w:sz="0" w:space="0" w:color="auto"/>
      </w:divBdr>
    </w:div>
    <w:div w:id="868031594">
      <w:bodyDiv w:val="1"/>
      <w:marLeft w:val="0"/>
      <w:marRight w:val="0"/>
      <w:marTop w:val="0"/>
      <w:marBottom w:val="0"/>
      <w:divBdr>
        <w:top w:val="none" w:sz="0" w:space="0" w:color="auto"/>
        <w:left w:val="none" w:sz="0" w:space="0" w:color="auto"/>
        <w:bottom w:val="none" w:sz="0" w:space="0" w:color="auto"/>
        <w:right w:val="none" w:sz="0" w:space="0" w:color="auto"/>
      </w:divBdr>
    </w:div>
    <w:div w:id="874198099">
      <w:bodyDiv w:val="1"/>
      <w:marLeft w:val="0"/>
      <w:marRight w:val="0"/>
      <w:marTop w:val="0"/>
      <w:marBottom w:val="0"/>
      <w:divBdr>
        <w:top w:val="none" w:sz="0" w:space="0" w:color="auto"/>
        <w:left w:val="none" w:sz="0" w:space="0" w:color="auto"/>
        <w:bottom w:val="none" w:sz="0" w:space="0" w:color="auto"/>
        <w:right w:val="none" w:sz="0" w:space="0" w:color="auto"/>
      </w:divBdr>
    </w:div>
    <w:div w:id="882594784">
      <w:bodyDiv w:val="1"/>
      <w:marLeft w:val="0"/>
      <w:marRight w:val="0"/>
      <w:marTop w:val="0"/>
      <w:marBottom w:val="0"/>
      <w:divBdr>
        <w:top w:val="none" w:sz="0" w:space="0" w:color="auto"/>
        <w:left w:val="none" w:sz="0" w:space="0" w:color="auto"/>
        <w:bottom w:val="none" w:sz="0" w:space="0" w:color="auto"/>
        <w:right w:val="none" w:sz="0" w:space="0" w:color="auto"/>
      </w:divBdr>
    </w:div>
    <w:div w:id="883449136">
      <w:bodyDiv w:val="1"/>
      <w:marLeft w:val="0"/>
      <w:marRight w:val="0"/>
      <w:marTop w:val="0"/>
      <w:marBottom w:val="0"/>
      <w:divBdr>
        <w:top w:val="none" w:sz="0" w:space="0" w:color="auto"/>
        <w:left w:val="none" w:sz="0" w:space="0" w:color="auto"/>
        <w:bottom w:val="none" w:sz="0" w:space="0" w:color="auto"/>
        <w:right w:val="none" w:sz="0" w:space="0" w:color="auto"/>
      </w:divBdr>
    </w:div>
    <w:div w:id="888028510">
      <w:bodyDiv w:val="1"/>
      <w:marLeft w:val="0"/>
      <w:marRight w:val="0"/>
      <w:marTop w:val="0"/>
      <w:marBottom w:val="0"/>
      <w:divBdr>
        <w:top w:val="none" w:sz="0" w:space="0" w:color="auto"/>
        <w:left w:val="none" w:sz="0" w:space="0" w:color="auto"/>
        <w:bottom w:val="none" w:sz="0" w:space="0" w:color="auto"/>
        <w:right w:val="none" w:sz="0" w:space="0" w:color="auto"/>
      </w:divBdr>
    </w:div>
    <w:div w:id="890926436">
      <w:bodyDiv w:val="1"/>
      <w:marLeft w:val="0"/>
      <w:marRight w:val="0"/>
      <w:marTop w:val="0"/>
      <w:marBottom w:val="0"/>
      <w:divBdr>
        <w:top w:val="none" w:sz="0" w:space="0" w:color="auto"/>
        <w:left w:val="none" w:sz="0" w:space="0" w:color="auto"/>
        <w:bottom w:val="none" w:sz="0" w:space="0" w:color="auto"/>
        <w:right w:val="none" w:sz="0" w:space="0" w:color="auto"/>
      </w:divBdr>
    </w:div>
    <w:div w:id="891042492">
      <w:bodyDiv w:val="1"/>
      <w:marLeft w:val="0"/>
      <w:marRight w:val="0"/>
      <w:marTop w:val="0"/>
      <w:marBottom w:val="0"/>
      <w:divBdr>
        <w:top w:val="none" w:sz="0" w:space="0" w:color="auto"/>
        <w:left w:val="none" w:sz="0" w:space="0" w:color="auto"/>
        <w:bottom w:val="none" w:sz="0" w:space="0" w:color="auto"/>
        <w:right w:val="none" w:sz="0" w:space="0" w:color="auto"/>
      </w:divBdr>
    </w:div>
    <w:div w:id="894895306">
      <w:bodyDiv w:val="1"/>
      <w:marLeft w:val="0"/>
      <w:marRight w:val="0"/>
      <w:marTop w:val="0"/>
      <w:marBottom w:val="0"/>
      <w:divBdr>
        <w:top w:val="none" w:sz="0" w:space="0" w:color="auto"/>
        <w:left w:val="none" w:sz="0" w:space="0" w:color="auto"/>
        <w:bottom w:val="none" w:sz="0" w:space="0" w:color="auto"/>
        <w:right w:val="none" w:sz="0" w:space="0" w:color="auto"/>
      </w:divBdr>
    </w:div>
    <w:div w:id="899171435">
      <w:bodyDiv w:val="1"/>
      <w:marLeft w:val="0"/>
      <w:marRight w:val="0"/>
      <w:marTop w:val="0"/>
      <w:marBottom w:val="0"/>
      <w:divBdr>
        <w:top w:val="none" w:sz="0" w:space="0" w:color="auto"/>
        <w:left w:val="none" w:sz="0" w:space="0" w:color="auto"/>
        <w:bottom w:val="none" w:sz="0" w:space="0" w:color="auto"/>
        <w:right w:val="none" w:sz="0" w:space="0" w:color="auto"/>
      </w:divBdr>
    </w:div>
    <w:div w:id="913125098">
      <w:bodyDiv w:val="1"/>
      <w:marLeft w:val="0"/>
      <w:marRight w:val="0"/>
      <w:marTop w:val="0"/>
      <w:marBottom w:val="0"/>
      <w:divBdr>
        <w:top w:val="none" w:sz="0" w:space="0" w:color="auto"/>
        <w:left w:val="none" w:sz="0" w:space="0" w:color="auto"/>
        <w:bottom w:val="none" w:sz="0" w:space="0" w:color="auto"/>
        <w:right w:val="none" w:sz="0" w:space="0" w:color="auto"/>
      </w:divBdr>
    </w:div>
    <w:div w:id="918365839">
      <w:bodyDiv w:val="1"/>
      <w:marLeft w:val="0"/>
      <w:marRight w:val="0"/>
      <w:marTop w:val="0"/>
      <w:marBottom w:val="0"/>
      <w:divBdr>
        <w:top w:val="none" w:sz="0" w:space="0" w:color="auto"/>
        <w:left w:val="none" w:sz="0" w:space="0" w:color="auto"/>
        <w:bottom w:val="none" w:sz="0" w:space="0" w:color="auto"/>
        <w:right w:val="none" w:sz="0" w:space="0" w:color="auto"/>
      </w:divBdr>
    </w:div>
    <w:div w:id="921375239">
      <w:bodyDiv w:val="1"/>
      <w:marLeft w:val="0"/>
      <w:marRight w:val="0"/>
      <w:marTop w:val="0"/>
      <w:marBottom w:val="0"/>
      <w:divBdr>
        <w:top w:val="none" w:sz="0" w:space="0" w:color="auto"/>
        <w:left w:val="none" w:sz="0" w:space="0" w:color="auto"/>
        <w:bottom w:val="none" w:sz="0" w:space="0" w:color="auto"/>
        <w:right w:val="none" w:sz="0" w:space="0" w:color="auto"/>
      </w:divBdr>
    </w:div>
    <w:div w:id="923613081">
      <w:bodyDiv w:val="1"/>
      <w:marLeft w:val="0"/>
      <w:marRight w:val="0"/>
      <w:marTop w:val="0"/>
      <w:marBottom w:val="0"/>
      <w:divBdr>
        <w:top w:val="none" w:sz="0" w:space="0" w:color="auto"/>
        <w:left w:val="none" w:sz="0" w:space="0" w:color="auto"/>
        <w:bottom w:val="none" w:sz="0" w:space="0" w:color="auto"/>
        <w:right w:val="none" w:sz="0" w:space="0" w:color="auto"/>
      </w:divBdr>
    </w:div>
    <w:div w:id="923954354">
      <w:bodyDiv w:val="1"/>
      <w:marLeft w:val="0"/>
      <w:marRight w:val="0"/>
      <w:marTop w:val="0"/>
      <w:marBottom w:val="0"/>
      <w:divBdr>
        <w:top w:val="none" w:sz="0" w:space="0" w:color="auto"/>
        <w:left w:val="none" w:sz="0" w:space="0" w:color="auto"/>
        <w:bottom w:val="none" w:sz="0" w:space="0" w:color="auto"/>
        <w:right w:val="none" w:sz="0" w:space="0" w:color="auto"/>
      </w:divBdr>
    </w:div>
    <w:div w:id="938299709">
      <w:bodyDiv w:val="1"/>
      <w:marLeft w:val="0"/>
      <w:marRight w:val="0"/>
      <w:marTop w:val="0"/>
      <w:marBottom w:val="0"/>
      <w:divBdr>
        <w:top w:val="none" w:sz="0" w:space="0" w:color="auto"/>
        <w:left w:val="none" w:sz="0" w:space="0" w:color="auto"/>
        <w:bottom w:val="none" w:sz="0" w:space="0" w:color="auto"/>
        <w:right w:val="none" w:sz="0" w:space="0" w:color="auto"/>
      </w:divBdr>
    </w:div>
    <w:div w:id="944650442">
      <w:bodyDiv w:val="1"/>
      <w:marLeft w:val="0"/>
      <w:marRight w:val="0"/>
      <w:marTop w:val="0"/>
      <w:marBottom w:val="0"/>
      <w:divBdr>
        <w:top w:val="none" w:sz="0" w:space="0" w:color="auto"/>
        <w:left w:val="none" w:sz="0" w:space="0" w:color="auto"/>
        <w:bottom w:val="none" w:sz="0" w:space="0" w:color="auto"/>
        <w:right w:val="none" w:sz="0" w:space="0" w:color="auto"/>
      </w:divBdr>
    </w:div>
    <w:div w:id="956837169">
      <w:bodyDiv w:val="1"/>
      <w:marLeft w:val="0"/>
      <w:marRight w:val="0"/>
      <w:marTop w:val="0"/>
      <w:marBottom w:val="0"/>
      <w:divBdr>
        <w:top w:val="none" w:sz="0" w:space="0" w:color="auto"/>
        <w:left w:val="none" w:sz="0" w:space="0" w:color="auto"/>
        <w:bottom w:val="none" w:sz="0" w:space="0" w:color="auto"/>
        <w:right w:val="none" w:sz="0" w:space="0" w:color="auto"/>
      </w:divBdr>
    </w:div>
    <w:div w:id="967861073">
      <w:bodyDiv w:val="1"/>
      <w:marLeft w:val="0"/>
      <w:marRight w:val="0"/>
      <w:marTop w:val="0"/>
      <w:marBottom w:val="0"/>
      <w:divBdr>
        <w:top w:val="none" w:sz="0" w:space="0" w:color="auto"/>
        <w:left w:val="none" w:sz="0" w:space="0" w:color="auto"/>
        <w:bottom w:val="none" w:sz="0" w:space="0" w:color="auto"/>
        <w:right w:val="none" w:sz="0" w:space="0" w:color="auto"/>
      </w:divBdr>
    </w:div>
    <w:div w:id="973288978">
      <w:bodyDiv w:val="1"/>
      <w:marLeft w:val="0"/>
      <w:marRight w:val="0"/>
      <w:marTop w:val="0"/>
      <w:marBottom w:val="0"/>
      <w:divBdr>
        <w:top w:val="none" w:sz="0" w:space="0" w:color="auto"/>
        <w:left w:val="none" w:sz="0" w:space="0" w:color="auto"/>
        <w:bottom w:val="none" w:sz="0" w:space="0" w:color="auto"/>
        <w:right w:val="none" w:sz="0" w:space="0" w:color="auto"/>
      </w:divBdr>
    </w:div>
    <w:div w:id="975523752">
      <w:bodyDiv w:val="1"/>
      <w:marLeft w:val="0"/>
      <w:marRight w:val="0"/>
      <w:marTop w:val="0"/>
      <w:marBottom w:val="0"/>
      <w:divBdr>
        <w:top w:val="none" w:sz="0" w:space="0" w:color="auto"/>
        <w:left w:val="none" w:sz="0" w:space="0" w:color="auto"/>
        <w:bottom w:val="none" w:sz="0" w:space="0" w:color="auto"/>
        <w:right w:val="none" w:sz="0" w:space="0" w:color="auto"/>
      </w:divBdr>
    </w:div>
    <w:div w:id="989286973">
      <w:bodyDiv w:val="1"/>
      <w:marLeft w:val="0"/>
      <w:marRight w:val="0"/>
      <w:marTop w:val="0"/>
      <w:marBottom w:val="0"/>
      <w:divBdr>
        <w:top w:val="none" w:sz="0" w:space="0" w:color="auto"/>
        <w:left w:val="none" w:sz="0" w:space="0" w:color="auto"/>
        <w:bottom w:val="none" w:sz="0" w:space="0" w:color="auto"/>
        <w:right w:val="none" w:sz="0" w:space="0" w:color="auto"/>
      </w:divBdr>
    </w:div>
    <w:div w:id="1000743264">
      <w:bodyDiv w:val="1"/>
      <w:marLeft w:val="0"/>
      <w:marRight w:val="0"/>
      <w:marTop w:val="0"/>
      <w:marBottom w:val="0"/>
      <w:divBdr>
        <w:top w:val="none" w:sz="0" w:space="0" w:color="auto"/>
        <w:left w:val="none" w:sz="0" w:space="0" w:color="auto"/>
        <w:bottom w:val="none" w:sz="0" w:space="0" w:color="auto"/>
        <w:right w:val="none" w:sz="0" w:space="0" w:color="auto"/>
      </w:divBdr>
    </w:div>
    <w:div w:id="1001657998">
      <w:bodyDiv w:val="1"/>
      <w:marLeft w:val="0"/>
      <w:marRight w:val="0"/>
      <w:marTop w:val="0"/>
      <w:marBottom w:val="0"/>
      <w:divBdr>
        <w:top w:val="none" w:sz="0" w:space="0" w:color="auto"/>
        <w:left w:val="none" w:sz="0" w:space="0" w:color="auto"/>
        <w:bottom w:val="none" w:sz="0" w:space="0" w:color="auto"/>
        <w:right w:val="none" w:sz="0" w:space="0" w:color="auto"/>
      </w:divBdr>
    </w:div>
    <w:div w:id="1038628803">
      <w:bodyDiv w:val="1"/>
      <w:marLeft w:val="0"/>
      <w:marRight w:val="0"/>
      <w:marTop w:val="0"/>
      <w:marBottom w:val="0"/>
      <w:divBdr>
        <w:top w:val="none" w:sz="0" w:space="0" w:color="auto"/>
        <w:left w:val="none" w:sz="0" w:space="0" w:color="auto"/>
        <w:bottom w:val="none" w:sz="0" w:space="0" w:color="auto"/>
        <w:right w:val="none" w:sz="0" w:space="0" w:color="auto"/>
      </w:divBdr>
    </w:div>
    <w:div w:id="1049115448">
      <w:bodyDiv w:val="1"/>
      <w:marLeft w:val="0"/>
      <w:marRight w:val="0"/>
      <w:marTop w:val="0"/>
      <w:marBottom w:val="0"/>
      <w:divBdr>
        <w:top w:val="none" w:sz="0" w:space="0" w:color="auto"/>
        <w:left w:val="none" w:sz="0" w:space="0" w:color="auto"/>
        <w:bottom w:val="none" w:sz="0" w:space="0" w:color="auto"/>
        <w:right w:val="none" w:sz="0" w:space="0" w:color="auto"/>
      </w:divBdr>
    </w:div>
    <w:div w:id="1059286803">
      <w:bodyDiv w:val="1"/>
      <w:marLeft w:val="0"/>
      <w:marRight w:val="0"/>
      <w:marTop w:val="0"/>
      <w:marBottom w:val="0"/>
      <w:divBdr>
        <w:top w:val="none" w:sz="0" w:space="0" w:color="auto"/>
        <w:left w:val="none" w:sz="0" w:space="0" w:color="auto"/>
        <w:bottom w:val="none" w:sz="0" w:space="0" w:color="auto"/>
        <w:right w:val="none" w:sz="0" w:space="0" w:color="auto"/>
      </w:divBdr>
    </w:div>
    <w:div w:id="1063875076">
      <w:bodyDiv w:val="1"/>
      <w:marLeft w:val="0"/>
      <w:marRight w:val="0"/>
      <w:marTop w:val="0"/>
      <w:marBottom w:val="0"/>
      <w:divBdr>
        <w:top w:val="none" w:sz="0" w:space="0" w:color="auto"/>
        <w:left w:val="none" w:sz="0" w:space="0" w:color="auto"/>
        <w:bottom w:val="none" w:sz="0" w:space="0" w:color="auto"/>
        <w:right w:val="none" w:sz="0" w:space="0" w:color="auto"/>
      </w:divBdr>
    </w:div>
    <w:div w:id="1071539726">
      <w:bodyDiv w:val="1"/>
      <w:marLeft w:val="0"/>
      <w:marRight w:val="0"/>
      <w:marTop w:val="0"/>
      <w:marBottom w:val="0"/>
      <w:divBdr>
        <w:top w:val="none" w:sz="0" w:space="0" w:color="auto"/>
        <w:left w:val="none" w:sz="0" w:space="0" w:color="auto"/>
        <w:bottom w:val="none" w:sz="0" w:space="0" w:color="auto"/>
        <w:right w:val="none" w:sz="0" w:space="0" w:color="auto"/>
      </w:divBdr>
    </w:div>
    <w:div w:id="1083071053">
      <w:bodyDiv w:val="1"/>
      <w:marLeft w:val="0"/>
      <w:marRight w:val="0"/>
      <w:marTop w:val="0"/>
      <w:marBottom w:val="0"/>
      <w:divBdr>
        <w:top w:val="none" w:sz="0" w:space="0" w:color="auto"/>
        <w:left w:val="none" w:sz="0" w:space="0" w:color="auto"/>
        <w:bottom w:val="none" w:sz="0" w:space="0" w:color="auto"/>
        <w:right w:val="none" w:sz="0" w:space="0" w:color="auto"/>
      </w:divBdr>
    </w:div>
    <w:div w:id="1108817397">
      <w:bodyDiv w:val="1"/>
      <w:marLeft w:val="0"/>
      <w:marRight w:val="0"/>
      <w:marTop w:val="0"/>
      <w:marBottom w:val="0"/>
      <w:divBdr>
        <w:top w:val="none" w:sz="0" w:space="0" w:color="auto"/>
        <w:left w:val="none" w:sz="0" w:space="0" w:color="auto"/>
        <w:bottom w:val="none" w:sz="0" w:space="0" w:color="auto"/>
        <w:right w:val="none" w:sz="0" w:space="0" w:color="auto"/>
      </w:divBdr>
    </w:div>
    <w:div w:id="1122454661">
      <w:bodyDiv w:val="1"/>
      <w:marLeft w:val="0"/>
      <w:marRight w:val="0"/>
      <w:marTop w:val="0"/>
      <w:marBottom w:val="0"/>
      <w:divBdr>
        <w:top w:val="none" w:sz="0" w:space="0" w:color="auto"/>
        <w:left w:val="none" w:sz="0" w:space="0" w:color="auto"/>
        <w:bottom w:val="none" w:sz="0" w:space="0" w:color="auto"/>
        <w:right w:val="none" w:sz="0" w:space="0" w:color="auto"/>
      </w:divBdr>
    </w:div>
    <w:div w:id="1132089578">
      <w:bodyDiv w:val="1"/>
      <w:marLeft w:val="0"/>
      <w:marRight w:val="0"/>
      <w:marTop w:val="0"/>
      <w:marBottom w:val="0"/>
      <w:divBdr>
        <w:top w:val="none" w:sz="0" w:space="0" w:color="auto"/>
        <w:left w:val="none" w:sz="0" w:space="0" w:color="auto"/>
        <w:bottom w:val="none" w:sz="0" w:space="0" w:color="auto"/>
        <w:right w:val="none" w:sz="0" w:space="0" w:color="auto"/>
      </w:divBdr>
    </w:div>
    <w:div w:id="1141385738">
      <w:bodyDiv w:val="1"/>
      <w:marLeft w:val="0"/>
      <w:marRight w:val="0"/>
      <w:marTop w:val="0"/>
      <w:marBottom w:val="0"/>
      <w:divBdr>
        <w:top w:val="none" w:sz="0" w:space="0" w:color="auto"/>
        <w:left w:val="none" w:sz="0" w:space="0" w:color="auto"/>
        <w:bottom w:val="none" w:sz="0" w:space="0" w:color="auto"/>
        <w:right w:val="none" w:sz="0" w:space="0" w:color="auto"/>
      </w:divBdr>
    </w:div>
    <w:div w:id="1152717767">
      <w:bodyDiv w:val="1"/>
      <w:marLeft w:val="0"/>
      <w:marRight w:val="0"/>
      <w:marTop w:val="0"/>
      <w:marBottom w:val="0"/>
      <w:divBdr>
        <w:top w:val="none" w:sz="0" w:space="0" w:color="auto"/>
        <w:left w:val="none" w:sz="0" w:space="0" w:color="auto"/>
        <w:bottom w:val="none" w:sz="0" w:space="0" w:color="auto"/>
        <w:right w:val="none" w:sz="0" w:space="0" w:color="auto"/>
      </w:divBdr>
    </w:div>
    <w:div w:id="1153369802">
      <w:bodyDiv w:val="1"/>
      <w:marLeft w:val="0"/>
      <w:marRight w:val="0"/>
      <w:marTop w:val="0"/>
      <w:marBottom w:val="0"/>
      <w:divBdr>
        <w:top w:val="none" w:sz="0" w:space="0" w:color="auto"/>
        <w:left w:val="none" w:sz="0" w:space="0" w:color="auto"/>
        <w:bottom w:val="none" w:sz="0" w:space="0" w:color="auto"/>
        <w:right w:val="none" w:sz="0" w:space="0" w:color="auto"/>
      </w:divBdr>
    </w:div>
    <w:div w:id="1165512368">
      <w:bodyDiv w:val="1"/>
      <w:marLeft w:val="0"/>
      <w:marRight w:val="0"/>
      <w:marTop w:val="0"/>
      <w:marBottom w:val="0"/>
      <w:divBdr>
        <w:top w:val="none" w:sz="0" w:space="0" w:color="auto"/>
        <w:left w:val="none" w:sz="0" w:space="0" w:color="auto"/>
        <w:bottom w:val="none" w:sz="0" w:space="0" w:color="auto"/>
        <w:right w:val="none" w:sz="0" w:space="0" w:color="auto"/>
      </w:divBdr>
    </w:div>
    <w:div w:id="1169518135">
      <w:bodyDiv w:val="1"/>
      <w:marLeft w:val="0"/>
      <w:marRight w:val="0"/>
      <w:marTop w:val="0"/>
      <w:marBottom w:val="0"/>
      <w:divBdr>
        <w:top w:val="none" w:sz="0" w:space="0" w:color="auto"/>
        <w:left w:val="none" w:sz="0" w:space="0" w:color="auto"/>
        <w:bottom w:val="none" w:sz="0" w:space="0" w:color="auto"/>
        <w:right w:val="none" w:sz="0" w:space="0" w:color="auto"/>
      </w:divBdr>
    </w:div>
    <w:div w:id="1178890451">
      <w:bodyDiv w:val="1"/>
      <w:marLeft w:val="0"/>
      <w:marRight w:val="0"/>
      <w:marTop w:val="0"/>
      <w:marBottom w:val="0"/>
      <w:divBdr>
        <w:top w:val="none" w:sz="0" w:space="0" w:color="auto"/>
        <w:left w:val="none" w:sz="0" w:space="0" w:color="auto"/>
        <w:bottom w:val="none" w:sz="0" w:space="0" w:color="auto"/>
        <w:right w:val="none" w:sz="0" w:space="0" w:color="auto"/>
      </w:divBdr>
    </w:div>
    <w:div w:id="1191914506">
      <w:bodyDiv w:val="1"/>
      <w:marLeft w:val="0"/>
      <w:marRight w:val="0"/>
      <w:marTop w:val="0"/>
      <w:marBottom w:val="0"/>
      <w:divBdr>
        <w:top w:val="none" w:sz="0" w:space="0" w:color="auto"/>
        <w:left w:val="none" w:sz="0" w:space="0" w:color="auto"/>
        <w:bottom w:val="none" w:sz="0" w:space="0" w:color="auto"/>
        <w:right w:val="none" w:sz="0" w:space="0" w:color="auto"/>
      </w:divBdr>
    </w:div>
    <w:div w:id="1198934134">
      <w:bodyDiv w:val="1"/>
      <w:marLeft w:val="0"/>
      <w:marRight w:val="0"/>
      <w:marTop w:val="0"/>
      <w:marBottom w:val="0"/>
      <w:divBdr>
        <w:top w:val="none" w:sz="0" w:space="0" w:color="auto"/>
        <w:left w:val="none" w:sz="0" w:space="0" w:color="auto"/>
        <w:bottom w:val="none" w:sz="0" w:space="0" w:color="auto"/>
        <w:right w:val="none" w:sz="0" w:space="0" w:color="auto"/>
      </w:divBdr>
    </w:div>
    <w:div w:id="1203907989">
      <w:bodyDiv w:val="1"/>
      <w:marLeft w:val="0"/>
      <w:marRight w:val="0"/>
      <w:marTop w:val="0"/>
      <w:marBottom w:val="0"/>
      <w:divBdr>
        <w:top w:val="none" w:sz="0" w:space="0" w:color="auto"/>
        <w:left w:val="none" w:sz="0" w:space="0" w:color="auto"/>
        <w:bottom w:val="none" w:sz="0" w:space="0" w:color="auto"/>
        <w:right w:val="none" w:sz="0" w:space="0" w:color="auto"/>
      </w:divBdr>
    </w:div>
    <w:div w:id="1205870737">
      <w:bodyDiv w:val="1"/>
      <w:marLeft w:val="0"/>
      <w:marRight w:val="0"/>
      <w:marTop w:val="0"/>
      <w:marBottom w:val="0"/>
      <w:divBdr>
        <w:top w:val="none" w:sz="0" w:space="0" w:color="auto"/>
        <w:left w:val="none" w:sz="0" w:space="0" w:color="auto"/>
        <w:bottom w:val="none" w:sz="0" w:space="0" w:color="auto"/>
        <w:right w:val="none" w:sz="0" w:space="0" w:color="auto"/>
      </w:divBdr>
    </w:div>
    <w:div w:id="1210455374">
      <w:bodyDiv w:val="1"/>
      <w:marLeft w:val="0"/>
      <w:marRight w:val="0"/>
      <w:marTop w:val="0"/>
      <w:marBottom w:val="0"/>
      <w:divBdr>
        <w:top w:val="none" w:sz="0" w:space="0" w:color="auto"/>
        <w:left w:val="none" w:sz="0" w:space="0" w:color="auto"/>
        <w:bottom w:val="none" w:sz="0" w:space="0" w:color="auto"/>
        <w:right w:val="none" w:sz="0" w:space="0" w:color="auto"/>
      </w:divBdr>
    </w:div>
    <w:div w:id="1211645824">
      <w:bodyDiv w:val="1"/>
      <w:marLeft w:val="0"/>
      <w:marRight w:val="0"/>
      <w:marTop w:val="0"/>
      <w:marBottom w:val="0"/>
      <w:divBdr>
        <w:top w:val="none" w:sz="0" w:space="0" w:color="auto"/>
        <w:left w:val="none" w:sz="0" w:space="0" w:color="auto"/>
        <w:bottom w:val="none" w:sz="0" w:space="0" w:color="auto"/>
        <w:right w:val="none" w:sz="0" w:space="0" w:color="auto"/>
      </w:divBdr>
    </w:div>
    <w:div w:id="1223297903">
      <w:bodyDiv w:val="1"/>
      <w:marLeft w:val="0"/>
      <w:marRight w:val="0"/>
      <w:marTop w:val="0"/>
      <w:marBottom w:val="0"/>
      <w:divBdr>
        <w:top w:val="none" w:sz="0" w:space="0" w:color="auto"/>
        <w:left w:val="none" w:sz="0" w:space="0" w:color="auto"/>
        <w:bottom w:val="none" w:sz="0" w:space="0" w:color="auto"/>
        <w:right w:val="none" w:sz="0" w:space="0" w:color="auto"/>
      </w:divBdr>
    </w:div>
    <w:div w:id="1223365723">
      <w:bodyDiv w:val="1"/>
      <w:marLeft w:val="0"/>
      <w:marRight w:val="0"/>
      <w:marTop w:val="0"/>
      <w:marBottom w:val="0"/>
      <w:divBdr>
        <w:top w:val="none" w:sz="0" w:space="0" w:color="auto"/>
        <w:left w:val="none" w:sz="0" w:space="0" w:color="auto"/>
        <w:bottom w:val="none" w:sz="0" w:space="0" w:color="auto"/>
        <w:right w:val="none" w:sz="0" w:space="0" w:color="auto"/>
      </w:divBdr>
    </w:div>
    <w:div w:id="1223368182">
      <w:bodyDiv w:val="1"/>
      <w:marLeft w:val="0"/>
      <w:marRight w:val="0"/>
      <w:marTop w:val="0"/>
      <w:marBottom w:val="0"/>
      <w:divBdr>
        <w:top w:val="none" w:sz="0" w:space="0" w:color="auto"/>
        <w:left w:val="none" w:sz="0" w:space="0" w:color="auto"/>
        <w:bottom w:val="none" w:sz="0" w:space="0" w:color="auto"/>
        <w:right w:val="none" w:sz="0" w:space="0" w:color="auto"/>
      </w:divBdr>
    </w:div>
    <w:div w:id="1231691370">
      <w:bodyDiv w:val="1"/>
      <w:marLeft w:val="0"/>
      <w:marRight w:val="0"/>
      <w:marTop w:val="0"/>
      <w:marBottom w:val="0"/>
      <w:divBdr>
        <w:top w:val="none" w:sz="0" w:space="0" w:color="auto"/>
        <w:left w:val="none" w:sz="0" w:space="0" w:color="auto"/>
        <w:bottom w:val="none" w:sz="0" w:space="0" w:color="auto"/>
        <w:right w:val="none" w:sz="0" w:space="0" w:color="auto"/>
      </w:divBdr>
    </w:div>
    <w:div w:id="1232696672">
      <w:bodyDiv w:val="1"/>
      <w:marLeft w:val="0"/>
      <w:marRight w:val="0"/>
      <w:marTop w:val="0"/>
      <w:marBottom w:val="0"/>
      <w:divBdr>
        <w:top w:val="none" w:sz="0" w:space="0" w:color="auto"/>
        <w:left w:val="none" w:sz="0" w:space="0" w:color="auto"/>
        <w:bottom w:val="none" w:sz="0" w:space="0" w:color="auto"/>
        <w:right w:val="none" w:sz="0" w:space="0" w:color="auto"/>
      </w:divBdr>
    </w:div>
    <w:div w:id="1258058772">
      <w:bodyDiv w:val="1"/>
      <w:marLeft w:val="0"/>
      <w:marRight w:val="0"/>
      <w:marTop w:val="0"/>
      <w:marBottom w:val="0"/>
      <w:divBdr>
        <w:top w:val="none" w:sz="0" w:space="0" w:color="auto"/>
        <w:left w:val="none" w:sz="0" w:space="0" w:color="auto"/>
        <w:bottom w:val="none" w:sz="0" w:space="0" w:color="auto"/>
        <w:right w:val="none" w:sz="0" w:space="0" w:color="auto"/>
      </w:divBdr>
    </w:div>
    <w:div w:id="1260067934">
      <w:bodyDiv w:val="1"/>
      <w:marLeft w:val="0"/>
      <w:marRight w:val="0"/>
      <w:marTop w:val="0"/>
      <w:marBottom w:val="0"/>
      <w:divBdr>
        <w:top w:val="none" w:sz="0" w:space="0" w:color="auto"/>
        <w:left w:val="none" w:sz="0" w:space="0" w:color="auto"/>
        <w:bottom w:val="none" w:sz="0" w:space="0" w:color="auto"/>
        <w:right w:val="none" w:sz="0" w:space="0" w:color="auto"/>
      </w:divBdr>
    </w:div>
    <w:div w:id="1293512917">
      <w:bodyDiv w:val="1"/>
      <w:marLeft w:val="0"/>
      <w:marRight w:val="0"/>
      <w:marTop w:val="0"/>
      <w:marBottom w:val="0"/>
      <w:divBdr>
        <w:top w:val="none" w:sz="0" w:space="0" w:color="auto"/>
        <w:left w:val="none" w:sz="0" w:space="0" w:color="auto"/>
        <w:bottom w:val="none" w:sz="0" w:space="0" w:color="auto"/>
        <w:right w:val="none" w:sz="0" w:space="0" w:color="auto"/>
      </w:divBdr>
    </w:div>
    <w:div w:id="1304888780">
      <w:bodyDiv w:val="1"/>
      <w:marLeft w:val="0"/>
      <w:marRight w:val="0"/>
      <w:marTop w:val="0"/>
      <w:marBottom w:val="0"/>
      <w:divBdr>
        <w:top w:val="none" w:sz="0" w:space="0" w:color="auto"/>
        <w:left w:val="none" w:sz="0" w:space="0" w:color="auto"/>
        <w:bottom w:val="none" w:sz="0" w:space="0" w:color="auto"/>
        <w:right w:val="none" w:sz="0" w:space="0" w:color="auto"/>
      </w:divBdr>
    </w:div>
    <w:div w:id="1309087734">
      <w:bodyDiv w:val="1"/>
      <w:marLeft w:val="0"/>
      <w:marRight w:val="0"/>
      <w:marTop w:val="0"/>
      <w:marBottom w:val="0"/>
      <w:divBdr>
        <w:top w:val="none" w:sz="0" w:space="0" w:color="auto"/>
        <w:left w:val="none" w:sz="0" w:space="0" w:color="auto"/>
        <w:bottom w:val="none" w:sz="0" w:space="0" w:color="auto"/>
        <w:right w:val="none" w:sz="0" w:space="0" w:color="auto"/>
      </w:divBdr>
    </w:div>
    <w:div w:id="1310137421">
      <w:bodyDiv w:val="1"/>
      <w:marLeft w:val="0"/>
      <w:marRight w:val="0"/>
      <w:marTop w:val="0"/>
      <w:marBottom w:val="0"/>
      <w:divBdr>
        <w:top w:val="none" w:sz="0" w:space="0" w:color="auto"/>
        <w:left w:val="none" w:sz="0" w:space="0" w:color="auto"/>
        <w:bottom w:val="none" w:sz="0" w:space="0" w:color="auto"/>
        <w:right w:val="none" w:sz="0" w:space="0" w:color="auto"/>
      </w:divBdr>
    </w:div>
    <w:div w:id="1328241721">
      <w:bodyDiv w:val="1"/>
      <w:marLeft w:val="0"/>
      <w:marRight w:val="0"/>
      <w:marTop w:val="0"/>
      <w:marBottom w:val="0"/>
      <w:divBdr>
        <w:top w:val="none" w:sz="0" w:space="0" w:color="auto"/>
        <w:left w:val="none" w:sz="0" w:space="0" w:color="auto"/>
        <w:bottom w:val="none" w:sz="0" w:space="0" w:color="auto"/>
        <w:right w:val="none" w:sz="0" w:space="0" w:color="auto"/>
      </w:divBdr>
    </w:div>
    <w:div w:id="1330451014">
      <w:bodyDiv w:val="1"/>
      <w:marLeft w:val="0"/>
      <w:marRight w:val="0"/>
      <w:marTop w:val="0"/>
      <w:marBottom w:val="0"/>
      <w:divBdr>
        <w:top w:val="none" w:sz="0" w:space="0" w:color="auto"/>
        <w:left w:val="none" w:sz="0" w:space="0" w:color="auto"/>
        <w:bottom w:val="none" w:sz="0" w:space="0" w:color="auto"/>
        <w:right w:val="none" w:sz="0" w:space="0" w:color="auto"/>
      </w:divBdr>
    </w:div>
    <w:div w:id="1339234986">
      <w:bodyDiv w:val="1"/>
      <w:marLeft w:val="0"/>
      <w:marRight w:val="0"/>
      <w:marTop w:val="0"/>
      <w:marBottom w:val="0"/>
      <w:divBdr>
        <w:top w:val="none" w:sz="0" w:space="0" w:color="auto"/>
        <w:left w:val="none" w:sz="0" w:space="0" w:color="auto"/>
        <w:bottom w:val="none" w:sz="0" w:space="0" w:color="auto"/>
        <w:right w:val="none" w:sz="0" w:space="0" w:color="auto"/>
      </w:divBdr>
    </w:div>
    <w:div w:id="1347058094">
      <w:bodyDiv w:val="1"/>
      <w:marLeft w:val="0"/>
      <w:marRight w:val="0"/>
      <w:marTop w:val="0"/>
      <w:marBottom w:val="0"/>
      <w:divBdr>
        <w:top w:val="none" w:sz="0" w:space="0" w:color="auto"/>
        <w:left w:val="none" w:sz="0" w:space="0" w:color="auto"/>
        <w:bottom w:val="none" w:sz="0" w:space="0" w:color="auto"/>
        <w:right w:val="none" w:sz="0" w:space="0" w:color="auto"/>
      </w:divBdr>
    </w:div>
    <w:div w:id="1359770699">
      <w:bodyDiv w:val="1"/>
      <w:marLeft w:val="0"/>
      <w:marRight w:val="0"/>
      <w:marTop w:val="0"/>
      <w:marBottom w:val="0"/>
      <w:divBdr>
        <w:top w:val="none" w:sz="0" w:space="0" w:color="auto"/>
        <w:left w:val="none" w:sz="0" w:space="0" w:color="auto"/>
        <w:bottom w:val="none" w:sz="0" w:space="0" w:color="auto"/>
        <w:right w:val="none" w:sz="0" w:space="0" w:color="auto"/>
      </w:divBdr>
    </w:div>
    <w:div w:id="1360932793">
      <w:bodyDiv w:val="1"/>
      <w:marLeft w:val="0"/>
      <w:marRight w:val="0"/>
      <w:marTop w:val="0"/>
      <w:marBottom w:val="0"/>
      <w:divBdr>
        <w:top w:val="none" w:sz="0" w:space="0" w:color="auto"/>
        <w:left w:val="none" w:sz="0" w:space="0" w:color="auto"/>
        <w:bottom w:val="none" w:sz="0" w:space="0" w:color="auto"/>
        <w:right w:val="none" w:sz="0" w:space="0" w:color="auto"/>
      </w:divBdr>
    </w:div>
    <w:div w:id="1363553228">
      <w:bodyDiv w:val="1"/>
      <w:marLeft w:val="0"/>
      <w:marRight w:val="0"/>
      <w:marTop w:val="0"/>
      <w:marBottom w:val="0"/>
      <w:divBdr>
        <w:top w:val="none" w:sz="0" w:space="0" w:color="auto"/>
        <w:left w:val="none" w:sz="0" w:space="0" w:color="auto"/>
        <w:bottom w:val="none" w:sz="0" w:space="0" w:color="auto"/>
        <w:right w:val="none" w:sz="0" w:space="0" w:color="auto"/>
      </w:divBdr>
    </w:div>
    <w:div w:id="1363632819">
      <w:bodyDiv w:val="1"/>
      <w:marLeft w:val="0"/>
      <w:marRight w:val="0"/>
      <w:marTop w:val="0"/>
      <w:marBottom w:val="0"/>
      <w:divBdr>
        <w:top w:val="none" w:sz="0" w:space="0" w:color="auto"/>
        <w:left w:val="none" w:sz="0" w:space="0" w:color="auto"/>
        <w:bottom w:val="none" w:sz="0" w:space="0" w:color="auto"/>
        <w:right w:val="none" w:sz="0" w:space="0" w:color="auto"/>
      </w:divBdr>
    </w:div>
    <w:div w:id="1370257901">
      <w:bodyDiv w:val="1"/>
      <w:marLeft w:val="0"/>
      <w:marRight w:val="0"/>
      <w:marTop w:val="0"/>
      <w:marBottom w:val="0"/>
      <w:divBdr>
        <w:top w:val="none" w:sz="0" w:space="0" w:color="auto"/>
        <w:left w:val="none" w:sz="0" w:space="0" w:color="auto"/>
        <w:bottom w:val="none" w:sz="0" w:space="0" w:color="auto"/>
        <w:right w:val="none" w:sz="0" w:space="0" w:color="auto"/>
      </w:divBdr>
    </w:div>
    <w:div w:id="1385759485">
      <w:bodyDiv w:val="1"/>
      <w:marLeft w:val="0"/>
      <w:marRight w:val="0"/>
      <w:marTop w:val="0"/>
      <w:marBottom w:val="0"/>
      <w:divBdr>
        <w:top w:val="none" w:sz="0" w:space="0" w:color="auto"/>
        <w:left w:val="none" w:sz="0" w:space="0" w:color="auto"/>
        <w:bottom w:val="none" w:sz="0" w:space="0" w:color="auto"/>
        <w:right w:val="none" w:sz="0" w:space="0" w:color="auto"/>
      </w:divBdr>
    </w:div>
    <w:div w:id="1392313278">
      <w:bodyDiv w:val="1"/>
      <w:marLeft w:val="0"/>
      <w:marRight w:val="0"/>
      <w:marTop w:val="0"/>
      <w:marBottom w:val="0"/>
      <w:divBdr>
        <w:top w:val="none" w:sz="0" w:space="0" w:color="auto"/>
        <w:left w:val="none" w:sz="0" w:space="0" w:color="auto"/>
        <w:bottom w:val="none" w:sz="0" w:space="0" w:color="auto"/>
        <w:right w:val="none" w:sz="0" w:space="0" w:color="auto"/>
      </w:divBdr>
    </w:div>
    <w:div w:id="1393625528">
      <w:bodyDiv w:val="1"/>
      <w:marLeft w:val="0"/>
      <w:marRight w:val="0"/>
      <w:marTop w:val="0"/>
      <w:marBottom w:val="0"/>
      <w:divBdr>
        <w:top w:val="none" w:sz="0" w:space="0" w:color="auto"/>
        <w:left w:val="none" w:sz="0" w:space="0" w:color="auto"/>
        <w:bottom w:val="none" w:sz="0" w:space="0" w:color="auto"/>
        <w:right w:val="none" w:sz="0" w:space="0" w:color="auto"/>
      </w:divBdr>
    </w:div>
    <w:div w:id="1397362465">
      <w:bodyDiv w:val="1"/>
      <w:marLeft w:val="0"/>
      <w:marRight w:val="0"/>
      <w:marTop w:val="0"/>
      <w:marBottom w:val="0"/>
      <w:divBdr>
        <w:top w:val="none" w:sz="0" w:space="0" w:color="auto"/>
        <w:left w:val="none" w:sz="0" w:space="0" w:color="auto"/>
        <w:bottom w:val="none" w:sz="0" w:space="0" w:color="auto"/>
        <w:right w:val="none" w:sz="0" w:space="0" w:color="auto"/>
      </w:divBdr>
    </w:div>
    <w:div w:id="1413352910">
      <w:bodyDiv w:val="1"/>
      <w:marLeft w:val="0"/>
      <w:marRight w:val="0"/>
      <w:marTop w:val="0"/>
      <w:marBottom w:val="0"/>
      <w:divBdr>
        <w:top w:val="none" w:sz="0" w:space="0" w:color="auto"/>
        <w:left w:val="none" w:sz="0" w:space="0" w:color="auto"/>
        <w:bottom w:val="none" w:sz="0" w:space="0" w:color="auto"/>
        <w:right w:val="none" w:sz="0" w:space="0" w:color="auto"/>
      </w:divBdr>
    </w:div>
    <w:div w:id="1421951636">
      <w:bodyDiv w:val="1"/>
      <w:marLeft w:val="0"/>
      <w:marRight w:val="0"/>
      <w:marTop w:val="0"/>
      <w:marBottom w:val="0"/>
      <w:divBdr>
        <w:top w:val="none" w:sz="0" w:space="0" w:color="auto"/>
        <w:left w:val="none" w:sz="0" w:space="0" w:color="auto"/>
        <w:bottom w:val="none" w:sz="0" w:space="0" w:color="auto"/>
        <w:right w:val="none" w:sz="0" w:space="0" w:color="auto"/>
      </w:divBdr>
    </w:div>
    <w:div w:id="1424839784">
      <w:bodyDiv w:val="1"/>
      <w:marLeft w:val="0"/>
      <w:marRight w:val="0"/>
      <w:marTop w:val="0"/>
      <w:marBottom w:val="0"/>
      <w:divBdr>
        <w:top w:val="none" w:sz="0" w:space="0" w:color="auto"/>
        <w:left w:val="none" w:sz="0" w:space="0" w:color="auto"/>
        <w:bottom w:val="none" w:sz="0" w:space="0" w:color="auto"/>
        <w:right w:val="none" w:sz="0" w:space="0" w:color="auto"/>
      </w:divBdr>
    </w:div>
    <w:div w:id="1435638100">
      <w:bodyDiv w:val="1"/>
      <w:marLeft w:val="0"/>
      <w:marRight w:val="0"/>
      <w:marTop w:val="0"/>
      <w:marBottom w:val="0"/>
      <w:divBdr>
        <w:top w:val="none" w:sz="0" w:space="0" w:color="auto"/>
        <w:left w:val="none" w:sz="0" w:space="0" w:color="auto"/>
        <w:bottom w:val="none" w:sz="0" w:space="0" w:color="auto"/>
        <w:right w:val="none" w:sz="0" w:space="0" w:color="auto"/>
      </w:divBdr>
    </w:div>
    <w:div w:id="1437599148">
      <w:bodyDiv w:val="1"/>
      <w:marLeft w:val="0"/>
      <w:marRight w:val="0"/>
      <w:marTop w:val="0"/>
      <w:marBottom w:val="0"/>
      <w:divBdr>
        <w:top w:val="none" w:sz="0" w:space="0" w:color="auto"/>
        <w:left w:val="none" w:sz="0" w:space="0" w:color="auto"/>
        <w:bottom w:val="none" w:sz="0" w:space="0" w:color="auto"/>
        <w:right w:val="none" w:sz="0" w:space="0" w:color="auto"/>
      </w:divBdr>
    </w:div>
    <w:div w:id="1452020094">
      <w:bodyDiv w:val="1"/>
      <w:marLeft w:val="0"/>
      <w:marRight w:val="0"/>
      <w:marTop w:val="0"/>
      <w:marBottom w:val="0"/>
      <w:divBdr>
        <w:top w:val="none" w:sz="0" w:space="0" w:color="auto"/>
        <w:left w:val="none" w:sz="0" w:space="0" w:color="auto"/>
        <w:bottom w:val="none" w:sz="0" w:space="0" w:color="auto"/>
        <w:right w:val="none" w:sz="0" w:space="0" w:color="auto"/>
      </w:divBdr>
    </w:div>
    <w:div w:id="1460761097">
      <w:bodyDiv w:val="1"/>
      <w:marLeft w:val="0"/>
      <w:marRight w:val="0"/>
      <w:marTop w:val="0"/>
      <w:marBottom w:val="0"/>
      <w:divBdr>
        <w:top w:val="none" w:sz="0" w:space="0" w:color="auto"/>
        <w:left w:val="none" w:sz="0" w:space="0" w:color="auto"/>
        <w:bottom w:val="none" w:sz="0" w:space="0" w:color="auto"/>
        <w:right w:val="none" w:sz="0" w:space="0" w:color="auto"/>
      </w:divBdr>
    </w:div>
    <w:div w:id="1467120447">
      <w:bodyDiv w:val="1"/>
      <w:marLeft w:val="0"/>
      <w:marRight w:val="0"/>
      <w:marTop w:val="0"/>
      <w:marBottom w:val="0"/>
      <w:divBdr>
        <w:top w:val="none" w:sz="0" w:space="0" w:color="auto"/>
        <w:left w:val="none" w:sz="0" w:space="0" w:color="auto"/>
        <w:bottom w:val="none" w:sz="0" w:space="0" w:color="auto"/>
        <w:right w:val="none" w:sz="0" w:space="0" w:color="auto"/>
      </w:divBdr>
    </w:div>
    <w:div w:id="1469670217">
      <w:bodyDiv w:val="1"/>
      <w:marLeft w:val="0"/>
      <w:marRight w:val="0"/>
      <w:marTop w:val="0"/>
      <w:marBottom w:val="0"/>
      <w:divBdr>
        <w:top w:val="none" w:sz="0" w:space="0" w:color="auto"/>
        <w:left w:val="none" w:sz="0" w:space="0" w:color="auto"/>
        <w:bottom w:val="none" w:sz="0" w:space="0" w:color="auto"/>
        <w:right w:val="none" w:sz="0" w:space="0" w:color="auto"/>
      </w:divBdr>
    </w:div>
    <w:div w:id="1492598589">
      <w:bodyDiv w:val="1"/>
      <w:marLeft w:val="0"/>
      <w:marRight w:val="0"/>
      <w:marTop w:val="0"/>
      <w:marBottom w:val="0"/>
      <w:divBdr>
        <w:top w:val="none" w:sz="0" w:space="0" w:color="auto"/>
        <w:left w:val="none" w:sz="0" w:space="0" w:color="auto"/>
        <w:bottom w:val="none" w:sz="0" w:space="0" w:color="auto"/>
        <w:right w:val="none" w:sz="0" w:space="0" w:color="auto"/>
      </w:divBdr>
    </w:div>
    <w:div w:id="1500660791">
      <w:bodyDiv w:val="1"/>
      <w:marLeft w:val="0"/>
      <w:marRight w:val="0"/>
      <w:marTop w:val="0"/>
      <w:marBottom w:val="0"/>
      <w:divBdr>
        <w:top w:val="none" w:sz="0" w:space="0" w:color="auto"/>
        <w:left w:val="none" w:sz="0" w:space="0" w:color="auto"/>
        <w:bottom w:val="none" w:sz="0" w:space="0" w:color="auto"/>
        <w:right w:val="none" w:sz="0" w:space="0" w:color="auto"/>
      </w:divBdr>
    </w:div>
    <w:div w:id="1526139693">
      <w:bodyDiv w:val="1"/>
      <w:marLeft w:val="0"/>
      <w:marRight w:val="0"/>
      <w:marTop w:val="0"/>
      <w:marBottom w:val="0"/>
      <w:divBdr>
        <w:top w:val="none" w:sz="0" w:space="0" w:color="auto"/>
        <w:left w:val="none" w:sz="0" w:space="0" w:color="auto"/>
        <w:bottom w:val="none" w:sz="0" w:space="0" w:color="auto"/>
        <w:right w:val="none" w:sz="0" w:space="0" w:color="auto"/>
      </w:divBdr>
    </w:div>
    <w:div w:id="1529951425">
      <w:bodyDiv w:val="1"/>
      <w:marLeft w:val="0"/>
      <w:marRight w:val="0"/>
      <w:marTop w:val="0"/>
      <w:marBottom w:val="0"/>
      <w:divBdr>
        <w:top w:val="none" w:sz="0" w:space="0" w:color="auto"/>
        <w:left w:val="none" w:sz="0" w:space="0" w:color="auto"/>
        <w:bottom w:val="none" w:sz="0" w:space="0" w:color="auto"/>
        <w:right w:val="none" w:sz="0" w:space="0" w:color="auto"/>
      </w:divBdr>
    </w:div>
    <w:div w:id="1537351745">
      <w:bodyDiv w:val="1"/>
      <w:marLeft w:val="0"/>
      <w:marRight w:val="0"/>
      <w:marTop w:val="0"/>
      <w:marBottom w:val="0"/>
      <w:divBdr>
        <w:top w:val="none" w:sz="0" w:space="0" w:color="auto"/>
        <w:left w:val="none" w:sz="0" w:space="0" w:color="auto"/>
        <w:bottom w:val="none" w:sz="0" w:space="0" w:color="auto"/>
        <w:right w:val="none" w:sz="0" w:space="0" w:color="auto"/>
      </w:divBdr>
    </w:div>
    <w:div w:id="1543982990">
      <w:bodyDiv w:val="1"/>
      <w:marLeft w:val="0"/>
      <w:marRight w:val="0"/>
      <w:marTop w:val="0"/>
      <w:marBottom w:val="0"/>
      <w:divBdr>
        <w:top w:val="none" w:sz="0" w:space="0" w:color="auto"/>
        <w:left w:val="none" w:sz="0" w:space="0" w:color="auto"/>
        <w:bottom w:val="none" w:sz="0" w:space="0" w:color="auto"/>
        <w:right w:val="none" w:sz="0" w:space="0" w:color="auto"/>
      </w:divBdr>
    </w:div>
    <w:div w:id="1567717949">
      <w:bodyDiv w:val="1"/>
      <w:marLeft w:val="0"/>
      <w:marRight w:val="0"/>
      <w:marTop w:val="0"/>
      <w:marBottom w:val="0"/>
      <w:divBdr>
        <w:top w:val="none" w:sz="0" w:space="0" w:color="auto"/>
        <w:left w:val="none" w:sz="0" w:space="0" w:color="auto"/>
        <w:bottom w:val="none" w:sz="0" w:space="0" w:color="auto"/>
        <w:right w:val="none" w:sz="0" w:space="0" w:color="auto"/>
      </w:divBdr>
    </w:div>
    <w:div w:id="1576813897">
      <w:bodyDiv w:val="1"/>
      <w:marLeft w:val="0"/>
      <w:marRight w:val="0"/>
      <w:marTop w:val="0"/>
      <w:marBottom w:val="0"/>
      <w:divBdr>
        <w:top w:val="none" w:sz="0" w:space="0" w:color="auto"/>
        <w:left w:val="none" w:sz="0" w:space="0" w:color="auto"/>
        <w:bottom w:val="none" w:sz="0" w:space="0" w:color="auto"/>
        <w:right w:val="none" w:sz="0" w:space="0" w:color="auto"/>
      </w:divBdr>
    </w:div>
    <w:div w:id="1583373785">
      <w:bodyDiv w:val="1"/>
      <w:marLeft w:val="0"/>
      <w:marRight w:val="0"/>
      <w:marTop w:val="0"/>
      <w:marBottom w:val="0"/>
      <w:divBdr>
        <w:top w:val="none" w:sz="0" w:space="0" w:color="auto"/>
        <w:left w:val="none" w:sz="0" w:space="0" w:color="auto"/>
        <w:bottom w:val="none" w:sz="0" w:space="0" w:color="auto"/>
        <w:right w:val="none" w:sz="0" w:space="0" w:color="auto"/>
      </w:divBdr>
    </w:div>
    <w:div w:id="1591305003">
      <w:bodyDiv w:val="1"/>
      <w:marLeft w:val="0"/>
      <w:marRight w:val="0"/>
      <w:marTop w:val="0"/>
      <w:marBottom w:val="0"/>
      <w:divBdr>
        <w:top w:val="none" w:sz="0" w:space="0" w:color="auto"/>
        <w:left w:val="none" w:sz="0" w:space="0" w:color="auto"/>
        <w:bottom w:val="none" w:sz="0" w:space="0" w:color="auto"/>
        <w:right w:val="none" w:sz="0" w:space="0" w:color="auto"/>
      </w:divBdr>
    </w:div>
    <w:div w:id="1611933557">
      <w:bodyDiv w:val="1"/>
      <w:marLeft w:val="0"/>
      <w:marRight w:val="0"/>
      <w:marTop w:val="0"/>
      <w:marBottom w:val="0"/>
      <w:divBdr>
        <w:top w:val="none" w:sz="0" w:space="0" w:color="auto"/>
        <w:left w:val="none" w:sz="0" w:space="0" w:color="auto"/>
        <w:bottom w:val="none" w:sz="0" w:space="0" w:color="auto"/>
        <w:right w:val="none" w:sz="0" w:space="0" w:color="auto"/>
      </w:divBdr>
    </w:div>
    <w:div w:id="1625890031">
      <w:bodyDiv w:val="1"/>
      <w:marLeft w:val="0"/>
      <w:marRight w:val="0"/>
      <w:marTop w:val="0"/>
      <w:marBottom w:val="0"/>
      <w:divBdr>
        <w:top w:val="none" w:sz="0" w:space="0" w:color="auto"/>
        <w:left w:val="none" w:sz="0" w:space="0" w:color="auto"/>
        <w:bottom w:val="none" w:sz="0" w:space="0" w:color="auto"/>
        <w:right w:val="none" w:sz="0" w:space="0" w:color="auto"/>
      </w:divBdr>
    </w:div>
    <w:div w:id="1664310544">
      <w:bodyDiv w:val="1"/>
      <w:marLeft w:val="0"/>
      <w:marRight w:val="0"/>
      <w:marTop w:val="0"/>
      <w:marBottom w:val="0"/>
      <w:divBdr>
        <w:top w:val="none" w:sz="0" w:space="0" w:color="auto"/>
        <w:left w:val="none" w:sz="0" w:space="0" w:color="auto"/>
        <w:bottom w:val="none" w:sz="0" w:space="0" w:color="auto"/>
        <w:right w:val="none" w:sz="0" w:space="0" w:color="auto"/>
      </w:divBdr>
    </w:div>
    <w:div w:id="1683626464">
      <w:bodyDiv w:val="1"/>
      <w:marLeft w:val="0"/>
      <w:marRight w:val="0"/>
      <w:marTop w:val="0"/>
      <w:marBottom w:val="0"/>
      <w:divBdr>
        <w:top w:val="none" w:sz="0" w:space="0" w:color="auto"/>
        <w:left w:val="none" w:sz="0" w:space="0" w:color="auto"/>
        <w:bottom w:val="none" w:sz="0" w:space="0" w:color="auto"/>
        <w:right w:val="none" w:sz="0" w:space="0" w:color="auto"/>
      </w:divBdr>
    </w:div>
    <w:div w:id="1690373840">
      <w:bodyDiv w:val="1"/>
      <w:marLeft w:val="0"/>
      <w:marRight w:val="0"/>
      <w:marTop w:val="0"/>
      <w:marBottom w:val="0"/>
      <w:divBdr>
        <w:top w:val="none" w:sz="0" w:space="0" w:color="auto"/>
        <w:left w:val="none" w:sz="0" w:space="0" w:color="auto"/>
        <w:bottom w:val="none" w:sz="0" w:space="0" w:color="auto"/>
        <w:right w:val="none" w:sz="0" w:space="0" w:color="auto"/>
      </w:divBdr>
    </w:div>
    <w:div w:id="1699548332">
      <w:bodyDiv w:val="1"/>
      <w:marLeft w:val="0"/>
      <w:marRight w:val="0"/>
      <w:marTop w:val="0"/>
      <w:marBottom w:val="0"/>
      <w:divBdr>
        <w:top w:val="none" w:sz="0" w:space="0" w:color="auto"/>
        <w:left w:val="none" w:sz="0" w:space="0" w:color="auto"/>
        <w:bottom w:val="none" w:sz="0" w:space="0" w:color="auto"/>
        <w:right w:val="none" w:sz="0" w:space="0" w:color="auto"/>
      </w:divBdr>
    </w:div>
    <w:div w:id="1701664264">
      <w:bodyDiv w:val="1"/>
      <w:marLeft w:val="0"/>
      <w:marRight w:val="0"/>
      <w:marTop w:val="0"/>
      <w:marBottom w:val="0"/>
      <w:divBdr>
        <w:top w:val="none" w:sz="0" w:space="0" w:color="auto"/>
        <w:left w:val="none" w:sz="0" w:space="0" w:color="auto"/>
        <w:bottom w:val="none" w:sz="0" w:space="0" w:color="auto"/>
        <w:right w:val="none" w:sz="0" w:space="0" w:color="auto"/>
      </w:divBdr>
    </w:div>
    <w:div w:id="1705784575">
      <w:bodyDiv w:val="1"/>
      <w:marLeft w:val="0"/>
      <w:marRight w:val="0"/>
      <w:marTop w:val="0"/>
      <w:marBottom w:val="0"/>
      <w:divBdr>
        <w:top w:val="none" w:sz="0" w:space="0" w:color="auto"/>
        <w:left w:val="none" w:sz="0" w:space="0" w:color="auto"/>
        <w:bottom w:val="none" w:sz="0" w:space="0" w:color="auto"/>
        <w:right w:val="none" w:sz="0" w:space="0" w:color="auto"/>
      </w:divBdr>
    </w:div>
    <w:div w:id="1736120703">
      <w:bodyDiv w:val="1"/>
      <w:marLeft w:val="0"/>
      <w:marRight w:val="0"/>
      <w:marTop w:val="0"/>
      <w:marBottom w:val="0"/>
      <w:divBdr>
        <w:top w:val="none" w:sz="0" w:space="0" w:color="auto"/>
        <w:left w:val="none" w:sz="0" w:space="0" w:color="auto"/>
        <w:bottom w:val="none" w:sz="0" w:space="0" w:color="auto"/>
        <w:right w:val="none" w:sz="0" w:space="0" w:color="auto"/>
      </w:divBdr>
    </w:div>
    <w:div w:id="1764255316">
      <w:bodyDiv w:val="1"/>
      <w:marLeft w:val="0"/>
      <w:marRight w:val="0"/>
      <w:marTop w:val="0"/>
      <w:marBottom w:val="0"/>
      <w:divBdr>
        <w:top w:val="none" w:sz="0" w:space="0" w:color="auto"/>
        <w:left w:val="none" w:sz="0" w:space="0" w:color="auto"/>
        <w:bottom w:val="none" w:sz="0" w:space="0" w:color="auto"/>
        <w:right w:val="none" w:sz="0" w:space="0" w:color="auto"/>
      </w:divBdr>
    </w:div>
    <w:div w:id="1766219797">
      <w:bodyDiv w:val="1"/>
      <w:marLeft w:val="0"/>
      <w:marRight w:val="0"/>
      <w:marTop w:val="0"/>
      <w:marBottom w:val="0"/>
      <w:divBdr>
        <w:top w:val="none" w:sz="0" w:space="0" w:color="auto"/>
        <w:left w:val="none" w:sz="0" w:space="0" w:color="auto"/>
        <w:bottom w:val="none" w:sz="0" w:space="0" w:color="auto"/>
        <w:right w:val="none" w:sz="0" w:space="0" w:color="auto"/>
      </w:divBdr>
    </w:div>
    <w:div w:id="1767463427">
      <w:bodyDiv w:val="1"/>
      <w:marLeft w:val="0"/>
      <w:marRight w:val="0"/>
      <w:marTop w:val="0"/>
      <w:marBottom w:val="0"/>
      <w:divBdr>
        <w:top w:val="none" w:sz="0" w:space="0" w:color="auto"/>
        <w:left w:val="none" w:sz="0" w:space="0" w:color="auto"/>
        <w:bottom w:val="none" w:sz="0" w:space="0" w:color="auto"/>
        <w:right w:val="none" w:sz="0" w:space="0" w:color="auto"/>
      </w:divBdr>
    </w:div>
    <w:div w:id="1774737802">
      <w:bodyDiv w:val="1"/>
      <w:marLeft w:val="0"/>
      <w:marRight w:val="0"/>
      <w:marTop w:val="0"/>
      <w:marBottom w:val="0"/>
      <w:divBdr>
        <w:top w:val="none" w:sz="0" w:space="0" w:color="auto"/>
        <w:left w:val="none" w:sz="0" w:space="0" w:color="auto"/>
        <w:bottom w:val="none" w:sz="0" w:space="0" w:color="auto"/>
        <w:right w:val="none" w:sz="0" w:space="0" w:color="auto"/>
      </w:divBdr>
    </w:div>
    <w:div w:id="1789469631">
      <w:bodyDiv w:val="1"/>
      <w:marLeft w:val="0"/>
      <w:marRight w:val="0"/>
      <w:marTop w:val="0"/>
      <w:marBottom w:val="0"/>
      <w:divBdr>
        <w:top w:val="none" w:sz="0" w:space="0" w:color="auto"/>
        <w:left w:val="none" w:sz="0" w:space="0" w:color="auto"/>
        <w:bottom w:val="none" w:sz="0" w:space="0" w:color="auto"/>
        <w:right w:val="none" w:sz="0" w:space="0" w:color="auto"/>
      </w:divBdr>
    </w:div>
    <w:div w:id="1790737192">
      <w:bodyDiv w:val="1"/>
      <w:marLeft w:val="0"/>
      <w:marRight w:val="0"/>
      <w:marTop w:val="0"/>
      <w:marBottom w:val="0"/>
      <w:divBdr>
        <w:top w:val="none" w:sz="0" w:space="0" w:color="auto"/>
        <w:left w:val="none" w:sz="0" w:space="0" w:color="auto"/>
        <w:bottom w:val="none" w:sz="0" w:space="0" w:color="auto"/>
        <w:right w:val="none" w:sz="0" w:space="0" w:color="auto"/>
      </w:divBdr>
    </w:div>
    <w:div w:id="1800879208">
      <w:bodyDiv w:val="1"/>
      <w:marLeft w:val="0"/>
      <w:marRight w:val="0"/>
      <w:marTop w:val="0"/>
      <w:marBottom w:val="0"/>
      <w:divBdr>
        <w:top w:val="none" w:sz="0" w:space="0" w:color="auto"/>
        <w:left w:val="none" w:sz="0" w:space="0" w:color="auto"/>
        <w:bottom w:val="none" w:sz="0" w:space="0" w:color="auto"/>
        <w:right w:val="none" w:sz="0" w:space="0" w:color="auto"/>
      </w:divBdr>
    </w:div>
    <w:div w:id="1804425920">
      <w:bodyDiv w:val="1"/>
      <w:marLeft w:val="0"/>
      <w:marRight w:val="0"/>
      <w:marTop w:val="0"/>
      <w:marBottom w:val="0"/>
      <w:divBdr>
        <w:top w:val="none" w:sz="0" w:space="0" w:color="auto"/>
        <w:left w:val="none" w:sz="0" w:space="0" w:color="auto"/>
        <w:bottom w:val="none" w:sz="0" w:space="0" w:color="auto"/>
        <w:right w:val="none" w:sz="0" w:space="0" w:color="auto"/>
      </w:divBdr>
    </w:div>
    <w:div w:id="1809975770">
      <w:bodyDiv w:val="1"/>
      <w:marLeft w:val="0"/>
      <w:marRight w:val="0"/>
      <w:marTop w:val="0"/>
      <w:marBottom w:val="0"/>
      <w:divBdr>
        <w:top w:val="none" w:sz="0" w:space="0" w:color="auto"/>
        <w:left w:val="none" w:sz="0" w:space="0" w:color="auto"/>
        <w:bottom w:val="none" w:sz="0" w:space="0" w:color="auto"/>
        <w:right w:val="none" w:sz="0" w:space="0" w:color="auto"/>
      </w:divBdr>
    </w:div>
    <w:div w:id="1813672988">
      <w:bodyDiv w:val="1"/>
      <w:marLeft w:val="0"/>
      <w:marRight w:val="0"/>
      <w:marTop w:val="0"/>
      <w:marBottom w:val="0"/>
      <w:divBdr>
        <w:top w:val="none" w:sz="0" w:space="0" w:color="auto"/>
        <w:left w:val="none" w:sz="0" w:space="0" w:color="auto"/>
        <w:bottom w:val="none" w:sz="0" w:space="0" w:color="auto"/>
        <w:right w:val="none" w:sz="0" w:space="0" w:color="auto"/>
      </w:divBdr>
    </w:div>
    <w:div w:id="1813911363">
      <w:bodyDiv w:val="1"/>
      <w:marLeft w:val="0"/>
      <w:marRight w:val="0"/>
      <w:marTop w:val="0"/>
      <w:marBottom w:val="0"/>
      <w:divBdr>
        <w:top w:val="none" w:sz="0" w:space="0" w:color="auto"/>
        <w:left w:val="none" w:sz="0" w:space="0" w:color="auto"/>
        <w:bottom w:val="none" w:sz="0" w:space="0" w:color="auto"/>
        <w:right w:val="none" w:sz="0" w:space="0" w:color="auto"/>
      </w:divBdr>
    </w:div>
    <w:div w:id="1816221587">
      <w:bodyDiv w:val="1"/>
      <w:marLeft w:val="0"/>
      <w:marRight w:val="0"/>
      <w:marTop w:val="0"/>
      <w:marBottom w:val="0"/>
      <w:divBdr>
        <w:top w:val="none" w:sz="0" w:space="0" w:color="auto"/>
        <w:left w:val="none" w:sz="0" w:space="0" w:color="auto"/>
        <w:bottom w:val="none" w:sz="0" w:space="0" w:color="auto"/>
        <w:right w:val="none" w:sz="0" w:space="0" w:color="auto"/>
      </w:divBdr>
    </w:div>
    <w:div w:id="1827285626">
      <w:bodyDiv w:val="1"/>
      <w:marLeft w:val="0"/>
      <w:marRight w:val="0"/>
      <w:marTop w:val="0"/>
      <w:marBottom w:val="0"/>
      <w:divBdr>
        <w:top w:val="none" w:sz="0" w:space="0" w:color="auto"/>
        <w:left w:val="none" w:sz="0" w:space="0" w:color="auto"/>
        <w:bottom w:val="none" w:sz="0" w:space="0" w:color="auto"/>
        <w:right w:val="none" w:sz="0" w:space="0" w:color="auto"/>
      </w:divBdr>
    </w:div>
    <w:div w:id="1848717195">
      <w:bodyDiv w:val="1"/>
      <w:marLeft w:val="0"/>
      <w:marRight w:val="0"/>
      <w:marTop w:val="0"/>
      <w:marBottom w:val="0"/>
      <w:divBdr>
        <w:top w:val="none" w:sz="0" w:space="0" w:color="auto"/>
        <w:left w:val="none" w:sz="0" w:space="0" w:color="auto"/>
        <w:bottom w:val="none" w:sz="0" w:space="0" w:color="auto"/>
        <w:right w:val="none" w:sz="0" w:space="0" w:color="auto"/>
      </w:divBdr>
    </w:div>
    <w:div w:id="1858418926">
      <w:bodyDiv w:val="1"/>
      <w:marLeft w:val="0"/>
      <w:marRight w:val="0"/>
      <w:marTop w:val="0"/>
      <w:marBottom w:val="0"/>
      <w:divBdr>
        <w:top w:val="none" w:sz="0" w:space="0" w:color="auto"/>
        <w:left w:val="none" w:sz="0" w:space="0" w:color="auto"/>
        <w:bottom w:val="none" w:sz="0" w:space="0" w:color="auto"/>
        <w:right w:val="none" w:sz="0" w:space="0" w:color="auto"/>
      </w:divBdr>
    </w:div>
    <w:div w:id="1866863647">
      <w:bodyDiv w:val="1"/>
      <w:marLeft w:val="0"/>
      <w:marRight w:val="0"/>
      <w:marTop w:val="0"/>
      <w:marBottom w:val="0"/>
      <w:divBdr>
        <w:top w:val="none" w:sz="0" w:space="0" w:color="auto"/>
        <w:left w:val="none" w:sz="0" w:space="0" w:color="auto"/>
        <w:bottom w:val="none" w:sz="0" w:space="0" w:color="auto"/>
        <w:right w:val="none" w:sz="0" w:space="0" w:color="auto"/>
      </w:divBdr>
    </w:div>
    <w:div w:id="1878469173">
      <w:bodyDiv w:val="1"/>
      <w:marLeft w:val="0"/>
      <w:marRight w:val="0"/>
      <w:marTop w:val="0"/>
      <w:marBottom w:val="0"/>
      <w:divBdr>
        <w:top w:val="none" w:sz="0" w:space="0" w:color="auto"/>
        <w:left w:val="none" w:sz="0" w:space="0" w:color="auto"/>
        <w:bottom w:val="none" w:sz="0" w:space="0" w:color="auto"/>
        <w:right w:val="none" w:sz="0" w:space="0" w:color="auto"/>
      </w:divBdr>
    </w:div>
    <w:div w:id="1879080913">
      <w:bodyDiv w:val="1"/>
      <w:marLeft w:val="0"/>
      <w:marRight w:val="0"/>
      <w:marTop w:val="0"/>
      <w:marBottom w:val="0"/>
      <w:divBdr>
        <w:top w:val="none" w:sz="0" w:space="0" w:color="auto"/>
        <w:left w:val="none" w:sz="0" w:space="0" w:color="auto"/>
        <w:bottom w:val="none" w:sz="0" w:space="0" w:color="auto"/>
        <w:right w:val="none" w:sz="0" w:space="0" w:color="auto"/>
      </w:divBdr>
    </w:div>
    <w:div w:id="1891727108">
      <w:bodyDiv w:val="1"/>
      <w:marLeft w:val="0"/>
      <w:marRight w:val="0"/>
      <w:marTop w:val="0"/>
      <w:marBottom w:val="0"/>
      <w:divBdr>
        <w:top w:val="none" w:sz="0" w:space="0" w:color="auto"/>
        <w:left w:val="none" w:sz="0" w:space="0" w:color="auto"/>
        <w:bottom w:val="none" w:sz="0" w:space="0" w:color="auto"/>
        <w:right w:val="none" w:sz="0" w:space="0" w:color="auto"/>
      </w:divBdr>
    </w:div>
    <w:div w:id="1905288609">
      <w:bodyDiv w:val="1"/>
      <w:marLeft w:val="0"/>
      <w:marRight w:val="0"/>
      <w:marTop w:val="0"/>
      <w:marBottom w:val="0"/>
      <w:divBdr>
        <w:top w:val="none" w:sz="0" w:space="0" w:color="auto"/>
        <w:left w:val="none" w:sz="0" w:space="0" w:color="auto"/>
        <w:bottom w:val="none" w:sz="0" w:space="0" w:color="auto"/>
        <w:right w:val="none" w:sz="0" w:space="0" w:color="auto"/>
      </w:divBdr>
    </w:div>
    <w:div w:id="1921981344">
      <w:bodyDiv w:val="1"/>
      <w:marLeft w:val="0"/>
      <w:marRight w:val="0"/>
      <w:marTop w:val="0"/>
      <w:marBottom w:val="0"/>
      <w:divBdr>
        <w:top w:val="none" w:sz="0" w:space="0" w:color="auto"/>
        <w:left w:val="none" w:sz="0" w:space="0" w:color="auto"/>
        <w:bottom w:val="none" w:sz="0" w:space="0" w:color="auto"/>
        <w:right w:val="none" w:sz="0" w:space="0" w:color="auto"/>
      </w:divBdr>
    </w:div>
    <w:div w:id="1931356208">
      <w:bodyDiv w:val="1"/>
      <w:marLeft w:val="0"/>
      <w:marRight w:val="0"/>
      <w:marTop w:val="0"/>
      <w:marBottom w:val="0"/>
      <w:divBdr>
        <w:top w:val="none" w:sz="0" w:space="0" w:color="auto"/>
        <w:left w:val="none" w:sz="0" w:space="0" w:color="auto"/>
        <w:bottom w:val="none" w:sz="0" w:space="0" w:color="auto"/>
        <w:right w:val="none" w:sz="0" w:space="0" w:color="auto"/>
      </w:divBdr>
    </w:div>
    <w:div w:id="1960794417">
      <w:bodyDiv w:val="1"/>
      <w:marLeft w:val="0"/>
      <w:marRight w:val="0"/>
      <w:marTop w:val="0"/>
      <w:marBottom w:val="0"/>
      <w:divBdr>
        <w:top w:val="none" w:sz="0" w:space="0" w:color="auto"/>
        <w:left w:val="none" w:sz="0" w:space="0" w:color="auto"/>
        <w:bottom w:val="none" w:sz="0" w:space="0" w:color="auto"/>
        <w:right w:val="none" w:sz="0" w:space="0" w:color="auto"/>
      </w:divBdr>
    </w:div>
    <w:div w:id="1971788107">
      <w:bodyDiv w:val="1"/>
      <w:marLeft w:val="0"/>
      <w:marRight w:val="0"/>
      <w:marTop w:val="0"/>
      <w:marBottom w:val="0"/>
      <w:divBdr>
        <w:top w:val="none" w:sz="0" w:space="0" w:color="auto"/>
        <w:left w:val="none" w:sz="0" w:space="0" w:color="auto"/>
        <w:bottom w:val="none" w:sz="0" w:space="0" w:color="auto"/>
        <w:right w:val="none" w:sz="0" w:space="0" w:color="auto"/>
      </w:divBdr>
    </w:div>
    <w:div w:id="1973290146">
      <w:bodyDiv w:val="1"/>
      <w:marLeft w:val="0"/>
      <w:marRight w:val="0"/>
      <w:marTop w:val="0"/>
      <w:marBottom w:val="0"/>
      <w:divBdr>
        <w:top w:val="none" w:sz="0" w:space="0" w:color="auto"/>
        <w:left w:val="none" w:sz="0" w:space="0" w:color="auto"/>
        <w:bottom w:val="none" w:sz="0" w:space="0" w:color="auto"/>
        <w:right w:val="none" w:sz="0" w:space="0" w:color="auto"/>
      </w:divBdr>
    </w:div>
    <w:div w:id="1981883950">
      <w:bodyDiv w:val="1"/>
      <w:marLeft w:val="0"/>
      <w:marRight w:val="0"/>
      <w:marTop w:val="0"/>
      <w:marBottom w:val="0"/>
      <w:divBdr>
        <w:top w:val="none" w:sz="0" w:space="0" w:color="auto"/>
        <w:left w:val="none" w:sz="0" w:space="0" w:color="auto"/>
        <w:bottom w:val="none" w:sz="0" w:space="0" w:color="auto"/>
        <w:right w:val="none" w:sz="0" w:space="0" w:color="auto"/>
      </w:divBdr>
    </w:div>
    <w:div w:id="1988243294">
      <w:bodyDiv w:val="1"/>
      <w:marLeft w:val="0"/>
      <w:marRight w:val="0"/>
      <w:marTop w:val="0"/>
      <w:marBottom w:val="0"/>
      <w:divBdr>
        <w:top w:val="none" w:sz="0" w:space="0" w:color="auto"/>
        <w:left w:val="none" w:sz="0" w:space="0" w:color="auto"/>
        <w:bottom w:val="none" w:sz="0" w:space="0" w:color="auto"/>
        <w:right w:val="none" w:sz="0" w:space="0" w:color="auto"/>
      </w:divBdr>
    </w:div>
    <w:div w:id="1997414798">
      <w:bodyDiv w:val="1"/>
      <w:marLeft w:val="0"/>
      <w:marRight w:val="0"/>
      <w:marTop w:val="0"/>
      <w:marBottom w:val="0"/>
      <w:divBdr>
        <w:top w:val="none" w:sz="0" w:space="0" w:color="auto"/>
        <w:left w:val="none" w:sz="0" w:space="0" w:color="auto"/>
        <w:bottom w:val="none" w:sz="0" w:space="0" w:color="auto"/>
        <w:right w:val="none" w:sz="0" w:space="0" w:color="auto"/>
      </w:divBdr>
    </w:div>
    <w:div w:id="2010786235">
      <w:bodyDiv w:val="1"/>
      <w:marLeft w:val="0"/>
      <w:marRight w:val="0"/>
      <w:marTop w:val="0"/>
      <w:marBottom w:val="0"/>
      <w:divBdr>
        <w:top w:val="none" w:sz="0" w:space="0" w:color="auto"/>
        <w:left w:val="none" w:sz="0" w:space="0" w:color="auto"/>
        <w:bottom w:val="none" w:sz="0" w:space="0" w:color="auto"/>
        <w:right w:val="none" w:sz="0" w:space="0" w:color="auto"/>
      </w:divBdr>
    </w:div>
    <w:div w:id="2012949154">
      <w:bodyDiv w:val="1"/>
      <w:marLeft w:val="0"/>
      <w:marRight w:val="0"/>
      <w:marTop w:val="0"/>
      <w:marBottom w:val="0"/>
      <w:divBdr>
        <w:top w:val="none" w:sz="0" w:space="0" w:color="auto"/>
        <w:left w:val="none" w:sz="0" w:space="0" w:color="auto"/>
        <w:bottom w:val="none" w:sz="0" w:space="0" w:color="auto"/>
        <w:right w:val="none" w:sz="0" w:space="0" w:color="auto"/>
      </w:divBdr>
    </w:div>
    <w:div w:id="2015648653">
      <w:bodyDiv w:val="1"/>
      <w:marLeft w:val="0"/>
      <w:marRight w:val="0"/>
      <w:marTop w:val="0"/>
      <w:marBottom w:val="0"/>
      <w:divBdr>
        <w:top w:val="none" w:sz="0" w:space="0" w:color="auto"/>
        <w:left w:val="none" w:sz="0" w:space="0" w:color="auto"/>
        <w:bottom w:val="none" w:sz="0" w:space="0" w:color="auto"/>
        <w:right w:val="none" w:sz="0" w:space="0" w:color="auto"/>
      </w:divBdr>
    </w:div>
    <w:div w:id="2025091112">
      <w:bodyDiv w:val="1"/>
      <w:marLeft w:val="0"/>
      <w:marRight w:val="0"/>
      <w:marTop w:val="0"/>
      <w:marBottom w:val="0"/>
      <w:divBdr>
        <w:top w:val="none" w:sz="0" w:space="0" w:color="auto"/>
        <w:left w:val="none" w:sz="0" w:space="0" w:color="auto"/>
        <w:bottom w:val="none" w:sz="0" w:space="0" w:color="auto"/>
        <w:right w:val="none" w:sz="0" w:space="0" w:color="auto"/>
      </w:divBdr>
    </w:div>
    <w:div w:id="2028022938">
      <w:bodyDiv w:val="1"/>
      <w:marLeft w:val="0"/>
      <w:marRight w:val="0"/>
      <w:marTop w:val="0"/>
      <w:marBottom w:val="0"/>
      <w:divBdr>
        <w:top w:val="none" w:sz="0" w:space="0" w:color="auto"/>
        <w:left w:val="none" w:sz="0" w:space="0" w:color="auto"/>
        <w:bottom w:val="none" w:sz="0" w:space="0" w:color="auto"/>
        <w:right w:val="none" w:sz="0" w:space="0" w:color="auto"/>
      </w:divBdr>
    </w:div>
    <w:div w:id="2032534569">
      <w:bodyDiv w:val="1"/>
      <w:marLeft w:val="0"/>
      <w:marRight w:val="0"/>
      <w:marTop w:val="0"/>
      <w:marBottom w:val="0"/>
      <w:divBdr>
        <w:top w:val="none" w:sz="0" w:space="0" w:color="auto"/>
        <w:left w:val="none" w:sz="0" w:space="0" w:color="auto"/>
        <w:bottom w:val="none" w:sz="0" w:space="0" w:color="auto"/>
        <w:right w:val="none" w:sz="0" w:space="0" w:color="auto"/>
      </w:divBdr>
    </w:div>
    <w:div w:id="2034990107">
      <w:bodyDiv w:val="1"/>
      <w:marLeft w:val="0"/>
      <w:marRight w:val="0"/>
      <w:marTop w:val="0"/>
      <w:marBottom w:val="0"/>
      <w:divBdr>
        <w:top w:val="none" w:sz="0" w:space="0" w:color="auto"/>
        <w:left w:val="none" w:sz="0" w:space="0" w:color="auto"/>
        <w:bottom w:val="none" w:sz="0" w:space="0" w:color="auto"/>
        <w:right w:val="none" w:sz="0" w:space="0" w:color="auto"/>
      </w:divBdr>
    </w:div>
    <w:div w:id="2049714699">
      <w:bodyDiv w:val="1"/>
      <w:marLeft w:val="0"/>
      <w:marRight w:val="0"/>
      <w:marTop w:val="0"/>
      <w:marBottom w:val="0"/>
      <w:divBdr>
        <w:top w:val="none" w:sz="0" w:space="0" w:color="auto"/>
        <w:left w:val="none" w:sz="0" w:space="0" w:color="auto"/>
        <w:bottom w:val="none" w:sz="0" w:space="0" w:color="auto"/>
        <w:right w:val="none" w:sz="0" w:space="0" w:color="auto"/>
      </w:divBdr>
    </w:div>
    <w:div w:id="2068144831">
      <w:bodyDiv w:val="1"/>
      <w:marLeft w:val="0"/>
      <w:marRight w:val="0"/>
      <w:marTop w:val="0"/>
      <w:marBottom w:val="0"/>
      <w:divBdr>
        <w:top w:val="none" w:sz="0" w:space="0" w:color="auto"/>
        <w:left w:val="none" w:sz="0" w:space="0" w:color="auto"/>
        <w:bottom w:val="none" w:sz="0" w:space="0" w:color="auto"/>
        <w:right w:val="none" w:sz="0" w:space="0" w:color="auto"/>
      </w:divBdr>
    </w:div>
    <w:div w:id="2085449039">
      <w:bodyDiv w:val="1"/>
      <w:marLeft w:val="0"/>
      <w:marRight w:val="0"/>
      <w:marTop w:val="0"/>
      <w:marBottom w:val="0"/>
      <w:divBdr>
        <w:top w:val="none" w:sz="0" w:space="0" w:color="auto"/>
        <w:left w:val="none" w:sz="0" w:space="0" w:color="auto"/>
        <w:bottom w:val="none" w:sz="0" w:space="0" w:color="auto"/>
        <w:right w:val="none" w:sz="0" w:space="0" w:color="auto"/>
      </w:divBdr>
    </w:div>
    <w:div w:id="2124490693">
      <w:bodyDiv w:val="1"/>
      <w:marLeft w:val="0"/>
      <w:marRight w:val="0"/>
      <w:marTop w:val="0"/>
      <w:marBottom w:val="0"/>
      <w:divBdr>
        <w:top w:val="none" w:sz="0" w:space="0" w:color="auto"/>
        <w:left w:val="none" w:sz="0" w:space="0" w:color="auto"/>
        <w:bottom w:val="none" w:sz="0" w:space="0" w:color="auto"/>
        <w:right w:val="none" w:sz="0" w:space="0" w:color="auto"/>
      </w:divBdr>
    </w:div>
    <w:div w:id="2132356535">
      <w:bodyDiv w:val="1"/>
      <w:marLeft w:val="0"/>
      <w:marRight w:val="0"/>
      <w:marTop w:val="0"/>
      <w:marBottom w:val="0"/>
      <w:divBdr>
        <w:top w:val="none" w:sz="0" w:space="0" w:color="auto"/>
        <w:left w:val="none" w:sz="0" w:space="0" w:color="auto"/>
        <w:bottom w:val="none" w:sz="0" w:space="0" w:color="auto"/>
        <w:right w:val="none" w:sz="0" w:space="0" w:color="auto"/>
      </w:divBdr>
    </w:div>
    <w:div w:id="213551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82c93ee35fd8ff950cfc5657121d4b9d">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9a60a15c6576bfec3866ff31301bef2"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_dlc_DocId xmlns="f6cfbbfa-3ea0-4d8e-acde-632e83cd9c55">ONRW-2126615823-7894</_dlc_DocId>
    <_dlc_DocIdUrl xmlns="f6cfbbfa-3ea0-4d8e-acde-632e83cd9c55">
      <Url>https://prodonrgov.sharepoint.com/_layouts/15/DocIdRedir.aspx?ID=ONRW-2126615823-7894</Url>
      <Description>ONRW-2126615823-7894</Description>
    </_dlc_DocIdUrl>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Subdivision xmlns="f6cfbbfa-3ea0-4d8e-acde-632e83cd9c55" xsi:nil="true"/>
    <GDA_x0020_Purpose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_x0020_Status xmlns="f6cfbbfa-3ea0-4d8e-acde-632e83cd9c55"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Hol24</b:Tag>
    <b:SourceType>Report</b:SourceType>
    <b:Guid>{1FE79228-CDE5-46F2-A79B-EB82CAC94EB2}</b:Guid>
    <b:Author>
      <b:Author>
        <b:Corporate>Holtec SMR GDA PSR PART B</b:Corporate>
      </b:Author>
    </b:Author>
    <b:Title>Chapter 9 Description of Operational Aspects/Conduct of Operations</b:Title>
    <b:Year>24 June 2025</b:Year>
    <b:Publisher>Holtec Britain</b:Publisher>
    <b:City>HI-2240340</b:City>
    <b:RefOrder>2</b:RefOrder>
  </b:Source>
  <b:Source>
    <b:Tag>IAE18</b:Tag>
    <b:SourceType>Report</b:SourceType>
    <b:Guid>{88D87D6D-82E8-4A5E-8F66-DCEE1E9EBD56}</b:Guid>
    <b:Author>
      <b:Author>
        <b:Corporate>IAEA Report, Specific Safety Guide No. SSG-48</b:Corporate>
      </b:Author>
    </b:Author>
    <b:Title>Ageing Management and Development of a Programme for Long Term Operation of Nuclear Power Plants</b:Title>
    <b:Year>2018</b:Year>
    <b:City>Vienna</b:City>
    <b:RefOrder>9</b:RefOrder>
  </b:Source>
  <b:Source>
    <b:Tag>ONR_TAG005</b:Tag>
    <b:SourceType>Report</b:SourceType>
    <b:Guid>{EA5BA1DC-7CC5-4F25-8939-49FAA3EE4E47}</b:Guid>
    <b:Author>
      <b:Author>
        <b:Corporate>NS-TAST-GD-005. Revision 12.1</b:Corporate>
      </b:Author>
    </b:Author>
    <b:Title>Regulating duties to reduce risks to ALARP</b:Title>
    <b:Year>2024</b:Year>
    <b:Publisher>ONR</b:Publisher>
    <b:RefOrder>1</b:RefOrder>
  </b:Source>
  <b:Source>
    <b:Tag>WEN17</b:Tag>
    <b:SourceType>Report</b:SourceType>
    <b:Guid>{5E1E08A1-9168-4B18-A845-E580F434B837}</b:Guid>
    <b:Author>
      <b:Author>
        <b:Corporate>WENRA Topical Peer Review</b:Corporate>
      </b:Author>
    </b:Author>
    <b:Title>Ageing Management Technical Specification for the National Assessment Reports</b:Title>
    <b:Year>2017</b:Year>
    <b:City>https://www.wenra.eu/</b:City>
    <b:RefOrder>14</b:RefOrder>
  </b:Source>
  <b:Source>
    <b:Tag>IAE2</b:Tag>
    <b:SourceType>Report</b:SourceType>
    <b:Guid>{E47C4963-06A8-468B-B351-E69A613C417B}</b:Guid>
    <b:Author>
      <b:Author>
        <b:Corporate>IAEA TECDOC-1556</b:Corporate>
      </b:Author>
    </b:Author>
    <b:Title>Assessment and Management of Ageing of Major Nuclear Power Plant Components Important to Safety: PWR Pressure Vessels</b:Title>
    <b:Year>2007</b:Year>
    <b:Publisher>International Atomic Energy Agency</b:Publisher>
    <b:City>Vienna</b:City>
    <b:RefOrder>10</b:RefOrder>
  </b:Source>
  <b:Source>
    <b:Tag>NST23</b:Tag>
    <b:SourceType>Report</b:SourceType>
    <b:Guid>{42338B5C-7DCA-4A2B-8528-8BA93B26A2D2}</b:Guid>
    <b:Author>
      <b:Author>
        <b:Corporate>NS-TAST-GD-109</b:Corporate>
      </b:Author>
    </b:Author>
    <b:Title>Ageing and Degradation Management</b:Title>
    <b:Year>2023</b:Year>
    <b:Publisher>https://www.onr.org.uk/</b:Publisher>
    <b:RefOrder>6</b:RefOrder>
  </b:Source>
  <b:Source>
    <b:Tag>USN</b:Tag>
    <b:SourceType>Report</b:SourceType>
    <b:Guid>{F2429417-0368-44E4-9D99-56DE0FE17EF1}</b:Guid>
    <b:Author>
      <b:Author>
        <b:Corporate>NUREG/CR-6923</b:Corporate>
      </b:Author>
    </b:Author>
    <b:Title>Expert Panel Report on Proactive Materials Degradation Assessment</b:Title>
    <b:Year>2007</b:Year>
    <b:Publisher>US NRC Report</b:Publisher>
    <b:City>https://www.nrc.gov/</b:City>
    <b:RefOrder>17</b:RefOrder>
  </b:Source>
  <b:Source>
    <b:Tag>USN101</b:Tag>
    <b:SourceType>Report</b:SourceType>
    <b:Guid>{A21471E9-BEBF-4552-B64C-33B7CF5C560A}</b:Guid>
    <b:Author>
      <b:Author>
        <b:Corporate>NUREG-1801</b:Corporate>
      </b:Author>
    </b:Author>
    <b:Title>Generic Ageing Lessons Learned (GALL) Report</b:Title>
    <b:Year>2010</b:Year>
    <b:City>https://www.nrc.gov/</b:City>
    <b:Publisher>USNRC</b:Publisher>
    <b:RefOrder>16</b:RefOrder>
  </b:Source>
  <b:Source>
    <b:Tag>IAE171</b:Tag>
    <b:SourceType>Report</b:SourceType>
    <b:Guid>{65E8D736-012E-423A-8915-12DA56F348D2}</b:Guid>
    <b:Author>
      <b:Author>
        <b:Corporate>Nuclear Energy Series No. NP-T-3.24</b:Corporate>
      </b:Author>
    </b:Author>
    <b:Title>Handbook on ageing management for nuclear power plants</b:Title>
    <b:Year>2017</b:Year>
    <b:City>https://www.iaea.org/</b:City>
    <b:Publisher>International Atomic Energy Agency</b:Publisher>
    <b:RefOrder>12</b:RefOrder>
  </b:Source>
  <b:Source>
    <b:Tag>NST24</b:Tag>
    <b:SourceType>Report</b:SourceType>
    <b:Guid>{A837F1B2-9054-42DB-826E-B0B5348F4904}</b:Guid>
    <b:Author>
      <b:Author>
        <b:Corporate>NS-TAST-GD-016</b:Corporate>
      </b:Author>
    </b:Author>
    <b:Title>Integrity of Metal Structures, Systems and Components, Version 7.1</b:Title>
    <b:Year>2024</b:Year>
    <b:City>https://www.onr.org.uk/</b:City>
    <b:Publisher>Office for Nuclear Regulation</b:Publisher>
    <b:RefOrder>7</b:RefOrder>
  </b:Source>
  <b:Source>
    <b:Tag>ONR5</b:Tag>
    <b:SourceType>Report</b:SourceType>
    <b:Guid>{8325295D-B3EA-4C11-AC12-398C3158A20D}</b:Guid>
    <b:Author>
      <b:Author>
        <b:Corporate>ONR-GDA-GD-007</b:Corporate>
      </b:Author>
    </b:Author>
    <b:Title>New Nuclear Power Plants: Generic Design Assessment Technical Guidance</b:Title>
    <b:Year>2019</b:Year>
    <b:Publisher>Revision 0</b:Publisher>
    <b:City>https://www.onr.org.uk/</b:City>
    <b:RefOrder>8</b:RefOrder>
  </b:Source>
  <b:Source>
    <b:Tag>ONR3</b:Tag>
    <b:SourceType>Report</b:SourceType>
    <b:Guid>{5FD77937-2F08-4654-B005-AA3AE6D200AE}</b:Guid>
    <b:Author>
      <b:Author>
        <b:Corporate>ONR</b:Corporate>
      </b:Author>
    </b:Author>
    <b:Title>Safety Assessment Principles for Nuclear Facilities (SAPs), 2014 Edition, Revision 1</b:Title>
    <b:Year>2020</b:Year>
    <b:City>https://www.onr.org.uk/</b:City>
    <b:RefOrder>5</b:RefOrder>
  </b:Source>
  <b:Source>
    <b:Tag>IAE6</b:Tag>
    <b:SourceType>Report</b:SourceType>
    <b:Guid>{C92BBEEE-3F0D-4152-B337-9659B552AE4B}</b:Guid>
    <b:Author>
      <b:Author>
        <b:Corporate>Specific Safety Requirements No. SSR-2/2</b:Corporate>
      </b:Author>
    </b:Author>
    <b:Title>Safety of Nuclear Plants: Commissioning and Operation, Revision 1</b:Title>
    <b:City>https://www-pub.iaea.org/</b:City>
    <b:Publisher>International Atomic Energy Agency</b:Publisher>
    <b:Year>2016</b:Year>
    <b:RefOrder>11</b:RefOrder>
  </b:Source>
  <b:Source>
    <b:Tag>IAE5</b:Tag>
    <b:SourceType>Report</b:SourceType>
    <b:Guid>{232B41DA-D6CB-471C-8A07-D871C6A7D7E8}</b:Guid>
    <b:Author>
      <b:Author>
        <b:Corporate>Specific Safety Requirements No. SSR-2/1</b:Corporate>
      </b:Author>
    </b:Author>
    <b:Title>Safety Design of Nuclear Plants: Design, Revision 1</b:Title>
    <b:Year>2016</b:Year>
    <b:City>https://www-pub.iaea.org/</b:City>
    <b:Publisher>International Atomic Energy Agency</b:Publisher>
    <b:RefOrder>13</b:RefOrder>
  </b:Source>
  <b:Source>
    <b:Tag>RQ0</b:Tag>
    <b:SourceType>Report</b:SourceType>
    <b:Guid>{206EC2A6-85D9-431E-9E1C-AAD4EC003988}</b:Guid>
    <b:Author>
      <b:Author>
        <b:Corporate>ONR Regulatory Query (RQ)-01599</b:Corporate>
      </b:Author>
    </b:Author>
    <b:Title>Structural Integrity: Ageing and Degradation</b:Title>
    <b:Year>14 February 2025</b:Year>
    <b:RefOrder>3</b:RefOrder>
  </b:Source>
  <b:Source>
    <b:Tag>EPRv3</b:Tag>
    <b:SourceType>Report</b:SourceType>
    <b:Guid>{409337B9-EA1D-459F-8105-83B5CCD95422}</b:Guid>
    <b:Author>
      <b:Author>
        <b:Corporate>Electric Power Research Institute</b:Corporate>
      </b:Author>
    </b:Author>
    <b:Title>EPRI Materials Degradation Matrix</b:Title>
    <b:Year>2018</b:Year>
    <b:City>https://www.epri.com/</b:City>
    <b:RefOrder>15</b:RefOrder>
  </b:Source>
  <b:Source>
    <b:Tag>USN14</b:Tag>
    <b:SourceType>Report</b:SourceType>
    <b:Guid>{53BBE18E-316D-4D31-A5D0-2D6225259D0E}</b:Guid>
    <b:Author>
      <b:Author>
        <b:Corporate>NUREG/CR-7153</b:Corporate>
      </b:Author>
    </b:Author>
    <b:Title>Expanded Materials Degradation Assessment (EMDA)</b:Title>
    <b:Year>2014</b:Year>
    <b:Publisher>US NRC</b:Publisher>
    <b:City>https://www.nrc.gov/</b:City>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9DCB2B-23B4-4621-BCCB-C2D72194C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5780F-2889-4DD7-8F85-E0FC5CD85289}">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3.xml><?xml version="1.0" encoding="utf-8"?>
<ds:datastoreItem xmlns:ds="http://schemas.openxmlformats.org/officeDocument/2006/customXml" ds:itemID="{E67D9B92-34E6-4941-B05F-6D162B4BECEC}">
  <ds:schemaRefs>
    <ds:schemaRef ds:uri="http://schemas.openxmlformats.org/officeDocument/2006/bibliography"/>
  </ds:schemaRefs>
</ds:datastoreItem>
</file>

<file path=customXml/itemProps4.xml><?xml version="1.0" encoding="utf-8"?>
<ds:datastoreItem xmlns:ds="http://schemas.openxmlformats.org/officeDocument/2006/customXml" ds:itemID="{8CFC80CF-4684-40D0-8E8F-1216B2034863}">
  <ds:schemaRefs>
    <ds:schemaRef ds:uri="http://schemas.microsoft.com/sharepoint/v3/contenttype/forms"/>
  </ds:schemaRefs>
</ds:datastoreItem>
</file>

<file path=customXml/itemProps5.xml><?xml version="1.0" encoding="utf-8"?>
<ds:datastoreItem xmlns:ds="http://schemas.openxmlformats.org/officeDocument/2006/customXml" ds:itemID="{C97249D3-5E4B-465F-93AF-46D391F33B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1755</Words>
  <Characters>10995</Characters>
  <DocSecurity>0</DocSecurity>
  <Lines>91</Lines>
  <Paragraphs>25</Paragraphs>
  <ScaleCrop>false</ScaleCrop>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2025-07-09T17:31:00Z</cp:lastPrinted>
  <dcterms:created xsi:type="dcterms:W3CDTF">2025-07-09T15:29:00Z</dcterms:created>
  <dcterms:modified xsi:type="dcterms:W3CDTF">2025-11-27T10:55:00Z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b078eaaf-d0c6-4087-8084-fd3e9396af47</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MediaServiceImageTags">
    <vt:lpwstr/>
  </property>
</Properties>
</file>