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B688" w14:textId="77777777" w:rsidR="0078179E" w:rsidRDefault="0078179E" w:rsidP="0078179E">
      <w:pPr>
        <w:pStyle w:val="ONRNormal"/>
      </w:pPr>
    </w:p>
    <w:p w14:paraId="79A3B689" w14:textId="77777777" w:rsidR="00B24A12" w:rsidRPr="00E815F6" w:rsidRDefault="00B24A12" w:rsidP="0078179E">
      <w:pPr>
        <w:pStyle w:val="ONRNormal"/>
      </w:pPr>
    </w:p>
    <w:tbl>
      <w:tblPr>
        <w:tblpPr w:leftFromText="180" w:rightFromText="180" w:vertAnchor="text" w:horzAnchor="margin" w:tblpY="-54"/>
        <w:tblW w:w="9072" w:type="dxa"/>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7" w:type="dxa"/>
          <w:left w:w="57" w:type="dxa"/>
          <w:bottom w:w="57" w:type="dxa"/>
          <w:right w:w="57" w:type="dxa"/>
        </w:tblCellMar>
        <w:tblLook w:val="01E0" w:firstRow="1" w:lastRow="1" w:firstColumn="1" w:lastColumn="1" w:noHBand="0" w:noVBand="0"/>
      </w:tblPr>
      <w:tblGrid>
        <w:gridCol w:w="2877"/>
        <w:gridCol w:w="2101"/>
        <w:gridCol w:w="2106"/>
        <w:gridCol w:w="1988"/>
      </w:tblGrid>
      <w:tr w:rsidR="00B24A12" w:rsidRPr="00E815F6" w14:paraId="79A3B68B" w14:textId="77777777" w:rsidTr="007022E6">
        <w:trPr>
          <w:trHeight w:val="339"/>
        </w:trPr>
        <w:tc>
          <w:tcPr>
            <w:tcW w:w="9072" w:type="dxa"/>
            <w:gridSpan w:val="4"/>
            <w:shd w:val="clear" w:color="auto" w:fill="auto"/>
            <w:vAlign w:val="center"/>
          </w:tcPr>
          <w:p w14:paraId="79A3B68A" w14:textId="77777777" w:rsidR="00B24A12" w:rsidRPr="00E815F6" w:rsidRDefault="00B24A12" w:rsidP="00B24A12">
            <w:pPr>
              <w:spacing w:after="0"/>
              <w:jc w:val="center"/>
              <w:rPr>
                <w:b/>
              </w:rPr>
            </w:pPr>
            <w:r w:rsidRPr="00E815F6">
              <w:rPr>
                <w:b/>
              </w:rPr>
              <w:t>ONR GUIDE</w:t>
            </w:r>
          </w:p>
        </w:tc>
      </w:tr>
      <w:tr w:rsidR="00B24A12" w:rsidRPr="00E815F6" w14:paraId="79A3B68D" w14:textId="77777777" w:rsidTr="007022E6">
        <w:trPr>
          <w:trHeight w:val="286"/>
        </w:trPr>
        <w:tc>
          <w:tcPr>
            <w:tcW w:w="9072" w:type="dxa"/>
            <w:gridSpan w:val="4"/>
            <w:shd w:val="clear" w:color="auto" w:fill="auto"/>
            <w:vAlign w:val="center"/>
          </w:tcPr>
          <w:p w14:paraId="79A3B68C" w14:textId="77777777" w:rsidR="00B24A12" w:rsidRPr="00E815F6" w:rsidRDefault="00B24A12" w:rsidP="00F02053">
            <w:pPr>
              <w:spacing w:after="0"/>
              <w:jc w:val="center"/>
              <w:rPr>
                <w:b/>
              </w:rPr>
            </w:pPr>
            <w:r w:rsidRPr="009915A5">
              <w:rPr>
                <w:rFonts w:ascii="Arial Bold" w:hAnsi="Arial Bold"/>
                <w:b/>
                <w:caps/>
                <w:color w:val="000000"/>
                <w:sz w:val="24"/>
                <w:szCs w:val="24"/>
              </w:rPr>
              <w:t>Periodic Safety Review (PSR)</w:t>
            </w:r>
          </w:p>
        </w:tc>
      </w:tr>
      <w:tr w:rsidR="00B24A12" w:rsidRPr="00E815F6" w14:paraId="79A3B690" w14:textId="77777777" w:rsidTr="001B09D9">
        <w:trPr>
          <w:trHeight w:val="278"/>
        </w:trPr>
        <w:tc>
          <w:tcPr>
            <w:tcW w:w="2877" w:type="dxa"/>
            <w:shd w:val="clear" w:color="auto" w:fill="auto"/>
            <w:vAlign w:val="center"/>
          </w:tcPr>
          <w:p w14:paraId="79A3B68E" w14:textId="77777777" w:rsidR="00B24A12" w:rsidRPr="00E815F6" w:rsidRDefault="00B24A12" w:rsidP="00B24A12">
            <w:pPr>
              <w:spacing w:after="0"/>
              <w:rPr>
                <w:b/>
              </w:rPr>
            </w:pPr>
            <w:r w:rsidRPr="00E815F6">
              <w:rPr>
                <w:b/>
              </w:rPr>
              <w:t>Document Type:</w:t>
            </w:r>
          </w:p>
        </w:tc>
        <w:tc>
          <w:tcPr>
            <w:tcW w:w="6195" w:type="dxa"/>
            <w:gridSpan w:val="3"/>
            <w:shd w:val="clear" w:color="auto" w:fill="auto"/>
            <w:vAlign w:val="center"/>
          </w:tcPr>
          <w:p w14:paraId="79A3B68F" w14:textId="77777777" w:rsidR="00B24A12" w:rsidRPr="00E815F6" w:rsidRDefault="00B24A12" w:rsidP="00B24A12">
            <w:pPr>
              <w:spacing w:after="0"/>
            </w:pPr>
            <w:r w:rsidRPr="00E815F6">
              <w:t>Nuclear Safety Technical Assessment Guide</w:t>
            </w:r>
          </w:p>
        </w:tc>
      </w:tr>
      <w:tr w:rsidR="00B24A12" w:rsidRPr="00E815F6" w14:paraId="79A3B693" w14:textId="77777777" w:rsidTr="00B24A12">
        <w:tc>
          <w:tcPr>
            <w:tcW w:w="2877" w:type="dxa"/>
            <w:shd w:val="clear" w:color="auto" w:fill="auto"/>
            <w:vAlign w:val="center"/>
          </w:tcPr>
          <w:p w14:paraId="79A3B691" w14:textId="77777777" w:rsidR="00B24A12" w:rsidRPr="00E815F6" w:rsidRDefault="00B24A12" w:rsidP="00B24A12">
            <w:pPr>
              <w:spacing w:after="0"/>
              <w:rPr>
                <w:b/>
              </w:rPr>
            </w:pPr>
            <w:r w:rsidRPr="00E815F6">
              <w:rPr>
                <w:b/>
              </w:rPr>
              <w:t>Unique document ID and Revision no:</w:t>
            </w:r>
          </w:p>
        </w:tc>
        <w:tc>
          <w:tcPr>
            <w:tcW w:w="6195" w:type="dxa"/>
            <w:gridSpan w:val="3"/>
            <w:shd w:val="clear" w:color="auto" w:fill="auto"/>
            <w:vAlign w:val="center"/>
          </w:tcPr>
          <w:p w14:paraId="79A3B692" w14:textId="06017CE2" w:rsidR="00B24A12" w:rsidRPr="00E815F6" w:rsidRDefault="00656326" w:rsidP="007067EC">
            <w:pPr>
              <w:spacing w:after="0"/>
            </w:pPr>
            <w:r>
              <w:rPr>
                <w:color w:val="000000"/>
              </w:rPr>
              <w:t>N</w:t>
            </w:r>
            <w:r w:rsidR="007067EC">
              <w:rPr>
                <w:color w:val="000000"/>
              </w:rPr>
              <w:t>S</w:t>
            </w:r>
            <w:r>
              <w:rPr>
                <w:color w:val="000000"/>
              </w:rPr>
              <w:t>-</w:t>
            </w:r>
            <w:r w:rsidR="00B24A12">
              <w:rPr>
                <w:color w:val="000000"/>
              </w:rPr>
              <w:t>TAST-GD-050</w:t>
            </w:r>
            <w:r w:rsidR="00B24A12" w:rsidRPr="00BA2B4C">
              <w:rPr>
                <w:color w:val="000000"/>
              </w:rPr>
              <w:t xml:space="preserve"> </w:t>
            </w:r>
            <w:r w:rsidR="000317F9">
              <w:rPr>
                <w:color w:val="000000"/>
              </w:rPr>
              <w:t>Issue</w:t>
            </w:r>
            <w:r w:rsidR="00B24A12">
              <w:rPr>
                <w:color w:val="000000"/>
              </w:rPr>
              <w:t xml:space="preserve"> </w:t>
            </w:r>
            <w:r w:rsidR="006D411C">
              <w:rPr>
                <w:color w:val="000000"/>
              </w:rPr>
              <w:t>8</w:t>
            </w:r>
            <w:r w:rsidR="0044752E">
              <w:rPr>
                <w:color w:val="000000"/>
              </w:rPr>
              <w:t>.1</w:t>
            </w:r>
          </w:p>
        </w:tc>
      </w:tr>
      <w:tr w:rsidR="00B24A12" w:rsidRPr="00E815F6" w14:paraId="79A3B698" w14:textId="77777777" w:rsidTr="00B24A12">
        <w:trPr>
          <w:trHeight w:val="340"/>
        </w:trPr>
        <w:tc>
          <w:tcPr>
            <w:tcW w:w="2877" w:type="dxa"/>
            <w:shd w:val="clear" w:color="auto" w:fill="auto"/>
            <w:vAlign w:val="center"/>
          </w:tcPr>
          <w:p w14:paraId="79A3B694" w14:textId="77777777" w:rsidR="00B24A12" w:rsidRPr="00E815F6" w:rsidRDefault="00B24A12" w:rsidP="00B24A12">
            <w:pPr>
              <w:spacing w:after="0"/>
              <w:rPr>
                <w:b/>
              </w:rPr>
            </w:pPr>
            <w:r w:rsidRPr="00E815F6">
              <w:rPr>
                <w:b/>
              </w:rPr>
              <w:t>Date issued:</w:t>
            </w:r>
          </w:p>
        </w:tc>
        <w:tc>
          <w:tcPr>
            <w:tcW w:w="2101" w:type="dxa"/>
            <w:shd w:val="clear" w:color="auto" w:fill="auto"/>
            <w:vAlign w:val="center"/>
          </w:tcPr>
          <w:p w14:paraId="79A3B695" w14:textId="038906FC" w:rsidR="00B24A12" w:rsidRPr="00E815F6" w:rsidRDefault="00D0026F" w:rsidP="00B24A12">
            <w:pPr>
              <w:spacing w:after="0"/>
            </w:pPr>
            <w:r>
              <w:t>Decem</w:t>
            </w:r>
            <w:r w:rsidR="003D4FC5">
              <w:t>ber</w:t>
            </w:r>
            <w:r w:rsidR="0055796F">
              <w:t xml:space="preserve"> 20</w:t>
            </w:r>
            <w:r w:rsidR="006D411C">
              <w:t>2</w:t>
            </w:r>
            <w:r>
              <w:t>2</w:t>
            </w:r>
          </w:p>
        </w:tc>
        <w:tc>
          <w:tcPr>
            <w:tcW w:w="2106" w:type="dxa"/>
            <w:shd w:val="clear" w:color="auto" w:fill="auto"/>
            <w:vAlign w:val="center"/>
          </w:tcPr>
          <w:p w14:paraId="79A3B696" w14:textId="77777777" w:rsidR="00B24A12" w:rsidRPr="00E815F6" w:rsidRDefault="00B24A12" w:rsidP="00B24A12">
            <w:pPr>
              <w:spacing w:after="0"/>
            </w:pPr>
            <w:r w:rsidRPr="00E815F6">
              <w:t>Review date:</w:t>
            </w:r>
          </w:p>
        </w:tc>
        <w:tc>
          <w:tcPr>
            <w:tcW w:w="1988" w:type="dxa"/>
            <w:shd w:val="clear" w:color="auto" w:fill="auto"/>
            <w:vAlign w:val="center"/>
          </w:tcPr>
          <w:p w14:paraId="79A3B697" w14:textId="491C1713" w:rsidR="00B24A12" w:rsidRPr="00E815F6" w:rsidRDefault="003D4FC5" w:rsidP="00B24A12">
            <w:pPr>
              <w:spacing w:after="0"/>
            </w:pPr>
            <w:r>
              <w:t>October 2025</w:t>
            </w:r>
          </w:p>
        </w:tc>
      </w:tr>
      <w:tr w:rsidR="00B24A12" w:rsidRPr="00E815F6" w14:paraId="79A3B69C" w14:textId="77777777" w:rsidTr="00B24A12">
        <w:trPr>
          <w:trHeight w:val="340"/>
        </w:trPr>
        <w:tc>
          <w:tcPr>
            <w:tcW w:w="2877" w:type="dxa"/>
            <w:shd w:val="clear" w:color="auto" w:fill="auto"/>
            <w:vAlign w:val="center"/>
          </w:tcPr>
          <w:p w14:paraId="79A3B699" w14:textId="77777777" w:rsidR="00B24A12" w:rsidRPr="00E815F6" w:rsidRDefault="00B24A12" w:rsidP="00B24A12">
            <w:pPr>
              <w:spacing w:after="0"/>
              <w:rPr>
                <w:b/>
              </w:rPr>
            </w:pPr>
            <w:r w:rsidRPr="00E815F6">
              <w:rPr>
                <w:b/>
              </w:rPr>
              <w:t>Approved by:</w:t>
            </w:r>
          </w:p>
        </w:tc>
        <w:tc>
          <w:tcPr>
            <w:tcW w:w="2101" w:type="dxa"/>
            <w:shd w:val="clear" w:color="auto" w:fill="auto"/>
            <w:vAlign w:val="center"/>
          </w:tcPr>
          <w:p w14:paraId="79A3B69A" w14:textId="3A4D98F4" w:rsidR="00B24A12" w:rsidRPr="00E815F6" w:rsidRDefault="00B24A12" w:rsidP="00B24A12">
            <w:pPr>
              <w:spacing w:after="0"/>
            </w:pPr>
          </w:p>
        </w:tc>
        <w:tc>
          <w:tcPr>
            <w:tcW w:w="4094" w:type="dxa"/>
            <w:gridSpan w:val="2"/>
            <w:shd w:val="clear" w:color="auto" w:fill="auto"/>
            <w:vAlign w:val="center"/>
          </w:tcPr>
          <w:p w14:paraId="79A3B69B" w14:textId="77777777" w:rsidR="00B24A12" w:rsidRPr="00E815F6" w:rsidRDefault="00B24A12" w:rsidP="00DC3781">
            <w:pPr>
              <w:spacing w:after="0"/>
            </w:pPr>
            <w:r>
              <w:t xml:space="preserve">Professional Lead </w:t>
            </w:r>
          </w:p>
        </w:tc>
      </w:tr>
      <w:tr w:rsidR="00B24A12" w:rsidRPr="00E815F6" w14:paraId="79A3B69F" w14:textId="77777777" w:rsidTr="00B24A12">
        <w:trPr>
          <w:trHeight w:val="288"/>
        </w:trPr>
        <w:tc>
          <w:tcPr>
            <w:tcW w:w="2877" w:type="dxa"/>
            <w:shd w:val="clear" w:color="auto" w:fill="auto"/>
            <w:vAlign w:val="center"/>
          </w:tcPr>
          <w:p w14:paraId="79A3B69D" w14:textId="77777777" w:rsidR="00B24A12" w:rsidRPr="00E815F6" w:rsidRDefault="00B24A12" w:rsidP="00B24A12">
            <w:pPr>
              <w:spacing w:after="0"/>
              <w:rPr>
                <w:b/>
              </w:rPr>
            </w:pPr>
            <w:r w:rsidRPr="00E815F6">
              <w:rPr>
                <w:b/>
              </w:rPr>
              <w:t>Record reference:</w:t>
            </w:r>
          </w:p>
        </w:tc>
        <w:tc>
          <w:tcPr>
            <w:tcW w:w="6195" w:type="dxa"/>
            <w:gridSpan w:val="3"/>
            <w:shd w:val="clear" w:color="auto" w:fill="auto"/>
            <w:vAlign w:val="center"/>
          </w:tcPr>
          <w:p w14:paraId="79A3B69E" w14:textId="77777777" w:rsidR="00B24A12" w:rsidRPr="00E815F6" w:rsidRDefault="006D411C" w:rsidP="00FB6857">
            <w:pPr>
              <w:spacing w:after="0"/>
            </w:pPr>
            <w:r>
              <w:rPr>
                <w:color w:val="000000"/>
              </w:rPr>
              <w:t>CM9</w:t>
            </w:r>
            <w:r w:rsidR="00DC3781">
              <w:rPr>
                <w:color w:val="000000"/>
              </w:rPr>
              <w:t xml:space="preserve"> 20</w:t>
            </w:r>
            <w:r w:rsidR="0044263F">
              <w:rPr>
                <w:color w:val="000000"/>
              </w:rPr>
              <w:t>19/</w:t>
            </w:r>
            <w:r w:rsidR="00C90EBD">
              <w:rPr>
                <w:color w:val="000000"/>
              </w:rPr>
              <w:t>346666</w:t>
            </w:r>
          </w:p>
        </w:tc>
      </w:tr>
      <w:tr w:rsidR="00B24A12" w:rsidRPr="00E815F6" w14:paraId="79A3B6A2" w14:textId="77777777" w:rsidTr="00B24A12">
        <w:trPr>
          <w:trHeight w:val="288"/>
        </w:trPr>
        <w:tc>
          <w:tcPr>
            <w:tcW w:w="2877" w:type="dxa"/>
            <w:shd w:val="clear" w:color="auto" w:fill="auto"/>
            <w:vAlign w:val="center"/>
          </w:tcPr>
          <w:p w14:paraId="79A3B6A0" w14:textId="77777777" w:rsidR="00B24A12" w:rsidRPr="00E815F6" w:rsidRDefault="00B24A12" w:rsidP="00B24A12">
            <w:pPr>
              <w:spacing w:after="0"/>
              <w:rPr>
                <w:b/>
              </w:rPr>
            </w:pPr>
            <w:r w:rsidRPr="00E815F6">
              <w:rPr>
                <w:b/>
              </w:rPr>
              <w:t>Revision commentary:</w:t>
            </w:r>
          </w:p>
        </w:tc>
        <w:tc>
          <w:tcPr>
            <w:tcW w:w="6195" w:type="dxa"/>
            <w:gridSpan w:val="3"/>
            <w:shd w:val="clear" w:color="auto" w:fill="auto"/>
            <w:vAlign w:val="center"/>
          </w:tcPr>
          <w:p w14:paraId="4BF93584" w14:textId="77777777" w:rsidR="00B24A12" w:rsidRDefault="009828E8" w:rsidP="002C01B6">
            <w:pPr>
              <w:spacing w:after="0"/>
            </w:pPr>
            <w:r w:rsidRPr="009828E8">
              <w:t xml:space="preserve">This document has been </w:t>
            </w:r>
            <w:r w:rsidRPr="002E00C6">
              <w:t xml:space="preserve">updated </w:t>
            </w:r>
            <w:r w:rsidR="00050BC1" w:rsidRPr="002E00C6">
              <w:t>to</w:t>
            </w:r>
            <w:r w:rsidR="002C01B6">
              <w:t xml:space="preserve"> provide further guidance on the application of proportionality, the application of PSR to facility nearing decommissioning and to provide further clarity on ONR’s expectations.</w:t>
            </w:r>
          </w:p>
          <w:p w14:paraId="79A3B6A1" w14:textId="3598277A" w:rsidR="00B72D28" w:rsidRPr="00E815F6" w:rsidRDefault="000317F9" w:rsidP="002C01B6">
            <w:pPr>
              <w:spacing w:after="0"/>
            </w:pPr>
            <w:r>
              <w:rPr>
                <w:sz w:val="24"/>
                <w:szCs w:val="24"/>
              </w:rPr>
              <w:t xml:space="preserve">Issue 8.1 - </w:t>
            </w:r>
            <w:r w:rsidR="00193F87">
              <w:rPr>
                <w:sz w:val="24"/>
                <w:szCs w:val="24"/>
              </w:rPr>
              <w:t xml:space="preserve">Minor update to remove extant URLs from the document to mitigate potential configuration control issues arising </w:t>
            </w:r>
            <w:r w:rsidR="0044752E">
              <w:rPr>
                <w:sz w:val="24"/>
                <w:szCs w:val="24"/>
              </w:rPr>
              <w:t>because of</w:t>
            </w:r>
            <w:r w:rsidR="00193F87">
              <w:rPr>
                <w:sz w:val="24"/>
                <w:szCs w:val="24"/>
              </w:rPr>
              <w:t xml:space="preserve"> changes to third-party web domains.</w:t>
            </w:r>
          </w:p>
        </w:tc>
      </w:tr>
    </w:tbl>
    <w:p w14:paraId="79A3B6A3" w14:textId="77777777" w:rsidR="00EB7487" w:rsidRPr="00E04AF0" w:rsidRDefault="00EB7487" w:rsidP="00EB7487">
      <w:pPr>
        <w:pStyle w:val="ONRFloatingHeadingBold"/>
        <w:jc w:val="center"/>
      </w:pPr>
      <w:r>
        <w:t>TABLE OF CONTENTS</w:t>
      </w:r>
    </w:p>
    <w:p w14:paraId="79A3B6A4" w14:textId="6C067BE0" w:rsidR="0084786D" w:rsidRDefault="006648D3">
      <w:pPr>
        <w:pStyle w:val="TOC1"/>
        <w:rPr>
          <w:rFonts w:asciiTheme="minorHAnsi" w:eastAsiaTheme="minorEastAsia" w:hAnsiTheme="minorHAnsi" w:cstheme="minorBidi"/>
          <w:caps w:val="0"/>
          <w:lang w:eastAsia="en-GB"/>
        </w:rPr>
      </w:pPr>
      <w:r>
        <w:rPr>
          <w:rFonts w:cs="Times New Roman"/>
          <w:bCs/>
          <w:iCs/>
          <w:szCs w:val="24"/>
          <w:lang w:eastAsia="en-GB"/>
        </w:rPr>
        <w:fldChar w:fldCharType="begin"/>
      </w:r>
      <w:r>
        <w:rPr>
          <w:rFonts w:cs="Times New Roman"/>
          <w:bCs/>
          <w:iCs/>
          <w:szCs w:val="24"/>
          <w:lang w:eastAsia="en-GB"/>
        </w:rPr>
        <w:instrText xml:space="preserve"> TOC \o "1-2" \h \z \t "Numbered Heading,1,TS Heading Numbered 1,1,TS Heading Numbered 1.1,2,TS Heading Numbered 1.1.1,3" </w:instrText>
      </w:r>
      <w:r>
        <w:rPr>
          <w:rFonts w:cs="Times New Roman"/>
          <w:bCs/>
          <w:iCs/>
          <w:szCs w:val="24"/>
          <w:lang w:eastAsia="en-GB"/>
        </w:rPr>
        <w:fldChar w:fldCharType="separate"/>
      </w:r>
      <w:hyperlink w:anchor="_Toc43460802" w:history="1">
        <w:r w:rsidR="0084786D" w:rsidRPr="00411C16">
          <w:rPr>
            <w:rStyle w:val="Hyperlink"/>
          </w:rPr>
          <w:t>1.</w:t>
        </w:r>
        <w:r w:rsidR="0084786D">
          <w:rPr>
            <w:rFonts w:asciiTheme="minorHAnsi" w:eastAsiaTheme="minorEastAsia" w:hAnsiTheme="minorHAnsi" w:cstheme="minorBidi"/>
            <w:caps w:val="0"/>
            <w:lang w:eastAsia="en-GB"/>
          </w:rPr>
          <w:tab/>
        </w:r>
        <w:r w:rsidR="0084786D" w:rsidRPr="00411C16">
          <w:rPr>
            <w:rStyle w:val="Hyperlink"/>
          </w:rPr>
          <w:t>INTRODUCTION</w:t>
        </w:r>
        <w:r w:rsidR="0084786D">
          <w:rPr>
            <w:webHidden/>
          </w:rPr>
          <w:tab/>
        </w:r>
        <w:r w:rsidR="0084786D">
          <w:rPr>
            <w:webHidden/>
          </w:rPr>
          <w:fldChar w:fldCharType="begin"/>
        </w:r>
        <w:r w:rsidR="0084786D">
          <w:rPr>
            <w:webHidden/>
          </w:rPr>
          <w:instrText xml:space="preserve"> PAGEREF _Toc43460802 \h </w:instrText>
        </w:r>
        <w:r w:rsidR="0084786D">
          <w:rPr>
            <w:webHidden/>
          </w:rPr>
        </w:r>
        <w:r w:rsidR="0084786D">
          <w:rPr>
            <w:webHidden/>
          </w:rPr>
          <w:fldChar w:fldCharType="separate"/>
        </w:r>
        <w:r w:rsidR="006B36A0">
          <w:rPr>
            <w:webHidden/>
          </w:rPr>
          <w:t>2</w:t>
        </w:r>
        <w:r w:rsidR="0084786D">
          <w:rPr>
            <w:webHidden/>
          </w:rPr>
          <w:fldChar w:fldCharType="end"/>
        </w:r>
      </w:hyperlink>
    </w:p>
    <w:p w14:paraId="79A3B6A5" w14:textId="68B6F9F0" w:rsidR="0084786D" w:rsidRDefault="0045519D">
      <w:pPr>
        <w:pStyle w:val="TOC1"/>
        <w:rPr>
          <w:rFonts w:asciiTheme="minorHAnsi" w:eastAsiaTheme="minorEastAsia" w:hAnsiTheme="minorHAnsi" w:cstheme="minorBidi"/>
          <w:caps w:val="0"/>
          <w:lang w:eastAsia="en-GB"/>
        </w:rPr>
      </w:pPr>
      <w:hyperlink w:anchor="_Toc43460803" w:history="1">
        <w:r w:rsidR="0084786D" w:rsidRPr="00411C16">
          <w:rPr>
            <w:rStyle w:val="Hyperlink"/>
          </w:rPr>
          <w:t>2.</w:t>
        </w:r>
        <w:r w:rsidR="0084786D">
          <w:rPr>
            <w:rFonts w:asciiTheme="minorHAnsi" w:eastAsiaTheme="minorEastAsia" w:hAnsiTheme="minorHAnsi" w:cstheme="minorBidi"/>
            <w:caps w:val="0"/>
            <w:lang w:eastAsia="en-GB"/>
          </w:rPr>
          <w:tab/>
        </w:r>
        <w:r w:rsidR="0084786D" w:rsidRPr="00411C16">
          <w:rPr>
            <w:rStyle w:val="Hyperlink"/>
          </w:rPr>
          <w:t>Purpose and scope</w:t>
        </w:r>
        <w:r w:rsidR="0084786D">
          <w:rPr>
            <w:webHidden/>
          </w:rPr>
          <w:tab/>
        </w:r>
        <w:r w:rsidR="0084786D">
          <w:rPr>
            <w:webHidden/>
          </w:rPr>
          <w:fldChar w:fldCharType="begin"/>
        </w:r>
        <w:r w:rsidR="0084786D">
          <w:rPr>
            <w:webHidden/>
          </w:rPr>
          <w:instrText xml:space="preserve"> PAGEREF _Toc43460803 \h </w:instrText>
        </w:r>
        <w:r w:rsidR="0084786D">
          <w:rPr>
            <w:webHidden/>
          </w:rPr>
        </w:r>
        <w:r w:rsidR="0084786D">
          <w:rPr>
            <w:webHidden/>
          </w:rPr>
          <w:fldChar w:fldCharType="separate"/>
        </w:r>
        <w:r w:rsidR="006B36A0">
          <w:rPr>
            <w:webHidden/>
          </w:rPr>
          <w:t>2</w:t>
        </w:r>
        <w:r w:rsidR="0084786D">
          <w:rPr>
            <w:webHidden/>
          </w:rPr>
          <w:fldChar w:fldCharType="end"/>
        </w:r>
      </w:hyperlink>
    </w:p>
    <w:p w14:paraId="79A3B6A6" w14:textId="327A175B" w:rsidR="0084786D" w:rsidRDefault="0045519D">
      <w:pPr>
        <w:pStyle w:val="TOC1"/>
        <w:rPr>
          <w:rFonts w:asciiTheme="minorHAnsi" w:eastAsiaTheme="minorEastAsia" w:hAnsiTheme="minorHAnsi" w:cstheme="minorBidi"/>
          <w:caps w:val="0"/>
          <w:lang w:eastAsia="en-GB"/>
        </w:rPr>
      </w:pPr>
      <w:hyperlink w:anchor="_Toc43460804" w:history="1">
        <w:r w:rsidR="0084786D" w:rsidRPr="00411C16">
          <w:rPr>
            <w:rStyle w:val="Hyperlink"/>
          </w:rPr>
          <w:t>3.</w:t>
        </w:r>
        <w:r w:rsidR="0084786D">
          <w:rPr>
            <w:rFonts w:asciiTheme="minorHAnsi" w:eastAsiaTheme="minorEastAsia" w:hAnsiTheme="minorHAnsi" w:cstheme="minorBidi"/>
            <w:caps w:val="0"/>
            <w:lang w:eastAsia="en-GB"/>
          </w:rPr>
          <w:tab/>
        </w:r>
        <w:r w:rsidR="0084786D" w:rsidRPr="00411C16">
          <w:rPr>
            <w:rStyle w:val="Hyperlink"/>
          </w:rPr>
          <w:t>Relationship to licence and other relevant legislation</w:t>
        </w:r>
        <w:r w:rsidR="0084786D">
          <w:rPr>
            <w:webHidden/>
          </w:rPr>
          <w:tab/>
        </w:r>
        <w:r w:rsidR="0084786D">
          <w:rPr>
            <w:webHidden/>
          </w:rPr>
          <w:fldChar w:fldCharType="begin"/>
        </w:r>
        <w:r w:rsidR="0084786D">
          <w:rPr>
            <w:webHidden/>
          </w:rPr>
          <w:instrText xml:space="preserve"> PAGEREF _Toc43460804 \h </w:instrText>
        </w:r>
        <w:r w:rsidR="0084786D">
          <w:rPr>
            <w:webHidden/>
          </w:rPr>
        </w:r>
        <w:r w:rsidR="0084786D">
          <w:rPr>
            <w:webHidden/>
          </w:rPr>
          <w:fldChar w:fldCharType="separate"/>
        </w:r>
        <w:r w:rsidR="006B36A0">
          <w:rPr>
            <w:webHidden/>
          </w:rPr>
          <w:t>3</w:t>
        </w:r>
        <w:r w:rsidR="0084786D">
          <w:rPr>
            <w:webHidden/>
          </w:rPr>
          <w:fldChar w:fldCharType="end"/>
        </w:r>
      </w:hyperlink>
    </w:p>
    <w:p w14:paraId="79A3B6A7" w14:textId="0032953F" w:rsidR="0084786D" w:rsidRDefault="0045519D">
      <w:pPr>
        <w:pStyle w:val="TOC1"/>
        <w:rPr>
          <w:rFonts w:asciiTheme="minorHAnsi" w:eastAsiaTheme="minorEastAsia" w:hAnsiTheme="minorHAnsi" w:cstheme="minorBidi"/>
          <w:caps w:val="0"/>
          <w:lang w:eastAsia="en-GB"/>
        </w:rPr>
      </w:pPr>
      <w:hyperlink w:anchor="_Toc43460805" w:history="1">
        <w:r w:rsidR="0084786D" w:rsidRPr="00411C16">
          <w:rPr>
            <w:rStyle w:val="Hyperlink"/>
          </w:rPr>
          <w:t>4.</w:t>
        </w:r>
        <w:r w:rsidR="0084786D">
          <w:rPr>
            <w:rFonts w:asciiTheme="minorHAnsi" w:eastAsiaTheme="minorEastAsia" w:hAnsiTheme="minorHAnsi" w:cstheme="minorBidi"/>
            <w:caps w:val="0"/>
            <w:lang w:eastAsia="en-GB"/>
          </w:rPr>
          <w:tab/>
        </w:r>
        <w:r w:rsidR="0084786D" w:rsidRPr="00411C16">
          <w:rPr>
            <w:rStyle w:val="Hyperlink"/>
          </w:rPr>
          <w:t>Safety Assessment Principles, WENRA Safety Reference Levels and IAEA Safety Standards addressed</w:t>
        </w:r>
        <w:r w:rsidR="0084786D">
          <w:rPr>
            <w:webHidden/>
          </w:rPr>
          <w:tab/>
        </w:r>
        <w:r w:rsidR="0084786D">
          <w:rPr>
            <w:webHidden/>
          </w:rPr>
          <w:fldChar w:fldCharType="begin"/>
        </w:r>
        <w:r w:rsidR="0084786D">
          <w:rPr>
            <w:webHidden/>
          </w:rPr>
          <w:instrText xml:space="preserve"> PAGEREF _Toc43460805 \h </w:instrText>
        </w:r>
        <w:r w:rsidR="0084786D">
          <w:rPr>
            <w:webHidden/>
          </w:rPr>
        </w:r>
        <w:r w:rsidR="0084786D">
          <w:rPr>
            <w:webHidden/>
          </w:rPr>
          <w:fldChar w:fldCharType="separate"/>
        </w:r>
        <w:r w:rsidR="006B36A0">
          <w:rPr>
            <w:webHidden/>
          </w:rPr>
          <w:t>4</w:t>
        </w:r>
        <w:r w:rsidR="0084786D">
          <w:rPr>
            <w:webHidden/>
          </w:rPr>
          <w:fldChar w:fldCharType="end"/>
        </w:r>
      </w:hyperlink>
    </w:p>
    <w:p w14:paraId="79A3B6A8" w14:textId="498B4F38" w:rsidR="0084786D" w:rsidRDefault="0045519D">
      <w:pPr>
        <w:pStyle w:val="TOC2"/>
        <w:rPr>
          <w:rFonts w:asciiTheme="minorHAnsi" w:eastAsiaTheme="minorEastAsia" w:hAnsiTheme="minorHAnsi" w:cstheme="minorBidi"/>
          <w:szCs w:val="22"/>
        </w:rPr>
      </w:pPr>
      <w:hyperlink w:anchor="_Toc43460806" w:history="1">
        <w:r w:rsidR="0084786D" w:rsidRPr="00411C16">
          <w:rPr>
            <w:rStyle w:val="Hyperlink"/>
          </w:rPr>
          <w:t>Safety Assessment Principles</w:t>
        </w:r>
        <w:r w:rsidR="0084786D">
          <w:rPr>
            <w:webHidden/>
          </w:rPr>
          <w:tab/>
        </w:r>
        <w:r w:rsidR="0084786D">
          <w:rPr>
            <w:webHidden/>
          </w:rPr>
          <w:fldChar w:fldCharType="begin"/>
        </w:r>
        <w:r w:rsidR="0084786D">
          <w:rPr>
            <w:webHidden/>
          </w:rPr>
          <w:instrText xml:space="preserve"> PAGEREF _Toc43460806 \h </w:instrText>
        </w:r>
        <w:r w:rsidR="0084786D">
          <w:rPr>
            <w:webHidden/>
          </w:rPr>
        </w:r>
        <w:r w:rsidR="0084786D">
          <w:rPr>
            <w:webHidden/>
          </w:rPr>
          <w:fldChar w:fldCharType="separate"/>
        </w:r>
        <w:r w:rsidR="006B36A0">
          <w:rPr>
            <w:webHidden/>
          </w:rPr>
          <w:t>4</w:t>
        </w:r>
        <w:r w:rsidR="0084786D">
          <w:rPr>
            <w:webHidden/>
          </w:rPr>
          <w:fldChar w:fldCharType="end"/>
        </w:r>
      </w:hyperlink>
    </w:p>
    <w:p w14:paraId="79A3B6A9" w14:textId="7331F06A" w:rsidR="0084786D" w:rsidRDefault="0045519D">
      <w:pPr>
        <w:pStyle w:val="TOC2"/>
        <w:rPr>
          <w:rFonts w:asciiTheme="minorHAnsi" w:eastAsiaTheme="minorEastAsia" w:hAnsiTheme="minorHAnsi" w:cstheme="minorBidi"/>
          <w:szCs w:val="22"/>
        </w:rPr>
      </w:pPr>
      <w:hyperlink w:anchor="_Toc43460807" w:history="1">
        <w:r w:rsidR="0084786D" w:rsidRPr="00411C16">
          <w:rPr>
            <w:rStyle w:val="Hyperlink"/>
          </w:rPr>
          <w:t>WENRA Safety Reference Levels</w:t>
        </w:r>
        <w:r w:rsidR="0084786D">
          <w:rPr>
            <w:webHidden/>
          </w:rPr>
          <w:tab/>
        </w:r>
        <w:r w:rsidR="0084786D">
          <w:rPr>
            <w:webHidden/>
          </w:rPr>
          <w:fldChar w:fldCharType="begin"/>
        </w:r>
        <w:r w:rsidR="0084786D">
          <w:rPr>
            <w:webHidden/>
          </w:rPr>
          <w:instrText xml:space="preserve"> PAGEREF _Toc43460807 \h </w:instrText>
        </w:r>
        <w:r w:rsidR="0084786D">
          <w:rPr>
            <w:webHidden/>
          </w:rPr>
        </w:r>
        <w:r w:rsidR="0084786D">
          <w:rPr>
            <w:webHidden/>
          </w:rPr>
          <w:fldChar w:fldCharType="separate"/>
        </w:r>
        <w:r w:rsidR="006B36A0">
          <w:rPr>
            <w:webHidden/>
          </w:rPr>
          <w:t>4</w:t>
        </w:r>
        <w:r w:rsidR="0084786D">
          <w:rPr>
            <w:webHidden/>
          </w:rPr>
          <w:fldChar w:fldCharType="end"/>
        </w:r>
      </w:hyperlink>
    </w:p>
    <w:p w14:paraId="79A3B6AA" w14:textId="6E1BE9EE" w:rsidR="0084786D" w:rsidRDefault="0045519D">
      <w:pPr>
        <w:pStyle w:val="TOC2"/>
        <w:rPr>
          <w:rFonts w:asciiTheme="minorHAnsi" w:eastAsiaTheme="minorEastAsia" w:hAnsiTheme="minorHAnsi" w:cstheme="minorBidi"/>
          <w:szCs w:val="22"/>
        </w:rPr>
      </w:pPr>
      <w:hyperlink w:anchor="_Toc43460808" w:history="1">
        <w:r w:rsidR="0084786D" w:rsidRPr="00411C16">
          <w:rPr>
            <w:rStyle w:val="Hyperlink"/>
          </w:rPr>
          <w:t>IAEA Safety Standards</w:t>
        </w:r>
        <w:r w:rsidR="0084786D">
          <w:rPr>
            <w:webHidden/>
          </w:rPr>
          <w:tab/>
        </w:r>
        <w:r w:rsidR="0084786D">
          <w:rPr>
            <w:webHidden/>
          </w:rPr>
          <w:fldChar w:fldCharType="begin"/>
        </w:r>
        <w:r w:rsidR="0084786D">
          <w:rPr>
            <w:webHidden/>
          </w:rPr>
          <w:instrText xml:space="preserve"> PAGEREF _Toc43460808 \h </w:instrText>
        </w:r>
        <w:r w:rsidR="0084786D">
          <w:rPr>
            <w:webHidden/>
          </w:rPr>
        </w:r>
        <w:r w:rsidR="0084786D">
          <w:rPr>
            <w:webHidden/>
          </w:rPr>
          <w:fldChar w:fldCharType="separate"/>
        </w:r>
        <w:r w:rsidR="006B36A0">
          <w:rPr>
            <w:webHidden/>
          </w:rPr>
          <w:t>4</w:t>
        </w:r>
        <w:r w:rsidR="0084786D">
          <w:rPr>
            <w:webHidden/>
          </w:rPr>
          <w:fldChar w:fldCharType="end"/>
        </w:r>
      </w:hyperlink>
    </w:p>
    <w:p w14:paraId="79A3B6AB" w14:textId="65BD7204" w:rsidR="0084786D" w:rsidRDefault="0045519D">
      <w:pPr>
        <w:pStyle w:val="TOC1"/>
        <w:rPr>
          <w:rFonts w:asciiTheme="minorHAnsi" w:eastAsiaTheme="minorEastAsia" w:hAnsiTheme="minorHAnsi" w:cstheme="minorBidi"/>
          <w:caps w:val="0"/>
          <w:lang w:eastAsia="en-GB"/>
        </w:rPr>
      </w:pPr>
      <w:hyperlink w:anchor="_Toc43460809" w:history="1">
        <w:r w:rsidR="0084786D" w:rsidRPr="00411C16">
          <w:rPr>
            <w:rStyle w:val="Hyperlink"/>
          </w:rPr>
          <w:t>5.</w:t>
        </w:r>
        <w:r w:rsidR="0084786D">
          <w:rPr>
            <w:rFonts w:asciiTheme="minorHAnsi" w:eastAsiaTheme="minorEastAsia" w:hAnsiTheme="minorHAnsi" w:cstheme="minorBidi"/>
            <w:caps w:val="0"/>
            <w:lang w:eastAsia="en-GB"/>
          </w:rPr>
          <w:tab/>
        </w:r>
        <w:r w:rsidR="0084786D" w:rsidRPr="00411C16">
          <w:rPr>
            <w:rStyle w:val="Hyperlink"/>
          </w:rPr>
          <w:t>Advice to Inspectors</w:t>
        </w:r>
        <w:r w:rsidR="0084786D">
          <w:rPr>
            <w:webHidden/>
          </w:rPr>
          <w:tab/>
        </w:r>
        <w:r w:rsidR="0084786D">
          <w:rPr>
            <w:webHidden/>
          </w:rPr>
          <w:fldChar w:fldCharType="begin"/>
        </w:r>
        <w:r w:rsidR="0084786D">
          <w:rPr>
            <w:webHidden/>
          </w:rPr>
          <w:instrText xml:space="preserve"> PAGEREF _Toc43460809 \h </w:instrText>
        </w:r>
        <w:r w:rsidR="0084786D">
          <w:rPr>
            <w:webHidden/>
          </w:rPr>
        </w:r>
        <w:r w:rsidR="0084786D">
          <w:rPr>
            <w:webHidden/>
          </w:rPr>
          <w:fldChar w:fldCharType="separate"/>
        </w:r>
        <w:r w:rsidR="006B36A0">
          <w:rPr>
            <w:webHidden/>
          </w:rPr>
          <w:t>7</w:t>
        </w:r>
        <w:r w:rsidR="0084786D">
          <w:rPr>
            <w:webHidden/>
          </w:rPr>
          <w:fldChar w:fldCharType="end"/>
        </w:r>
      </w:hyperlink>
    </w:p>
    <w:p w14:paraId="79A3B6AC" w14:textId="66FD88CC" w:rsidR="0084786D" w:rsidRDefault="0045519D">
      <w:pPr>
        <w:pStyle w:val="TOC2"/>
        <w:rPr>
          <w:rFonts w:asciiTheme="minorHAnsi" w:eastAsiaTheme="minorEastAsia" w:hAnsiTheme="minorHAnsi" w:cstheme="minorBidi"/>
          <w:szCs w:val="22"/>
        </w:rPr>
      </w:pPr>
      <w:hyperlink w:anchor="_Toc43460810" w:history="1">
        <w:r w:rsidR="0084786D" w:rsidRPr="00411C16">
          <w:rPr>
            <w:rStyle w:val="Hyperlink"/>
          </w:rPr>
          <w:t>Purpose of a PSR</w:t>
        </w:r>
        <w:r w:rsidR="0084786D">
          <w:rPr>
            <w:webHidden/>
          </w:rPr>
          <w:tab/>
        </w:r>
        <w:r w:rsidR="0084786D">
          <w:rPr>
            <w:webHidden/>
          </w:rPr>
          <w:fldChar w:fldCharType="begin"/>
        </w:r>
        <w:r w:rsidR="0084786D">
          <w:rPr>
            <w:webHidden/>
          </w:rPr>
          <w:instrText xml:space="preserve"> PAGEREF _Toc43460810 \h </w:instrText>
        </w:r>
        <w:r w:rsidR="0084786D">
          <w:rPr>
            <w:webHidden/>
          </w:rPr>
        </w:r>
        <w:r w:rsidR="0084786D">
          <w:rPr>
            <w:webHidden/>
          </w:rPr>
          <w:fldChar w:fldCharType="separate"/>
        </w:r>
        <w:r w:rsidR="006B36A0">
          <w:rPr>
            <w:webHidden/>
          </w:rPr>
          <w:t>7</w:t>
        </w:r>
        <w:r w:rsidR="0084786D">
          <w:rPr>
            <w:webHidden/>
          </w:rPr>
          <w:fldChar w:fldCharType="end"/>
        </w:r>
      </w:hyperlink>
    </w:p>
    <w:p w14:paraId="79A3B6AD" w14:textId="2B77C9CB" w:rsidR="0084786D" w:rsidRDefault="0045519D">
      <w:pPr>
        <w:pStyle w:val="TOC2"/>
        <w:rPr>
          <w:rFonts w:asciiTheme="minorHAnsi" w:eastAsiaTheme="minorEastAsia" w:hAnsiTheme="minorHAnsi" w:cstheme="minorBidi"/>
          <w:szCs w:val="22"/>
        </w:rPr>
      </w:pPr>
      <w:hyperlink w:anchor="_Toc43460811" w:history="1">
        <w:r w:rsidR="0084786D" w:rsidRPr="00411C16">
          <w:rPr>
            <w:rStyle w:val="Hyperlink"/>
          </w:rPr>
          <w:t>Scope of a PSR</w:t>
        </w:r>
        <w:r w:rsidR="0084786D">
          <w:rPr>
            <w:webHidden/>
          </w:rPr>
          <w:tab/>
        </w:r>
        <w:r w:rsidR="0084786D">
          <w:rPr>
            <w:webHidden/>
          </w:rPr>
          <w:fldChar w:fldCharType="begin"/>
        </w:r>
        <w:r w:rsidR="0084786D">
          <w:rPr>
            <w:webHidden/>
          </w:rPr>
          <w:instrText xml:space="preserve"> PAGEREF _Toc43460811 \h </w:instrText>
        </w:r>
        <w:r w:rsidR="0084786D">
          <w:rPr>
            <w:webHidden/>
          </w:rPr>
        </w:r>
        <w:r w:rsidR="0084786D">
          <w:rPr>
            <w:webHidden/>
          </w:rPr>
          <w:fldChar w:fldCharType="separate"/>
        </w:r>
        <w:r w:rsidR="006B36A0">
          <w:rPr>
            <w:webHidden/>
          </w:rPr>
          <w:t>9</w:t>
        </w:r>
        <w:r w:rsidR="0084786D">
          <w:rPr>
            <w:webHidden/>
          </w:rPr>
          <w:fldChar w:fldCharType="end"/>
        </w:r>
      </w:hyperlink>
    </w:p>
    <w:p w14:paraId="79A3B6AE" w14:textId="003FBA24" w:rsidR="0084786D" w:rsidRDefault="0045519D">
      <w:pPr>
        <w:pStyle w:val="TOC2"/>
        <w:rPr>
          <w:rFonts w:asciiTheme="minorHAnsi" w:eastAsiaTheme="minorEastAsia" w:hAnsiTheme="minorHAnsi" w:cstheme="minorBidi"/>
          <w:szCs w:val="22"/>
        </w:rPr>
      </w:pPr>
      <w:hyperlink w:anchor="_Toc43460812" w:history="1">
        <w:r w:rsidR="0084786D" w:rsidRPr="00411C16">
          <w:rPr>
            <w:rStyle w:val="Hyperlink"/>
          </w:rPr>
          <w:t>Periodicity of PSRs</w:t>
        </w:r>
        <w:r w:rsidR="0084786D">
          <w:rPr>
            <w:webHidden/>
          </w:rPr>
          <w:tab/>
        </w:r>
        <w:r w:rsidR="0084786D">
          <w:rPr>
            <w:webHidden/>
          </w:rPr>
          <w:fldChar w:fldCharType="begin"/>
        </w:r>
        <w:r w:rsidR="0084786D">
          <w:rPr>
            <w:webHidden/>
          </w:rPr>
          <w:instrText xml:space="preserve"> PAGEREF _Toc43460812 \h </w:instrText>
        </w:r>
        <w:r w:rsidR="0084786D">
          <w:rPr>
            <w:webHidden/>
          </w:rPr>
        </w:r>
        <w:r w:rsidR="0084786D">
          <w:rPr>
            <w:webHidden/>
          </w:rPr>
          <w:fldChar w:fldCharType="separate"/>
        </w:r>
        <w:r w:rsidR="006B36A0">
          <w:rPr>
            <w:webHidden/>
          </w:rPr>
          <w:t>13</w:t>
        </w:r>
        <w:r w:rsidR="0084786D">
          <w:rPr>
            <w:webHidden/>
          </w:rPr>
          <w:fldChar w:fldCharType="end"/>
        </w:r>
      </w:hyperlink>
    </w:p>
    <w:p w14:paraId="79A3B6AF" w14:textId="3970F334" w:rsidR="0084786D" w:rsidRDefault="0045519D">
      <w:pPr>
        <w:pStyle w:val="TOC2"/>
        <w:rPr>
          <w:rFonts w:asciiTheme="minorHAnsi" w:eastAsiaTheme="minorEastAsia" w:hAnsiTheme="minorHAnsi" w:cstheme="minorBidi"/>
          <w:szCs w:val="22"/>
        </w:rPr>
      </w:pPr>
      <w:hyperlink w:anchor="_Toc43460813" w:history="1">
        <w:r w:rsidR="0084786D" w:rsidRPr="00411C16">
          <w:rPr>
            <w:rStyle w:val="Hyperlink"/>
          </w:rPr>
          <w:t>Outputs from a PSR</w:t>
        </w:r>
        <w:r w:rsidR="0084786D">
          <w:rPr>
            <w:webHidden/>
          </w:rPr>
          <w:tab/>
        </w:r>
        <w:r w:rsidR="0084786D">
          <w:rPr>
            <w:webHidden/>
          </w:rPr>
          <w:fldChar w:fldCharType="begin"/>
        </w:r>
        <w:r w:rsidR="0084786D">
          <w:rPr>
            <w:webHidden/>
          </w:rPr>
          <w:instrText xml:space="preserve"> PAGEREF _Toc43460813 \h </w:instrText>
        </w:r>
        <w:r w:rsidR="0084786D">
          <w:rPr>
            <w:webHidden/>
          </w:rPr>
        </w:r>
        <w:r w:rsidR="0084786D">
          <w:rPr>
            <w:webHidden/>
          </w:rPr>
          <w:fldChar w:fldCharType="separate"/>
        </w:r>
        <w:r w:rsidR="006B36A0">
          <w:rPr>
            <w:webHidden/>
          </w:rPr>
          <w:t>17</w:t>
        </w:r>
        <w:r w:rsidR="0084786D">
          <w:rPr>
            <w:webHidden/>
          </w:rPr>
          <w:fldChar w:fldCharType="end"/>
        </w:r>
      </w:hyperlink>
    </w:p>
    <w:p w14:paraId="79A3B6B0" w14:textId="2EACDDEB" w:rsidR="0084786D" w:rsidRDefault="0045519D">
      <w:pPr>
        <w:pStyle w:val="TOC2"/>
        <w:rPr>
          <w:rFonts w:asciiTheme="minorHAnsi" w:eastAsiaTheme="minorEastAsia" w:hAnsiTheme="minorHAnsi" w:cstheme="minorBidi"/>
          <w:szCs w:val="22"/>
        </w:rPr>
      </w:pPr>
      <w:hyperlink w:anchor="_Toc43460814" w:history="1">
        <w:r w:rsidR="0084786D" w:rsidRPr="00411C16">
          <w:rPr>
            <w:rStyle w:val="Hyperlink"/>
          </w:rPr>
          <w:t>Licensee’s PSR Production Programme</w:t>
        </w:r>
        <w:r w:rsidR="0084786D">
          <w:rPr>
            <w:webHidden/>
          </w:rPr>
          <w:tab/>
        </w:r>
        <w:r w:rsidR="0084786D">
          <w:rPr>
            <w:webHidden/>
          </w:rPr>
          <w:fldChar w:fldCharType="begin"/>
        </w:r>
        <w:r w:rsidR="0084786D">
          <w:rPr>
            <w:webHidden/>
          </w:rPr>
          <w:instrText xml:space="preserve"> PAGEREF _Toc43460814 \h </w:instrText>
        </w:r>
        <w:r w:rsidR="0084786D">
          <w:rPr>
            <w:webHidden/>
          </w:rPr>
        </w:r>
        <w:r w:rsidR="0084786D">
          <w:rPr>
            <w:webHidden/>
          </w:rPr>
          <w:fldChar w:fldCharType="separate"/>
        </w:r>
        <w:r w:rsidR="006B36A0">
          <w:rPr>
            <w:webHidden/>
          </w:rPr>
          <w:t>19</w:t>
        </w:r>
        <w:r w:rsidR="0084786D">
          <w:rPr>
            <w:webHidden/>
          </w:rPr>
          <w:fldChar w:fldCharType="end"/>
        </w:r>
      </w:hyperlink>
    </w:p>
    <w:p w14:paraId="79A3B6B1" w14:textId="1A36FF51" w:rsidR="0084786D" w:rsidRDefault="0045519D">
      <w:pPr>
        <w:pStyle w:val="TOC2"/>
        <w:rPr>
          <w:rFonts w:asciiTheme="minorHAnsi" w:eastAsiaTheme="minorEastAsia" w:hAnsiTheme="minorHAnsi" w:cstheme="minorBidi"/>
          <w:szCs w:val="22"/>
        </w:rPr>
      </w:pPr>
      <w:hyperlink w:anchor="_Toc43460815" w:history="1">
        <w:r w:rsidR="0084786D" w:rsidRPr="00411C16">
          <w:rPr>
            <w:rStyle w:val="Hyperlink"/>
          </w:rPr>
          <w:t>ONR's Assessment Programme</w:t>
        </w:r>
        <w:r w:rsidR="0084786D">
          <w:rPr>
            <w:webHidden/>
          </w:rPr>
          <w:tab/>
        </w:r>
        <w:r w:rsidR="0084786D">
          <w:rPr>
            <w:webHidden/>
          </w:rPr>
          <w:fldChar w:fldCharType="begin"/>
        </w:r>
        <w:r w:rsidR="0084786D">
          <w:rPr>
            <w:webHidden/>
          </w:rPr>
          <w:instrText xml:space="preserve"> PAGEREF _Toc43460815 \h </w:instrText>
        </w:r>
        <w:r w:rsidR="0084786D">
          <w:rPr>
            <w:webHidden/>
          </w:rPr>
        </w:r>
        <w:r w:rsidR="0084786D">
          <w:rPr>
            <w:webHidden/>
          </w:rPr>
          <w:fldChar w:fldCharType="separate"/>
        </w:r>
        <w:r w:rsidR="006B36A0">
          <w:rPr>
            <w:webHidden/>
          </w:rPr>
          <w:t>20</w:t>
        </w:r>
        <w:r w:rsidR="0084786D">
          <w:rPr>
            <w:webHidden/>
          </w:rPr>
          <w:fldChar w:fldCharType="end"/>
        </w:r>
      </w:hyperlink>
    </w:p>
    <w:p w14:paraId="79A3B6B2" w14:textId="67BC016F" w:rsidR="0084786D" w:rsidRDefault="0045519D">
      <w:pPr>
        <w:pStyle w:val="TOC2"/>
        <w:rPr>
          <w:rFonts w:asciiTheme="minorHAnsi" w:eastAsiaTheme="minorEastAsia" w:hAnsiTheme="minorHAnsi" w:cstheme="minorBidi"/>
          <w:szCs w:val="22"/>
        </w:rPr>
      </w:pPr>
      <w:hyperlink w:anchor="_Toc43460816" w:history="1">
        <w:r w:rsidR="0084786D" w:rsidRPr="00411C16">
          <w:rPr>
            <w:rStyle w:val="Hyperlink"/>
          </w:rPr>
          <w:t>Adequate Submission:</w:t>
        </w:r>
        <w:r w:rsidR="0084786D">
          <w:rPr>
            <w:webHidden/>
          </w:rPr>
          <w:tab/>
        </w:r>
        <w:r w:rsidR="0084786D">
          <w:rPr>
            <w:webHidden/>
          </w:rPr>
          <w:fldChar w:fldCharType="begin"/>
        </w:r>
        <w:r w:rsidR="0084786D">
          <w:rPr>
            <w:webHidden/>
          </w:rPr>
          <w:instrText xml:space="preserve"> PAGEREF _Toc43460816 \h </w:instrText>
        </w:r>
        <w:r w:rsidR="0084786D">
          <w:rPr>
            <w:webHidden/>
          </w:rPr>
        </w:r>
        <w:r w:rsidR="0084786D">
          <w:rPr>
            <w:webHidden/>
          </w:rPr>
          <w:fldChar w:fldCharType="separate"/>
        </w:r>
        <w:r w:rsidR="006B36A0">
          <w:rPr>
            <w:webHidden/>
          </w:rPr>
          <w:t>20</w:t>
        </w:r>
        <w:r w:rsidR="0084786D">
          <w:rPr>
            <w:webHidden/>
          </w:rPr>
          <w:fldChar w:fldCharType="end"/>
        </w:r>
      </w:hyperlink>
    </w:p>
    <w:p w14:paraId="79A3B6B3" w14:textId="1450F3BF" w:rsidR="0084786D" w:rsidRDefault="0045519D">
      <w:pPr>
        <w:pStyle w:val="TOC2"/>
        <w:rPr>
          <w:rFonts w:asciiTheme="minorHAnsi" w:eastAsiaTheme="minorEastAsia" w:hAnsiTheme="minorHAnsi" w:cstheme="minorBidi"/>
          <w:szCs w:val="22"/>
        </w:rPr>
      </w:pPr>
      <w:hyperlink w:anchor="_Toc43460817" w:history="1">
        <w:r w:rsidR="0084786D" w:rsidRPr="00411C16">
          <w:rPr>
            <w:rStyle w:val="Hyperlink"/>
          </w:rPr>
          <w:t>Inadequate Submission:</w:t>
        </w:r>
        <w:r w:rsidR="0084786D">
          <w:rPr>
            <w:webHidden/>
          </w:rPr>
          <w:tab/>
        </w:r>
        <w:r w:rsidR="0084786D">
          <w:rPr>
            <w:webHidden/>
          </w:rPr>
          <w:fldChar w:fldCharType="begin"/>
        </w:r>
        <w:r w:rsidR="0084786D">
          <w:rPr>
            <w:webHidden/>
          </w:rPr>
          <w:instrText xml:space="preserve"> PAGEREF _Toc43460817 \h </w:instrText>
        </w:r>
        <w:r w:rsidR="0084786D">
          <w:rPr>
            <w:webHidden/>
          </w:rPr>
        </w:r>
        <w:r w:rsidR="0084786D">
          <w:rPr>
            <w:webHidden/>
          </w:rPr>
          <w:fldChar w:fldCharType="separate"/>
        </w:r>
        <w:r w:rsidR="006B36A0">
          <w:rPr>
            <w:webHidden/>
          </w:rPr>
          <w:t>21</w:t>
        </w:r>
        <w:r w:rsidR="0084786D">
          <w:rPr>
            <w:webHidden/>
          </w:rPr>
          <w:fldChar w:fldCharType="end"/>
        </w:r>
      </w:hyperlink>
    </w:p>
    <w:p w14:paraId="79A3B6B4" w14:textId="7685D5CE" w:rsidR="0084786D" w:rsidRDefault="0045519D">
      <w:pPr>
        <w:pStyle w:val="TOC1"/>
        <w:rPr>
          <w:rFonts w:asciiTheme="minorHAnsi" w:eastAsiaTheme="minorEastAsia" w:hAnsiTheme="minorHAnsi" w:cstheme="minorBidi"/>
          <w:caps w:val="0"/>
          <w:lang w:eastAsia="en-GB"/>
        </w:rPr>
      </w:pPr>
      <w:hyperlink w:anchor="_Toc43460818" w:history="1">
        <w:r w:rsidR="0084786D" w:rsidRPr="00411C16">
          <w:rPr>
            <w:rStyle w:val="Hyperlink"/>
          </w:rPr>
          <w:t>6.</w:t>
        </w:r>
        <w:r w:rsidR="0084786D">
          <w:rPr>
            <w:rFonts w:asciiTheme="minorHAnsi" w:eastAsiaTheme="minorEastAsia" w:hAnsiTheme="minorHAnsi" w:cstheme="minorBidi"/>
            <w:caps w:val="0"/>
            <w:lang w:eastAsia="en-GB"/>
          </w:rPr>
          <w:tab/>
        </w:r>
        <w:r w:rsidR="0084786D" w:rsidRPr="00411C16">
          <w:rPr>
            <w:rStyle w:val="Hyperlink"/>
          </w:rPr>
          <w:t>References</w:t>
        </w:r>
        <w:r w:rsidR="0084786D">
          <w:rPr>
            <w:webHidden/>
          </w:rPr>
          <w:tab/>
        </w:r>
        <w:r w:rsidR="0084786D">
          <w:rPr>
            <w:webHidden/>
          </w:rPr>
          <w:fldChar w:fldCharType="begin"/>
        </w:r>
        <w:r w:rsidR="0084786D">
          <w:rPr>
            <w:webHidden/>
          </w:rPr>
          <w:instrText xml:space="preserve"> PAGEREF _Toc43460818 \h </w:instrText>
        </w:r>
        <w:r w:rsidR="0084786D">
          <w:rPr>
            <w:webHidden/>
          </w:rPr>
        </w:r>
        <w:r w:rsidR="0084786D">
          <w:rPr>
            <w:webHidden/>
          </w:rPr>
          <w:fldChar w:fldCharType="separate"/>
        </w:r>
        <w:r w:rsidR="006B36A0">
          <w:rPr>
            <w:webHidden/>
          </w:rPr>
          <w:t>22</w:t>
        </w:r>
        <w:r w:rsidR="0084786D">
          <w:rPr>
            <w:webHidden/>
          </w:rPr>
          <w:fldChar w:fldCharType="end"/>
        </w:r>
      </w:hyperlink>
    </w:p>
    <w:p w14:paraId="79A3B6B5" w14:textId="7E280ED9" w:rsidR="0084786D" w:rsidRDefault="0045519D">
      <w:pPr>
        <w:pStyle w:val="TOC1"/>
        <w:rPr>
          <w:rFonts w:asciiTheme="minorHAnsi" w:eastAsiaTheme="minorEastAsia" w:hAnsiTheme="minorHAnsi" w:cstheme="minorBidi"/>
          <w:caps w:val="0"/>
          <w:lang w:eastAsia="en-GB"/>
        </w:rPr>
      </w:pPr>
      <w:hyperlink w:anchor="_Toc43460819" w:history="1">
        <w:r w:rsidR="0084786D" w:rsidRPr="00411C16">
          <w:rPr>
            <w:rStyle w:val="Hyperlink"/>
          </w:rPr>
          <w:t>7.</w:t>
        </w:r>
        <w:r w:rsidR="0084786D">
          <w:rPr>
            <w:rFonts w:asciiTheme="minorHAnsi" w:eastAsiaTheme="minorEastAsia" w:hAnsiTheme="minorHAnsi" w:cstheme="minorBidi"/>
            <w:caps w:val="0"/>
            <w:lang w:eastAsia="en-GB"/>
          </w:rPr>
          <w:tab/>
        </w:r>
        <w:r w:rsidR="0084786D" w:rsidRPr="00411C16">
          <w:rPr>
            <w:rStyle w:val="Hyperlink"/>
          </w:rPr>
          <w:t>Glossary and Abbreviations</w:t>
        </w:r>
        <w:r w:rsidR="0084786D">
          <w:rPr>
            <w:webHidden/>
          </w:rPr>
          <w:tab/>
        </w:r>
        <w:r w:rsidR="0084786D">
          <w:rPr>
            <w:webHidden/>
          </w:rPr>
          <w:fldChar w:fldCharType="begin"/>
        </w:r>
        <w:r w:rsidR="0084786D">
          <w:rPr>
            <w:webHidden/>
          </w:rPr>
          <w:instrText xml:space="preserve"> PAGEREF _Toc43460819 \h </w:instrText>
        </w:r>
        <w:r w:rsidR="0084786D">
          <w:rPr>
            <w:webHidden/>
          </w:rPr>
        </w:r>
        <w:r w:rsidR="0084786D">
          <w:rPr>
            <w:webHidden/>
          </w:rPr>
          <w:fldChar w:fldCharType="separate"/>
        </w:r>
        <w:r w:rsidR="006B36A0">
          <w:rPr>
            <w:webHidden/>
          </w:rPr>
          <w:t>24</w:t>
        </w:r>
        <w:r w:rsidR="0084786D">
          <w:rPr>
            <w:webHidden/>
          </w:rPr>
          <w:fldChar w:fldCharType="end"/>
        </w:r>
      </w:hyperlink>
    </w:p>
    <w:p w14:paraId="79A3B6B6" w14:textId="39EB03BD" w:rsidR="0084786D" w:rsidRDefault="0045519D">
      <w:pPr>
        <w:pStyle w:val="TOC1"/>
        <w:tabs>
          <w:tab w:val="left" w:pos="7726"/>
        </w:tabs>
        <w:rPr>
          <w:rFonts w:asciiTheme="minorHAnsi" w:eastAsiaTheme="minorEastAsia" w:hAnsiTheme="minorHAnsi" w:cstheme="minorBidi"/>
          <w:caps w:val="0"/>
          <w:lang w:eastAsia="en-GB"/>
        </w:rPr>
      </w:pPr>
      <w:hyperlink w:anchor="_Toc43460820" w:history="1">
        <w:r w:rsidR="0084786D" w:rsidRPr="00411C16">
          <w:rPr>
            <w:rStyle w:val="Hyperlink"/>
          </w:rPr>
          <w:t xml:space="preserve">Annex 1: Expectations for the Coverage of Leadership and </w:t>
        </w:r>
        <w:r w:rsidR="0084786D">
          <w:rPr>
            <w:rFonts w:asciiTheme="minorHAnsi" w:eastAsiaTheme="minorEastAsia" w:hAnsiTheme="minorHAnsi" w:cstheme="minorBidi"/>
            <w:caps w:val="0"/>
            <w:lang w:eastAsia="en-GB"/>
          </w:rPr>
          <w:tab/>
        </w:r>
        <w:r w:rsidR="0084786D" w:rsidRPr="00411C16">
          <w:rPr>
            <w:rStyle w:val="Hyperlink"/>
          </w:rPr>
          <w:t xml:space="preserve">  Management for Safety Aspects in PSR</w:t>
        </w:r>
        <w:r w:rsidR="00D176A7">
          <w:rPr>
            <w:rStyle w:val="Hyperlink"/>
          </w:rPr>
          <w:t>………………………….</w:t>
        </w:r>
        <w:r w:rsidR="0084786D">
          <w:rPr>
            <w:webHidden/>
          </w:rPr>
          <w:tab/>
        </w:r>
        <w:r w:rsidR="0084786D">
          <w:rPr>
            <w:webHidden/>
          </w:rPr>
          <w:fldChar w:fldCharType="begin"/>
        </w:r>
        <w:r w:rsidR="0084786D">
          <w:rPr>
            <w:webHidden/>
          </w:rPr>
          <w:instrText xml:space="preserve"> PAGEREF _Toc43460820 \h </w:instrText>
        </w:r>
        <w:r w:rsidR="0084786D">
          <w:rPr>
            <w:webHidden/>
          </w:rPr>
        </w:r>
        <w:r w:rsidR="0084786D">
          <w:rPr>
            <w:webHidden/>
          </w:rPr>
          <w:fldChar w:fldCharType="separate"/>
        </w:r>
        <w:r w:rsidR="006B36A0">
          <w:rPr>
            <w:webHidden/>
          </w:rPr>
          <w:t>25</w:t>
        </w:r>
        <w:r w:rsidR="0084786D">
          <w:rPr>
            <w:webHidden/>
          </w:rPr>
          <w:fldChar w:fldCharType="end"/>
        </w:r>
      </w:hyperlink>
    </w:p>
    <w:p w14:paraId="79A3B6B7" w14:textId="3E969F06" w:rsidR="0084786D" w:rsidRDefault="0045519D">
      <w:pPr>
        <w:pStyle w:val="TOC1"/>
        <w:rPr>
          <w:rFonts w:asciiTheme="minorHAnsi" w:eastAsiaTheme="minorEastAsia" w:hAnsiTheme="minorHAnsi" w:cstheme="minorBidi"/>
          <w:caps w:val="0"/>
          <w:lang w:eastAsia="en-GB"/>
        </w:rPr>
      </w:pPr>
      <w:hyperlink w:anchor="_Toc43460821" w:history="1">
        <w:r w:rsidR="0084786D" w:rsidRPr="00411C16">
          <w:rPr>
            <w:rStyle w:val="Hyperlink"/>
          </w:rPr>
          <w:t>Annex 2: Expectations for a Decommissioning PSR</w:t>
        </w:r>
        <w:r w:rsidR="0084786D">
          <w:rPr>
            <w:webHidden/>
          </w:rPr>
          <w:tab/>
        </w:r>
        <w:r w:rsidR="0084786D">
          <w:rPr>
            <w:webHidden/>
          </w:rPr>
          <w:fldChar w:fldCharType="begin"/>
        </w:r>
        <w:r w:rsidR="0084786D">
          <w:rPr>
            <w:webHidden/>
          </w:rPr>
          <w:instrText xml:space="preserve"> PAGEREF _Toc43460821 \h </w:instrText>
        </w:r>
        <w:r w:rsidR="0084786D">
          <w:rPr>
            <w:webHidden/>
          </w:rPr>
        </w:r>
        <w:r w:rsidR="0084786D">
          <w:rPr>
            <w:webHidden/>
          </w:rPr>
          <w:fldChar w:fldCharType="separate"/>
        </w:r>
        <w:r w:rsidR="006B36A0">
          <w:rPr>
            <w:webHidden/>
          </w:rPr>
          <w:t>28</w:t>
        </w:r>
        <w:r w:rsidR="0084786D">
          <w:rPr>
            <w:webHidden/>
          </w:rPr>
          <w:fldChar w:fldCharType="end"/>
        </w:r>
      </w:hyperlink>
    </w:p>
    <w:p w14:paraId="79A3B6B8" w14:textId="42046D0B" w:rsidR="0084786D" w:rsidRDefault="0045519D">
      <w:pPr>
        <w:pStyle w:val="TOC1"/>
        <w:rPr>
          <w:rFonts w:asciiTheme="minorHAnsi" w:eastAsiaTheme="minorEastAsia" w:hAnsiTheme="minorHAnsi" w:cstheme="minorBidi"/>
          <w:caps w:val="0"/>
          <w:lang w:eastAsia="en-GB"/>
        </w:rPr>
      </w:pPr>
      <w:hyperlink w:anchor="_Toc43460822" w:history="1">
        <w:r w:rsidR="0084786D" w:rsidRPr="00411C16">
          <w:rPr>
            <w:rStyle w:val="Hyperlink"/>
          </w:rPr>
          <w:t>Annex 3: Expectations for the Coverage of Radiological Protection in PSR</w:t>
        </w:r>
        <w:r w:rsidR="0084786D">
          <w:rPr>
            <w:webHidden/>
          </w:rPr>
          <w:tab/>
        </w:r>
        <w:r w:rsidR="0084786D">
          <w:rPr>
            <w:webHidden/>
          </w:rPr>
          <w:fldChar w:fldCharType="begin"/>
        </w:r>
        <w:r w:rsidR="0084786D">
          <w:rPr>
            <w:webHidden/>
          </w:rPr>
          <w:instrText xml:space="preserve"> PAGEREF _Toc43460822 \h </w:instrText>
        </w:r>
        <w:r w:rsidR="0084786D">
          <w:rPr>
            <w:webHidden/>
          </w:rPr>
        </w:r>
        <w:r w:rsidR="0084786D">
          <w:rPr>
            <w:webHidden/>
          </w:rPr>
          <w:fldChar w:fldCharType="separate"/>
        </w:r>
        <w:r w:rsidR="006B36A0">
          <w:rPr>
            <w:webHidden/>
          </w:rPr>
          <w:t>30</w:t>
        </w:r>
        <w:r w:rsidR="0084786D">
          <w:rPr>
            <w:webHidden/>
          </w:rPr>
          <w:fldChar w:fldCharType="end"/>
        </w:r>
      </w:hyperlink>
    </w:p>
    <w:p w14:paraId="79A3B6B9" w14:textId="2AE3EF04" w:rsidR="0084786D" w:rsidRDefault="0045519D">
      <w:pPr>
        <w:pStyle w:val="TOC1"/>
        <w:rPr>
          <w:rFonts w:asciiTheme="minorHAnsi" w:eastAsiaTheme="minorEastAsia" w:hAnsiTheme="minorHAnsi" w:cstheme="minorBidi"/>
          <w:caps w:val="0"/>
          <w:lang w:eastAsia="en-GB"/>
        </w:rPr>
      </w:pPr>
      <w:hyperlink w:anchor="_Toc43460823" w:history="1">
        <w:r w:rsidR="0084786D" w:rsidRPr="00411C16">
          <w:rPr>
            <w:rStyle w:val="Hyperlink"/>
          </w:rPr>
          <w:t>Table 1: WENRA Safety Reference Levels</w:t>
        </w:r>
        <w:r w:rsidR="0084786D">
          <w:rPr>
            <w:webHidden/>
          </w:rPr>
          <w:tab/>
        </w:r>
        <w:r w:rsidR="0084786D">
          <w:rPr>
            <w:webHidden/>
          </w:rPr>
          <w:fldChar w:fldCharType="begin"/>
        </w:r>
        <w:r w:rsidR="0084786D">
          <w:rPr>
            <w:webHidden/>
          </w:rPr>
          <w:instrText xml:space="preserve"> PAGEREF _Toc43460823 \h </w:instrText>
        </w:r>
        <w:r w:rsidR="0084786D">
          <w:rPr>
            <w:webHidden/>
          </w:rPr>
        </w:r>
        <w:r w:rsidR="0084786D">
          <w:rPr>
            <w:webHidden/>
          </w:rPr>
          <w:fldChar w:fldCharType="separate"/>
        </w:r>
        <w:r w:rsidR="006B36A0">
          <w:rPr>
            <w:webHidden/>
          </w:rPr>
          <w:t>34</w:t>
        </w:r>
        <w:r w:rsidR="0084786D">
          <w:rPr>
            <w:webHidden/>
          </w:rPr>
          <w:fldChar w:fldCharType="end"/>
        </w:r>
      </w:hyperlink>
    </w:p>
    <w:p w14:paraId="79A3B6BA" w14:textId="6D55407C" w:rsidR="0084786D" w:rsidRDefault="0045519D">
      <w:pPr>
        <w:pStyle w:val="TOC1"/>
        <w:rPr>
          <w:rFonts w:asciiTheme="minorHAnsi" w:eastAsiaTheme="minorEastAsia" w:hAnsiTheme="minorHAnsi" w:cstheme="minorBidi"/>
          <w:caps w:val="0"/>
          <w:lang w:eastAsia="en-GB"/>
        </w:rPr>
      </w:pPr>
      <w:hyperlink w:anchor="_Toc43460824" w:history="1">
        <w:r w:rsidR="0084786D" w:rsidRPr="00411C16">
          <w:rPr>
            <w:rStyle w:val="Hyperlink"/>
          </w:rPr>
          <w:t>Table 2: Indicative Programme for a PSR</w:t>
        </w:r>
        <w:r w:rsidR="0084786D">
          <w:rPr>
            <w:webHidden/>
          </w:rPr>
          <w:tab/>
        </w:r>
        <w:r w:rsidR="0084786D">
          <w:rPr>
            <w:webHidden/>
          </w:rPr>
          <w:fldChar w:fldCharType="begin"/>
        </w:r>
        <w:r w:rsidR="0084786D">
          <w:rPr>
            <w:webHidden/>
          </w:rPr>
          <w:instrText xml:space="preserve"> PAGEREF _Toc43460824 \h </w:instrText>
        </w:r>
        <w:r w:rsidR="0084786D">
          <w:rPr>
            <w:webHidden/>
          </w:rPr>
        </w:r>
        <w:r w:rsidR="0084786D">
          <w:rPr>
            <w:webHidden/>
          </w:rPr>
          <w:fldChar w:fldCharType="separate"/>
        </w:r>
        <w:r w:rsidR="006B36A0">
          <w:rPr>
            <w:webHidden/>
          </w:rPr>
          <w:t>37</w:t>
        </w:r>
        <w:r w:rsidR="0084786D">
          <w:rPr>
            <w:webHidden/>
          </w:rPr>
          <w:fldChar w:fldCharType="end"/>
        </w:r>
      </w:hyperlink>
    </w:p>
    <w:p w14:paraId="79A3B6BB" w14:textId="77777777" w:rsidR="0084786D" w:rsidRDefault="006648D3" w:rsidP="0084786D">
      <w:pPr>
        <w:pStyle w:val="ONRNormal"/>
        <w:rPr>
          <w:rFonts w:cs="Times New Roman"/>
          <w:bCs/>
          <w:iCs/>
          <w:noProof/>
          <w:szCs w:val="24"/>
          <w:lang w:eastAsia="en-GB"/>
        </w:rPr>
      </w:pPr>
      <w:r>
        <w:rPr>
          <w:rFonts w:cs="Times New Roman"/>
          <w:bCs/>
          <w:iCs/>
          <w:noProof/>
          <w:szCs w:val="24"/>
          <w:lang w:eastAsia="en-GB"/>
        </w:rPr>
        <w:fldChar w:fldCharType="end"/>
      </w:r>
    </w:p>
    <w:p w14:paraId="79A3B6BC" w14:textId="609BFA1C" w:rsidR="004F035B" w:rsidRDefault="004F035B" w:rsidP="0084786D">
      <w:pPr>
        <w:pStyle w:val="ONRNormal"/>
        <w:rPr>
          <w:i/>
          <w:sz w:val="16"/>
        </w:rPr>
      </w:pPr>
      <w:r>
        <w:rPr>
          <w:i/>
          <w:sz w:val="16"/>
        </w:rPr>
        <w:t>© Office for Nuclear Regulation, 20</w:t>
      </w:r>
      <w:r w:rsidR="006D411C">
        <w:rPr>
          <w:i/>
          <w:sz w:val="16"/>
        </w:rPr>
        <w:t>2</w:t>
      </w:r>
      <w:r w:rsidR="004845AF">
        <w:rPr>
          <w:i/>
          <w:sz w:val="16"/>
        </w:rPr>
        <w:t>2</w:t>
      </w:r>
    </w:p>
    <w:p w14:paraId="79A3B6BD" w14:textId="77777777" w:rsidR="004F035B" w:rsidRDefault="004F035B" w:rsidP="00564003">
      <w:pPr>
        <w:spacing w:after="0"/>
        <w:rPr>
          <w:rFonts w:ascii="Times New Roman" w:hAnsi="Times New Roman"/>
          <w:sz w:val="16"/>
        </w:rPr>
      </w:pPr>
      <w:r>
        <w:rPr>
          <w:sz w:val="16"/>
        </w:rPr>
        <w:t xml:space="preserve">If you wish to reuse this information visit </w:t>
      </w:r>
      <w:hyperlink r:id="rId9" w:tooltip="http://www.onr.org.uk/copyright" w:history="1">
        <w:r>
          <w:rPr>
            <w:rStyle w:val="Hyperlink"/>
            <w:bCs/>
            <w:kern w:val="36"/>
            <w:sz w:val="16"/>
            <w:szCs w:val="16"/>
          </w:rPr>
          <w:t>www.onr.org.uk/copyright</w:t>
        </w:r>
      </w:hyperlink>
      <w:r>
        <w:rPr>
          <w:sz w:val="16"/>
        </w:rPr>
        <w:t xml:space="preserve"> for details. </w:t>
      </w:r>
    </w:p>
    <w:p w14:paraId="79A3B6BE" w14:textId="18085024" w:rsidR="0063719B" w:rsidRDefault="004F035B" w:rsidP="00564003">
      <w:pPr>
        <w:spacing w:after="0"/>
        <w:rPr>
          <w:bCs/>
          <w:iCs/>
          <w:caps/>
          <w:noProof/>
        </w:rPr>
      </w:pPr>
      <w:r>
        <w:rPr>
          <w:sz w:val="16"/>
        </w:rPr>
        <w:t xml:space="preserve">Published </w:t>
      </w:r>
      <w:r w:rsidR="003120FA">
        <w:rPr>
          <w:sz w:val="16"/>
        </w:rPr>
        <w:t>1</w:t>
      </w:r>
      <w:r w:rsidR="004845AF">
        <w:rPr>
          <w:sz w:val="16"/>
        </w:rPr>
        <w:t>2/22</w:t>
      </w:r>
    </w:p>
    <w:p w14:paraId="79A3B6BF" w14:textId="77777777" w:rsidR="0063719B" w:rsidRDefault="0063719B" w:rsidP="0063719B">
      <w:pPr>
        <w:pStyle w:val="NumberedHeading"/>
        <w:ind w:left="720"/>
      </w:pPr>
      <w:bookmarkStart w:id="0" w:name="_Toc43460802"/>
      <w:r>
        <w:lastRenderedPageBreak/>
        <w:t>INTRODUCTION</w:t>
      </w:r>
      <w:bookmarkEnd w:id="0"/>
      <w:r w:rsidR="003603E6">
        <w:softHyphen/>
      </w:r>
    </w:p>
    <w:p w14:paraId="79A3B6C0" w14:textId="734992D5" w:rsidR="0063719B" w:rsidRDefault="0063719B" w:rsidP="0063719B">
      <w:pPr>
        <w:pStyle w:val="NumberedParagraph"/>
        <w:tabs>
          <w:tab w:val="num" w:pos="-31680"/>
        </w:tabs>
        <w:ind w:left="720"/>
        <w:jc w:val="both"/>
      </w:pPr>
      <w:r w:rsidRPr="006A2E3F">
        <w:t>ONR has established its Safety Assessment Principles (SAPs) which apply to the assessment by ONR specialist inspectors of safety cases for nuclear facilities that may be operated by potential licensees, existing licensees, or other duty-holders.</w:t>
      </w:r>
      <w:r w:rsidR="00D951C6">
        <w:t xml:space="preserve"> </w:t>
      </w:r>
      <w:r w:rsidRPr="006A2E3F">
        <w:t>The principles presented in the SAPs are supported by a suite of guides to further assist ONR’s inspectors in their technical assessment work in support of making regulatory judgements and decisions.</w:t>
      </w:r>
      <w:r w:rsidR="00D951C6">
        <w:t xml:space="preserve"> </w:t>
      </w:r>
      <w:r w:rsidRPr="006A2E3F">
        <w:t>This technical assessment guide is one of these guides.</w:t>
      </w:r>
    </w:p>
    <w:p w14:paraId="79A3B6C1" w14:textId="77777777" w:rsidR="0063719B" w:rsidRDefault="0063719B" w:rsidP="0063719B">
      <w:pPr>
        <w:pStyle w:val="NumberedHeading"/>
        <w:ind w:left="720"/>
      </w:pPr>
      <w:bookmarkStart w:id="1" w:name="_Toc43460803"/>
      <w:r>
        <w:t>Purpose and scope</w:t>
      </w:r>
      <w:bookmarkEnd w:id="1"/>
    </w:p>
    <w:p w14:paraId="79A3B6C2" w14:textId="77777777" w:rsidR="0063719B" w:rsidRDefault="0063719B" w:rsidP="0063719B">
      <w:pPr>
        <w:pStyle w:val="NumberedParagraph"/>
        <w:tabs>
          <w:tab w:val="num" w:pos="-31680"/>
        </w:tabs>
        <w:ind w:left="720"/>
        <w:jc w:val="both"/>
      </w:pPr>
      <w:r>
        <w:t>The purpose of this Technical Assessment Guide (TAG) is:</w:t>
      </w:r>
    </w:p>
    <w:p w14:paraId="79A3B6C3" w14:textId="77777777" w:rsidR="0063719B" w:rsidRPr="00ED542B" w:rsidRDefault="0063719B" w:rsidP="0063719B">
      <w:pPr>
        <w:pStyle w:val="ONRSquareBullet1"/>
        <w:tabs>
          <w:tab w:val="left" w:pos="880"/>
        </w:tabs>
        <w:spacing w:after="120"/>
        <w:rPr>
          <w:color w:val="auto"/>
        </w:rPr>
      </w:pPr>
      <w:r w:rsidRPr="00ED542B">
        <w:rPr>
          <w:color w:val="auto"/>
        </w:rPr>
        <w:t xml:space="preserve">To provide good practice expectations to assist the Office for Nuclear Regulation’s (ONR) Inspectors in judging the adequacy of a licensee's arrangements and outputs under </w:t>
      </w:r>
      <w:proofErr w:type="spellStart"/>
      <w:r w:rsidRPr="00ED542B">
        <w:rPr>
          <w:color w:val="auto"/>
        </w:rPr>
        <w:t>Licence</w:t>
      </w:r>
      <w:proofErr w:type="spellEnd"/>
      <w:r w:rsidRPr="00ED542B">
        <w:rPr>
          <w:color w:val="auto"/>
        </w:rPr>
        <w:t xml:space="preserve"> Condition (LC) 15, which requires the licensee to periodically review safety cases (see the </w:t>
      </w:r>
      <w:proofErr w:type="spellStart"/>
      <w:r w:rsidRPr="00ED542B">
        <w:rPr>
          <w:i/>
          <w:color w:val="auto"/>
        </w:rPr>
        <w:t>Licence</w:t>
      </w:r>
      <w:proofErr w:type="spellEnd"/>
      <w:r w:rsidRPr="00ED542B">
        <w:rPr>
          <w:i/>
          <w:color w:val="auto"/>
        </w:rPr>
        <w:t xml:space="preserve"> Condition Handbook</w:t>
      </w:r>
      <w:r w:rsidRPr="00ED542B">
        <w:rPr>
          <w:color w:val="auto"/>
        </w:rPr>
        <w:t xml:space="preserve"> [1]).</w:t>
      </w:r>
    </w:p>
    <w:p w14:paraId="79A3B6C4" w14:textId="77777777" w:rsidR="0063719B" w:rsidRPr="00ED542B" w:rsidRDefault="0063719B" w:rsidP="0063719B">
      <w:pPr>
        <w:pStyle w:val="ONRSquareBullet1"/>
        <w:tabs>
          <w:tab w:val="left" w:pos="880"/>
        </w:tabs>
        <w:spacing w:after="120"/>
        <w:rPr>
          <w:color w:val="auto"/>
        </w:rPr>
      </w:pPr>
      <w:r w:rsidRPr="00ED542B">
        <w:rPr>
          <w:color w:val="auto"/>
        </w:rPr>
        <w:t xml:space="preserve">To add more detailed guidance to the How2 Business Management System Guide </w:t>
      </w:r>
      <w:r w:rsidRPr="00420EDE">
        <w:rPr>
          <w:color w:val="auto"/>
        </w:rPr>
        <w:t>Guidance: LC15 Periodic review</w:t>
      </w:r>
      <w:r w:rsidR="00804FB7" w:rsidRPr="00420EDE">
        <w:rPr>
          <w:color w:val="auto"/>
        </w:rPr>
        <w:t xml:space="preserve"> </w:t>
      </w:r>
      <w:r w:rsidRPr="00ED542B">
        <w:rPr>
          <w:color w:val="auto"/>
        </w:rPr>
        <w:t>[2].</w:t>
      </w:r>
    </w:p>
    <w:p w14:paraId="79A3B6C5" w14:textId="77777777" w:rsidR="0063719B" w:rsidRDefault="0063719B" w:rsidP="00495A13">
      <w:pPr>
        <w:pStyle w:val="NumberedParagraph"/>
        <w:tabs>
          <w:tab w:val="num" w:pos="-31680"/>
        </w:tabs>
        <w:ind w:left="720"/>
        <w:jc w:val="both"/>
      </w:pPr>
      <w:r>
        <w:t xml:space="preserve">The guidance does not address the following: </w:t>
      </w:r>
    </w:p>
    <w:p w14:paraId="79A3B6C6" w14:textId="77777777" w:rsidR="0063719B" w:rsidRPr="00ED542B" w:rsidRDefault="0063719B" w:rsidP="0063719B">
      <w:pPr>
        <w:pStyle w:val="ONRSquareBullet1"/>
        <w:tabs>
          <w:tab w:val="left" w:pos="880"/>
        </w:tabs>
        <w:spacing w:after="120"/>
        <w:rPr>
          <w:color w:val="auto"/>
        </w:rPr>
      </w:pPr>
      <w:r w:rsidRPr="00ED542B">
        <w:rPr>
          <w:color w:val="auto"/>
        </w:rPr>
        <w:t>Requirements for periodic reviews arising from legislation other than the Nuclear Installations Act 1965 (as amended) (NIA) / LC15, e.g.</w:t>
      </w:r>
    </w:p>
    <w:p w14:paraId="79A3B6C7" w14:textId="77777777" w:rsidR="0063719B" w:rsidRDefault="0063719B" w:rsidP="0063719B">
      <w:pPr>
        <w:pStyle w:val="ONRRoundBullet1"/>
        <w:tabs>
          <w:tab w:val="clear" w:pos="1418"/>
          <w:tab w:val="left" w:pos="880"/>
          <w:tab w:val="num" w:pos="1985"/>
        </w:tabs>
        <w:spacing w:after="120"/>
        <w:ind w:left="1985"/>
      </w:pPr>
      <w:r>
        <w:t>Control of Major Accident Hazards Regulations 1999 and the Control of Major Accident Hazards (Amendment) Regulations 2005 (COMAH).</w:t>
      </w:r>
    </w:p>
    <w:p w14:paraId="79A3B6C8" w14:textId="77777777" w:rsidR="0063719B" w:rsidRDefault="0063719B" w:rsidP="0063719B">
      <w:pPr>
        <w:pStyle w:val="ONRRoundBullet1"/>
        <w:tabs>
          <w:tab w:val="clear" w:pos="1418"/>
          <w:tab w:val="left" w:pos="880"/>
          <w:tab w:val="num" w:pos="1985"/>
        </w:tabs>
        <w:spacing w:after="120"/>
        <w:ind w:left="1985"/>
      </w:pPr>
      <w:proofErr w:type="spellStart"/>
      <w:r>
        <w:t>Ionising</w:t>
      </w:r>
      <w:proofErr w:type="spellEnd"/>
      <w:r>
        <w:t xml:space="preserve"> Radiations Regulations </w:t>
      </w:r>
      <w:r w:rsidR="00EE34A3">
        <w:t>2017</w:t>
      </w:r>
      <w:r>
        <w:t xml:space="preserve"> (IRR).</w:t>
      </w:r>
    </w:p>
    <w:p w14:paraId="79A3B6C9" w14:textId="77777777" w:rsidR="0063719B" w:rsidRDefault="0063719B" w:rsidP="0063719B">
      <w:pPr>
        <w:pStyle w:val="ONRRoundBullet1"/>
        <w:tabs>
          <w:tab w:val="clear" w:pos="1418"/>
          <w:tab w:val="left" w:pos="880"/>
          <w:tab w:val="num" w:pos="1985"/>
        </w:tabs>
        <w:spacing w:after="120"/>
        <w:ind w:left="1985"/>
      </w:pPr>
      <w:r>
        <w:t>Radiation (Emergency Preparedness and Public Information) Regulations (REPPIR)</w:t>
      </w:r>
      <w:r w:rsidR="00C90EBD">
        <w:t xml:space="preserve"> 2019</w:t>
      </w:r>
      <w:r>
        <w:t>.</w:t>
      </w:r>
    </w:p>
    <w:p w14:paraId="79A3B6CA" w14:textId="77777777" w:rsidR="0063719B" w:rsidRDefault="0063719B" w:rsidP="0063719B">
      <w:pPr>
        <w:pStyle w:val="ONRRoundBullet1"/>
        <w:tabs>
          <w:tab w:val="clear" w:pos="1418"/>
          <w:tab w:val="left" w:pos="880"/>
          <w:tab w:val="num" w:pos="1985"/>
        </w:tabs>
        <w:spacing w:after="120"/>
        <w:ind w:left="1985"/>
      </w:pPr>
      <w:r>
        <w:t>Nuclear Reactors (Environmental Impact Assessment for Decommissioning</w:t>
      </w:r>
      <w:r w:rsidR="00AA6817">
        <w:t xml:space="preserve"> (EIADAR)</w:t>
      </w:r>
      <w:r>
        <w:t>) Regulations 1999 (as amended) (EIADR).</w:t>
      </w:r>
    </w:p>
    <w:p w14:paraId="79A3B6CB" w14:textId="77777777" w:rsidR="0063719B" w:rsidRDefault="0063719B" w:rsidP="0063719B">
      <w:pPr>
        <w:pStyle w:val="ONRNormal"/>
        <w:ind w:left="1418"/>
      </w:pPr>
      <w:r>
        <w:t>However, a Periodic Safety Review (PSR) produced to comply with LC15 may meet the requirements of the other regulations.</w:t>
      </w:r>
    </w:p>
    <w:p w14:paraId="79A3B6CC" w14:textId="77777777" w:rsidR="009828E8" w:rsidRDefault="009828E8" w:rsidP="0063719B">
      <w:pPr>
        <w:pStyle w:val="ONRNormal"/>
        <w:ind w:left="1418"/>
      </w:pPr>
    </w:p>
    <w:p w14:paraId="79A3B6CD" w14:textId="77777777" w:rsidR="0063719B" w:rsidRPr="00ED542B" w:rsidRDefault="0063719B" w:rsidP="0063719B">
      <w:pPr>
        <w:pStyle w:val="ONRSquareBullet1"/>
        <w:tabs>
          <w:tab w:val="left" w:pos="880"/>
        </w:tabs>
        <w:spacing w:after="120"/>
        <w:rPr>
          <w:color w:val="auto"/>
        </w:rPr>
      </w:pPr>
      <w:r w:rsidRPr="00ED542B">
        <w:rPr>
          <w:color w:val="auto"/>
        </w:rPr>
        <w:t>Requirements for the processes of producing safety cases themselves and aspects relating to the detailed content of safety cases.</w:t>
      </w:r>
      <w:r w:rsidR="00D951C6">
        <w:rPr>
          <w:color w:val="auto"/>
        </w:rPr>
        <w:t xml:space="preserve"> </w:t>
      </w:r>
      <w:r w:rsidRPr="00ED542B">
        <w:rPr>
          <w:color w:val="auto"/>
        </w:rPr>
        <w:t>These are addressed in other ONR Technical Assessment Guides.</w:t>
      </w:r>
    </w:p>
    <w:p w14:paraId="79A3B6CE" w14:textId="77777777" w:rsidR="0063719B" w:rsidRPr="00ED542B" w:rsidRDefault="0063719B" w:rsidP="0063719B">
      <w:pPr>
        <w:pStyle w:val="ONRSquareBullet1"/>
        <w:tabs>
          <w:tab w:val="left" w:pos="880"/>
        </w:tabs>
        <w:spacing w:after="120"/>
        <w:rPr>
          <w:color w:val="auto"/>
        </w:rPr>
      </w:pPr>
      <w:r w:rsidRPr="00ED542B">
        <w:rPr>
          <w:color w:val="auto"/>
        </w:rPr>
        <w:t xml:space="preserve">The need for </w:t>
      </w:r>
      <w:r w:rsidR="00356050">
        <w:rPr>
          <w:color w:val="auto"/>
        </w:rPr>
        <w:t xml:space="preserve">updating </w:t>
      </w:r>
      <w:r w:rsidRPr="00ED542B">
        <w:rPr>
          <w:color w:val="auto"/>
        </w:rPr>
        <w:t xml:space="preserve">safety </w:t>
      </w:r>
      <w:r w:rsidR="00422CB0">
        <w:rPr>
          <w:color w:val="auto"/>
        </w:rPr>
        <w:t>cases</w:t>
      </w:r>
      <w:r w:rsidRPr="00ED542B">
        <w:rPr>
          <w:color w:val="auto"/>
        </w:rPr>
        <w:t xml:space="preserve"> </w:t>
      </w:r>
      <w:r w:rsidR="00356050">
        <w:rPr>
          <w:color w:val="auto"/>
        </w:rPr>
        <w:t xml:space="preserve">as a result of </w:t>
      </w:r>
      <w:r w:rsidRPr="00ED542B">
        <w:rPr>
          <w:color w:val="auto"/>
        </w:rPr>
        <w:t>specific events, such as a change in operation, change in facility life-cycle phase, facility modification, or incidents</w:t>
      </w:r>
      <w:r w:rsidR="00ED4F8D">
        <w:rPr>
          <w:color w:val="auto"/>
        </w:rPr>
        <w:t>, which are covered by LC22 Modification or experiment on existing plant.</w:t>
      </w:r>
      <w:r w:rsidR="00356050">
        <w:rPr>
          <w:color w:val="auto"/>
        </w:rPr>
        <w:t xml:space="preserve"> However, these events may influence the time at which a PSR </w:t>
      </w:r>
      <w:r w:rsidR="00ED4F8D">
        <w:rPr>
          <w:color w:val="auto"/>
        </w:rPr>
        <w:t>is undertaken such that it coincides with some of the</w:t>
      </w:r>
      <w:r w:rsidR="00D2252E">
        <w:rPr>
          <w:color w:val="auto"/>
        </w:rPr>
        <w:t>se</w:t>
      </w:r>
      <w:r w:rsidR="00ED4F8D">
        <w:rPr>
          <w:color w:val="auto"/>
        </w:rPr>
        <w:t xml:space="preserve"> specific events.</w:t>
      </w:r>
    </w:p>
    <w:p w14:paraId="79A3B6CF" w14:textId="77777777" w:rsidR="0063719B" w:rsidRPr="00ED542B" w:rsidRDefault="0063719B" w:rsidP="0063719B">
      <w:pPr>
        <w:pStyle w:val="ONRSquareBullet1"/>
        <w:tabs>
          <w:tab w:val="left" w:pos="880"/>
        </w:tabs>
        <w:spacing w:after="120"/>
        <w:rPr>
          <w:color w:val="auto"/>
        </w:rPr>
      </w:pPr>
      <w:r w:rsidRPr="00ED542B">
        <w:rPr>
          <w:color w:val="auto"/>
        </w:rPr>
        <w:t>Nuclear security</w:t>
      </w:r>
      <w:r w:rsidR="00622AC8">
        <w:rPr>
          <w:color w:val="auto"/>
        </w:rPr>
        <w:t>, safeguards</w:t>
      </w:r>
      <w:r w:rsidRPr="00ED542B">
        <w:rPr>
          <w:color w:val="auto"/>
        </w:rPr>
        <w:t xml:space="preserve"> and transport requirements.</w:t>
      </w:r>
    </w:p>
    <w:p w14:paraId="79A3B6D0" w14:textId="44C69685" w:rsidR="0063719B" w:rsidRDefault="0063719B" w:rsidP="0063719B">
      <w:pPr>
        <w:pStyle w:val="NumberedParagraph"/>
        <w:tabs>
          <w:tab w:val="num" w:pos="-31680"/>
        </w:tabs>
        <w:ind w:left="720"/>
        <w:jc w:val="both"/>
      </w:pPr>
      <w:r w:rsidRPr="00ED542B">
        <w:t xml:space="preserve">In this </w:t>
      </w:r>
      <w:r>
        <w:t xml:space="preserve">guide, the specific term ‘PSR’ is used to denote </w:t>
      </w:r>
      <w:r w:rsidR="00622AC8">
        <w:t xml:space="preserve">typical </w:t>
      </w:r>
      <w:r>
        <w:t>ten yearly reviews</w:t>
      </w:r>
      <w:r w:rsidR="00622AC8">
        <w:t xml:space="preserve"> (se</w:t>
      </w:r>
      <w:r w:rsidR="007A12FF">
        <w:t>e</w:t>
      </w:r>
      <w:r w:rsidR="00622AC8">
        <w:t xml:space="preserve"> para</w:t>
      </w:r>
      <w:r w:rsidR="006B5FD0">
        <w:t xml:space="preserve">graph </w:t>
      </w:r>
      <w:r w:rsidR="006B5FD0">
        <w:fldChar w:fldCharType="begin"/>
      </w:r>
      <w:r w:rsidR="006B5FD0">
        <w:instrText xml:space="preserve"> REF _Ref41994939 \r \h </w:instrText>
      </w:r>
      <w:r w:rsidR="006B5FD0">
        <w:fldChar w:fldCharType="separate"/>
      </w:r>
      <w:r w:rsidR="00274893">
        <w:t>5.28</w:t>
      </w:r>
      <w:r w:rsidR="006B5FD0">
        <w:fldChar w:fldCharType="end"/>
      </w:r>
      <w:r w:rsidR="003E07B2">
        <w:t>)</w:t>
      </w:r>
      <w:r>
        <w:t>.</w:t>
      </w:r>
      <w:r w:rsidR="00D951C6">
        <w:t xml:space="preserve"> </w:t>
      </w:r>
      <w:r>
        <w:t>More frequent</w:t>
      </w:r>
      <w:r w:rsidR="00305EFE">
        <w:t>,</w:t>
      </w:r>
      <w:r>
        <w:t xml:space="preserve"> interim, or continual, reviews should also be undertaken</w:t>
      </w:r>
      <w:r w:rsidR="009A1B6B">
        <w:t>,</w:t>
      </w:r>
      <w:r w:rsidR="00D70371">
        <w:t xml:space="preserve"> and these will feed into the ten yearly reviews</w:t>
      </w:r>
      <w:r>
        <w:t>.</w:t>
      </w:r>
      <w:r w:rsidR="00D951C6">
        <w:t xml:space="preserve"> </w:t>
      </w:r>
      <w:r>
        <w:t>These reviews are also covered in this guide.</w:t>
      </w:r>
    </w:p>
    <w:p w14:paraId="79A3B6D1" w14:textId="77777777" w:rsidR="0063719B" w:rsidRPr="00305EFE" w:rsidRDefault="0063719B" w:rsidP="0063719B">
      <w:pPr>
        <w:pStyle w:val="NumberedHeading"/>
        <w:ind w:left="720"/>
      </w:pPr>
      <w:bookmarkStart w:id="2" w:name="_Toc43460804"/>
      <w:r w:rsidRPr="00305EFE">
        <w:lastRenderedPageBreak/>
        <w:t>Relationship to licence and other relevant legislation</w:t>
      </w:r>
      <w:bookmarkEnd w:id="2"/>
    </w:p>
    <w:p w14:paraId="79A3B6D2" w14:textId="77777777" w:rsidR="00AE04F0" w:rsidRPr="00305EFE" w:rsidRDefault="00AE04F0" w:rsidP="00AE04F0">
      <w:pPr>
        <w:pStyle w:val="NumberedParagraph"/>
        <w:tabs>
          <w:tab w:val="num" w:pos="-31680"/>
        </w:tabs>
        <w:ind w:left="720"/>
        <w:jc w:val="both"/>
      </w:pPr>
      <w:r w:rsidRPr="00305EFE">
        <w:t xml:space="preserve">The regulatory basis for this guide encompasses a number of licence conditions, principally 15(1) – see [1], the purpose of which is to ensure that the licensee makes and implements adequate arrangements for the periodic and systematic review and reassessment of safety cases. Additionally, </w:t>
      </w:r>
      <w:r w:rsidR="003C79D8" w:rsidRPr="00305EFE">
        <w:t>LC14 (Safety Documentation) requires a licensee to make and implement adequate arrangements for the production of safety</w:t>
      </w:r>
      <w:r w:rsidR="003C79D8" w:rsidRPr="00690446">
        <w:t xml:space="preserve"> cases, whilst </w:t>
      </w:r>
      <w:r w:rsidRPr="00084490">
        <w:t>LC23 (Operating Rules), specifically 23(1), requires a licensee to produce an adequate</w:t>
      </w:r>
      <w:r w:rsidRPr="00690446">
        <w:t xml:space="preserve"> </w:t>
      </w:r>
      <w:r w:rsidRPr="00084490">
        <w:t>safety case in respect of any operation that may affect safety</w:t>
      </w:r>
      <w:r w:rsidR="00861196">
        <w:t xml:space="preserve"> and LC28(1) that t</w:t>
      </w:r>
      <w:r w:rsidR="00861196" w:rsidRPr="00861196">
        <w:t>he licensee shall make and implement adequate arrangements for the regular and systematic examination, inspection, maintenance and testing of all plant which may affect safety</w:t>
      </w:r>
      <w:r w:rsidRPr="00084490">
        <w:t>.</w:t>
      </w:r>
      <w:r w:rsidR="00305EFE">
        <w:t xml:space="preserve"> Further, </w:t>
      </w:r>
      <w:r w:rsidRPr="00690446">
        <w:t>LC(36)</w:t>
      </w:r>
      <w:r w:rsidR="003C79D8" w:rsidRPr="00690446">
        <w:t xml:space="preserve"> requires that the licensee</w:t>
      </w:r>
      <w:r w:rsidRPr="00124DB3">
        <w:t xml:space="preserve"> </w:t>
      </w:r>
      <w:r w:rsidR="002776F0" w:rsidRPr="00825E1E">
        <w:t>shall provide and maintain adequate financial and human resources to ensure the safe operation of the licensed site</w:t>
      </w:r>
      <w:r w:rsidR="00040B49" w:rsidRPr="00084490">
        <w:t xml:space="preserve"> which is also relevant to PSRs.</w:t>
      </w:r>
    </w:p>
    <w:p w14:paraId="79A3B6D3" w14:textId="77777777" w:rsidR="002C2B6E" w:rsidRDefault="002C2B6E" w:rsidP="002C2B6E">
      <w:pPr>
        <w:pStyle w:val="NumberedParagraph"/>
        <w:tabs>
          <w:tab w:val="num" w:pos="-31680"/>
        </w:tabs>
        <w:ind w:left="720"/>
        <w:jc w:val="both"/>
      </w:pPr>
      <w:r>
        <w:t xml:space="preserve">This document assists in implementing Council Directive 2014/87/Euratom of 8 July 2014 amending Directive 2009/71/Euratom, by highlighting ONR’s regulatory expectations regarding the achievement of the following Article: </w:t>
      </w:r>
    </w:p>
    <w:p w14:paraId="79A3B6D4" w14:textId="77777777" w:rsidR="00DC3781" w:rsidRPr="00495A13" w:rsidRDefault="002C2B6E" w:rsidP="002C2B6E">
      <w:pPr>
        <w:pStyle w:val="NumberedParagraph"/>
        <w:numPr>
          <w:ilvl w:val="0"/>
          <w:numId w:val="0"/>
        </w:numPr>
        <w:tabs>
          <w:tab w:val="num" w:pos="-29696"/>
        </w:tabs>
        <w:ind w:left="720"/>
        <w:jc w:val="both"/>
        <w:rPr>
          <w:i/>
        </w:rPr>
      </w:pPr>
      <w:r w:rsidRPr="00495A13">
        <w:rPr>
          <w:i/>
        </w:rPr>
        <w:t xml:space="preserve">Article 8c - Member States shall ensure that the national framework requires that: </w:t>
      </w:r>
    </w:p>
    <w:p w14:paraId="79A3B6D5" w14:textId="77777777" w:rsidR="00305EFE" w:rsidRDefault="00DC3781" w:rsidP="002C2B6E">
      <w:pPr>
        <w:pStyle w:val="NumberedParagraph"/>
        <w:numPr>
          <w:ilvl w:val="0"/>
          <w:numId w:val="0"/>
        </w:numPr>
        <w:tabs>
          <w:tab w:val="num" w:pos="-29696"/>
        </w:tabs>
        <w:ind w:left="720"/>
        <w:jc w:val="both"/>
      </w:pPr>
      <w:r w:rsidRPr="00495A13">
        <w:rPr>
          <w:i/>
        </w:rPr>
        <w:t>(b) the licence holder under the regulatory control of the competent regulatory authority, re-assesses systematically and regularly, at least every 10 years, the safety of the nuclear installation as laid down in Article 6(c). That safety reassessment aims at ensuring compliance with the current design basis and identifies further safety improvements by taking into account ageing issues, operational experience, most recent research results and developments in international standards, using as a reference the objective set in Article 8a.</w:t>
      </w:r>
      <w:r>
        <w:t xml:space="preserve"> (</w:t>
      </w:r>
      <w:r w:rsidR="00804FB7">
        <w:t>as referred to</w:t>
      </w:r>
      <w:r w:rsidR="00DF68CA">
        <w:t xml:space="preserve"> </w:t>
      </w:r>
      <w:r w:rsidR="00804FB7">
        <w:t xml:space="preserve">in this TAG </w:t>
      </w:r>
      <w:r w:rsidR="00DF68CA">
        <w:t>and NS-TAST-GD-005 Revision 10</w:t>
      </w:r>
      <w:r w:rsidR="00AA43B5">
        <w:t>[3</w:t>
      </w:r>
      <w:r w:rsidR="00861196">
        <w:t>]</w:t>
      </w:r>
      <w:r w:rsidRPr="00F4430F">
        <w:t>)</w:t>
      </w:r>
      <w:r>
        <w:t>.</w:t>
      </w:r>
    </w:p>
    <w:p w14:paraId="79A3B6D6" w14:textId="77777777" w:rsidR="00305EFE" w:rsidRDefault="00305EFE">
      <w:pPr>
        <w:spacing w:after="0"/>
      </w:pPr>
      <w:r>
        <w:br w:type="page"/>
      </w:r>
    </w:p>
    <w:p w14:paraId="79A3B6D7" w14:textId="77777777" w:rsidR="0063719B" w:rsidRDefault="0063719B" w:rsidP="0063719B">
      <w:pPr>
        <w:pStyle w:val="NumberedHeading"/>
        <w:ind w:left="720"/>
      </w:pPr>
      <w:bookmarkStart w:id="3" w:name="_Toc43460805"/>
      <w:r>
        <w:t>Safety Assessment Principles, WENRA Safety Reference Levels and IAEA Safety Standards addressed</w:t>
      </w:r>
      <w:bookmarkEnd w:id="3"/>
    </w:p>
    <w:p w14:paraId="79A3B6D8" w14:textId="77777777" w:rsidR="0063719B" w:rsidRPr="006648D3" w:rsidRDefault="0063719B" w:rsidP="006648D3">
      <w:pPr>
        <w:pStyle w:val="Heading2"/>
        <w:numPr>
          <w:ilvl w:val="0"/>
          <w:numId w:val="0"/>
        </w:numPr>
        <w:spacing w:before="120" w:after="240"/>
        <w:ind w:firstLine="720"/>
      </w:pPr>
      <w:bookmarkStart w:id="4" w:name="_Toc43460806"/>
      <w:r w:rsidRPr="006648D3">
        <w:t>Safety Assessment Principles</w:t>
      </w:r>
      <w:bookmarkEnd w:id="4"/>
    </w:p>
    <w:p w14:paraId="79A3B6D9" w14:textId="77777777" w:rsidR="0063719B" w:rsidRDefault="0063719B" w:rsidP="0063719B">
      <w:pPr>
        <w:pStyle w:val="NumberedParagraph"/>
        <w:tabs>
          <w:tab w:val="num" w:pos="-31680"/>
        </w:tabs>
        <w:ind w:left="720"/>
        <w:jc w:val="both"/>
      </w:pPr>
      <w:r>
        <w:t>The SAP</w:t>
      </w:r>
      <w:r w:rsidR="003E07B2">
        <w:t>s</w:t>
      </w:r>
      <w:r>
        <w:t xml:space="preserve"> [</w:t>
      </w:r>
      <w:r w:rsidR="00AA43B5">
        <w:t>4</w:t>
      </w:r>
      <w:r>
        <w:t xml:space="preserve">] provide a framework to guide regulatory decision-making in the nuclear </w:t>
      </w:r>
      <w:proofErr w:type="spellStart"/>
      <w:r>
        <w:t>permissioning</w:t>
      </w:r>
      <w:proofErr w:type="spellEnd"/>
      <w:r>
        <w:t xml:space="preserve"> process</w:t>
      </w:r>
      <w:r w:rsidR="005D609C">
        <w:t xml:space="preserve"> and are </w:t>
      </w:r>
      <w:r>
        <w:t>supported by TAG</w:t>
      </w:r>
      <w:r w:rsidR="003E07B2">
        <w:t>s</w:t>
      </w:r>
      <w:r>
        <w:t xml:space="preserve"> which further aid the decision-making process.</w:t>
      </w:r>
    </w:p>
    <w:p w14:paraId="79A3B6DA" w14:textId="77777777" w:rsidR="00564182" w:rsidRDefault="00564182" w:rsidP="00084490">
      <w:pPr>
        <w:pStyle w:val="NumberedParagraph"/>
        <w:tabs>
          <w:tab w:val="num" w:pos="-31680"/>
        </w:tabs>
        <w:ind w:left="720"/>
        <w:jc w:val="both"/>
      </w:pPr>
      <w:r w:rsidRPr="00564182">
        <w:t>The SAPs are intended to be applied in the assessment of PSRs</w:t>
      </w:r>
      <w:r>
        <w:t xml:space="preserve"> </w:t>
      </w:r>
      <w:r w:rsidR="00A65FA7">
        <w:t xml:space="preserve">which </w:t>
      </w:r>
      <w:r>
        <w:t xml:space="preserve">should include a </w:t>
      </w:r>
      <w:r w:rsidRPr="00564182">
        <w:t xml:space="preserve">comprehensive assessment of the facility’s condition, operating experience, safety case, and management arrangements and culture, looking forward </w:t>
      </w:r>
      <w:r w:rsidR="00A65FA7">
        <w:t xml:space="preserve">for </w:t>
      </w:r>
      <w:r w:rsidRPr="00564182">
        <w:t>at least the next ten years and normally</w:t>
      </w:r>
      <w:r w:rsidR="005C1943">
        <w:t>,</w:t>
      </w:r>
      <w:r w:rsidRPr="00564182">
        <w:t xml:space="preserve"> to</w:t>
      </w:r>
      <w:r w:rsidR="005C1943">
        <w:t xml:space="preserve"> a lesser extent,</w:t>
      </w:r>
      <w:r w:rsidRPr="00564182">
        <w:t xml:space="preserve"> the end of life.</w:t>
      </w:r>
      <w:r w:rsidR="00A65FA7">
        <w:t xml:space="preserve"> </w:t>
      </w:r>
    </w:p>
    <w:p w14:paraId="79A3B6DB" w14:textId="77777777" w:rsidR="00A65FA7" w:rsidRDefault="0063719B" w:rsidP="00A65FA7">
      <w:pPr>
        <w:pStyle w:val="NumberedParagraph"/>
        <w:tabs>
          <w:tab w:val="num" w:pos="-31680"/>
        </w:tabs>
        <w:ind w:left="720"/>
        <w:jc w:val="both"/>
      </w:pPr>
      <w:r>
        <w:t>The SAPs include a section on the Regulatory Assessment of Safety Cases (paragraphs 7</w:t>
      </w:r>
      <w:r w:rsidR="004B070C">
        <w:t>9</w:t>
      </w:r>
      <w:r>
        <w:t xml:space="preserve"> to 1</w:t>
      </w:r>
      <w:r w:rsidR="004B070C">
        <w:t>1</w:t>
      </w:r>
      <w:r w:rsidR="005C1943">
        <w:t>3</w:t>
      </w:r>
      <w:r>
        <w:t xml:space="preserve"> of [</w:t>
      </w:r>
      <w:r w:rsidR="00AA43B5">
        <w:t>4</w:t>
      </w:r>
      <w:r>
        <w:t>]) which has principles on the safety case process (SC.1 and SC.2), safety case characteristics (SC.3 to SC.6), and safety case management (SC.7 and SC.8).</w:t>
      </w:r>
      <w:r w:rsidR="00D951C6">
        <w:t xml:space="preserve"> </w:t>
      </w:r>
      <w:r w:rsidR="00A65FA7">
        <w:t xml:space="preserve">However, </w:t>
      </w:r>
      <w:r w:rsidR="00A65FA7" w:rsidRPr="00A65FA7">
        <w:t>PSRs are more wide ranging than a restatement of the safety case and instead provide a systematic review of</w:t>
      </w:r>
      <w:r w:rsidR="005C1943">
        <w:t xml:space="preserve"> whether the safety case</w:t>
      </w:r>
      <w:r w:rsidR="00A65FA7" w:rsidRPr="00A65FA7">
        <w:t xml:space="preserve"> adequate</w:t>
      </w:r>
      <w:r w:rsidR="005C1943">
        <w:t>ly reflects the facility</w:t>
      </w:r>
      <w:r w:rsidR="00A65FA7" w:rsidRPr="00A65FA7">
        <w:t xml:space="preserve"> in all situations that may affect safety. This entails revie</w:t>
      </w:r>
      <w:r w:rsidR="00F66B7D">
        <w:t>ws that consider all levels of d</w:t>
      </w:r>
      <w:r w:rsidR="00A65FA7" w:rsidRPr="00A65FA7">
        <w:t>efence in depth (see Principle EKP.3) from the robustness of the facility’s design through to the resilience of its emergency preparedness arrangements.</w:t>
      </w:r>
      <w:r w:rsidR="00A65FA7">
        <w:t xml:space="preserve"> Thus, although these SAPs are not specific to PSRs they set out expectations that apply to safety cases being reviewed or</w:t>
      </w:r>
      <w:r w:rsidR="00925A4A">
        <w:t xml:space="preserve"> revised as a result of a PSR</w:t>
      </w:r>
      <w:r w:rsidR="00A65FA7">
        <w:t>.</w:t>
      </w:r>
    </w:p>
    <w:p w14:paraId="79A3B6DC" w14:textId="77777777" w:rsidR="0063719B" w:rsidRDefault="0063719B" w:rsidP="0063719B">
      <w:pPr>
        <w:pStyle w:val="NumberedParagraph"/>
        <w:tabs>
          <w:tab w:val="num" w:pos="-31680"/>
        </w:tabs>
        <w:ind w:left="720"/>
        <w:jc w:val="both"/>
      </w:pPr>
      <w:r>
        <w:t>The SAP</w:t>
      </w:r>
      <w:r w:rsidR="00815D04">
        <w:t>s</w:t>
      </w:r>
      <w:r>
        <w:t xml:space="preserve"> document also refers briefly to certain aspects that are directly relevant to PSRs, e.g. facilities built to earlier standards (paragraph</w:t>
      </w:r>
      <w:r w:rsidR="00815D04">
        <w:t xml:space="preserve"> </w:t>
      </w:r>
      <w:r>
        <w:t>33 of [</w:t>
      </w:r>
      <w:r w:rsidR="00AA43B5">
        <w:t>4</w:t>
      </w:r>
      <w:r>
        <w:t>]) and ageing (paragraph 3</w:t>
      </w:r>
      <w:r w:rsidR="004B070C">
        <w:t>5</w:t>
      </w:r>
      <w:r w:rsidR="00AA43B5">
        <w:t xml:space="preserve"> of [4</w:t>
      </w:r>
      <w:r>
        <w:t>]).</w:t>
      </w:r>
      <w:r w:rsidR="00D951C6">
        <w:t xml:space="preserve"> </w:t>
      </w:r>
      <w:r w:rsidR="00DC01C5">
        <w:t xml:space="preserve">The SAPs also refer to continuous improvement and PSRs, </w:t>
      </w:r>
      <w:r w:rsidR="00815D04">
        <w:t>(</w:t>
      </w:r>
      <w:r w:rsidR="00DC01C5">
        <w:t>paragraphs 36 to 38 [</w:t>
      </w:r>
      <w:r w:rsidR="00AA43B5">
        <w:t>4</w:t>
      </w:r>
      <w:r w:rsidR="00815D04">
        <w:t>])</w:t>
      </w:r>
      <w:r w:rsidR="00925A4A">
        <w:t xml:space="preserve"> and validity of equipment qualification (EMT.4)</w:t>
      </w:r>
      <w:r w:rsidR="00E62D72">
        <w:t xml:space="preserve"> et al</w:t>
      </w:r>
      <w:r w:rsidR="00DC01C5">
        <w:t>.</w:t>
      </w:r>
      <w:r w:rsidR="00A65FA7">
        <w:t xml:space="preserve"> </w:t>
      </w:r>
    </w:p>
    <w:p w14:paraId="79A3B6DD" w14:textId="77777777" w:rsidR="0063719B" w:rsidRDefault="0063719B" w:rsidP="0063719B">
      <w:pPr>
        <w:pStyle w:val="Heading2"/>
        <w:numPr>
          <w:ilvl w:val="0"/>
          <w:numId w:val="0"/>
        </w:numPr>
        <w:spacing w:before="120" w:after="240"/>
        <w:ind w:firstLine="720"/>
      </w:pPr>
      <w:bookmarkStart w:id="5" w:name="_Toc43460807"/>
      <w:r>
        <w:t>WENRA Safety Reference Levels</w:t>
      </w:r>
      <w:bookmarkEnd w:id="5"/>
    </w:p>
    <w:p w14:paraId="79A3B6DE" w14:textId="11CD9E23" w:rsidR="0063719B" w:rsidRDefault="0063719B" w:rsidP="0063719B">
      <w:pPr>
        <w:pStyle w:val="NumberedParagraph"/>
        <w:tabs>
          <w:tab w:val="num" w:pos="-31680"/>
        </w:tabs>
        <w:ind w:left="720"/>
        <w:jc w:val="both"/>
      </w:pPr>
      <w:r>
        <w:t xml:space="preserve">The objective of the Western European Nuclear Regulators’ Association (WENRA) is to develop a common approach to nuclear safety in Europe by comparing national approaches to the application of the International Atomic Energy Agency (IAEA) safety standards. To this end WENRA has developed Safety Reference Levels (SRL) for reactors, decommissioning and waste management and spent fuel storage. </w:t>
      </w:r>
      <w:r w:rsidRPr="00EB5120">
        <w:t xml:space="preserve">The </w:t>
      </w:r>
      <w:r>
        <w:t>SRL</w:t>
      </w:r>
      <w:r w:rsidRPr="00EB5120">
        <w:t xml:space="preserve"> for reactors only apply to existing civil nuclear reactors</w:t>
      </w:r>
      <w:r>
        <w:t>;</w:t>
      </w:r>
      <w:r w:rsidRPr="00EB5120">
        <w:t xml:space="preserve"> </w:t>
      </w:r>
      <w:r>
        <w:t>t</w:t>
      </w:r>
      <w:r w:rsidRPr="00EB5120">
        <w:t xml:space="preserve">he decommissioning </w:t>
      </w:r>
      <w:r>
        <w:t xml:space="preserve">SRL </w:t>
      </w:r>
      <w:r w:rsidRPr="00EB5120">
        <w:t>apply to all types of nuclear facilities and cover all stages in the lifecycle.</w:t>
      </w:r>
      <w:r w:rsidR="00D951C6">
        <w:t xml:space="preserve"> </w:t>
      </w:r>
      <w:r w:rsidRPr="00EB5120">
        <w:t xml:space="preserve">The storage </w:t>
      </w:r>
      <w:r>
        <w:t xml:space="preserve">SRL </w:t>
      </w:r>
      <w:r w:rsidRPr="00EB5120">
        <w:t>apply to facilities where radioactive waste or spent fuel is stored for a significant period of time.</w:t>
      </w:r>
      <w:r w:rsidR="00D951C6">
        <w:t xml:space="preserve"> </w:t>
      </w:r>
      <w:r w:rsidRPr="00EB5120">
        <w:t xml:space="preserve">The UK is a member of WENRA, has formally signed on to the </w:t>
      </w:r>
      <w:r>
        <w:t xml:space="preserve">SRL </w:t>
      </w:r>
      <w:r w:rsidRPr="00EB5120">
        <w:t xml:space="preserve">and, </w:t>
      </w:r>
      <w:r w:rsidR="007F3A5C">
        <w:t>as described in [</w:t>
      </w:r>
      <w:r w:rsidR="00AA43B5">
        <w:t>5</w:t>
      </w:r>
      <w:r>
        <w:t>]</w:t>
      </w:r>
      <w:r w:rsidRPr="00D46D20">
        <w:t>, we regard them as good practice</w:t>
      </w:r>
      <w:r w:rsidR="009A0C6B">
        <w:t xml:space="preserve"> that is relevant to the UK nuclear industry</w:t>
      </w:r>
      <w:r w:rsidRPr="00D46D20">
        <w:t xml:space="preserve"> and expect them to be followed. PSRs are</w:t>
      </w:r>
      <w:r>
        <w:t xml:space="preserve"> directly addressed in Issue P of WENRA’s report on reactor SRL [</w:t>
      </w:r>
      <w:r w:rsidR="00AA43B5">
        <w:t>5</w:t>
      </w:r>
      <w:r>
        <w:t xml:space="preserve">] Issue I on ageing management </w:t>
      </w:r>
      <w:r w:rsidR="00422CB0">
        <w:t xml:space="preserve">which </w:t>
      </w:r>
      <w:r>
        <w:t>also requires the PSR to confirm whether ageing and wear-out mechanisms have been correctly taken i</w:t>
      </w:r>
      <w:r w:rsidR="00AA43B5">
        <w:t>nto account</w:t>
      </w:r>
      <w:r>
        <w:t>.</w:t>
      </w:r>
      <w:r w:rsidR="00D951C6">
        <w:t xml:space="preserve"> </w:t>
      </w:r>
      <w:r>
        <w:t>The PSR requirements from WENRA reports on waste and spent fuel storage and decommissioning ([6] and [7]) have been incorporated in this guidance.</w:t>
      </w:r>
      <w:r w:rsidR="00D951C6">
        <w:t xml:space="preserve"> </w:t>
      </w:r>
      <w:r>
        <w:t>Table 1 lists the applicable WENRA requirements for nuclear power plant, waste and spent fuel storage and decommissioning, and references the sections in this guidance that pertain to those requirements.</w:t>
      </w:r>
    </w:p>
    <w:p w14:paraId="79A3B6DF" w14:textId="77777777" w:rsidR="0063719B" w:rsidRDefault="0063719B" w:rsidP="0063719B">
      <w:pPr>
        <w:pStyle w:val="Heading2"/>
        <w:numPr>
          <w:ilvl w:val="0"/>
          <w:numId w:val="0"/>
        </w:numPr>
        <w:spacing w:before="120" w:after="240"/>
        <w:ind w:firstLine="720"/>
      </w:pPr>
      <w:bookmarkStart w:id="6" w:name="_Toc43460808"/>
      <w:r>
        <w:t>IAEA Safety Standards</w:t>
      </w:r>
      <w:bookmarkEnd w:id="6"/>
    </w:p>
    <w:p w14:paraId="79A3B6E0" w14:textId="77777777" w:rsidR="00422CB0" w:rsidRDefault="00422CB0" w:rsidP="00420EDE">
      <w:pPr>
        <w:pStyle w:val="NumberedParagraph"/>
        <w:tabs>
          <w:tab w:val="num" w:pos="-31680"/>
        </w:tabs>
        <w:ind w:left="720"/>
        <w:jc w:val="both"/>
      </w:pPr>
      <w:r>
        <w:t xml:space="preserve">In addition to the indirect WENRA route, published IAEA guidance directly establishes good practice that is relevant to the UK nuclear industry. General Safety Requirements GSR Part 4 </w:t>
      </w:r>
      <w:r w:rsidR="00AA43B5">
        <w:t>[8</w:t>
      </w:r>
      <w:r>
        <w:t xml:space="preserve">] Requirement 24 states that safety assessment shall be periodically reviewed and updated, whilst also observing that safety assessment itself cannot achieve safety. It states that safety can only be achieved if the input assumptions remain valid, the derived limits and conditions are implemented and maintained, and the assessment reflects the facility or activity as it actually is at any point in time. </w:t>
      </w:r>
    </w:p>
    <w:p w14:paraId="79A3B6E1" w14:textId="77777777" w:rsidR="00422CB0" w:rsidRDefault="00422CB0" w:rsidP="00420EDE">
      <w:pPr>
        <w:pStyle w:val="NumberedParagraph"/>
        <w:tabs>
          <w:tab w:val="num" w:pos="-31680"/>
        </w:tabs>
        <w:ind w:left="720"/>
        <w:jc w:val="both"/>
      </w:pPr>
      <w:r>
        <w:t>Facility-specific requirements on PSRs, updated following the Fukushima accident, is provided in SSR-2/2 Safety of Nuclear Power Plants: Commissioning and Operation [</w:t>
      </w:r>
      <w:r w:rsidR="00AA43B5">
        <w:t>9</w:t>
      </w:r>
      <w:r>
        <w:t>].  It contains a short chapter (Requirement 12) setting out the requirements for a PSR, all of which are included in the WENRA SRLs. Similar facility-specific requirements are also published in SSR-4 on Safety of Nuclear Fuel Cycle Facilities [</w:t>
      </w:r>
      <w:r w:rsidR="00AA43B5">
        <w:t>1</w:t>
      </w:r>
      <w:r w:rsidR="00A400E4">
        <w:t>0</w:t>
      </w:r>
      <w:r>
        <w:t>] and SSR-3 on the Safety of Research Reactors [1</w:t>
      </w:r>
      <w:r w:rsidR="00A400E4">
        <w:t>1</w:t>
      </w:r>
      <w:r>
        <w:t>].</w:t>
      </w:r>
    </w:p>
    <w:p w14:paraId="79A3B6E3" w14:textId="77777777" w:rsidR="00422CB0" w:rsidRDefault="00422CB0" w:rsidP="00420EDE">
      <w:pPr>
        <w:pStyle w:val="NumberedParagraph"/>
        <w:tabs>
          <w:tab w:val="num" w:pos="-31680"/>
        </w:tabs>
        <w:ind w:left="720"/>
        <w:jc w:val="both"/>
      </w:pPr>
      <w:r>
        <w:t>SSR2/2 is supported by a Specific Safety Guide (SSG) on PSRs [12] which, in an earlier draft form, informed the development of the WENRA SRLs. The SSG states in paragraph 2.9 that: “The objective of PSR is to determine by means of a comprehensive assessment:</w:t>
      </w:r>
    </w:p>
    <w:p w14:paraId="79A3B6E4" w14:textId="77777777" w:rsidR="00422CB0" w:rsidRPr="00420EDE" w:rsidRDefault="00422CB0" w:rsidP="00420EDE">
      <w:pPr>
        <w:pStyle w:val="ONRSquareBullet1"/>
        <w:tabs>
          <w:tab w:val="left" w:pos="880"/>
        </w:tabs>
        <w:spacing w:after="120"/>
        <w:rPr>
          <w:color w:val="auto"/>
        </w:rPr>
      </w:pPr>
      <w:r w:rsidRPr="00420EDE">
        <w:rPr>
          <w:color w:val="auto"/>
        </w:rPr>
        <w:t>The adequacy and effectiveness of the arrangements and the structures, systems and components (equipment) that are in place to ensure plant safety until the next PSR or, where appropriate, until the end of planned operation (that is, if the nuclear power plant will cease operation before the next PSR is due);</w:t>
      </w:r>
    </w:p>
    <w:p w14:paraId="79A3B6E5" w14:textId="77777777" w:rsidR="00422CB0" w:rsidRPr="00420EDE" w:rsidRDefault="00422CB0" w:rsidP="00420EDE">
      <w:pPr>
        <w:pStyle w:val="ONRSquareBullet1"/>
        <w:tabs>
          <w:tab w:val="left" w:pos="880"/>
        </w:tabs>
        <w:spacing w:after="120"/>
        <w:rPr>
          <w:color w:val="auto"/>
        </w:rPr>
      </w:pPr>
      <w:r w:rsidRPr="00420EDE">
        <w:rPr>
          <w:color w:val="auto"/>
        </w:rPr>
        <w:t xml:space="preserve">The extent to which the plant conforms to current national and/or international safety standards and operating practices; </w:t>
      </w:r>
    </w:p>
    <w:p w14:paraId="79A3B6E6" w14:textId="77777777" w:rsidR="00422CB0" w:rsidRPr="00420EDE" w:rsidRDefault="00422CB0" w:rsidP="00420EDE">
      <w:pPr>
        <w:pStyle w:val="ONRSquareBullet1"/>
        <w:tabs>
          <w:tab w:val="left" w:pos="880"/>
        </w:tabs>
        <w:spacing w:after="120"/>
        <w:rPr>
          <w:color w:val="auto"/>
        </w:rPr>
      </w:pPr>
      <w:r w:rsidRPr="00420EDE">
        <w:rPr>
          <w:color w:val="auto"/>
        </w:rPr>
        <w:t>Safety improvements and timescales for their implementation;</w:t>
      </w:r>
    </w:p>
    <w:p w14:paraId="79A3B6E7" w14:textId="77777777" w:rsidR="00422CB0" w:rsidRPr="00420EDE" w:rsidRDefault="00422CB0" w:rsidP="00420EDE">
      <w:pPr>
        <w:pStyle w:val="ONRSquareBullet1"/>
        <w:tabs>
          <w:tab w:val="left" w:pos="880"/>
        </w:tabs>
        <w:spacing w:after="120"/>
        <w:rPr>
          <w:color w:val="auto"/>
        </w:rPr>
      </w:pPr>
      <w:r w:rsidRPr="00420EDE">
        <w:rPr>
          <w:color w:val="auto"/>
        </w:rPr>
        <w:t>The extent to which the safety documentation, including the licensing basis, remains valid.”</w:t>
      </w:r>
    </w:p>
    <w:p w14:paraId="79A3B6E8" w14:textId="77777777" w:rsidR="00422CB0" w:rsidRDefault="00422CB0" w:rsidP="00422CB0">
      <w:pPr>
        <w:spacing w:after="0"/>
      </w:pPr>
      <w:r>
        <w:t xml:space="preserve">                </w:t>
      </w:r>
    </w:p>
    <w:p w14:paraId="79A3B6E9" w14:textId="77777777" w:rsidR="00422CB0" w:rsidRDefault="00422CB0" w:rsidP="00420EDE">
      <w:pPr>
        <w:pStyle w:val="NumberedParagraph"/>
        <w:tabs>
          <w:tab w:val="num" w:pos="-31680"/>
        </w:tabs>
        <w:ind w:left="720"/>
        <w:jc w:val="both"/>
      </w:pPr>
      <w:r>
        <w:t>The IAEA SSG on PSR [12] also discusses a means by which the PSR may be conducted through the application of 14 safety factors which can be applied to the facility and licensee’s organisation, at paragraph 2.12. These safety factors have been selected on the basis of international experience and are intended to cover all aspects important to the safety of an operating nuclear power plant. The safety factors are broken down into five groups covering:</w:t>
      </w:r>
    </w:p>
    <w:p w14:paraId="79A3B6EA" w14:textId="77777777" w:rsidR="00422CB0" w:rsidRPr="00420EDE" w:rsidRDefault="00422CB0" w:rsidP="00420EDE">
      <w:pPr>
        <w:pStyle w:val="ONRSquareBullet1"/>
        <w:tabs>
          <w:tab w:val="left" w:pos="880"/>
        </w:tabs>
        <w:spacing w:after="120"/>
        <w:rPr>
          <w:color w:val="auto"/>
        </w:rPr>
      </w:pPr>
      <w:r w:rsidRPr="00420EDE">
        <w:rPr>
          <w:color w:val="auto"/>
        </w:rPr>
        <w:t>Safety factors relating to the plant</w:t>
      </w:r>
    </w:p>
    <w:p w14:paraId="79A3B6EB" w14:textId="77777777" w:rsidR="00422CB0" w:rsidRPr="00420EDE" w:rsidRDefault="00422CB0" w:rsidP="00420EDE">
      <w:pPr>
        <w:pStyle w:val="ONRSquareBullet1"/>
        <w:tabs>
          <w:tab w:val="left" w:pos="880"/>
        </w:tabs>
        <w:spacing w:after="120"/>
        <w:rPr>
          <w:color w:val="auto"/>
        </w:rPr>
      </w:pPr>
      <w:r w:rsidRPr="00420EDE">
        <w:rPr>
          <w:color w:val="auto"/>
        </w:rPr>
        <w:t>Safety factors relating to safety analysis</w:t>
      </w:r>
    </w:p>
    <w:p w14:paraId="79A3B6EC" w14:textId="77777777" w:rsidR="00422CB0" w:rsidRPr="00420EDE" w:rsidRDefault="00422CB0" w:rsidP="00420EDE">
      <w:pPr>
        <w:pStyle w:val="ONRSquareBullet1"/>
        <w:tabs>
          <w:tab w:val="left" w:pos="880"/>
        </w:tabs>
        <w:spacing w:after="120"/>
        <w:rPr>
          <w:color w:val="auto"/>
        </w:rPr>
      </w:pPr>
      <w:r w:rsidRPr="00420EDE">
        <w:rPr>
          <w:color w:val="auto"/>
        </w:rPr>
        <w:t>Safety factors relating to performance and feedback of experience</w:t>
      </w:r>
    </w:p>
    <w:p w14:paraId="79A3B6ED" w14:textId="77777777" w:rsidR="00422CB0" w:rsidRPr="00420EDE" w:rsidRDefault="00422CB0" w:rsidP="00420EDE">
      <w:pPr>
        <w:pStyle w:val="ONRSquareBullet1"/>
        <w:tabs>
          <w:tab w:val="left" w:pos="880"/>
        </w:tabs>
        <w:spacing w:after="120"/>
        <w:rPr>
          <w:color w:val="auto"/>
        </w:rPr>
      </w:pPr>
      <w:r w:rsidRPr="00420EDE">
        <w:rPr>
          <w:color w:val="auto"/>
        </w:rPr>
        <w:t>Safety factors relating to management</w:t>
      </w:r>
    </w:p>
    <w:p w14:paraId="79A3B6EE" w14:textId="77777777" w:rsidR="00422CB0" w:rsidRPr="00420EDE" w:rsidRDefault="00422CB0" w:rsidP="00420EDE">
      <w:pPr>
        <w:pStyle w:val="ONRSquareBullet1"/>
        <w:tabs>
          <w:tab w:val="left" w:pos="880"/>
        </w:tabs>
        <w:spacing w:after="120"/>
        <w:rPr>
          <w:color w:val="auto"/>
        </w:rPr>
      </w:pPr>
      <w:r w:rsidRPr="00420EDE">
        <w:rPr>
          <w:color w:val="auto"/>
        </w:rPr>
        <w:t>Safety factors relating to the environment</w:t>
      </w:r>
    </w:p>
    <w:p w14:paraId="79A3B6EF" w14:textId="77777777" w:rsidR="00422CB0" w:rsidRDefault="00422CB0" w:rsidP="00422CB0">
      <w:pPr>
        <w:spacing w:after="0"/>
      </w:pPr>
    </w:p>
    <w:p w14:paraId="79A3B6F0" w14:textId="77777777" w:rsidR="00422CB0" w:rsidRDefault="00422CB0" w:rsidP="00420EDE">
      <w:pPr>
        <w:pStyle w:val="NumberedParagraph"/>
        <w:tabs>
          <w:tab w:val="num" w:pos="-31680"/>
        </w:tabs>
        <w:ind w:left="720"/>
        <w:jc w:val="both"/>
      </w:pPr>
      <w:r>
        <w:t>Licensees should make their own arrangements for conducting PSRs (LC15) however reference to these safety factors may provide a useful prompt when defining the processes for undertaking such reviews.</w:t>
      </w:r>
    </w:p>
    <w:p w14:paraId="79A3B6F1" w14:textId="77777777" w:rsidR="00495A13" w:rsidRDefault="00422CB0" w:rsidP="00420EDE">
      <w:pPr>
        <w:pStyle w:val="NumberedParagraph"/>
        <w:tabs>
          <w:tab w:val="num" w:pos="-31680"/>
        </w:tabs>
        <w:ind w:left="720"/>
        <w:jc w:val="both"/>
      </w:pPr>
      <w:r>
        <w:t>Although SSG-25 is targeted at nuclear power plants, the essential philosophy and principles employed may be applied to all nuclear facilities. The IAEA safety standards (requirements and safety guides) were the benchmark for the revision of the SAPs in 2006, 2014 and 2020 and are recognised by the ONR as good practice that is relevant to the UK nuclear industry. They should therefore be consulted, where appropriate, by the ONR assessor.</w:t>
      </w:r>
      <w:r w:rsidR="00495A13">
        <w:br w:type="page"/>
      </w:r>
    </w:p>
    <w:p w14:paraId="79A3B6F2" w14:textId="77777777" w:rsidR="0063719B" w:rsidRDefault="0063719B" w:rsidP="0063719B">
      <w:pPr>
        <w:pStyle w:val="NumberedHeading"/>
        <w:ind w:left="720"/>
      </w:pPr>
      <w:bookmarkStart w:id="7" w:name="_Toc43460809"/>
      <w:r>
        <w:t>Advice to Inspectors</w:t>
      </w:r>
      <w:bookmarkEnd w:id="7"/>
    </w:p>
    <w:p w14:paraId="79A3B6F3" w14:textId="77777777" w:rsidR="0063719B" w:rsidRDefault="0063719B" w:rsidP="0063719B">
      <w:pPr>
        <w:pStyle w:val="Heading2"/>
        <w:numPr>
          <w:ilvl w:val="0"/>
          <w:numId w:val="0"/>
        </w:numPr>
        <w:spacing w:before="120" w:after="240"/>
        <w:ind w:firstLine="720"/>
      </w:pPr>
      <w:bookmarkStart w:id="8" w:name="_Toc43460810"/>
      <w:r>
        <w:t>Purpose of a PSR</w:t>
      </w:r>
      <w:bookmarkEnd w:id="8"/>
    </w:p>
    <w:p w14:paraId="79A3B6F4" w14:textId="77777777" w:rsidR="0063719B" w:rsidRPr="00751609" w:rsidRDefault="0063719B" w:rsidP="0063719B">
      <w:pPr>
        <w:pStyle w:val="NumberedParagraph"/>
        <w:tabs>
          <w:tab w:val="num" w:pos="-31680"/>
        </w:tabs>
        <w:ind w:left="720"/>
        <w:jc w:val="both"/>
      </w:pPr>
      <w:r>
        <w:t>The purpose of a PSR, in line with IAEA guidance [</w:t>
      </w:r>
      <w:r w:rsidR="00D2334D">
        <w:t>1</w:t>
      </w:r>
      <w:r w:rsidR="00B874EA">
        <w:t>2</w:t>
      </w:r>
      <w:r>
        <w:t xml:space="preserve">], is to determine, by means of a </w:t>
      </w:r>
      <w:r w:rsidR="00D2252E">
        <w:t xml:space="preserve">comprehensive but </w:t>
      </w:r>
      <w:r w:rsidR="009F72DF">
        <w:t>proportionate</w:t>
      </w:r>
      <w:r w:rsidRPr="00751609">
        <w:t xml:space="preserve"> assessment:</w:t>
      </w:r>
    </w:p>
    <w:p w14:paraId="79A3B6F5" w14:textId="77777777" w:rsidR="0063719B" w:rsidRPr="00751609" w:rsidRDefault="0063719B" w:rsidP="0063719B">
      <w:pPr>
        <w:pStyle w:val="ONRSquareBullet1"/>
        <w:tabs>
          <w:tab w:val="left" w:pos="880"/>
        </w:tabs>
        <w:spacing w:after="120"/>
        <w:rPr>
          <w:color w:val="auto"/>
        </w:rPr>
      </w:pPr>
      <w:r w:rsidRPr="00751609">
        <w:rPr>
          <w:color w:val="auto"/>
        </w:rPr>
        <w:t>The extent to which the nuclear facility and the safety cas</w:t>
      </w:r>
      <w:r w:rsidR="00EB7E73">
        <w:rPr>
          <w:color w:val="auto"/>
        </w:rPr>
        <w:t>e conform to</w:t>
      </w:r>
      <w:r w:rsidR="009F72DF">
        <w:rPr>
          <w:color w:val="auto"/>
        </w:rPr>
        <w:t xml:space="preserve"> </w:t>
      </w:r>
      <w:r w:rsidR="00EB7E73">
        <w:rPr>
          <w:color w:val="auto"/>
        </w:rPr>
        <w:t>good practice</w:t>
      </w:r>
      <w:r w:rsidR="00861196">
        <w:rPr>
          <w:color w:val="auto"/>
        </w:rPr>
        <w:t xml:space="preserve"> that is relevant to the UK nuclear industry</w:t>
      </w:r>
      <w:r w:rsidRPr="00751609">
        <w:rPr>
          <w:color w:val="auto"/>
        </w:rPr>
        <w:t>.</w:t>
      </w:r>
    </w:p>
    <w:p w14:paraId="79A3B6F6" w14:textId="77777777" w:rsidR="0063719B" w:rsidRPr="00751609" w:rsidRDefault="0063719B" w:rsidP="0063719B">
      <w:pPr>
        <w:pStyle w:val="ONRSquareBullet1"/>
        <w:tabs>
          <w:tab w:val="left" w:pos="880"/>
        </w:tabs>
        <w:spacing w:after="120"/>
        <w:rPr>
          <w:color w:val="auto"/>
        </w:rPr>
      </w:pPr>
      <w:r w:rsidRPr="00751609">
        <w:rPr>
          <w:color w:val="auto"/>
        </w:rPr>
        <w:t>The extent to which the safety documentation, including the licensing basis, remains valid</w:t>
      </w:r>
      <w:r w:rsidR="009F72DF">
        <w:rPr>
          <w:color w:val="auto"/>
        </w:rPr>
        <w:t xml:space="preserve"> and reflects the current plant to ensure that </w:t>
      </w:r>
      <w:r w:rsidR="00B41CFF">
        <w:rPr>
          <w:color w:val="auto"/>
        </w:rPr>
        <w:t>the claims, arguments and evidence are still appropriate and the risks are managed to ALARP</w:t>
      </w:r>
      <w:r w:rsidR="00D2334D">
        <w:rPr>
          <w:color w:val="auto"/>
        </w:rPr>
        <w:t>, see TAG 00</w:t>
      </w:r>
      <w:r w:rsidR="007F3A5C">
        <w:rPr>
          <w:color w:val="auto"/>
        </w:rPr>
        <w:t xml:space="preserve">5 – ALARP </w:t>
      </w:r>
      <w:r w:rsidR="008B38ED">
        <w:rPr>
          <w:color w:val="auto"/>
        </w:rPr>
        <w:t>[</w:t>
      </w:r>
      <w:r w:rsidR="00A400E4">
        <w:rPr>
          <w:color w:val="auto"/>
        </w:rPr>
        <w:t>3</w:t>
      </w:r>
      <w:r w:rsidR="007F3A5C">
        <w:rPr>
          <w:color w:val="auto"/>
        </w:rPr>
        <w:t>]</w:t>
      </w:r>
      <w:r w:rsidRPr="00751609">
        <w:rPr>
          <w:color w:val="auto"/>
        </w:rPr>
        <w:t>.</w:t>
      </w:r>
      <w:r w:rsidRPr="00751609">
        <w:rPr>
          <w:color w:val="auto"/>
        </w:rPr>
        <w:br/>
        <w:t>Unlike some other countries with more prescriptive regulatory regimes, the UK did not establish a formal “licensing basis” for many plants currently operating or being decommissioned.</w:t>
      </w:r>
      <w:r w:rsidR="00D951C6">
        <w:rPr>
          <w:color w:val="auto"/>
        </w:rPr>
        <w:t xml:space="preserve"> </w:t>
      </w:r>
      <w:r w:rsidRPr="00751609">
        <w:rPr>
          <w:color w:val="auto"/>
        </w:rPr>
        <w:t xml:space="preserve">However, there are instances where licenses have been granted assuming certain continuing arrangements, for example the provision of supporting skills and facilities </w:t>
      </w:r>
      <w:r w:rsidR="008B38ED">
        <w:rPr>
          <w:color w:val="auto"/>
        </w:rPr>
        <w:t>f</w:t>
      </w:r>
      <w:r w:rsidRPr="00751609">
        <w:rPr>
          <w:color w:val="auto"/>
        </w:rPr>
        <w:t>or the sharing of dosimetry record keeping arrangements.</w:t>
      </w:r>
      <w:r w:rsidR="00D951C6">
        <w:rPr>
          <w:color w:val="auto"/>
        </w:rPr>
        <w:t xml:space="preserve"> </w:t>
      </w:r>
      <w:r w:rsidRPr="00751609">
        <w:rPr>
          <w:color w:val="auto"/>
        </w:rPr>
        <w:t>A PSR should ensure that these arrangements still exist or have been replaced with something that is adequate.</w:t>
      </w:r>
    </w:p>
    <w:p w14:paraId="79A3B6F7" w14:textId="77777777" w:rsidR="0063719B" w:rsidRPr="00751609" w:rsidRDefault="0063719B" w:rsidP="0063719B">
      <w:pPr>
        <w:pStyle w:val="ONRSquareBullet1"/>
        <w:tabs>
          <w:tab w:val="left" w:pos="880"/>
        </w:tabs>
        <w:spacing w:after="120"/>
        <w:rPr>
          <w:color w:val="auto"/>
        </w:rPr>
      </w:pPr>
      <w:r w:rsidRPr="00751609">
        <w:rPr>
          <w:color w:val="auto"/>
        </w:rPr>
        <w:t xml:space="preserve">The adequacy </w:t>
      </w:r>
      <w:r w:rsidR="00047AC6">
        <w:rPr>
          <w:color w:val="auto"/>
        </w:rPr>
        <w:t xml:space="preserve">and efficacy </w:t>
      </w:r>
      <w:r w:rsidRPr="00751609">
        <w:rPr>
          <w:color w:val="auto"/>
        </w:rPr>
        <w:t xml:space="preserve">of the arrangements </w:t>
      </w:r>
      <w:r w:rsidR="00047AC6">
        <w:rPr>
          <w:color w:val="auto"/>
        </w:rPr>
        <w:t xml:space="preserve">and </w:t>
      </w:r>
      <w:r w:rsidR="000852F7" w:rsidRPr="00084490">
        <w:rPr>
          <w:color w:val="auto"/>
        </w:rPr>
        <w:t>structures, systems and components</w:t>
      </w:r>
      <w:r w:rsidR="000852F7">
        <w:rPr>
          <w:color w:val="auto"/>
        </w:rPr>
        <w:t xml:space="preserve"> (</w:t>
      </w:r>
      <w:r w:rsidR="00047AC6">
        <w:rPr>
          <w:color w:val="auto"/>
        </w:rPr>
        <w:t>SSC</w:t>
      </w:r>
      <w:r w:rsidR="000852F7">
        <w:rPr>
          <w:color w:val="auto"/>
        </w:rPr>
        <w:t>)</w:t>
      </w:r>
      <w:r w:rsidR="00047AC6">
        <w:rPr>
          <w:color w:val="auto"/>
        </w:rPr>
        <w:t xml:space="preserve"> </w:t>
      </w:r>
      <w:r w:rsidRPr="00751609">
        <w:rPr>
          <w:color w:val="auto"/>
        </w:rPr>
        <w:t>in place to maintain safety until the next PSR or the end of life</w:t>
      </w:r>
      <w:r w:rsidR="003072AF">
        <w:rPr>
          <w:color w:val="auto"/>
        </w:rPr>
        <w:t xml:space="preserve"> (which may include decommissioning)</w:t>
      </w:r>
      <w:r w:rsidRPr="00751609">
        <w:rPr>
          <w:color w:val="auto"/>
        </w:rPr>
        <w:t>.</w:t>
      </w:r>
    </w:p>
    <w:p w14:paraId="79A3B6F8" w14:textId="77777777" w:rsidR="0063719B" w:rsidRPr="00751609" w:rsidRDefault="0063719B" w:rsidP="0063719B">
      <w:pPr>
        <w:pStyle w:val="ONRSquareBullet1"/>
        <w:tabs>
          <w:tab w:val="left" w:pos="880"/>
        </w:tabs>
        <w:spacing w:after="120"/>
        <w:rPr>
          <w:color w:val="auto"/>
        </w:rPr>
      </w:pPr>
      <w:r w:rsidRPr="00751609">
        <w:rPr>
          <w:color w:val="auto"/>
        </w:rPr>
        <w:t>Safety improvements to be implemented to resolve safety issues.</w:t>
      </w:r>
    </w:p>
    <w:p w14:paraId="79A3B6F9" w14:textId="0290ABC5" w:rsidR="0063719B" w:rsidRDefault="00004D59" w:rsidP="00004D59">
      <w:pPr>
        <w:pStyle w:val="NumberedParagraph"/>
        <w:tabs>
          <w:tab w:val="num" w:pos="-31680"/>
        </w:tabs>
        <w:ind w:left="720"/>
        <w:jc w:val="both"/>
      </w:pPr>
      <w:r w:rsidRPr="00420EDE">
        <w:t>The term ‘safety case’ is used throughout this document to encompass the</w:t>
      </w:r>
      <w:r>
        <w:t xml:space="preserve"> </w:t>
      </w:r>
      <w:r w:rsidRPr="00420EDE">
        <w:t>totality of the documentation developed by a designer, licensee or duty-holder to</w:t>
      </w:r>
      <w:r>
        <w:t xml:space="preserve"> </w:t>
      </w:r>
      <w:r w:rsidRPr="00420EDE">
        <w:t xml:space="preserve">demonstrate </w:t>
      </w:r>
      <w:r w:rsidR="00AB25AC">
        <w:t>adequate</w:t>
      </w:r>
      <w:r w:rsidRPr="00420EDE">
        <w:t xml:space="preserve"> standards of nuclear safety and radioactive waste management,</w:t>
      </w:r>
      <w:r>
        <w:t xml:space="preserve"> </w:t>
      </w:r>
      <w:r w:rsidRPr="00420EDE">
        <w:t>and any subset of this documentation that is submitted to the ONR.</w:t>
      </w:r>
      <w:r w:rsidRPr="00751609" w:rsidDel="00004D59">
        <w:t xml:space="preserve"> </w:t>
      </w:r>
    </w:p>
    <w:p w14:paraId="79A3B6FA" w14:textId="77777777" w:rsidR="0063719B" w:rsidRDefault="0063719B" w:rsidP="009C03E8">
      <w:pPr>
        <w:pStyle w:val="Heading2"/>
        <w:numPr>
          <w:ilvl w:val="0"/>
          <w:numId w:val="0"/>
        </w:numPr>
        <w:spacing w:before="120" w:after="240"/>
        <w:ind w:firstLine="720"/>
      </w:pPr>
      <w:r>
        <w:t xml:space="preserve">Principal </w:t>
      </w:r>
      <w:r w:rsidR="00F26420">
        <w:t>Tasks Associated with</w:t>
      </w:r>
      <w:r>
        <w:t xml:space="preserve"> a PSR</w:t>
      </w:r>
    </w:p>
    <w:p w14:paraId="79A3B6FB" w14:textId="77777777" w:rsidR="0063719B" w:rsidRDefault="0063719B" w:rsidP="0063719B">
      <w:pPr>
        <w:pStyle w:val="NumberedParagraph"/>
        <w:tabs>
          <w:tab w:val="num" w:pos="-31680"/>
        </w:tabs>
        <w:ind w:left="720"/>
        <w:jc w:val="both"/>
      </w:pPr>
      <w:r>
        <w:t>Primarily a PSR should be of value to the licensee as an integral part of the company’s approach to risk management.</w:t>
      </w:r>
      <w:r w:rsidR="00D951C6">
        <w:t xml:space="preserve"> </w:t>
      </w:r>
      <w:r>
        <w:t>It should be documented and structured to be accessible and useable at different management and operational levels within the licensee’s organisation.</w:t>
      </w:r>
      <w:r w:rsidR="00D951C6">
        <w:t xml:space="preserve"> </w:t>
      </w:r>
      <w:r>
        <w:t>It should not be aimed solely or specifically at the regulator.</w:t>
      </w:r>
    </w:p>
    <w:p w14:paraId="79A3B6FC" w14:textId="77777777" w:rsidR="008D57F0" w:rsidRDefault="008D57F0" w:rsidP="0063719B">
      <w:pPr>
        <w:pStyle w:val="NumberedParagraph"/>
        <w:tabs>
          <w:tab w:val="num" w:pos="-31680"/>
        </w:tabs>
        <w:ind w:left="720"/>
        <w:jc w:val="both"/>
      </w:pPr>
      <w:r>
        <w:t xml:space="preserve">In order to achieve the above, it is vital that the process is owned and led by the safety case owner (typically the facility manager who may delegate this responsibility to a safety case manager). It is also important that facility personnel are involved in the </w:t>
      </w:r>
      <w:r w:rsidR="005A5462">
        <w:t>PSR</w:t>
      </w:r>
      <w:r>
        <w:t xml:space="preserve"> when:</w:t>
      </w:r>
    </w:p>
    <w:p w14:paraId="79A3B6FD" w14:textId="77777777" w:rsidR="008D57F0" w:rsidRPr="008B38ED" w:rsidRDefault="008D57F0" w:rsidP="00084490">
      <w:pPr>
        <w:pStyle w:val="ONRSquareBullet1"/>
        <w:tabs>
          <w:tab w:val="left" w:pos="880"/>
        </w:tabs>
        <w:spacing w:after="120"/>
        <w:rPr>
          <w:color w:val="auto"/>
        </w:rPr>
      </w:pPr>
      <w:r w:rsidRPr="008B38ED">
        <w:rPr>
          <w:color w:val="auto"/>
        </w:rPr>
        <w:t>Determining the scope of current and future operations</w:t>
      </w:r>
      <w:r w:rsidR="007F7973">
        <w:rPr>
          <w:color w:val="auto"/>
        </w:rPr>
        <w:t>.</w:t>
      </w:r>
    </w:p>
    <w:p w14:paraId="79A3B6FE" w14:textId="77777777" w:rsidR="008D57F0" w:rsidRPr="008B38ED" w:rsidRDefault="008D57F0" w:rsidP="00084490">
      <w:pPr>
        <w:pStyle w:val="ONRSquareBullet1"/>
        <w:tabs>
          <w:tab w:val="left" w:pos="880"/>
        </w:tabs>
        <w:spacing w:after="120"/>
        <w:rPr>
          <w:color w:val="auto"/>
        </w:rPr>
      </w:pPr>
      <w:r w:rsidRPr="008B38ED">
        <w:rPr>
          <w:color w:val="auto"/>
        </w:rPr>
        <w:t>Reviewing the adequacy of operating instructions and procedures</w:t>
      </w:r>
      <w:r w:rsidR="007F7973">
        <w:rPr>
          <w:color w:val="auto"/>
        </w:rPr>
        <w:t>.</w:t>
      </w:r>
    </w:p>
    <w:p w14:paraId="79A3B6FF" w14:textId="77777777" w:rsidR="008D57F0" w:rsidRPr="008B38ED" w:rsidRDefault="008D57F0" w:rsidP="00084490">
      <w:pPr>
        <w:pStyle w:val="ONRSquareBullet1"/>
        <w:tabs>
          <w:tab w:val="left" w:pos="880"/>
        </w:tabs>
        <w:spacing w:after="120"/>
        <w:rPr>
          <w:color w:val="auto"/>
        </w:rPr>
      </w:pPr>
      <w:r w:rsidRPr="008B38ED">
        <w:rPr>
          <w:color w:val="auto"/>
        </w:rPr>
        <w:t xml:space="preserve">Reviewing the adequacy of maintenance </w:t>
      </w:r>
      <w:r w:rsidR="005A5462" w:rsidRPr="008B38ED">
        <w:rPr>
          <w:color w:val="auto"/>
        </w:rPr>
        <w:t>arrangements</w:t>
      </w:r>
      <w:r w:rsidRPr="008B38ED">
        <w:rPr>
          <w:color w:val="auto"/>
        </w:rPr>
        <w:t xml:space="preserve"> </w:t>
      </w:r>
      <w:r w:rsidR="005A5462">
        <w:rPr>
          <w:color w:val="auto"/>
        </w:rPr>
        <w:t xml:space="preserve">and </w:t>
      </w:r>
      <w:r w:rsidRPr="008B38ED">
        <w:rPr>
          <w:color w:val="auto"/>
        </w:rPr>
        <w:t>spares availability etc.</w:t>
      </w:r>
    </w:p>
    <w:p w14:paraId="79A3B700" w14:textId="77777777" w:rsidR="008D57F0" w:rsidRDefault="007F7973" w:rsidP="007F7973">
      <w:pPr>
        <w:pStyle w:val="ONRSquareBullet1"/>
        <w:rPr>
          <w:color w:val="auto"/>
        </w:rPr>
      </w:pPr>
      <w:r w:rsidRPr="007F7973">
        <w:rPr>
          <w:color w:val="auto"/>
        </w:rPr>
        <w:t>Reviewing the adequacy of the list of potential faults and hazards identified in the safety case against extant operations</w:t>
      </w:r>
      <w:r>
        <w:rPr>
          <w:color w:val="auto"/>
        </w:rPr>
        <w:t>.</w:t>
      </w:r>
    </w:p>
    <w:p w14:paraId="79A3B701" w14:textId="77777777" w:rsidR="00646345" w:rsidRPr="008B38ED" w:rsidRDefault="00B874EA" w:rsidP="007F7973">
      <w:pPr>
        <w:pStyle w:val="ONRSquareBullet1"/>
        <w:rPr>
          <w:color w:val="auto"/>
        </w:rPr>
      </w:pPr>
      <w:r>
        <w:rPr>
          <w:color w:val="auto"/>
        </w:rPr>
        <w:t>Undertaking reviews and updates of f</w:t>
      </w:r>
      <w:r w:rsidR="00646345">
        <w:rPr>
          <w:color w:val="auto"/>
        </w:rPr>
        <w:t>ault analysis and substantiation of claims</w:t>
      </w:r>
    </w:p>
    <w:p w14:paraId="79A3B702" w14:textId="77777777" w:rsidR="00A910CE" w:rsidRPr="008B38ED" w:rsidRDefault="00A910CE" w:rsidP="00084490">
      <w:pPr>
        <w:pStyle w:val="ONRSquareBullet1"/>
        <w:tabs>
          <w:tab w:val="left" w:pos="880"/>
        </w:tabs>
        <w:spacing w:after="120"/>
        <w:rPr>
          <w:color w:val="auto"/>
        </w:rPr>
      </w:pPr>
      <w:r w:rsidRPr="008B38ED">
        <w:rPr>
          <w:color w:val="auto"/>
        </w:rPr>
        <w:t>Determining the appropriateness of best practice against facility operations</w:t>
      </w:r>
      <w:r w:rsidR="007F7973">
        <w:rPr>
          <w:color w:val="auto"/>
        </w:rPr>
        <w:t>.</w:t>
      </w:r>
    </w:p>
    <w:p w14:paraId="79A3B703" w14:textId="77777777" w:rsidR="00A910CE" w:rsidRPr="008B38ED" w:rsidRDefault="00A910CE" w:rsidP="00084490">
      <w:pPr>
        <w:pStyle w:val="ONRSquareBullet1"/>
        <w:tabs>
          <w:tab w:val="left" w:pos="880"/>
        </w:tabs>
        <w:spacing w:after="120"/>
        <w:rPr>
          <w:color w:val="auto"/>
        </w:rPr>
      </w:pPr>
      <w:r w:rsidRPr="008B38ED">
        <w:rPr>
          <w:color w:val="auto"/>
        </w:rPr>
        <w:t>Identifying solutions to shortfalls</w:t>
      </w:r>
      <w:r w:rsidR="007F7973">
        <w:rPr>
          <w:color w:val="auto"/>
        </w:rPr>
        <w:t>.</w:t>
      </w:r>
    </w:p>
    <w:p w14:paraId="79A3B704" w14:textId="77777777" w:rsidR="00A910CE" w:rsidRDefault="00A910CE" w:rsidP="00084490">
      <w:pPr>
        <w:pStyle w:val="ONRSquareBullet1"/>
        <w:numPr>
          <w:ilvl w:val="0"/>
          <w:numId w:val="0"/>
        </w:numPr>
        <w:tabs>
          <w:tab w:val="left" w:pos="880"/>
        </w:tabs>
        <w:spacing w:after="120"/>
        <w:ind w:left="1418"/>
      </w:pPr>
    </w:p>
    <w:p w14:paraId="79A3B705" w14:textId="77777777" w:rsidR="0063719B" w:rsidRDefault="0063719B" w:rsidP="0063719B">
      <w:pPr>
        <w:pStyle w:val="NumberedParagraph"/>
        <w:tabs>
          <w:tab w:val="num" w:pos="-31680"/>
        </w:tabs>
        <w:ind w:left="720"/>
        <w:jc w:val="both"/>
      </w:pPr>
      <w:r>
        <w:t>The review should be wide ranging, ‘open minded’ and challenging.</w:t>
      </w:r>
      <w:r w:rsidR="00D951C6">
        <w:t xml:space="preserve"> </w:t>
      </w:r>
      <w:r>
        <w:t xml:space="preserve">It must not be simply an assertion of </w:t>
      </w:r>
      <w:r w:rsidR="005A5462">
        <w:t xml:space="preserve">the </w:t>
      </w:r>
      <w:r>
        <w:t>safety</w:t>
      </w:r>
      <w:r w:rsidR="005A5462">
        <w:t xml:space="preserve"> of extant processes and procedures</w:t>
      </w:r>
      <w:r w:rsidR="006D5F00">
        <w:t>. It should be</w:t>
      </w:r>
      <w:r w:rsidR="002C3BC0">
        <w:t xml:space="preserve"> a proportionate consideration of where improvements to safety can be made.</w:t>
      </w:r>
      <w:r w:rsidR="00D951C6">
        <w:t xml:space="preserve"> </w:t>
      </w:r>
      <w:r>
        <w:t>The review needs to encompass organisational and management system</w:t>
      </w:r>
      <w:r w:rsidR="005A5462">
        <w:t>s</w:t>
      </w:r>
      <w:r>
        <w:t xml:space="preserve"> (people and process) aspects as well as the technical aspects of the facility.</w:t>
      </w:r>
      <w:r w:rsidR="00D951C6">
        <w:t xml:space="preserve"> </w:t>
      </w:r>
      <w:r>
        <w:t>This includes so called ‘softer issues</w:t>
      </w:r>
      <w:r w:rsidR="005A5462">
        <w:t>’ such as leadership and management for safety</w:t>
      </w:r>
      <w:r>
        <w:t xml:space="preserve"> which can have a profound effect on safety, as evidenced in the lessons from major events in the nuclear and other sectors.</w:t>
      </w:r>
    </w:p>
    <w:p w14:paraId="79A3B706" w14:textId="0504A695" w:rsidR="0063719B" w:rsidRDefault="0063719B" w:rsidP="0063719B">
      <w:pPr>
        <w:pStyle w:val="NumberedParagraph"/>
        <w:tabs>
          <w:tab w:val="num" w:pos="-31680"/>
        </w:tabs>
        <w:ind w:left="720"/>
        <w:jc w:val="both"/>
      </w:pPr>
      <w:r>
        <w:t xml:space="preserve">The principal </w:t>
      </w:r>
      <w:r w:rsidR="00F26420">
        <w:t xml:space="preserve">tasks associated with </w:t>
      </w:r>
      <w:r w:rsidR="00427C90">
        <w:t>a</w:t>
      </w:r>
      <w:r>
        <w:t xml:space="preserve"> PSR can be summarised as follows:</w:t>
      </w:r>
    </w:p>
    <w:p w14:paraId="79A3B707" w14:textId="1EB925AF" w:rsidR="00812E53" w:rsidRPr="003054C3" w:rsidRDefault="00812E53" w:rsidP="00812E53">
      <w:pPr>
        <w:pStyle w:val="ONRSquareBullet1"/>
      </w:pPr>
      <w:r>
        <w:rPr>
          <w:color w:val="auto"/>
        </w:rPr>
        <w:t xml:space="preserve">Systematically </w:t>
      </w:r>
      <w:r w:rsidRPr="00AC5C73">
        <w:rPr>
          <w:color w:val="auto"/>
        </w:rPr>
        <w:t xml:space="preserve">review the documentation that constitutes the current safety </w:t>
      </w:r>
      <w:r w:rsidR="00B874EA">
        <w:rPr>
          <w:color w:val="auto"/>
        </w:rPr>
        <w:t xml:space="preserve">case </w:t>
      </w:r>
      <w:r w:rsidRPr="00AC5C73">
        <w:rPr>
          <w:color w:val="auto"/>
        </w:rPr>
        <w:t>in a proportionate manner</w:t>
      </w:r>
      <w:r w:rsidR="003603E6">
        <w:rPr>
          <w:color w:val="auto"/>
        </w:rPr>
        <w:t xml:space="preserve"> (i.e. the depth of the review is </w:t>
      </w:r>
      <w:r w:rsidR="0091684F">
        <w:rPr>
          <w:color w:val="auto"/>
        </w:rPr>
        <w:t>commensurate</w:t>
      </w:r>
      <w:r w:rsidR="003603E6">
        <w:rPr>
          <w:color w:val="auto"/>
        </w:rPr>
        <w:t xml:space="preserve"> with the hazards associated with the plant or facility)</w:t>
      </w:r>
      <w:r w:rsidRPr="00AC5C73">
        <w:rPr>
          <w:color w:val="auto"/>
        </w:rPr>
        <w:t>, to confirm that it remains adequate</w:t>
      </w:r>
      <w:r w:rsidRPr="00CD2109">
        <w:rPr>
          <w:color w:val="auto"/>
        </w:rPr>
        <w:t xml:space="preserve">. </w:t>
      </w:r>
    </w:p>
    <w:p w14:paraId="79A3B708" w14:textId="3FE772E1" w:rsidR="00812E53" w:rsidRPr="003D37C6" w:rsidRDefault="00812E53" w:rsidP="00812E53">
      <w:pPr>
        <w:pStyle w:val="ONRSquareBullet1"/>
        <w:tabs>
          <w:tab w:val="left" w:pos="880"/>
        </w:tabs>
        <w:spacing w:after="120"/>
      </w:pPr>
      <w:r w:rsidRPr="00CD2109">
        <w:rPr>
          <w:color w:val="auto"/>
        </w:rPr>
        <w:t xml:space="preserve">Where necessary, update and revalidate the safety case as appropriate in light of the above facility reviews, to cover the period of operations up to the next PSR. </w:t>
      </w:r>
      <w:r w:rsidR="00B874EA">
        <w:rPr>
          <w:color w:val="auto"/>
        </w:rPr>
        <w:t>(</w:t>
      </w:r>
      <w:r w:rsidRPr="00CD2109">
        <w:rPr>
          <w:color w:val="auto"/>
        </w:rPr>
        <w:t>It should be noted that significant changes in the scope or type of operations covered by the facility may be planned for the future</w:t>
      </w:r>
      <w:r w:rsidR="00B874EA">
        <w:rPr>
          <w:color w:val="auto"/>
        </w:rPr>
        <w:t>. These changes</w:t>
      </w:r>
      <w:r w:rsidRPr="00CD2109">
        <w:rPr>
          <w:color w:val="auto"/>
        </w:rPr>
        <w:t xml:space="preserve"> will be covered under the LC22 arrangements for modification</w:t>
      </w:r>
      <w:r w:rsidR="00B874EA">
        <w:rPr>
          <w:color w:val="auto"/>
        </w:rPr>
        <w:t>s</w:t>
      </w:r>
      <w:r w:rsidRPr="00CD2109">
        <w:rPr>
          <w:color w:val="auto"/>
        </w:rPr>
        <w:t xml:space="preserve"> as and when they occur.</w:t>
      </w:r>
      <w:r w:rsidR="00B874EA">
        <w:rPr>
          <w:color w:val="auto"/>
        </w:rPr>
        <w:t>)</w:t>
      </w:r>
      <w:r w:rsidRPr="00CD2109">
        <w:rPr>
          <w:color w:val="auto"/>
        </w:rPr>
        <w:t xml:space="preserve"> The extent of such reviews/safety case updates will </w:t>
      </w:r>
      <w:r>
        <w:rPr>
          <w:color w:val="auto"/>
        </w:rPr>
        <w:t>be dependent upon the deficiencies</w:t>
      </w:r>
      <w:r w:rsidRPr="00CD2109">
        <w:rPr>
          <w:color w:val="auto"/>
        </w:rPr>
        <w:t xml:space="preserve"> identified and the extent to which the safety case documentation has been kept up to date</w:t>
      </w:r>
      <w:r w:rsidR="000F3393">
        <w:rPr>
          <w:color w:val="auto"/>
        </w:rPr>
        <w:t xml:space="preserve">, e.g. the inclusion of modifications, dose data and lessons learnt etc., </w:t>
      </w:r>
      <w:r w:rsidRPr="00CD2109">
        <w:rPr>
          <w:color w:val="auto"/>
        </w:rPr>
        <w:t>since the last periodic review.</w:t>
      </w:r>
    </w:p>
    <w:p w14:paraId="79A3B709" w14:textId="77777777" w:rsidR="00C50B9D" w:rsidRDefault="00C50B9D" w:rsidP="00C50B9D">
      <w:pPr>
        <w:pStyle w:val="ONRSquareBullet1"/>
      </w:pPr>
      <w:r w:rsidRPr="00C845A4">
        <w:rPr>
          <w:color w:val="auto"/>
        </w:rPr>
        <w:t>Syst</w:t>
      </w:r>
      <w:r>
        <w:rPr>
          <w:color w:val="auto"/>
        </w:rPr>
        <w:t xml:space="preserve">ematically review the </w:t>
      </w:r>
      <w:r w:rsidR="00A879F7">
        <w:rPr>
          <w:color w:val="auto"/>
        </w:rPr>
        <w:t xml:space="preserve">plant </w:t>
      </w:r>
      <w:r w:rsidR="008B23FA">
        <w:rPr>
          <w:color w:val="auto"/>
        </w:rPr>
        <w:t>/</w:t>
      </w:r>
      <w:r>
        <w:rPr>
          <w:color w:val="auto"/>
        </w:rPr>
        <w:t xml:space="preserve"> SSCs</w:t>
      </w:r>
      <w:r w:rsidRPr="00C845A4">
        <w:rPr>
          <w:color w:val="auto"/>
        </w:rPr>
        <w:t xml:space="preserve"> </w:t>
      </w:r>
      <w:r w:rsidR="00A879F7">
        <w:rPr>
          <w:color w:val="auto"/>
        </w:rPr>
        <w:t>important to safety</w:t>
      </w:r>
      <w:r w:rsidR="0042177B">
        <w:rPr>
          <w:color w:val="auto"/>
        </w:rPr>
        <w:t xml:space="preserve"> (hazard management strategies</w:t>
      </w:r>
      <w:r w:rsidR="00804FB7">
        <w:rPr>
          <w:color w:val="auto"/>
        </w:rPr>
        <w:t>/safe operating envelope (S</w:t>
      </w:r>
      <w:r w:rsidR="008B23FA">
        <w:rPr>
          <w:color w:val="auto"/>
        </w:rPr>
        <w:t>OE</w:t>
      </w:r>
      <w:r w:rsidR="00804FB7">
        <w:rPr>
          <w:color w:val="auto"/>
        </w:rPr>
        <w:t>)</w:t>
      </w:r>
      <w:r w:rsidR="0042177B">
        <w:rPr>
          <w:color w:val="auto"/>
        </w:rPr>
        <w:t>)</w:t>
      </w:r>
      <w:r w:rsidR="00D651D4">
        <w:rPr>
          <w:color w:val="auto"/>
        </w:rPr>
        <w:t xml:space="preserve"> to confirm their </w:t>
      </w:r>
      <w:r w:rsidR="00C03331">
        <w:rPr>
          <w:color w:val="auto"/>
        </w:rPr>
        <w:t xml:space="preserve">adequacy, </w:t>
      </w:r>
      <w:r w:rsidR="00C03331" w:rsidRPr="00C845A4">
        <w:rPr>
          <w:color w:val="auto"/>
        </w:rPr>
        <w:t>efficacy</w:t>
      </w:r>
      <w:r w:rsidR="00C03331">
        <w:rPr>
          <w:color w:val="auto"/>
        </w:rPr>
        <w:t xml:space="preserve"> </w:t>
      </w:r>
      <w:r w:rsidR="00C03331" w:rsidRPr="00C845A4">
        <w:rPr>
          <w:color w:val="auto"/>
        </w:rPr>
        <w:t>and</w:t>
      </w:r>
      <w:r w:rsidR="00C03331">
        <w:rPr>
          <w:color w:val="auto"/>
        </w:rPr>
        <w:t xml:space="preserve"> </w:t>
      </w:r>
      <w:r w:rsidR="00D651D4">
        <w:rPr>
          <w:color w:val="auto"/>
        </w:rPr>
        <w:t>condition</w:t>
      </w:r>
      <w:r w:rsidRPr="00C845A4">
        <w:rPr>
          <w:color w:val="auto"/>
        </w:rPr>
        <w:t>.</w:t>
      </w:r>
      <w:r w:rsidR="00AC36BD">
        <w:rPr>
          <w:color w:val="auto"/>
        </w:rPr>
        <w:t xml:space="preserve"> The review should </w:t>
      </w:r>
      <w:r w:rsidR="00C03331">
        <w:rPr>
          <w:color w:val="auto"/>
        </w:rPr>
        <w:t xml:space="preserve">also </w:t>
      </w:r>
      <w:r w:rsidR="00AC36BD">
        <w:rPr>
          <w:color w:val="auto"/>
        </w:rPr>
        <w:t xml:space="preserve">cover a forward look </w:t>
      </w:r>
      <w:r w:rsidR="00D94B16">
        <w:rPr>
          <w:color w:val="auto"/>
        </w:rPr>
        <w:t>for</w:t>
      </w:r>
      <w:r w:rsidR="00AC36BD">
        <w:rPr>
          <w:color w:val="auto"/>
        </w:rPr>
        <w:t xml:space="preserve"> the period up to the next PSR and </w:t>
      </w:r>
      <w:r w:rsidR="00D651D4">
        <w:rPr>
          <w:color w:val="auto"/>
        </w:rPr>
        <w:t>confirm any known, or identify new, ageing and degradation mechanisms</w:t>
      </w:r>
      <w:r w:rsidR="0023692B">
        <w:rPr>
          <w:color w:val="auto"/>
        </w:rPr>
        <w:t xml:space="preserve">, </w:t>
      </w:r>
      <w:r w:rsidR="005A5462">
        <w:rPr>
          <w:color w:val="auto"/>
        </w:rPr>
        <w:t>the availability of manufacturer’s</w:t>
      </w:r>
      <w:r w:rsidR="008B23FA">
        <w:rPr>
          <w:color w:val="auto"/>
        </w:rPr>
        <w:t xml:space="preserve"> on-going</w:t>
      </w:r>
      <w:r w:rsidR="0023692B">
        <w:rPr>
          <w:color w:val="auto"/>
        </w:rPr>
        <w:t xml:space="preserve"> support </w:t>
      </w:r>
      <w:r w:rsidR="002A312B">
        <w:rPr>
          <w:color w:val="auto"/>
        </w:rPr>
        <w:t xml:space="preserve">and availability of spares </w:t>
      </w:r>
      <w:r w:rsidR="0023692B">
        <w:rPr>
          <w:color w:val="auto"/>
        </w:rPr>
        <w:t>etc</w:t>
      </w:r>
      <w:r w:rsidR="00D651D4">
        <w:rPr>
          <w:color w:val="auto"/>
        </w:rPr>
        <w:t xml:space="preserve">. </w:t>
      </w:r>
      <w:r w:rsidRPr="00C845A4">
        <w:rPr>
          <w:color w:val="auto"/>
        </w:rPr>
        <w:t xml:space="preserve">  </w:t>
      </w:r>
    </w:p>
    <w:p w14:paraId="79A3B70A" w14:textId="77777777" w:rsidR="0063719B" w:rsidRPr="003D37C6" w:rsidRDefault="0063719B" w:rsidP="000852F7">
      <w:pPr>
        <w:pStyle w:val="ONRSquareBullet1"/>
        <w:tabs>
          <w:tab w:val="left" w:pos="880"/>
        </w:tabs>
        <w:spacing w:after="120"/>
      </w:pPr>
      <w:r w:rsidRPr="00084490">
        <w:rPr>
          <w:color w:val="auto"/>
        </w:rPr>
        <w:t xml:space="preserve">Systematically review </w:t>
      </w:r>
      <w:r w:rsidR="00471DA5" w:rsidRPr="00CA206B">
        <w:rPr>
          <w:color w:val="auto"/>
        </w:rPr>
        <w:t>arrangements and practices</w:t>
      </w:r>
      <w:r w:rsidR="00471DA5">
        <w:rPr>
          <w:color w:val="auto"/>
        </w:rPr>
        <w:t xml:space="preserve"> including</w:t>
      </w:r>
      <w:r w:rsidR="00471DA5" w:rsidRPr="00471DA5">
        <w:rPr>
          <w:color w:val="auto"/>
        </w:rPr>
        <w:t xml:space="preserve"> </w:t>
      </w:r>
      <w:r w:rsidR="007B699B">
        <w:rPr>
          <w:color w:val="auto"/>
        </w:rPr>
        <w:t xml:space="preserve">for </w:t>
      </w:r>
      <w:r w:rsidRPr="00084490">
        <w:rPr>
          <w:color w:val="auto"/>
        </w:rPr>
        <w:t>leadership and management for safety (</w:t>
      </w:r>
      <w:proofErr w:type="spellStart"/>
      <w:r w:rsidRPr="00084490">
        <w:rPr>
          <w:color w:val="auto"/>
        </w:rPr>
        <w:t>L&amp;MfS</w:t>
      </w:r>
      <w:proofErr w:type="spellEnd"/>
      <w:r w:rsidRPr="00084490">
        <w:rPr>
          <w:color w:val="auto"/>
        </w:rPr>
        <w:t>).</w:t>
      </w:r>
      <w:r w:rsidR="00D951C6" w:rsidRPr="00084490">
        <w:rPr>
          <w:color w:val="auto"/>
        </w:rPr>
        <w:t xml:space="preserve"> </w:t>
      </w:r>
      <w:r w:rsidRPr="00084490">
        <w:rPr>
          <w:color w:val="auto"/>
        </w:rPr>
        <w:t>This should be a self-critical review</w:t>
      </w:r>
      <w:r w:rsidR="00D94B16">
        <w:rPr>
          <w:color w:val="auto"/>
        </w:rPr>
        <w:t xml:space="preserve"> of its implementation at facility level</w:t>
      </w:r>
      <w:r w:rsidRPr="00084490">
        <w:rPr>
          <w:color w:val="auto"/>
        </w:rPr>
        <w:t>, not just a description of</w:t>
      </w:r>
      <w:r w:rsidR="00D94B16">
        <w:rPr>
          <w:color w:val="auto"/>
        </w:rPr>
        <w:t xml:space="preserve"> the corporate</w:t>
      </w:r>
      <w:r w:rsidRPr="00084490">
        <w:rPr>
          <w:color w:val="auto"/>
        </w:rPr>
        <w:t xml:space="preserve"> processes and documentation (standards, expectations, procedures</w:t>
      </w:r>
      <w:r w:rsidR="00A13575">
        <w:rPr>
          <w:color w:val="auto"/>
        </w:rPr>
        <w:t>, manning levels, retaining knowledge</w:t>
      </w:r>
      <w:r w:rsidR="008B23FA">
        <w:rPr>
          <w:color w:val="auto"/>
        </w:rPr>
        <w:t>, DAPs/SQEPs</w:t>
      </w:r>
      <w:r w:rsidRPr="00084490">
        <w:rPr>
          <w:color w:val="auto"/>
        </w:rPr>
        <w:t xml:space="preserve"> etc.).</w:t>
      </w:r>
      <w:r w:rsidR="00D951C6" w:rsidRPr="00084490">
        <w:rPr>
          <w:color w:val="auto"/>
        </w:rPr>
        <w:t xml:space="preserve"> </w:t>
      </w:r>
      <w:r w:rsidRPr="00084490">
        <w:rPr>
          <w:color w:val="auto"/>
        </w:rPr>
        <w:t xml:space="preserve">See </w:t>
      </w:r>
      <w:r w:rsidRPr="00084490">
        <w:rPr>
          <w:color w:val="auto"/>
        </w:rPr>
        <w:fldChar w:fldCharType="begin"/>
      </w:r>
      <w:r w:rsidRPr="00084490">
        <w:rPr>
          <w:color w:val="auto"/>
        </w:rPr>
        <w:instrText xml:space="preserve"> REF Annex1 \h </w:instrText>
      </w:r>
      <w:r w:rsidR="006648D3" w:rsidRPr="00084490">
        <w:rPr>
          <w:color w:val="auto"/>
        </w:rPr>
        <w:instrText xml:space="preserve"> \* MERGEFORMAT </w:instrText>
      </w:r>
      <w:r w:rsidRPr="00084490">
        <w:rPr>
          <w:color w:val="auto"/>
        </w:rPr>
      </w:r>
      <w:r w:rsidRPr="00084490">
        <w:rPr>
          <w:color w:val="auto"/>
        </w:rPr>
        <w:fldChar w:fldCharType="separate"/>
      </w:r>
      <w:r w:rsidR="00DB3355" w:rsidRPr="00DB3355">
        <w:rPr>
          <w:color w:val="auto"/>
        </w:rPr>
        <w:t>Annex 1</w:t>
      </w:r>
      <w:r w:rsidRPr="00084490">
        <w:rPr>
          <w:color w:val="auto"/>
        </w:rPr>
        <w:fldChar w:fldCharType="end"/>
      </w:r>
      <w:r w:rsidRPr="00084490">
        <w:rPr>
          <w:color w:val="auto"/>
        </w:rPr>
        <w:t xml:space="preserve"> for further </w:t>
      </w:r>
      <w:proofErr w:type="spellStart"/>
      <w:r w:rsidR="00471DA5">
        <w:rPr>
          <w:color w:val="auto"/>
        </w:rPr>
        <w:t>L&amp;MfS</w:t>
      </w:r>
      <w:proofErr w:type="spellEnd"/>
      <w:r w:rsidR="00471DA5">
        <w:rPr>
          <w:color w:val="auto"/>
        </w:rPr>
        <w:t xml:space="preserve"> </w:t>
      </w:r>
      <w:r w:rsidRPr="00084490">
        <w:rPr>
          <w:color w:val="auto"/>
        </w:rPr>
        <w:t>guidance.</w:t>
      </w:r>
    </w:p>
    <w:p w14:paraId="79A3B70B" w14:textId="77777777" w:rsidR="0063719B" w:rsidRPr="003054C3" w:rsidRDefault="0063719B" w:rsidP="00084490">
      <w:pPr>
        <w:pStyle w:val="ONRSquareBullet1"/>
        <w:tabs>
          <w:tab w:val="left" w:pos="880"/>
        </w:tabs>
        <w:spacing w:after="120"/>
      </w:pPr>
      <w:r w:rsidRPr="00084490">
        <w:rPr>
          <w:color w:val="auto"/>
        </w:rPr>
        <w:t>Look forward over planned future operation for at least the next ten years, and systematically review the whole of the remaining life of the facility, including post-operational clean-out (POCO) and decommissioning</w:t>
      </w:r>
      <w:r w:rsidR="0090197D">
        <w:rPr>
          <w:color w:val="auto"/>
        </w:rPr>
        <w:t xml:space="preserve"> [</w:t>
      </w:r>
      <w:r w:rsidR="00A400E4">
        <w:rPr>
          <w:color w:val="auto"/>
        </w:rPr>
        <w:t>13</w:t>
      </w:r>
      <w:r w:rsidR="0090197D">
        <w:rPr>
          <w:color w:val="auto"/>
        </w:rPr>
        <w:t>]</w:t>
      </w:r>
      <w:r w:rsidRPr="00084490">
        <w:rPr>
          <w:color w:val="auto"/>
        </w:rPr>
        <w:t>.</w:t>
      </w:r>
      <w:r w:rsidR="00D951C6" w:rsidRPr="00084490">
        <w:rPr>
          <w:color w:val="auto"/>
        </w:rPr>
        <w:t xml:space="preserve"> </w:t>
      </w:r>
    </w:p>
    <w:p w14:paraId="79A3B70C" w14:textId="77777777" w:rsidR="00A879F7" w:rsidRDefault="0048066C" w:rsidP="00A879F7">
      <w:pPr>
        <w:pStyle w:val="ONRSquareBullet1"/>
        <w:rPr>
          <w:color w:val="auto"/>
        </w:rPr>
      </w:pPr>
      <w:r>
        <w:rPr>
          <w:color w:val="auto"/>
        </w:rPr>
        <w:t>Through the reviews p</w:t>
      </w:r>
      <w:r w:rsidR="001C4686">
        <w:rPr>
          <w:color w:val="auto"/>
        </w:rPr>
        <w:t>rovide evidence of th</w:t>
      </w:r>
      <w:r w:rsidR="001C4686" w:rsidRPr="00084490">
        <w:rPr>
          <w:color w:val="auto"/>
        </w:rPr>
        <w:t>e adequacy and eff</w:t>
      </w:r>
      <w:r w:rsidR="00E82193" w:rsidRPr="00084490">
        <w:rPr>
          <w:color w:val="auto"/>
        </w:rPr>
        <w:t>icacy</w:t>
      </w:r>
      <w:r w:rsidR="001C4686" w:rsidRPr="00084490">
        <w:rPr>
          <w:color w:val="auto"/>
        </w:rPr>
        <w:t xml:space="preserve"> of the arrangements and SSC</w:t>
      </w:r>
      <w:r w:rsidR="007B699B">
        <w:rPr>
          <w:color w:val="auto"/>
        </w:rPr>
        <w:t>s</w:t>
      </w:r>
      <w:r w:rsidR="001C4686" w:rsidRPr="00084490">
        <w:rPr>
          <w:color w:val="auto"/>
        </w:rPr>
        <w:t xml:space="preserve"> </w:t>
      </w:r>
      <w:r w:rsidR="00E82193" w:rsidRPr="00084490">
        <w:rPr>
          <w:color w:val="auto"/>
        </w:rPr>
        <w:t xml:space="preserve">that are in place </w:t>
      </w:r>
      <w:r w:rsidR="001C4686" w:rsidRPr="00084490">
        <w:rPr>
          <w:color w:val="auto"/>
        </w:rPr>
        <w:t>to ensure plant safety</w:t>
      </w:r>
      <w:r w:rsidRPr="00084490">
        <w:rPr>
          <w:color w:val="auto"/>
        </w:rPr>
        <w:t>,</w:t>
      </w:r>
      <w:r w:rsidR="001C4686" w:rsidRPr="00084490">
        <w:rPr>
          <w:color w:val="auto"/>
        </w:rPr>
        <w:t xml:space="preserve"> including through the</w:t>
      </w:r>
      <w:r w:rsidR="00C50B9D" w:rsidRPr="00C845A4">
        <w:rPr>
          <w:color w:val="auto"/>
        </w:rPr>
        <w:t xml:space="preserve"> </w:t>
      </w:r>
      <w:r w:rsidR="001C4686">
        <w:rPr>
          <w:color w:val="auto"/>
        </w:rPr>
        <w:t>identification of</w:t>
      </w:r>
      <w:r w:rsidR="00C03331">
        <w:rPr>
          <w:color w:val="auto"/>
        </w:rPr>
        <w:t xml:space="preserve"> findings, both positive and negative:</w:t>
      </w:r>
    </w:p>
    <w:p w14:paraId="79A3B70D" w14:textId="77777777" w:rsidR="00A879F7" w:rsidRPr="00A879F7" w:rsidRDefault="00A879F7" w:rsidP="00084490">
      <w:pPr>
        <w:pStyle w:val="ONRRoundBullet1"/>
        <w:tabs>
          <w:tab w:val="clear" w:pos="1418"/>
          <w:tab w:val="left" w:pos="880"/>
          <w:tab w:val="num" w:pos="1985"/>
        </w:tabs>
        <w:spacing w:after="120"/>
        <w:ind w:left="1985"/>
      </w:pPr>
      <w:r w:rsidRPr="00A879F7">
        <w:t>Positive findings (strengths): Where current practice</w:t>
      </w:r>
      <w:r w:rsidR="00E82193">
        <w:t>s</w:t>
      </w:r>
      <w:r w:rsidRPr="00A879F7">
        <w:t xml:space="preserve"> </w:t>
      </w:r>
      <w:r w:rsidR="00E82193">
        <w:t>are</w:t>
      </w:r>
      <w:r w:rsidRPr="00A879F7">
        <w:t xml:space="preserve"> equivalent </w:t>
      </w:r>
      <w:r w:rsidR="00CD2109" w:rsidRPr="00A879F7">
        <w:t>to</w:t>
      </w:r>
      <w:r w:rsidR="00CD2109">
        <w:t xml:space="preserve"> good</w:t>
      </w:r>
      <w:r w:rsidR="00D86C39">
        <w:t xml:space="preserve"> practice</w:t>
      </w:r>
      <w:r w:rsidRPr="00A879F7">
        <w:t xml:space="preserve"> </w:t>
      </w:r>
      <w:r w:rsidR="009A0C6B">
        <w:t xml:space="preserve">that is relevant to the UK nuclear </w:t>
      </w:r>
      <w:r w:rsidR="00CD2109">
        <w:t xml:space="preserve">industry </w:t>
      </w:r>
      <w:r w:rsidRPr="00A879F7">
        <w:t>as established</w:t>
      </w:r>
      <w:r w:rsidR="00C03331">
        <w:t xml:space="preserve"> in current codes and standards or industry practices</w:t>
      </w:r>
      <w:r w:rsidR="0048066C">
        <w:t xml:space="preserve">, and are found to be </w:t>
      </w:r>
      <w:r w:rsidR="00815EDB">
        <w:t xml:space="preserve">adequate and </w:t>
      </w:r>
      <w:r w:rsidR="0048066C">
        <w:t>effective.</w:t>
      </w:r>
    </w:p>
    <w:p w14:paraId="79A3B70E" w14:textId="77777777" w:rsidR="00A879F7" w:rsidRPr="00A879F7" w:rsidRDefault="00A879F7" w:rsidP="00084490">
      <w:pPr>
        <w:pStyle w:val="ONRRoundBullet1"/>
        <w:tabs>
          <w:tab w:val="clear" w:pos="1418"/>
          <w:tab w:val="left" w:pos="880"/>
          <w:tab w:val="num" w:pos="1985"/>
        </w:tabs>
        <w:spacing w:after="120"/>
        <w:ind w:left="1985"/>
      </w:pPr>
      <w:r w:rsidRPr="00D86C39">
        <w:t>Negative findings (deviations</w:t>
      </w:r>
      <w:r w:rsidR="00C03331">
        <w:t xml:space="preserve"> or shortfalls</w:t>
      </w:r>
      <w:r w:rsidRPr="00D86C39">
        <w:t>): Where current practices are not of a</w:t>
      </w:r>
      <w:r w:rsidRPr="0048066C">
        <w:t xml:space="preserve"> standard equivalent to current codes and standards or industry practices,</w:t>
      </w:r>
      <w:r w:rsidRPr="000043E8">
        <w:t xml:space="preserve"> or are inconsistent with operational</w:t>
      </w:r>
      <w:r>
        <w:t xml:space="preserve"> </w:t>
      </w:r>
      <w:r w:rsidRPr="00D86C39">
        <w:t>documentation for the plant or operating procedures</w:t>
      </w:r>
      <w:r w:rsidR="00D86C39">
        <w:t>,</w:t>
      </w:r>
      <w:r w:rsidR="00C03331" w:rsidRPr="00C03331">
        <w:t xml:space="preserve"> </w:t>
      </w:r>
      <w:r w:rsidR="00C03331" w:rsidRPr="006D4F5E">
        <w:t xml:space="preserve">or do not meet </w:t>
      </w:r>
      <w:r w:rsidR="00B2565B">
        <w:t>legal</w:t>
      </w:r>
      <w:r w:rsidR="00C03331">
        <w:t xml:space="preserve"> </w:t>
      </w:r>
      <w:r w:rsidR="00D86C39">
        <w:t xml:space="preserve">requirements or </w:t>
      </w:r>
      <w:r w:rsidR="00C03331">
        <w:t>expectations</w:t>
      </w:r>
      <w:r w:rsidRPr="00D86C39">
        <w:t>.</w:t>
      </w:r>
    </w:p>
    <w:p w14:paraId="79A3B70F" w14:textId="077F0327" w:rsidR="00FA57F2" w:rsidRPr="00CD2109" w:rsidRDefault="0063719B" w:rsidP="00CD2109">
      <w:pPr>
        <w:pStyle w:val="ONRSquareBullet1"/>
        <w:tabs>
          <w:tab w:val="left" w:pos="880"/>
        </w:tabs>
        <w:spacing w:after="120"/>
        <w:rPr>
          <w:color w:val="auto"/>
        </w:rPr>
      </w:pPr>
      <w:r w:rsidRPr="00CD2109">
        <w:rPr>
          <w:color w:val="auto"/>
        </w:rPr>
        <w:t xml:space="preserve">Identify </w:t>
      </w:r>
      <w:r w:rsidR="00CD2109">
        <w:rPr>
          <w:color w:val="auto"/>
        </w:rPr>
        <w:t xml:space="preserve">temporary </w:t>
      </w:r>
      <w:r w:rsidR="00B2565B" w:rsidRPr="00CD2109">
        <w:rPr>
          <w:color w:val="auto"/>
        </w:rPr>
        <w:t>short</w:t>
      </w:r>
      <w:r w:rsidR="00CD2109">
        <w:rPr>
          <w:color w:val="auto"/>
        </w:rPr>
        <w:t xml:space="preserve"> term</w:t>
      </w:r>
      <w:r w:rsidR="00B2565B" w:rsidRPr="00CD2109">
        <w:rPr>
          <w:color w:val="auto"/>
        </w:rPr>
        <w:t xml:space="preserve"> </w:t>
      </w:r>
      <w:r w:rsidR="00930B90">
        <w:rPr>
          <w:color w:val="auto"/>
        </w:rPr>
        <w:t xml:space="preserve">improvements </w:t>
      </w:r>
      <w:r w:rsidR="00CD2109">
        <w:rPr>
          <w:color w:val="auto"/>
        </w:rPr>
        <w:t>where necessary</w:t>
      </w:r>
      <w:r w:rsidR="00E00E10">
        <w:rPr>
          <w:color w:val="auto"/>
        </w:rPr>
        <w:t xml:space="preserve"> for continues operation,</w:t>
      </w:r>
      <w:r w:rsidR="00CD2109">
        <w:rPr>
          <w:color w:val="auto"/>
        </w:rPr>
        <w:t xml:space="preserve"> </w:t>
      </w:r>
      <w:r w:rsidR="00930B90">
        <w:rPr>
          <w:color w:val="auto"/>
        </w:rPr>
        <w:t>a</w:t>
      </w:r>
      <w:r w:rsidR="00B2565B" w:rsidRPr="00CD2109">
        <w:rPr>
          <w:color w:val="auto"/>
        </w:rPr>
        <w:t>nd</w:t>
      </w:r>
      <w:r w:rsidR="00CD2109">
        <w:rPr>
          <w:color w:val="auto"/>
        </w:rPr>
        <w:t xml:space="preserve"> permanent</w:t>
      </w:r>
      <w:r w:rsidR="00B2565B" w:rsidRPr="00CD2109">
        <w:rPr>
          <w:color w:val="auto"/>
        </w:rPr>
        <w:t xml:space="preserve"> long term </w:t>
      </w:r>
      <w:r w:rsidRPr="00CD2109">
        <w:rPr>
          <w:color w:val="auto"/>
        </w:rPr>
        <w:t xml:space="preserve">safety improvements </w:t>
      </w:r>
      <w:r w:rsidR="0048066C">
        <w:rPr>
          <w:color w:val="auto"/>
        </w:rPr>
        <w:t xml:space="preserve">to address deviations and shortfalls </w:t>
      </w:r>
      <w:r w:rsidRPr="00CD2109">
        <w:rPr>
          <w:color w:val="auto"/>
        </w:rPr>
        <w:t>and show that</w:t>
      </w:r>
      <w:r w:rsidR="0048066C" w:rsidRPr="00CD2109">
        <w:rPr>
          <w:color w:val="auto"/>
        </w:rPr>
        <w:t xml:space="preserve"> these will be implemented so far a</w:t>
      </w:r>
      <w:r w:rsidR="00D94B16">
        <w:rPr>
          <w:color w:val="auto"/>
        </w:rPr>
        <w:t xml:space="preserve">s is reasonably practicable, </w:t>
      </w:r>
      <w:r w:rsidR="0048066C" w:rsidRPr="00CD2109">
        <w:rPr>
          <w:color w:val="auto"/>
        </w:rPr>
        <w:t xml:space="preserve">in a timely manner (see paragraphs </w:t>
      </w:r>
      <w:r w:rsidR="00BA56F2">
        <w:rPr>
          <w:color w:val="auto"/>
        </w:rPr>
        <w:fldChar w:fldCharType="begin"/>
      </w:r>
      <w:r w:rsidR="00BA56F2">
        <w:rPr>
          <w:color w:val="auto"/>
        </w:rPr>
        <w:instrText xml:space="preserve"> REF _Ref20298803 \r \h </w:instrText>
      </w:r>
      <w:r w:rsidR="00BA56F2">
        <w:rPr>
          <w:color w:val="auto"/>
        </w:rPr>
      </w:r>
      <w:r w:rsidR="00BA56F2">
        <w:rPr>
          <w:color w:val="auto"/>
        </w:rPr>
        <w:fldChar w:fldCharType="separate"/>
      </w:r>
      <w:r w:rsidR="002E1185">
        <w:rPr>
          <w:color w:val="auto"/>
        </w:rPr>
        <w:t>5.48</w:t>
      </w:r>
      <w:r w:rsidR="00BA56F2">
        <w:rPr>
          <w:color w:val="auto"/>
        </w:rPr>
        <w:fldChar w:fldCharType="end"/>
      </w:r>
      <w:r w:rsidR="0048066C" w:rsidRPr="00CD2109">
        <w:rPr>
          <w:color w:val="auto"/>
        </w:rPr>
        <w:t xml:space="preserve"> to</w:t>
      </w:r>
      <w:r w:rsidR="00CD2109">
        <w:rPr>
          <w:color w:val="auto"/>
        </w:rPr>
        <w:t xml:space="preserve"> </w:t>
      </w:r>
      <w:r w:rsidR="00BA56F2">
        <w:rPr>
          <w:color w:val="auto"/>
        </w:rPr>
        <w:fldChar w:fldCharType="begin"/>
      </w:r>
      <w:r w:rsidR="00BA56F2">
        <w:rPr>
          <w:color w:val="auto"/>
        </w:rPr>
        <w:instrText xml:space="preserve"> REF _Ref317257605 \r \h </w:instrText>
      </w:r>
      <w:r w:rsidR="00BA56F2">
        <w:rPr>
          <w:color w:val="auto"/>
        </w:rPr>
      </w:r>
      <w:r w:rsidR="00BA56F2">
        <w:rPr>
          <w:color w:val="auto"/>
        </w:rPr>
        <w:fldChar w:fldCharType="separate"/>
      </w:r>
      <w:r w:rsidR="002E1185">
        <w:rPr>
          <w:color w:val="auto"/>
        </w:rPr>
        <w:t>5.56</w:t>
      </w:r>
      <w:r w:rsidR="00BA56F2">
        <w:rPr>
          <w:color w:val="auto"/>
        </w:rPr>
        <w:fldChar w:fldCharType="end"/>
      </w:r>
      <w:r w:rsidR="0048066C" w:rsidRPr="00CD2109">
        <w:rPr>
          <w:color w:val="auto"/>
        </w:rPr>
        <w:t>)</w:t>
      </w:r>
      <w:r w:rsidR="00815EDB">
        <w:rPr>
          <w:color w:val="auto"/>
        </w:rPr>
        <w:t>.</w:t>
      </w:r>
      <w:r w:rsidR="00F10CBC">
        <w:rPr>
          <w:color w:val="auto"/>
        </w:rPr>
        <w:t xml:space="preserve"> Once identified, the improvements should be integrated into a risk </w:t>
      </w:r>
      <w:proofErr w:type="spellStart"/>
      <w:r w:rsidR="00F10CBC">
        <w:rPr>
          <w:color w:val="auto"/>
        </w:rPr>
        <w:t>prioritised</w:t>
      </w:r>
      <w:proofErr w:type="spellEnd"/>
      <w:r w:rsidR="00F10CBC">
        <w:rPr>
          <w:color w:val="auto"/>
        </w:rPr>
        <w:t xml:space="preserve"> </w:t>
      </w:r>
      <w:proofErr w:type="spellStart"/>
      <w:r w:rsidR="00F10CBC">
        <w:rPr>
          <w:color w:val="auto"/>
        </w:rPr>
        <w:t>program</w:t>
      </w:r>
      <w:r w:rsidR="00A63508">
        <w:rPr>
          <w:color w:val="auto"/>
        </w:rPr>
        <w:t>me</w:t>
      </w:r>
      <w:proofErr w:type="spellEnd"/>
      <w:r w:rsidR="00F10CBC">
        <w:rPr>
          <w:color w:val="auto"/>
        </w:rPr>
        <w:t xml:space="preserve"> for the facility that should include on-going modifications.</w:t>
      </w:r>
      <w:r w:rsidR="00CD2109">
        <w:rPr>
          <w:color w:val="auto"/>
        </w:rPr>
        <w:t xml:space="preserve"> </w:t>
      </w:r>
    </w:p>
    <w:p w14:paraId="79A3B710" w14:textId="77777777" w:rsidR="0063719B" w:rsidRPr="008A4853" w:rsidRDefault="0068620F" w:rsidP="00084490">
      <w:pPr>
        <w:pStyle w:val="ONRSquareBullet1"/>
        <w:spacing w:after="240"/>
      </w:pPr>
      <w:r w:rsidRPr="0068620F">
        <w:rPr>
          <w:color w:val="auto"/>
        </w:rPr>
        <w:t xml:space="preserve">The </w:t>
      </w:r>
      <w:r>
        <w:rPr>
          <w:color w:val="auto"/>
        </w:rPr>
        <w:t>PSR</w:t>
      </w:r>
      <w:r w:rsidRPr="0068620F">
        <w:rPr>
          <w:color w:val="auto"/>
        </w:rPr>
        <w:t xml:space="preserve"> should arrive at a judgement of the facility’s suitability for continued </w:t>
      </w:r>
      <w:r>
        <w:rPr>
          <w:color w:val="auto"/>
        </w:rPr>
        <w:t xml:space="preserve">safe </w:t>
      </w:r>
      <w:r w:rsidRPr="0068620F">
        <w:rPr>
          <w:color w:val="auto"/>
        </w:rPr>
        <w:t>operation</w:t>
      </w:r>
      <w:r w:rsidR="00B2565B">
        <w:rPr>
          <w:color w:val="auto"/>
        </w:rPr>
        <w:t xml:space="preserve"> for the next review period</w:t>
      </w:r>
      <w:r w:rsidR="00812E53">
        <w:rPr>
          <w:color w:val="auto"/>
        </w:rPr>
        <w:t xml:space="preserve"> (typically 10 years [</w:t>
      </w:r>
      <w:r w:rsidR="0010552B">
        <w:rPr>
          <w:color w:val="auto"/>
        </w:rPr>
        <w:t>2]</w:t>
      </w:r>
      <w:r w:rsidR="00D94B16">
        <w:rPr>
          <w:color w:val="auto"/>
        </w:rPr>
        <w:t>)</w:t>
      </w:r>
      <w:r w:rsidR="00B2565B">
        <w:rPr>
          <w:color w:val="auto"/>
        </w:rPr>
        <w:t>,</w:t>
      </w:r>
      <w:r w:rsidRPr="0068620F">
        <w:rPr>
          <w:color w:val="auto"/>
        </w:rPr>
        <w:t xml:space="preserve"> on the basis of a balanced view of the findings from the PSR reviews. </w:t>
      </w:r>
    </w:p>
    <w:p w14:paraId="79A3B711" w14:textId="77777777" w:rsidR="002C3BC0" w:rsidRDefault="002C3BC0" w:rsidP="00084490">
      <w:pPr>
        <w:pStyle w:val="NumberedParagraph"/>
        <w:tabs>
          <w:tab w:val="num" w:pos="-31680"/>
        </w:tabs>
        <w:ind w:left="720"/>
        <w:jc w:val="both"/>
      </w:pPr>
      <w:r>
        <w:t>When undertak</w:t>
      </w:r>
      <w:r w:rsidR="006E64C8">
        <w:t>ing</w:t>
      </w:r>
      <w:r>
        <w:t xml:space="preserve"> the above, use can be made of information gathered over the </w:t>
      </w:r>
      <w:r w:rsidR="00D64611">
        <w:t>previous review period</w:t>
      </w:r>
      <w:r w:rsidR="003054C3">
        <w:t>, on a continuous basis,</w:t>
      </w:r>
      <w:r w:rsidR="00D64611">
        <w:t xml:space="preserve"> where relevant e.g. maintenance data, health physics data, incident data etc.</w:t>
      </w:r>
    </w:p>
    <w:p w14:paraId="79A3B712" w14:textId="77777777" w:rsidR="0063719B" w:rsidRDefault="007A07BD" w:rsidP="0063719B">
      <w:pPr>
        <w:pStyle w:val="Heading2"/>
        <w:numPr>
          <w:ilvl w:val="0"/>
          <w:numId w:val="0"/>
        </w:numPr>
        <w:spacing w:before="120"/>
        <w:ind w:firstLine="720"/>
      </w:pPr>
      <w:bookmarkStart w:id="9" w:name="_Toc43460811"/>
      <w:r>
        <w:t>Scope of a PSR</w:t>
      </w:r>
      <w:bookmarkEnd w:id="9"/>
    </w:p>
    <w:p w14:paraId="79A3B713" w14:textId="77777777" w:rsidR="0063719B" w:rsidRPr="007A07BD" w:rsidRDefault="007A07BD" w:rsidP="007A07BD">
      <w:pPr>
        <w:pStyle w:val="Heading3"/>
      </w:pPr>
      <w:bookmarkStart w:id="10" w:name="_Toc358727789"/>
      <w:r w:rsidRPr="007A07BD">
        <w:t xml:space="preserve">Scope: </w:t>
      </w:r>
      <w:r w:rsidR="0063719B" w:rsidRPr="007A07BD">
        <w:t>General aspects</w:t>
      </w:r>
      <w:bookmarkEnd w:id="10"/>
    </w:p>
    <w:p w14:paraId="79A3B714" w14:textId="73F82BDD" w:rsidR="0063719B" w:rsidRDefault="0063719B" w:rsidP="0063719B">
      <w:pPr>
        <w:pStyle w:val="NumberedParagraph"/>
        <w:tabs>
          <w:tab w:val="num" w:pos="-31680"/>
        </w:tabs>
        <w:ind w:left="720"/>
        <w:jc w:val="both"/>
      </w:pPr>
      <w:r>
        <w:t>The scope and structure of a PSR are a matter for the licensee</w:t>
      </w:r>
      <w:r w:rsidR="00FF52CA">
        <w:t xml:space="preserve"> to determine, although they should</w:t>
      </w:r>
      <w:r>
        <w:t xml:space="preserve"> meet ONR’s expectations as set out in this guide, and the expectations of internationa</w:t>
      </w:r>
      <w:r w:rsidR="00D2334D">
        <w:t>l good practice (particularly [12</w:t>
      </w:r>
      <w:r>
        <w:t>]</w:t>
      </w:r>
      <w:r w:rsidRPr="00F74D22">
        <w:t xml:space="preserve">) </w:t>
      </w:r>
      <w:r>
        <w:t>unless the licensee can justify an alternative approach.</w:t>
      </w:r>
      <w:r w:rsidR="00D951C6">
        <w:t xml:space="preserve"> </w:t>
      </w:r>
      <w:r>
        <w:t xml:space="preserve">The scope and structure should be defined clearly prior to the </w:t>
      </w:r>
      <w:r w:rsidR="00CD1DB7">
        <w:t>review and</w:t>
      </w:r>
      <w:r>
        <w:t xml:space="preserve"> should be shared with ONR to confirm that they meet regulatory </w:t>
      </w:r>
      <w:r w:rsidR="0010552B">
        <w:t>expectation</w:t>
      </w:r>
      <w:r>
        <w:t>s</w:t>
      </w:r>
      <w:r w:rsidRPr="00DB11F8">
        <w:t>.</w:t>
      </w:r>
    </w:p>
    <w:p w14:paraId="79A3B715" w14:textId="77777777" w:rsidR="0063719B" w:rsidRDefault="0063719B" w:rsidP="0063719B">
      <w:pPr>
        <w:pStyle w:val="NumberedParagraph"/>
        <w:tabs>
          <w:tab w:val="num" w:pos="-31680"/>
        </w:tabs>
        <w:ind w:left="720"/>
        <w:jc w:val="both"/>
      </w:pPr>
      <w:r>
        <w:t xml:space="preserve">The scope of a PSR should meet the purpose and principal </w:t>
      </w:r>
      <w:r w:rsidR="0010552B">
        <w:t>expectations</w:t>
      </w:r>
      <w:r>
        <w:t xml:space="preserve"> set out above.</w:t>
      </w:r>
      <w:r w:rsidR="00D951C6">
        <w:t xml:space="preserve"> </w:t>
      </w:r>
      <w:r>
        <w:t>It needs to extend beyond an individual facility to recognise the influence of company-wide or corporate policies, standards, processes and practices (for example the company nuclear safety policy, safety culture principles, leadership and management for safety standards and practices, company</w:t>
      </w:r>
      <w:r w:rsidR="00815EDB">
        <w:t>-</w:t>
      </w:r>
      <w:r>
        <w:t>wide learning activities and improvement plans</w:t>
      </w:r>
      <w:r w:rsidR="003054C3">
        <w:t xml:space="preserve"> e.g. decommissioning program</w:t>
      </w:r>
      <w:r w:rsidR="00A63508">
        <w:t>me</w:t>
      </w:r>
      <w:r w:rsidR="003054C3">
        <w:t>s, procurement etc.</w:t>
      </w:r>
      <w:r>
        <w:t>).</w:t>
      </w:r>
    </w:p>
    <w:p w14:paraId="79A3B716" w14:textId="77777777" w:rsidR="0063719B" w:rsidRDefault="0063719B" w:rsidP="00B24A12">
      <w:pPr>
        <w:pStyle w:val="NumberedParagraph"/>
        <w:keepNext/>
        <w:tabs>
          <w:tab w:val="num" w:pos="-31680"/>
        </w:tabs>
        <w:ind w:left="720"/>
        <w:jc w:val="both"/>
      </w:pPr>
      <w:r>
        <w:t>The PSR should encompass</w:t>
      </w:r>
      <w:r w:rsidR="007E1104">
        <w:t xml:space="preserve"> the following in a proportionate manner commensurate with the risks</w:t>
      </w:r>
      <w:r>
        <w:t>:</w:t>
      </w:r>
    </w:p>
    <w:p w14:paraId="79A3B717" w14:textId="77777777" w:rsidR="0063719B" w:rsidRPr="00C929D7" w:rsidRDefault="00412A23" w:rsidP="0063719B">
      <w:pPr>
        <w:pStyle w:val="ONRSquareBullet1"/>
        <w:tabs>
          <w:tab w:val="left" w:pos="880"/>
        </w:tabs>
        <w:spacing w:after="120"/>
        <w:rPr>
          <w:color w:val="auto"/>
        </w:rPr>
      </w:pPr>
      <w:r>
        <w:rPr>
          <w:color w:val="auto"/>
        </w:rPr>
        <w:t>The</w:t>
      </w:r>
      <w:r w:rsidR="009F4D57">
        <w:rPr>
          <w:color w:val="auto"/>
        </w:rPr>
        <w:t xml:space="preserve"> individual and</w:t>
      </w:r>
      <w:r>
        <w:rPr>
          <w:color w:val="auto"/>
        </w:rPr>
        <w:t xml:space="preserve"> cumulative effect of c</w:t>
      </w:r>
      <w:r w:rsidR="00D94B16">
        <w:rPr>
          <w:color w:val="auto"/>
        </w:rPr>
        <w:t>hanges to</w:t>
      </w:r>
      <w:r w:rsidR="0063719B" w:rsidRPr="00C929D7">
        <w:rPr>
          <w:color w:val="auto"/>
        </w:rPr>
        <w:t xml:space="preserve"> relevant standards, regulations, criteria and methodologies </w:t>
      </w:r>
      <w:r>
        <w:rPr>
          <w:color w:val="auto"/>
        </w:rPr>
        <w:t xml:space="preserve">since the last review to ensure they have been appropriately addressed </w:t>
      </w:r>
      <w:r w:rsidR="0063719B" w:rsidRPr="00C929D7">
        <w:rPr>
          <w:color w:val="auto"/>
        </w:rPr>
        <w:t>(including possible changes in the circumstances or ranges for which they have been validated).</w:t>
      </w:r>
    </w:p>
    <w:p w14:paraId="79A3B718" w14:textId="77777777" w:rsidR="0063719B" w:rsidRPr="00C929D7" w:rsidRDefault="0063719B" w:rsidP="0063719B">
      <w:pPr>
        <w:pStyle w:val="ONRSquareBullet1"/>
        <w:tabs>
          <w:tab w:val="left" w:pos="880"/>
        </w:tabs>
        <w:spacing w:after="120"/>
        <w:ind w:hanging="538"/>
        <w:rPr>
          <w:color w:val="auto"/>
        </w:rPr>
      </w:pPr>
      <w:r w:rsidRPr="00C929D7">
        <w:rPr>
          <w:color w:val="auto"/>
        </w:rPr>
        <w:t>Changes in technology (e.g. research findings, inspection techniques</w:t>
      </w:r>
      <w:r w:rsidR="003054C3">
        <w:rPr>
          <w:color w:val="auto"/>
        </w:rPr>
        <w:t xml:space="preserve">, </w:t>
      </w:r>
      <w:proofErr w:type="spellStart"/>
      <w:r w:rsidR="003054C3">
        <w:rPr>
          <w:color w:val="auto"/>
        </w:rPr>
        <w:t>modernising</w:t>
      </w:r>
      <w:proofErr w:type="spellEnd"/>
      <w:r w:rsidR="003054C3">
        <w:rPr>
          <w:color w:val="auto"/>
        </w:rPr>
        <w:t xml:space="preserve"> of equipment</w:t>
      </w:r>
      <w:r w:rsidRPr="00C929D7">
        <w:rPr>
          <w:color w:val="auto"/>
        </w:rPr>
        <w:t xml:space="preserve">) or in knowledge (e.g. operational experience, </w:t>
      </w:r>
      <w:proofErr w:type="spellStart"/>
      <w:r w:rsidRPr="00C929D7">
        <w:rPr>
          <w:color w:val="auto"/>
        </w:rPr>
        <w:t>organisational</w:t>
      </w:r>
      <w:proofErr w:type="spellEnd"/>
      <w:r w:rsidRPr="00C929D7">
        <w:rPr>
          <w:color w:val="auto"/>
        </w:rPr>
        <w:t xml:space="preserve"> learning).</w:t>
      </w:r>
    </w:p>
    <w:p w14:paraId="79A3B719" w14:textId="77777777" w:rsidR="0063719B" w:rsidRPr="00C929D7" w:rsidRDefault="0063719B" w:rsidP="0063719B">
      <w:pPr>
        <w:pStyle w:val="ONRSquareBullet1"/>
        <w:tabs>
          <w:tab w:val="left" w:pos="880"/>
        </w:tabs>
        <w:spacing w:after="120"/>
        <w:rPr>
          <w:color w:val="auto"/>
        </w:rPr>
      </w:pPr>
      <w:r w:rsidRPr="00C929D7">
        <w:rPr>
          <w:color w:val="auto"/>
        </w:rPr>
        <w:t xml:space="preserve">Changes in the </w:t>
      </w:r>
      <w:proofErr w:type="spellStart"/>
      <w:r w:rsidRPr="00C929D7">
        <w:rPr>
          <w:color w:val="auto"/>
        </w:rPr>
        <w:t>organisational</w:t>
      </w:r>
      <w:proofErr w:type="spellEnd"/>
      <w:r w:rsidRPr="00C929D7">
        <w:rPr>
          <w:color w:val="auto"/>
        </w:rPr>
        <w:t xml:space="preserve"> structure and resources and their cumulative impact</w:t>
      </w:r>
      <w:r w:rsidR="00AA6817">
        <w:rPr>
          <w:color w:val="auto"/>
        </w:rPr>
        <w:t xml:space="preserve"> (e.g. reduction in resources, facility knowledge, leadership etc.)</w:t>
      </w:r>
      <w:r w:rsidRPr="00C929D7">
        <w:rPr>
          <w:color w:val="auto"/>
        </w:rPr>
        <w:t>.</w:t>
      </w:r>
    </w:p>
    <w:p w14:paraId="79A3B71A" w14:textId="77777777" w:rsidR="0063719B" w:rsidRPr="00C929D7" w:rsidRDefault="0063719B" w:rsidP="0063719B">
      <w:pPr>
        <w:pStyle w:val="ONRSquareBullet1"/>
        <w:tabs>
          <w:tab w:val="left" w:pos="880"/>
        </w:tabs>
        <w:spacing w:after="120"/>
        <w:rPr>
          <w:color w:val="auto"/>
        </w:rPr>
      </w:pPr>
      <w:r w:rsidRPr="00C929D7">
        <w:rPr>
          <w:color w:val="auto"/>
        </w:rPr>
        <w:t>Changes in the arrangements and practices for leadership and management for safety</w:t>
      </w:r>
      <w:r w:rsidR="00E64221">
        <w:rPr>
          <w:color w:val="auto"/>
        </w:rPr>
        <w:t>.</w:t>
      </w:r>
    </w:p>
    <w:p w14:paraId="79A3B71B" w14:textId="77777777" w:rsidR="0063719B" w:rsidRPr="00C929D7" w:rsidRDefault="0063719B" w:rsidP="0063719B">
      <w:pPr>
        <w:pStyle w:val="ONRSquareBullet1"/>
        <w:tabs>
          <w:tab w:val="left" w:pos="880"/>
        </w:tabs>
        <w:spacing w:after="120"/>
        <w:rPr>
          <w:color w:val="auto"/>
        </w:rPr>
      </w:pPr>
      <w:r w:rsidRPr="00C929D7">
        <w:rPr>
          <w:color w:val="auto"/>
        </w:rPr>
        <w:t>Modifications to the facility, its equipment or mode of operation</w:t>
      </w:r>
      <w:r w:rsidR="00E64221">
        <w:rPr>
          <w:color w:val="auto"/>
        </w:rPr>
        <w:t>.</w:t>
      </w:r>
    </w:p>
    <w:p w14:paraId="79A3B71C" w14:textId="3F0A84FF" w:rsidR="0063719B" w:rsidRPr="00C929D7" w:rsidRDefault="00783E7E" w:rsidP="0063719B">
      <w:pPr>
        <w:pStyle w:val="ONRSquareBullet1"/>
        <w:tabs>
          <w:tab w:val="left" w:pos="880"/>
        </w:tabs>
        <w:spacing w:after="120"/>
        <w:rPr>
          <w:color w:val="auto"/>
        </w:rPr>
      </w:pPr>
      <w:r>
        <w:rPr>
          <w:color w:val="auto"/>
        </w:rPr>
        <w:t>Reliability, maintenance, m</w:t>
      </w:r>
      <w:r w:rsidR="0063719B" w:rsidRPr="00C929D7">
        <w:rPr>
          <w:color w:val="auto"/>
        </w:rPr>
        <w:t xml:space="preserve">onitoring and surveillance data </w:t>
      </w:r>
      <w:r w:rsidR="00F23C3D">
        <w:rPr>
          <w:color w:val="auto"/>
        </w:rPr>
        <w:t>from both the plant and similar</w:t>
      </w:r>
      <w:r w:rsidR="00226B1E">
        <w:rPr>
          <w:color w:val="auto"/>
        </w:rPr>
        <w:t xml:space="preserve"> relevant</w:t>
      </w:r>
      <w:r w:rsidR="00F23C3D">
        <w:rPr>
          <w:color w:val="auto"/>
        </w:rPr>
        <w:t xml:space="preserve"> </w:t>
      </w:r>
      <w:r w:rsidR="00DA13B9">
        <w:rPr>
          <w:color w:val="auto"/>
        </w:rPr>
        <w:t>operations</w:t>
      </w:r>
      <w:r w:rsidR="000660B8">
        <w:rPr>
          <w:color w:val="auto"/>
        </w:rPr>
        <w:t xml:space="preserve"> worldwide</w:t>
      </w:r>
      <w:r w:rsidR="00DA13B9">
        <w:rPr>
          <w:color w:val="auto"/>
        </w:rPr>
        <w:t xml:space="preserve">, </w:t>
      </w:r>
      <w:r w:rsidR="0063719B" w:rsidRPr="00C929D7">
        <w:rPr>
          <w:color w:val="auto"/>
        </w:rPr>
        <w:t>in order to identify any ageing or degradation processes or obsolescence issues that may affect safety significant structures, systems and components</w:t>
      </w:r>
      <w:r w:rsidR="00E64221">
        <w:rPr>
          <w:color w:val="auto"/>
        </w:rPr>
        <w:t>.</w:t>
      </w:r>
    </w:p>
    <w:p w14:paraId="79A3B71D" w14:textId="77777777" w:rsidR="0063719B" w:rsidRPr="00C929D7" w:rsidRDefault="0063719B" w:rsidP="0063719B">
      <w:pPr>
        <w:pStyle w:val="ONRSquareBullet1"/>
        <w:tabs>
          <w:tab w:val="left" w:pos="880"/>
        </w:tabs>
        <w:spacing w:after="120"/>
        <w:rPr>
          <w:color w:val="auto"/>
        </w:rPr>
      </w:pPr>
      <w:r w:rsidRPr="00C929D7">
        <w:rPr>
          <w:color w:val="auto"/>
        </w:rPr>
        <w:t>Recommendations from previous reviews (including PSRs) yet to be implemented.</w:t>
      </w:r>
      <w:r w:rsidR="009F4D57">
        <w:rPr>
          <w:color w:val="auto"/>
        </w:rPr>
        <w:t xml:space="preserve"> In these instances, there would also need to be very strong ALARP arguments for why this is the case. </w:t>
      </w:r>
      <w:r w:rsidR="00A400E4">
        <w:rPr>
          <w:color w:val="auto"/>
        </w:rPr>
        <w:t>[</w:t>
      </w:r>
      <w:r w:rsidR="009F4D57">
        <w:rPr>
          <w:color w:val="auto"/>
        </w:rPr>
        <w:t>The project inspector may need to take further action in these instance</w:t>
      </w:r>
      <w:r w:rsidR="00646345">
        <w:rPr>
          <w:color w:val="auto"/>
        </w:rPr>
        <w:t>s</w:t>
      </w:r>
      <w:r w:rsidR="009F4D57">
        <w:rPr>
          <w:color w:val="auto"/>
        </w:rPr>
        <w:t>, as noted in the Section on inadequate submissions].</w:t>
      </w:r>
    </w:p>
    <w:p w14:paraId="79A3B71E" w14:textId="77777777" w:rsidR="00495A13" w:rsidRDefault="00495A13" w:rsidP="00B24A12">
      <w:pPr>
        <w:pStyle w:val="ONRNormal"/>
        <w:spacing w:after="120"/>
        <w:ind w:left="879"/>
      </w:pPr>
    </w:p>
    <w:p w14:paraId="79A3B71F" w14:textId="77777777" w:rsidR="00D94B16" w:rsidRDefault="00D94B16" w:rsidP="00B24A12">
      <w:pPr>
        <w:pStyle w:val="ONRNormal"/>
        <w:spacing w:after="120"/>
        <w:ind w:left="879"/>
      </w:pPr>
    </w:p>
    <w:p w14:paraId="79A3B720" w14:textId="77777777" w:rsidR="0063719B" w:rsidRPr="00C929D7" w:rsidRDefault="0063719B" w:rsidP="00B24A12">
      <w:pPr>
        <w:pStyle w:val="ONRNormal"/>
        <w:spacing w:after="120"/>
        <w:ind w:left="879"/>
      </w:pPr>
      <w:r w:rsidRPr="00C929D7">
        <w:t>The PSR should also:</w:t>
      </w:r>
    </w:p>
    <w:p w14:paraId="79A3B721" w14:textId="77777777" w:rsidR="0063719B" w:rsidRPr="00C929D7" w:rsidRDefault="0063719B" w:rsidP="0063719B">
      <w:pPr>
        <w:pStyle w:val="ONRSquareBullet1"/>
        <w:tabs>
          <w:tab w:val="left" w:pos="880"/>
        </w:tabs>
        <w:spacing w:after="120"/>
        <w:rPr>
          <w:color w:val="auto"/>
        </w:rPr>
      </w:pPr>
      <w:r w:rsidRPr="00C929D7">
        <w:rPr>
          <w:color w:val="auto"/>
        </w:rPr>
        <w:t>Identify the relevant modern standards and good practices against which the review has been undertaken.</w:t>
      </w:r>
    </w:p>
    <w:p w14:paraId="79A3B722" w14:textId="77777777" w:rsidR="001558FB" w:rsidRPr="001558FB" w:rsidRDefault="001558FB" w:rsidP="00084490">
      <w:pPr>
        <w:pStyle w:val="ONRSquareBullet1"/>
        <w:tabs>
          <w:tab w:val="left" w:pos="880"/>
        </w:tabs>
        <w:spacing w:after="120"/>
        <w:rPr>
          <w:color w:val="auto"/>
        </w:rPr>
      </w:pPr>
      <w:r w:rsidRPr="001558FB">
        <w:rPr>
          <w:color w:val="auto"/>
        </w:rPr>
        <w:t xml:space="preserve">Identify the cut-off date(s) beyond which changes to codes and standards and new information </w:t>
      </w:r>
      <w:r>
        <w:rPr>
          <w:color w:val="auto"/>
        </w:rPr>
        <w:t>w</w:t>
      </w:r>
      <w:r w:rsidR="00D651D4">
        <w:rPr>
          <w:color w:val="auto"/>
        </w:rPr>
        <w:t>as</w:t>
      </w:r>
      <w:r>
        <w:rPr>
          <w:color w:val="auto"/>
        </w:rPr>
        <w:t xml:space="preserve"> not</w:t>
      </w:r>
      <w:r w:rsidRPr="001558FB">
        <w:rPr>
          <w:color w:val="auto"/>
        </w:rPr>
        <w:t xml:space="preserve"> considered</w:t>
      </w:r>
      <w:r>
        <w:rPr>
          <w:color w:val="auto"/>
        </w:rPr>
        <w:t>.</w:t>
      </w:r>
    </w:p>
    <w:p w14:paraId="79A3B723" w14:textId="77777777" w:rsidR="0063719B" w:rsidRPr="00C929D7" w:rsidRDefault="0063719B" w:rsidP="0063719B">
      <w:pPr>
        <w:pStyle w:val="ONRSquareBullet1"/>
        <w:tabs>
          <w:tab w:val="left" w:pos="880"/>
        </w:tabs>
        <w:spacing w:after="120"/>
        <w:rPr>
          <w:color w:val="auto"/>
        </w:rPr>
      </w:pPr>
      <w:r w:rsidRPr="00C929D7">
        <w:rPr>
          <w:color w:val="auto"/>
        </w:rPr>
        <w:t xml:space="preserve">Include a listing and explanation of improvements identified during the review, </w:t>
      </w:r>
      <w:proofErr w:type="spellStart"/>
      <w:r w:rsidRPr="00C929D7">
        <w:rPr>
          <w:color w:val="auto"/>
        </w:rPr>
        <w:t>categorised</w:t>
      </w:r>
      <w:proofErr w:type="spellEnd"/>
      <w:r w:rsidRPr="00C929D7">
        <w:rPr>
          <w:color w:val="auto"/>
        </w:rPr>
        <w:t xml:space="preserve"> in terms of safety importance.</w:t>
      </w:r>
    </w:p>
    <w:p w14:paraId="79A3B724" w14:textId="77777777" w:rsidR="0063719B" w:rsidRPr="00C929D7" w:rsidRDefault="0063719B" w:rsidP="0063719B">
      <w:pPr>
        <w:pStyle w:val="ONRSquareBullet1"/>
        <w:tabs>
          <w:tab w:val="left" w:pos="880"/>
        </w:tabs>
        <w:spacing w:after="120"/>
        <w:rPr>
          <w:color w:val="auto"/>
        </w:rPr>
      </w:pPr>
      <w:r w:rsidRPr="00C929D7">
        <w:rPr>
          <w:color w:val="auto"/>
        </w:rPr>
        <w:t xml:space="preserve">Include the </w:t>
      </w:r>
      <w:proofErr w:type="spellStart"/>
      <w:r w:rsidRPr="00C929D7">
        <w:rPr>
          <w:color w:val="auto"/>
        </w:rPr>
        <w:t>programme</w:t>
      </w:r>
      <w:proofErr w:type="spellEnd"/>
      <w:r w:rsidRPr="00C929D7">
        <w:rPr>
          <w:color w:val="auto"/>
        </w:rPr>
        <w:t xml:space="preserve"> of work to implement reasonably practicable improvements to enhance safety.</w:t>
      </w:r>
    </w:p>
    <w:p w14:paraId="79A3B725" w14:textId="091E79F0" w:rsidR="007A07BD" w:rsidRPr="00B24A12" w:rsidRDefault="0063719B" w:rsidP="00B24A12">
      <w:pPr>
        <w:pStyle w:val="ONRSquareBullet1"/>
        <w:tabs>
          <w:tab w:val="left" w:pos="880"/>
        </w:tabs>
        <w:spacing w:after="120"/>
        <w:rPr>
          <w:color w:val="auto"/>
        </w:rPr>
      </w:pPr>
      <w:r w:rsidRPr="00B24A12">
        <w:rPr>
          <w:color w:val="auto"/>
        </w:rPr>
        <w:t>Identify when the next PSR is due.</w:t>
      </w:r>
      <w:r w:rsidR="00D951C6" w:rsidRPr="00B24A12">
        <w:rPr>
          <w:color w:val="auto"/>
        </w:rPr>
        <w:t xml:space="preserve"> </w:t>
      </w:r>
      <w:r w:rsidRPr="00B24A12">
        <w:rPr>
          <w:color w:val="auto"/>
        </w:rPr>
        <w:t>There is a regulatory expectation that a PSR will be produced every ten years; however, as a result of the review the licensee may decide that one is required sooner.</w:t>
      </w:r>
      <w:r w:rsidR="00D951C6" w:rsidRPr="00B24A12">
        <w:rPr>
          <w:color w:val="auto"/>
        </w:rPr>
        <w:t xml:space="preserve"> </w:t>
      </w:r>
      <w:r w:rsidRPr="00B24A12">
        <w:rPr>
          <w:color w:val="auto"/>
        </w:rPr>
        <w:t xml:space="preserve">In exceptional cases, the licensee may be able to justify a longer period between PSRs (see </w:t>
      </w:r>
      <w:r w:rsidR="00B24A12">
        <w:rPr>
          <w:color w:val="auto"/>
        </w:rPr>
        <w:t>para</w:t>
      </w:r>
      <w:r w:rsidR="003A1C17">
        <w:rPr>
          <w:color w:val="auto"/>
        </w:rPr>
        <w:t>graph</w:t>
      </w:r>
      <w:r w:rsidR="00B24A12">
        <w:rPr>
          <w:color w:val="auto"/>
        </w:rPr>
        <w:t>s </w:t>
      </w:r>
      <w:r w:rsidR="001D02D9">
        <w:rPr>
          <w:color w:val="auto"/>
        </w:rPr>
        <w:fldChar w:fldCharType="begin"/>
      </w:r>
      <w:r w:rsidR="001D02D9">
        <w:rPr>
          <w:color w:val="auto"/>
        </w:rPr>
        <w:instrText xml:space="preserve"> REF _Ref41903850 \r \h </w:instrText>
      </w:r>
      <w:r w:rsidR="001D02D9">
        <w:rPr>
          <w:color w:val="auto"/>
        </w:rPr>
      </w:r>
      <w:r w:rsidR="001D02D9">
        <w:rPr>
          <w:color w:val="auto"/>
        </w:rPr>
        <w:fldChar w:fldCharType="separate"/>
      </w:r>
      <w:r w:rsidR="00D86858">
        <w:rPr>
          <w:color w:val="auto"/>
        </w:rPr>
        <w:t>5.32</w:t>
      </w:r>
      <w:r w:rsidR="001D02D9">
        <w:rPr>
          <w:color w:val="auto"/>
        </w:rPr>
        <w:fldChar w:fldCharType="end"/>
      </w:r>
      <w:r w:rsidR="00B24A12">
        <w:rPr>
          <w:color w:val="auto"/>
        </w:rPr>
        <w:t xml:space="preserve"> to </w:t>
      </w:r>
      <w:r w:rsidR="001D02D9">
        <w:rPr>
          <w:color w:val="auto"/>
        </w:rPr>
        <w:fldChar w:fldCharType="begin"/>
      </w:r>
      <w:r w:rsidR="001D02D9">
        <w:rPr>
          <w:color w:val="auto"/>
        </w:rPr>
        <w:instrText xml:space="preserve"> REF _Ref41903895 \r \h </w:instrText>
      </w:r>
      <w:r w:rsidR="001D02D9">
        <w:rPr>
          <w:color w:val="auto"/>
        </w:rPr>
      </w:r>
      <w:r w:rsidR="001D02D9">
        <w:rPr>
          <w:color w:val="auto"/>
        </w:rPr>
        <w:fldChar w:fldCharType="separate"/>
      </w:r>
      <w:r w:rsidR="00D86858">
        <w:rPr>
          <w:color w:val="auto"/>
        </w:rPr>
        <w:t>5.39</w:t>
      </w:r>
      <w:r w:rsidR="001D02D9">
        <w:rPr>
          <w:color w:val="auto"/>
        </w:rPr>
        <w:fldChar w:fldCharType="end"/>
      </w:r>
      <w:r w:rsidRPr="00B24A12">
        <w:rPr>
          <w:color w:val="auto"/>
        </w:rPr>
        <w:t>).</w:t>
      </w:r>
    </w:p>
    <w:p w14:paraId="79A3B726" w14:textId="77777777" w:rsidR="0063719B" w:rsidRPr="00084490" w:rsidRDefault="0063719B" w:rsidP="00084490">
      <w:pPr>
        <w:pStyle w:val="NumberedParagraph"/>
        <w:tabs>
          <w:tab w:val="num" w:pos="-31680"/>
        </w:tabs>
        <w:ind w:left="720"/>
        <w:jc w:val="both"/>
      </w:pPr>
      <w:r w:rsidRPr="00084490">
        <w:t>The above lists are not exhaustive and other aspects may need to be considered.</w:t>
      </w:r>
      <w:r w:rsidR="00D951C6" w:rsidRPr="00084490">
        <w:t xml:space="preserve"> </w:t>
      </w:r>
      <w:r w:rsidRPr="00084490">
        <w:t xml:space="preserve">For example, a list of topics recommended for PSRs of nuclear power plants is given in </w:t>
      </w:r>
      <w:r w:rsidR="00A400E4" w:rsidRPr="00A400E4">
        <w:t>[8</w:t>
      </w:r>
      <w:r w:rsidRPr="00A400E4">
        <w:t xml:space="preserve">] </w:t>
      </w:r>
      <w:r w:rsidRPr="00084490">
        <w:t>and for decommissioning facilities in [7] (Section D-75).</w:t>
      </w:r>
      <w:r w:rsidR="00825E1E" w:rsidRPr="00084490">
        <w:t xml:space="preserve"> The Safety Case Forum also produce</w:t>
      </w:r>
      <w:r w:rsidR="003643BB">
        <w:t>s</w:t>
      </w:r>
      <w:r w:rsidR="00825E1E" w:rsidRPr="00084490">
        <w:t xml:space="preserve"> industry guidance on behalf of the Safety Directors’ Forum</w:t>
      </w:r>
      <w:r w:rsidR="00825E1E" w:rsidRPr="00084490">
        <w:rPr>
          <w:vertAlign w:val="superscript"/>
        </w:rPr>
        <w:footnoteReference w:id="1"/>
      </w:r>
      <w:r w:rsidR="00825E1E" w:rsidRPr="00084490">
        <w:t>, much of which seeks to address issues with safety case production. Inspectors should be aware of this guidance, which is published on the Safety Directors’</w:t>
      </w:r>
      <w:r w:rsidR="00084490">
        <w:t xml:space="preserve"> </w:t>
      </w:r>
      <w:r w:rsidR="00825E1E" w:rsidRPr="00825E1E">
        <w:t>Forum webpages.</w:t>
      </w:r>
      <w:r w:rsidR="00D951C6" w:rsidRPr="00084490">
        <w:t xml:space="preserve"> </w:t>
      </w:r>
      <w:r w:rsidRPr="00084490">
        <w:t xml:space="preserve">ONR expectations for leadership and management for safety aspects to be covered in a PSR are given in </w:t>
      </w:r>
      <w:r w:rsidRPr="00084490">
        <w:fldChar w:fldCharType="begin"/>
      </w:r>
      <w:r w:rsidRPr="00084490">
        <w:instrText xml:space="preserve"> REF Annex1 \h </w:instrText>
      </w:r>
      <w:r w:rsidR="007A07BD" w:rsidRPr="00084490">
        <w:instrText xml:space="preserve"> \* MERGEFORMAT </w:instrText>
      </w:r>
      <w:r w:rsidRPr="00084490">
        <w:fldChar w:fldCharType="separate"/>
      </w:r>
      <w:r w:rsidR="00DB3355">
        <w:t>Annex 1</w:t>
      </w:r>
      <w:r w:rsidRPr="00084490">
        <w:fldChar w:fldCharType="end"/>
      </w:r>
      <w:r w:rsidRPr="00084490">
        <w:t xml:space="preserve"> of this guide.</w:t>
      </w:r>
      <w:r w:rsidR="00D951C6" w:rsidRPr="00084490">
        <w:t xml:space="preserve"> </w:t>
      </w:r>
      <w:r w:rsidRPr="00084490">
        <w:t>The totality of the areas covered in a PSR should be consistent with the underlying objectives of the PSR and the nature of the facility and its operations.</w:t>
      </w:r>
      <w:r w:rsidR="00084490">
        <w:t xml:space="preserve"> </w:t>
      </w:r>
      <w:r w:rsidR="00084490" w:rsidRPr="00084490">
        <w:t>T</w:t>
      </w:r>
      <w:r w:rsidR="00084490">
        <w:t>A</w:t>
      </w:r>
      <w:r w:rsidR="00084490" w:rsidRPr="00084490">
        <w:t>G 051 [</w:t>
      </w:r>
      <w:r w:rsidR="003643BB">
        <w:t>1</w:t>
      </w:r>
      <w:r w:rsidR="00F51E99">
        <w:t>4</w:t>
      </w:r>
      <w:r w:rsidR="00084490" w:rsidRPr="00084490">
        <w:t>] – The Purpose, Scope and Content of Safety Cases also provides further information on safety cases.</w:t>
      </w:r>
    </w:p>
    <w:p w14:paraId="79A3B727" w14:textId="388AAFDB" w:rsidR="0063719B" w:rsidRDefault="00F9317A" w:rsidP="0063719B">
      <w:pPr>
        <w:pStyle w:val="NumberedParagraph"/>
        <w:tabs>
          <w:tab w:val="num" w:pos="-31680"/>
        </w:tabs>
        <w:ind w:left="720"/>
        <w:jc w:val="both"/>
      </w:pPr>
      <w:r>
        <w:t>The PSR should include</w:t>
      </w:r>
      <w:r w:rsidR="0063719B">
        <w:t xml:space="preserve"> a full and systematic review of the safety case</w:t>
      </w:r>
      <w:r w:rsidR="008D57F0">
        <w:t xml:space="preserve">, </w:t>
      </w:r>
      <w:r w:rsidR="00E15C50">
        <w:t>to ensure that the claims being placed on the facility can continue to be delivered</w:t>
      </w:r>
      <w:r w:rsidR="008D57F0">
        <w:t>,</w:t>
      </w:r>
      <w:r w:rsidR="0063719B">
        <w:t xml:space="preserve"> rather than a re-write of the case (although the latter could be an outcome from the PSR).</w:t>
      </w:r>
      <w:r w:rsidR="00D951C6">
        <w:t xml:space="preserve"> </w:t>
      </w:r>
      <w:r w:rsidR="0063719B">
        <w:t>Since the scope of an adequate safety case will be proportionate to the hazards and risks from the facility, the PSR will necessarily also be proportionate to these same hazards, risks and the extent of any changes to the facility.</w:t>
      </w:r>
      <w:r w:rsidR="00D951C6">
        <w:t xml:space="preserve"> </w:t>
      </w:r>
      <w:r w:rsidR="0063719B">
        <w:t>ONR’s assessment of PSRs should take account of the risks and hazards when determining the extent of the assessment work.</w:t>
      </w:r>
      <w:r w:rsidR="00021100">
        <w:t xml:space="preserve"> If the project inspector deems the PSR to be inadequate e.g. in terms of the breadth and depth of the assessment, or</w:t>
      </w:r>
      <w:r w:rsidR="0010233E">
        <w:t xml:space="preserve"> if</w:t>
      </w:r>
      <w:r w:rsidR="00021100">
        <w:t xml:space="preserve"> an appropriate action plan for dealing with shortfalls has not be identified, then there may be a need to withhold written confirmation of the acceptability of the PSR until they are satisfied that an adequate submission has been made</w:t>
      </w:r>
      <w:r w:rsidR="0010233E">
        <w:t xml:space="preserve"> (see paragraphs </w:t>
      </w:r>
      <w:r w:rsidR="0010233E">
        <w:fldChar w:fldCharType="begin"/>
      </w:r>
      <w:r w:rsidR="0010233E">
        <w:instrText xml:space="preserve"> REF _Ref42074783 \r \h </w:instrText>
      </w:r>
      <w:r w:rsidR="0010233E">
        <w:fldChar w:fldCharType="separate"/>
      </w:r>
      <w:r w:rsidR="00D86858">
        <w:t>5.75</w:t>
      </w:r>
      <w:r w:rsidR="0010233E">
        <w:fldChar w:fldCharType="end"/>
      </w:r>
      <w:r w:rsidR="0010233E">
        <w:t xml:space="preserve"> and </w:t>
      </w:r>
      <w:r w:rsidR="0010233E">
        <w:fldChar w:fldCharType="begin"/>
      </w:r>
      <w:r w:rsidR="0010233E">
        <w:instrText xml:space="preserve"> REF _Ref42074799 \r \h </w:instrText>
      </w:r>
      <w:r w:rsidR="0010233E">
        <w:fldChar w:fldCharType="separate"/>
      </w:r>
      <w:r w:rsidR="00D86858">
        <w:t>5.76</w:t>
      </w:r>
      <w:r w:rsidR="0010233E">
        <w:fldChar w:fldCharType="end"/>
      </w:r>
      <w:r w:rsidR="0010233E">
        <w:t>)</w:t>
      </w:r>
      <w:r w:rsidR="00021100">
        <w:t>.</w:t>
      </w:r>
    </w:p>
    <w:p w14:paraId="79A3B728" w14:textId="77777777" w:rsidR="0063719B" w:rsidRPr="007A07BD" w:rsidRDefault="007A07BD" w:rsidP="007A07BD">
      <w:pPr>
        <w:pStyle w:val="Heading3"/>
      </w:pPr>
      <w:bookmarkStart w:id="11" w:name="_Toc358727790"/>
      <w:r w:rsidRPr="007A07BD">
        <w:t xml:space="preserve">Scope: </w:t>
      </w:r>
      <w:r w:rsidR="0063719B" w:rsidRPr="007A07BD">
        <w:t>Detailed aspects</w:t>
      </w:r>
      <w:bookmarkEnd w:id="11"/>
    </w:p>
    <w:p w14:paraId="79A3B729" w14:textId="77777777" w:rsidR="0063719B" w:rsidRDefault="0063719B" w:rsidP="0063719B">
      <w:pPr>
        <w:pStyle w:val="NumberedParagraph"/>
        <w:tabs>
          <w:tab w:val="num" w:pos="-31680"/>
        </w:tabs>
        <w:ind w:left="720"/>
        <w:jc w:val="both"/>
      </w:pPr>
      <w:r w:rsidRPr="002F3D5A">
        <w:t xml:space="preserve">In considering ageing, degradation and obsolescence processes (hereafter referred to as “ageing”), the PSR should determine whether a systematic and effective ageing management programme is in place; whether adequate arrangements have been made to fulfil </w:t>
      </w:r>
      <w:r w:rsidR="003643BB">
        <w:t xml:space="preserve">the </w:t>
      </w:r>
      <w:r w:rsidRPr="002F3D5A">
        <w:t>required safety functions during future plant operation; and whether there are any features that would limit plant life.</w:t>
      </w:r>
      <w:r w:rsidR="00D951C6">
        <w:t xml:space="preserve"> </w:t>
      </w:r>
      <w:r w:rsidRPr="002F3D5A">
        <w:t>Both the technical aspects of ageing management (e.g. ageing management methodology; the extent of understanding of relevant age-related degradation mechanisms; any SSC specific acceptance criteria, operating guidelines aimed at controlling the rate of ageing degradation, and ageing detection and mitigation methods; and the actual condition of SSCs) and the management arrangements required to deliver them (e.g. policies, procedures, performance indicators, staffing, resources and record keeping) should be reviewed.</w:t>
      </w:r>
      <w:r w:rsidR="00D951C6">
        <w:t xml:space="preserve"> </w:t>
      </w:r>
      <w:r w:rsidRPr="002F3D5A">
        <w:t>The PSR should highlight any ageing features that require attention before the next PSR</w:t>
      </w:r>
      <w:r w:rsidR="000E0B6E">
        <w:t xml:space="preserve"> e.g. life-limiting factors, obsolescence etc</w:t>
      </w:r>
      <w:r w:rsidRPr="002F3D5A">
        <w:t>.</w:t>
      </w:r>
      <w:r w:rsidR="000E0B6E">
        <w:t xml:space="preserve"> This information can be drawn from existing information where available such as plant maintenance records, procurement data etc.</w:t>
      </w:r>
      <w:r w:rsidR="003643BB">
        <w:t xml:space="preserve"> which may be collected on a continuous basis.</w:t>
      </w:r>
      <w:r w:rsidR="000E0B6E">
        <w:t xml:space="preserve"> </w:t>
      </w:r>
      <w:r w:rsidRPr="002F3D5A">
        <w:t>The licensee should then ensure that these are addressed during appropriate interim reviews</w:t>
      </w:r>
      <w:r>
        <w:t>.</w:t>
      </w:r>
    </w:p>
    <w:p w14:paraId="79A3B72A" w14:textId="77777777" w:rsidR="0063719B" w:rsidRDefault="00CD57D4" w:rsidP="0063719B">
      <w:pPr>
        <w:pStyle w:val="NumberedParagraph"/>
        <w:tabs>
          <w:tab w:val="num" w:pos="-31680"/>
        </w:tabs>
        <w:ind w:left="720"/>
        <w:jc w:val="both"/>
      </w:pPr>
      <w:r>
        <w:t>The licensee</w:t>
      </w:r>
      <w:r w:rsidR="00F9317A">
        <w:t>’</w:t>
      </w:r>
      <w:r w:rsidR="0063719B">
        <w:t>s PSR arrangements should ensure, by methods such as facility walk-</w:t>
      </w:r>
      <w:r w:rsidR="00F72272">
        <w:t>downs that</w:t>
      </w:r>
      <w:r w:rsidR="0063719B">
        <w:t xml:space="preserve"> the facility co</w:t>
      </w:r>
      <w:r w:rsidR="008A38B6">
        <w:t>nfiguration and condition reflect</w:t>
      </w:r>
      <w:r w:rsidR="0063719B">
        <w:t>ed in the safety case reflect</w:t>
      </w:r>
      <w:r w:rsidR="0010233E">
        <w:t>s</w:t>
      </w:r>
      <w:r w:rsidR="0063719B">
        <w:t xml:space="preserve"> the actual facility state</w:t>
      </w:r>
      <w:r w:rsidR="008D57F0">
        <w:t xml:space="preserve"> and that it can deliver the required</w:t>
      </w:r>
      <w:r w:rsidR="006C4834">
        <w:t xml:space="preserve"> safety functions</w:t>
      </w:r>
      <w:r w:rsidR="000E0B6E">
        <w:t xml:space="preserve"> (SAPs SC.4</w:t>
      </w:r>
      <w:r w:rsidR="006C4834">
        <w:t>, EQU.1</w:t>
      </w:r>
      <w:r w:rsidR="000E0B6E">
        <w:t>)</w:t>
      </w:r>
      <w:r w:rsidR="0063719B">
        <w:t>.</w:t>
      </w:r>
      <w:r w:rsidR="00D951C6">
        <w:t xml:space="preserve"> </w:t>
      </w:r>
      <w:r w:rsidR="0063719B">
        <w:t>The review should use up to date, systematic and documented methodologies, taking into account deterministic and, where relevant, probabilistic assessments.</w:t>
      </w:r>
      <w:r w:rsidR="00D951C6">
        <w:t xml:space="preserve"> </w:t>
      </w:r>
      <w:r w:rsidR="0063719B">
        <w:t>Consideration should also be given to all modes of operation permitted within the safety case, such as those arising during maintenance, refuelling and shutdown/start-up activities, to determine whether there is any potential for increased or unacceptable levels of risk arising from them.</w:t>
      </w:r>
      <w:r w:rsidR="00D951C6">
        <w:t xml:space="preserve"> </w:t>
      </w:r>
      <w:r w:rsidR="0063719B">
        <w:t>The adequacy of arrangements for reviewing operating instructions, warning notices, training programmes, and other aspects that underpin safe operation should also be considered.</w:t>
      </w:r>
    </w:p>
    <w:p w14:paraId="79A3B72B" w14:textId="5E777BC6" w:rsidR="0063719B" w:rsidRDefault="0063719B" w:rsidP="0063719B">
      <w:pPr>
        <w:pStyle w:val="NumberedParagraph"/>
        <w:tabs>
          <w:tab w:val="num" w:pos="-31680"/>
        </w:tabs>
        <w:ind w:left="720"/>
        <w:jc w:val="both"/>
      </w:pPr>
      <w:r>
        <w:t>The arrangements should also ensure that an appropriate blend of facility specifi</w:t>
      </w:r>
      <w:r w:rsidR="008A38B6">
        <w:t>c engineering, safety case specialists</w:t>
      </w:r>
      <w:r>
        <w:t>, and operational expertise is brought together to carry out the PSR.</w:t>
      </w:r>
      <w:r w:rsidR="00D951C6">
        <w:t xml:space="preserve"> </w:t>
      </w:r>
      <w:r>
        <w:t>The arrangements should make provision for adequate independent review of the work, both in terms of the documentation produced and the processes applied</w:t>
      </w:r>
      <w:r w:rsidR="00330877">
        <w:t xml:space="preserve"> e.g. independent verification of engineering substantiation reports, peer review of safety case documentation </w:t>
      </w:r>
      <w:r w:rsidR="00CD57D4">
        <w:t>etc., noting</w:t>
      </w:r>
      <w:r w:rsidR="00330877">
        <w:t xml:space="preserve"> that this should take place throughout the PSR process and not just at the back-end. </w:t>
      </w:r>
      <w:r w:rsidR="00D951C6">
        <w:t xml:space="preserve"> </w:t>
      </w:r>
      <w:r w:rsidR="00F72272">
        <w:t>In addition</w:t>
      </w:r>
      <w:r w:rsidR="00DF3B9F">
        <w:t>,</w:t>
      </w:r>
      <w:r w:rsidR="00F72272">
        <w:t xml:space="preserve"> the licensee</w:t>
      </w:r>
      <w:r>
        <w:t xml:space="preserve"> should provide for the identification of clear lines of management responsibility, including a safety case owner and person(s) responsible for overseeing the PSR and for owning the findings and improvement programme.</w:t>
      </w:r>
    </w:p>
    <w:p w14:paraId="79A3B72C" w14:textId="77777777" w:rsidR="006C24B3" w:rsidRDefault="00F72272" w:rsidP="0063719B">
      <w:pPr>
        <w:pStyle w:val="NumberedParagraph"/>
        <w:tabs>
          <w:tab w:val="num" w:pos="-31680"/>
        </w:tabs>
        <w:ind w:left="720"/>
        <w:jc w:val="both"/>
      </w:pPr>
      <w:r>
        <w:t xml:space="preserve">The review of the safety </w:t>
      </w:r>
      <w:r w:rsidR="005D21E2">
        <w:t>case</w:t>
      </w:r>
      <w:r>
        <w:t xml:space="preserve"> should </w:t>
      </w:r>
      <w:r w:rsidR="007E1104">
        <w:t xml:space="preserve">proportionately </w:t>
      </w:r>
      <w:r>
        <w:t>co</w:t>
      </w:r>
      <w:r w:rsidR="005D21E2">
        <w:t>nsider all</w:t>
      </w:r>
      <w:r>
        <w:t xml:space="preserve"> safety a</w:t>
      </w:r>
      <w:r w:rsidR="005D21E2">
        <w:t>nalysis of fault conditions, including the</w:t>
      </w:r>
      <w:r>
        <w:t xml:space="preserve"> process</w:t>
      </w:r>
      <w:r w:rsidR="005D21E2">
        <w:t>es</w:t>
      </w:r>
      <w:r>
        <w:t xml:space="preserve"> and</w:t>
      </w:r>
      <w:r w:rsidR="005D21E2">
        <w:t xml:space="preserve"> methods used and </w:t>
      </w:r>
      <w:r>
        <w:t>associated output including (this list is not exhaustive);</w:t>
      </w:r>
    </w:p>
    <w:p w14:paraId="79A3B72D" w14:textId="77777777" w:rsidR="00F72272" w:rsidRDefault="00F72272" w:rsidP="00F72272">
      <w:pPr>
        <w:pStyle w:val="ONRSquareBullet1"/>
        <w:tabs>
          <w:tab w:val="left" w:pos="880"/>
        </w:tabs>
        <w:spacing w:after="120"/>
        <w:rPr>
          <w:color w:val="auto"/>
        </w:rPr>
      </w:pPr>
      <w:r w:rsidRPr="00F72272">
        <w:rPr>
          <w:color w:val="auto"/>
        </w:rPr>
        <w:t xml:space="preserve">The </w:t>
      </w:r>
      <w:r>
        <w:rPr>
          <w:color w:val="auto"/>
        </w:rPr>
        <w:t xml:space="preserve">adequacy of the fault identification </w:t>
      </w:r>
      <w:r w:rsidR="00AF3D8F">
        <w:rPr>
          <w:color w:val="auto"/>
        </w:rPr>
        <w:t>and fault schedule taking account of the current understanding of the state of the plant e.g. ageing factors, operating beyond its original design life etc.</w:t>
      </w:r>
      <w:r w:rsidR="0010233E">
        <w:rPr>
          <w:color w:val="auto"/>
        </w:rPr>
        <w:t xml:space="preserve"> which may introduce new faults</w:t>
      </w:r>
    </w:p>
    <w:p w14:paraId="79A3B72E" w14:textId="1ACAAA15" w:rsidR="00AF3D8F" w:rsidRDefault="00B22EDA" w:rsidP="00F72272">
      <w:pPr>
        <w:pStyle w:val="ONRSquareBullet1"/>
        <w:tabs>
          <w:tab w:val="left" w:pos="880"/>
        </w:tabs>
        <w:spacing w:after="120"/>
        <w:rPr>
          <w:color w:val="auto"/>
        </w:rPr>
      </w:pPr>
      <w:r>
        <w:rPr>
          <w:color w:val="auto"/>
        </w:rPr>
        <w:t xml:space="preserve">The </w:t>
      </w:r>
      <w:r w:rsidR="00AD67B9">
        <w:rPr>
          <w:color w:val="auto"/>
        </w:rPr>
        <w:t xml:space="preserve">adequacy and scope of analyses </w:t>
      </w:r>
      <w:r>
        <w:rPr>
          <w:color w:val="auto"/>
        </w:rPr>
        <w:t xml:space="preserve">of identified faults </w:t>
      </w:r>
      <w:r w:rsidR="00AD67B9">
        <w:rPr>
          <w:color w:val="auto"/>
        </w:rPr>
        <w:t xml:space="preserve">considered through </w:t>
      </w:r>
      <w:r>
        <w:rPr>
          <w:color w:val="auto"/>
        </w:rPr>
        <w:t xml:space="preserve">design basis </w:t>
      </w:r>
      <w:r w:rsidR="00AD67B9">
        <w:rPr>
          <w:color w:val="auto"/>
        </w:rPr>
        <w:t>analysis</w:t>
      </w:r>
      <w:r>
        <w:rPr>
          <w:color w:val="auto"/>
        </w:rPr>
        <w:t xml:space="preserve">, probabilistic safety analysis and severe accident analysis </w:t>
      </w:r>
      <w:r w:rsidR="00AD67B9">
        <w:rPr>
          <w:color w:val="auto"/>
        </w:rPr>
        <w:t xml:space="preserve">techniques </w:t>
      </w:r>
      <w:r>
        <w:rPr>
          <w:color w:val="auto"/>
        </w:rPr>
        <w:t>e.g. are t</w:t>
      </w:r>
      <w:r w:rsidR="0010233E">
        <w:rPr>
          <w:color w:val="auto"/>
        </w:rPr>
        <w:t xml:space="preserve">hese </w:t>
      </w:r>
      <w:r>
        <w:rPr>
          <w:color w:val="auto"/>
        </w:rPr>
        <w:t xml:space="preserve">applying the latest tools and </w:t>
      </w:r>
      <w:r w:rsidR="00AD67B9">
        <w:rPr>
          <w:color w:val="auto"/>
        </w:rPr>
        <w:t>methods</w:t>
      </w:r>
      <w:r w:rsidR="005D1ACE">
        <w:rPr>
          <w:color w:val="auto"/>
        </w:rPr>
        <w:t>, computer codes etc.</w:t>
      </w:r>
    </w:p>
    <w:p w14:paraId="79A3B72F" w14:textId="77777777" w:rsidR="005D1ACE" w:rsidRDefault="005D1ACE" w:rsidP="00F72272">
      <w:pPr>
        <w:pStyle w:val="ONRSquareBullet1"/>
        <w:tabs>
          <w:tab w:val="left" w:pos="880"/>
        </w:tabs>
        <w:spacing w:after="120"/>
        <w:rPr>
          <w:color w:val="auto"/>
        </w:rPr>
      </w:pPr>
      <w:r>
        <w:rPr>
          <w:color w:val="auto"/>
        </w:rPr>
        <w:t>The</w:t>
      </w:r>
      <w:r w:rsidR="00D3770D">
        <w:rPr>
          <w:color w:val="auto"/>
        </w:rPr>
        <w:t xml:space="preserve"> demonstrations that risks are as low as reasonably practicable</w:t>
      </w:r>
      <w:r>
        <w:rPr>
          <w:color w:val="auto"/>
        </w:rPr>
        <w:t xml:space="preserve"> </w:t>
      </w:r>
      <w:r w:rsidR="00D3770D">
        <w:rPr>
          <w:color w:val="auto"/>
        </w:rPr>
        <w:t>(</w:t>
      </w:r>
      <w:r>
        <w:rPr>
          <w:color w:val="auto"/>
        </w:rPr>
        <w:t>ALARP</w:t>
      </w:r>
      <w:r w:rsidR="00D3770D">
        <w:rPr>
          <w:color w:val="auto"/>
        </w:rPr>
        <w:t>)</w:t>
      </w:r>
      <w:r>
        <w:rPr>
          <w:color w:val="auto"/>
        </w:rPr>
        <w:t xml:space="preserve"> </w:t>
      </w:r>
      <w:r w:rsidR="00D3770D">
        <w:rPr>
          <w:color w:val="auto"/>
        </w:rPr>
        <w:t>need to be revisited and reviewed against current good practice that is relevant to the operations to ascertain whether or not they remain valid</w:t>
      </w:r>
      <w:r w:rsidR="00194222">
        <w:rPr>
          <w:color w:val="auto"/>
        </w:rPr>
        <w:t xml:space="preserve"> such that no further improvements are required</w:t>
      </w:r>
      <w:r w:rsidR="00D3770D">
        <w:rPr>
          <w:color w:val="auto"/>
        </w:rPr>
        <w:t>.</w:t>
      </w:r>
    </w:p>
    <w:p w14:paraId="79A3B730" w14:textId="77777777" w:rsidR="00D3770D" w:rsidRDefault="00194222" w:rsidP="00F72272">
      <w:pPr>
        <w:pStyle w:val="ONRSquareBullet1"/>
        <w:tabs>
          <w:tab w:val="left" w:pos="880"/>
        </w:tabs>
        <w:spacing w:after="120"/>
        <w:rPr>
          <w:color w:val="auto"/>
        </w:rPr>
      </w:pPr>
      <w:r>
        <w:rPr>
          <w:color w:val="auto"/>
        </w:rPr>
        <w:t>The SOE and</w:t>
      </w:r>
      <w:r w:rsidR="00D3770D">
        <w:rPr>
          <w:color w:val="auto"/>
        </w:rPr>
        <w:t xml:space="preserve"> operating rules </w:t>
      </w:r>
      <w:r>
        <w:rPr>
          <w:color w:val="auto"/>
        </w:rPr>
        <w:t>n</w:t>
      </w:r>
      <w:r w:rsidR="00D3770D">
        <w:rPr>
          <w:color w:val="auto"/>
        </w:rPr>
        <w:t>eed to be reviewed to reflect an</w:t>
      </w:r>
      <w:r w:rsidR="007963EE">
        <w:rPr>
          <w:color w:val="auto"/>
        </w:rPr>
        <w:t>y</w:t>
      </w:r>
      <w:r w:rsidR="00D3770D">
        <w:rPr>
          <w:color w:val="auto"/>
        </w:rPr>
        <w:t xml:space="preserve"> changes in the hazard analysis</w:t>
      </w:r>
      <w:r w:rsidR="007963EE">
        <w:rPr>
          <w:color w:val="auto"/>
        </w:rPr>
        <w:t xml:space="preserve"> and plant operating experience</w:t>
      </w:r>
    </w:p>
    <w:p w14:paraId="79A3B731" w14:textId="77777777" w:rsidR="007963EE" w:rsidRPr="007963EE" w:rsidRDefault="007963EE" w:rsidP="007963EE">
      <w:pPr>
        <w:pStyle w:val="NumberedParagraph"/>
        <w:tabs>
          <w:tab w:val="num" w:pos="-31680"/>
        </w:tabs>
        <w:ind w:left="720"/>
        <w:jc w:val="both"/>
      </w:pPr>
      <w:r w:rsidRPr="007963EE">
        <w:t>Specific Safety Guide No. SSG</w:t>
      </w:r>
      <w:r w:rsidRPr="007963EE">
        <w:noBreakHyphen/>
        <w:t>25</w:t>
      </w:r>
      <w:r>
        <w:t xml:space="preserve"> </w:t>
      </w:r>
      <w:r w:rsidR="00194222">
        <w:t>[12]</w:t>
      </w:r>
      <w:r>
        <w:t xml:space="preserve"> provides further information within the discussion on safety factors relating to safety analysis in addition to the ONR TAGs wh</w:t>
      </w:r>
      <w:r w:rsidR="00194222">
        <w:t>ich provided further details on</w:t>
      </w:r>
      <w:r>
        <w:t xml:space="preserve"> the expectations f</w:t>
      </w:r>
      <w:r w:rsidR="00194222">
        <w:t>or</w:t>
      </w:r>
      <w:r>
        <w:t xml:space="preserve"> a modern standard hazard analysis.</w:t>
      </w:r>
    </w:p>
    <w:p w14:paraId="79A3B732" w14:textId="77777777" w:rsidR="0063719B" w:rsidRDefault="0063719B" w:rsidP="0063719B">
      <w:pPr>
        <w:pStyle w:val="NumberedParagraph"/>
        <w:tabs>
          <w:tab w:val="num" w:pos="-31680"/>
        </w:tabs>
        <w:ind w:left="720"/>
        <w:jc w:val="both"/>
      </w:pPr>
      <w:bookmarkStart w:id="12" w:name="_Ref317257677"/>
      <w:r>
        <w:t>For multi-facility sites, the scope of the PSR will need to take into account site-wide services (e.g. electrical services, emergency services) and any other matters important for the safety of facilities that are not included in the facility PSRs (e.g. the safety impact of one facility on another).</w:t>
      </w:r>
      <w:r w:rsidR="00D951C6">
        <w:t xml:space="preserve"> </w:t>
      </w:r>
      <w:r>
        <w:t>This type of ‘Site-wide PSR’ could be combined with the concept of a Corporate PSR to cover all aspects that are broader than an individual facility.</w:t>
      </w:r>
      <w:bookmarkEnd w:id="12"/>
      <w:r w:rsidR="00D951C6">
        <w:t xml:space="preserve"> </w:t>
      </w:r>
      <w:r>
        <w:t>Site-wide topics to be addressed include:</w:t>
      </w:r>
    </w:p>
    <w:p w14:paraId="79A3B733" w14:textId="77777777" w:rsidR="0063719B" w:rsidRPr="00C929D7" w:rsidRDefault="0063719B" w:rsidP="0063719B">
      <w:pPr>
        <w:pStyle w:val="ONRSquareBullet1"/>
        <w:tabs>
          <w:tab w:val="left" w:pos="880"/>
        </w:tabs>
        <w:spacing w:after="120"/>
        <w:rPr>
          <w:color w:val="auto"/>
        </w:rPr>
      </w:pPr>
      <w:r w:rsidRPr="00C929D7">
        <w:rPr>
          <w:color w:val="auto"/>
        </w:rPr>
        <w:t>Dependencies on common services and other facilities.</w:t>
      </w:r>
    </w:p>
    <w:p w14:paraId="79A3B734" w14:textId="77777777" w:rsidR="0063719B" w:rsidRPr="00C929D7" w:rsidRDefault="0063719B" w:rsidP="0063719B">
      <w:pPr>
        <w:pStyle w:val="ONRSquareBullet1"/>
        <w:tabs>
          <w:tab w:val="left" w:pos="880"/>
        </w:tabs>
        <w:spacing w:after="120"/>
        <w:rPr>
          <w:color w:val="auto"/>
        </w:rPr>
      </w:pPr>
      <w:r w:rsidRPr="00C929D7">
        <w:rPr>
          <w:color w:val="auto"/>
        </w:rPr>
        <w:t>A demonstration that all operations which may affect safety on the site are addressed by a safety case.</w:t>
      </w:r>
    </w:p>
    <w:p w14:paraId="79A3B735" w14:textId="77777777" w:rsidR="0063719B" w:rsidRPr="00C929D7" w:rsidRDefault="0063719B" w:rsidP="0063719B">
      <w:pPr>
        <w:pStyle w:val="ONRSquareBullet1"/>
        <w:tabs>
          <w:tab w:val="left" w:pos="880"/>
        </w:tabs>
        <w:spacing w:after="120"/>
        <w:rPr>
          <w:color w:val="auto"/>
        </w:rPr>
      </w:pPr>
      <w:r w:rsidRPr="00C929D7">
        <w:rPr>
          <w:color w:val="auto"/>
        </w:rPr>
        <w:t>Radiological protection</w:t>
      </w:r>
      <w:r w:rsidR="00AC7C94">
        <w:rPr>
          <w:color w:val="auto"/>
        </w:rPr>
        <w:t xml:space="preserve"> (see Annex 3)</w:t>
      </w:r>
      <w:r w:rsidRPr="00C929D7">
        <w:rPr>
          <w:color w:val="auto"/>
        </w:rPr>
        <w:t>.</w:t>
      </w:r>
    </w:p>
    <w:p w14:paraId="79A3B736" w14:textId="77777777" w:rsidR="0063719B" w:rsidRDefault="0063719B" w:rsidP="0063719B">
      <w:pPr>
        <w:pStyle w:val="ONRSquareBullet1"/>
        <w:tabs>
          <w:tab w:val="left" w:pos="880"/>
        </w:tabs>
        <w:spacing w:after="120"/>
        <w:rPr>
          <w:color w:val="auto"/>
        </w:rPr>
      </w:pPr>
      <w:r w:rsidRPr="00C929D7">
        <w:rPr>
          <w:color w:val="auto"/>
        </w:rPr>
        <w:t>Emergency planning.</w:t>
      </w:r>
    </w:p>
    <w:p w14:paraId="79A3B737" w14:textId="77777777" w:rsidR="00CD57D4" w:rsidRPr="00C929D7" w:rsidRDefault="00CD57D4" w:rsidP="0063719B">
      <w:pPr>
        <w:pStyle w:val="ONRSquareBullet1"/>
        <w:tabs>
          <w:tab w:val="left" w:pos="880"/>
        </w:tabs>
        <w:spacing w:after="120"/>
        <w:rPr>
          <w:color w:val="auto"/>
        </w:rPr>
      </w:pPr>
      <w:r>
        <w:rPr>
          <w:color w:val="auto"/>
        </w:rPr>
        <w:t>Minimum manning.</w:t>
      </w:r>
    </w:p>
    <w:p w14:paraId="79A3B738" w14:textId="77777777" w:rsidR="0063719B" w:rsidRPr="00C929D7" w:rsidRDefault="0063719B" w:rsidP="0063719B">
      <w:pPr>
        <w:pStyle w:val="ONRSquareBullet1"/>
        <w:tabs>
          <w:tab w:val="left" w:pos="880"/>
        </w:tabs>
        <w:spacing w:after="120"/>
        <w:rPr>
          <w:color w:val="auto"/>
        </w:rPr>
      </w:pPr>
      <w:r w:rsidRPr="00C929D7">
        <w:rPr>
          <w:color w:val="auto"/>
        </w:rPr>
        <w:t>Radioactive waste and environmental impact.</w:t>
      </w:r>
    </w:p>
    <w:p w14:paraId="79A3B739" w14:textId="6BEBB70D" w:rsidR="00E05BC7" w:rsidRPr="00E05BC7" w:rsidRDefault="0063719B" w:rsidP="00E05BC7">
      <w:pPr>
        <w:pStyle w:val="ONRSquareBullet1"/>
        <w:rPr>
          <w:color w:val="auto"/>
        </w:rPr>
      </w:pPr>
      <w:r w:rsidRPr="00C929D7">
        <w:rPr>
          <w:color w:val="auto"/>
        </w:rPr>
        <w:t xml:space="preserve">Overall hazards and risks from the site, particularly from </w:t>
      </w:r>
      <w:r w:rsidR="00E05BC7" w:rsidRPr="00E05BC7">
        <w:rPr>
          <w:color w:val="auto"/>
        </w:rPr>
        <w:t>those hazards which can impact multiple facilities on the site at the same time, or have a ‘knock-on’ impact, for example external hazards and fire</w:t>
      </w:r>
      <w:r w:rsidRPr="00C929D7">
        <w:rPr>
          <w:color w:val="auto"/>
        </w:rPr>
        <w:t>.</w:t>
      </w:r>
    </w:p>
    <w:p w14:paraId="79A3B73A" w14:textId="77777777" w:rsidR="0063719B" w:rsidRDefault="0063719B" w:rsidP="0063719B">
      <w:pPr>
        <w:pStyle w:val="NumberedParagraph"/>
        <w:tabs>
          <w:tab w:val="num" w:pos="-31680"/>
        </w:tabs>
        <w:ind w:left="720"/>
        <w:jc w:val="both"/>
      </w:pPr>
      <w:r w:rsidRPr="00C929D7">
        <w:t xml:space="preserve">The PSR </w:t>
      </w:r>
      <w:r>
        <w:t>should review and justify the continuing adequacy of the licensee's organisation, including the control of changes to the organisational structure or resources available to it which may affect safety. Further guidance is given in [1</w:t>
      </w:r>
      <w:r w:rsidR="00F51E99">
        <w:t>4</w:t>
      </w:r>
      <w:r>
        <w:t>], [1</w:t>
      </w:r>
      <w:r w:rsidR="00F51E99">
        <w:t>5</w:t>
      </w:r>
      <w:r w:rsidR="00CD57D4">
        <w:t>] and [1</w:t>
      </w:r>
      <w:r w:rsidR="00F51E99">
        <w:t>6</w:t>
      </w:r>
      <w:r>
        <w:t>].</w:t>
      </w:r>
      <w:r w:rsidR="00D951C6">
        <w:t xml:space="preserve"> </w:t>
      </w:r>
      <w:r>
        <w:t>With the many organisational changes that have taken place in the nuclear industry in recent years, and which are likely to continue, it is important that the PSR covers areas such as technical support capability (notably retention of core competencies, Design Authority and ‘intelligent customer’ capability), staffing levels and capabilities, succession planning, control of contractors, and learning from experience (incidents and safety performance).</w:t>
      </w:r>
      <w:r w:rsidR="00D951C6">
        <w:t xml:space="preserve"> </w:t>
      </w:r>
      <w:r>
        <w:t>The PSR should consider if the licensee's organisational structure and resources available to it are adequate for its current and future needs, including benchmarking with other organisations where appropriate.</w:t>
      </w:r>
      <w:r w:rsidR="00D951C6">
        <w:t xml:space="preserve"> </w:t>
      </w:r>
      <w:r>
        <w:t xml:space="preserve">This could lead to a re-definition </w:t>
      </w:r>
      <w:r w:rsidR="00CD57D4">
        <w:t>of the licensee's ‘Baseline’ [1</w:t>
      </w:r>
      <w:r w:rsidR="00AB4662">
        <w:t>6</w:t>
      </w:r>
      <w:r>
        <w:t>].</w:t>
      </w:r>
    </w:p>
    <w:p w14:paraId="79A3B73B" w14:textId="77777777" w:rsidR="0063719B" w:rsidRDefault="0063719B" w:rsidP="007A07BD">
      <w:pPr>
        <w:pStyle w:val="NumberedParagraph"/>
        <w:tabs>
          <w:tab w:val="num" w:pos="-31680"/>
        </w:tabs>
        <w:ind w:left="720"/>
        <w:jc w:val="both"/>
      </w:pPr>
      <w:bookmarkStart w:id="13" w:name="_Ref317257681"/>
      <w:r>
        <w:t>For licensees with several sites or facilities, one way to achieve the appropriate coverage would be to produce a ‘Corporate PSR’ to review the corporate/company</w:t>
      </w:r>
      <w:r w:rsidR="00E033E2">
        <w:t>-</w:t>
      </w:r>
      <w:r>
        <w:t xml:space="preserve"> wide aspects (including areas highlighted in </w:t>
      </w:r>
      <w:r w:rsidRPr="007A07BD">
        <w:fldChar w:fldCharType="begin"/>
      </w:r>
      <w:r w:rsidRPr="007A07BD">
        <w:instrText xml:space="preserve"> REF Annex1 \h </w:instrText>
      </w:r>
      <w:r w:rsidR="007A07BD">
        <w:instrText xml:space="preserve"> \* MERGEFORMAT </w:instrText>
      </w:r>
      <w:r w:rsidRPr="007A07BD">
        <w:fldChar w:fldCharType="separate"/>
      </w:r>
      <w:r w:rsidR="00DB3355">
        <w:t>Annex 1</w:t>
      </w:r>
      <w:r w:rsidRPr="007A07BD">
        <w:fldChar w:fldCharType="end"/>
      </w:r>
      <w:r>
        <w:t>).</w:t>
      </w:r>
      <w:r w:rsidR="00D951C6">
        <w:t xml:space="preserve"> </w:t>
      </w:r>
      <w:r>
        <w:t>The site or facility specific PSRs could then refer to and draw upon the information in the Corporate PSR and review how well the company policies, standards etc. have been implemented at the site or facility in question.</w:t>
      </w:r>
      <w:bookmarkEnd w:id="13"/>
    </w:p>
    <w:p w14:paraId="79A3B73C" w14:textId="43BEF95D" w:rsidR="00471DA5" w:rsidRDefault="00471DA5" w:rsidP="00471DA5">
      <w:pPr>
        <w:pStyle w:val="NumberedParagraph"/>
        <w:tabs>
          <w:tab w:val="num" w:pos="-31680"/>
        </w:tabs>
        <w:ind w:left="720"/>
        <w:jc w:val="both"/>
      </w:pPr>
      <w:r>
        <w:t>Where</w:t>
      </w:r>
      <w:r w:rsidRPr="00815EDB">
        <w:t xml:space="preserve"> </w:t>
      </w:r>
      <w:r>
        <w:t>a</w:t>
      </w:r>
      <w:r w:rsidRPr="00815EDB">
        <w:t xml:space="preserve"> facility provides a safety function that cannot be provided by an alternative means, the forward review</w:t>
      </w:r>
      <w:r w:rsidR="00194222">
        <w:t xml:space="preserve"> should</w:t>
      </w:r>
      <w:r w:rsidRPr="00815EDB">
        <w:t xml:space="preserve"> include consideration of the time which may be needed to design, construct and commission, or to procure a replacement facility or equipment, should the original be found to be unserviceable at some point in the future, i.e. there must be no interruption in safety function. This applies particularly to radioactive waste stores, and to other facilities in which the hazard cannot be simply removed by shutting them down</w:t>
      </w:r>
      <w:r w:rsidR="002A2B26">
        <w:t xml:space="preserve"> [1</w:t>
      </w:r>
      <w:r w:rsidR="00AB4662">
        <w:t>7</w:t>
      </w:r>
      <w:r w:rsidR="002A2B26">
        <w:t>]</w:t>
      </w:r>
      <w:r w:rsidRPr="00815EDB">
        <w:t>. For stores containing bulk quantities of nuclear matter, the PSR needs to consider the entire period u</w:t>
      </w:r>
      <w:r w:rsidR="00674C7D">
        <w:t xml:space="preserve">p to </w:t>
      </w:r>
      <w:r w:rsidR="00DB44FE">
        <w:t>the end of</w:t>
      </w:r>
      <w:r w:rsidRPr="00815EDB">
        <w:t xml:space="preserve"> retrieval</w:t>
      </w:r>
      <w:r w:rsidR="00DB44FE">
        <w:t xml:space="preserve"> operations</w:t>
      </w:r>
      <w:r w:rsidRPr="00815EDB">
        <w:t>. This is particularly important if the nuclear matter is chemically reactive</w:t>
      </w:r>
      <w:r w:rsidR="00601DA3">
        <w:t>, heat generating</w:t>
      </w:r>
      <w:r w:rsidRPr="00815EDB">
        <w:t>, degrading or could leak to the environment.</w:t>
      </w:r>
      <w:r w:rsidR="00A650F0">
        <w:t xml:space="preserve"> This review may need to consider other factors such as the licensees over</w:t>
      </w:r>
      <w:r w:rsidR="00BE4DD2">
        <w:t>all</w:t>
      </w:r>
      <w:r w:rsidR="00A650F0">
        <w:t xml:space="preserve"> site programme and how the fa</w:t>
      </w:r>
      <w:r w:rsidR="00BE4DD2">
        <w:t>cility fits into this e.g. long</w:t>
      </w:r>
      <w:r w:rsidR="00A650F0">
        <w:t xml:space="preserve"> term requirements for the safety function provided by the facility, future programme requirements, </w:t>
      </w:r>
      <w:r w:rsidR="00194222">
        <w:t xml:space="preserve">the </w:t>
      </w:r>
      <w:r w:rsidR="00A650F0">
        <w:t>availability of other facilities on the site</w:t>
      </w:r>
      <w:r w:rsidR="00BE4DD2">
        <w:t xml:space="preserve"> that could provide the safety function</w:t>
      </w:r>
      <w:r w:rsidR="00A650F0">
        <w:t xml:space="preserve"> etc.</w:t>
      </w:r>
    </w:p>
    <w:p w14:paraId="79A3B73D" w14:textId="77777777" w:rsidR="000F23C3" w:rsidRDefault="000F23C3" w:rsidP="000F23C3">
      <w:pPr>
        <w:pStyle w:val="NumberedParagraph"/>
        <w:tabs>
          <w:tab w:val="num" w:pos="-31680"/>
        </w:tabs>
        <w:ind w:left="720"/>
        <w:jc w:val="both"/>
      </w:pPr>
      <w:bookmarkStart w:id="14" w:name="_Ref41909949"/>
      <w:r>
        <w:t>Where appropriate, the PSR should consider the need for, and availability of, appropriate storage facilities for radioactive waste or spent fuel arising</w:t>
      </w:r>
      <w:r w:rsidR="001B76DD">
        <w:t xml:space="preserve"> from the facility</w:t>
      </w:r>
      <w:r>
        <w:t xml:space="preserve"> and the identification of a suitable disposal route. This may include a consideration well beyond the normal ten-year window, and would need to take into account the longevity of any storage proposal and the potential need for additional storage capacity and associated treatment facilities. For such facilities that cannot be shut down the PSR should consider the safety issues that may arise over their total projected lifetime, including any associated facilities.</w:t>
      </w:r>
      <w:bookmarkEnd w:id="14"/>
    </w:p>
    <w:p w14:paraId="79A3B73E" w14:textId="77777777" w:rsidR="0063719B" w:rsidRDefault="0063719B" w:rsidP="0063719B">
      <w:pPr>
        <w:pStyle w:val="NumberedParagraph"/>
        <w:tabs>
          <w:tab w:val="num" w:pos="-31680"/>
        </w:tabs>
        <w:ind w:left="720"/>
        <w:jc w:val="both"/>
      </w:pPr>
      <w:bookmarkStart w:id="15" w:name="_Ref41909983"/>
      <w:r>
        <w:t>Coverage of decommissioning aspects of PSRs should grow in scope and detail as a facility ages and approaches the end of its normal operating life.</w:t>
      </w:r>
      <w:r w:rsidR="00D951C6">
        <w:t xml:space="preserve"> </w:t>
      </w:r>
      <w:r>
        <w:t>Early PSRs should concentrate on the technical strategy and outline plans for decommissioning</w:t>
      </w:r>
      <w:r w:rsidR="00DD31D3">
        <w:t xml:space="preserve"> [1</w:t>
      </w:r>
      <w:r w:rsidR="00F51E99">
        <w:t>3</w:t>
      </w:r>
      <w:r w:rsidR="00DD31D3">
        <w:t>]</w:t>
      </w:r>
      <w:r>
        <w:t>, making use of the design provisions.</w:t>
      </w:r>
      <w:r w:rsidR="00D951C6">
        <w:t xml:space="preserve"> </w:t>
      </w:r>
      <w:r>
        <w:t>Later on, as decommissioning becomes imminent, the PSR should address matters such as the detailed decommissioning plan, its integration with waste management strategies and the decommissioning safety management system.</w:t>
      </w:r>
      <w:r w:rsidR="00D951C6">
        <w:t xml:space="preserve"> </w:t>
      </w:r>
      <w:r>
        <w:t xml:space="preserve">See </w:t>
      </w:r>
      <w:r w:rsidRPr="007E01E2">
        <w:rPr>
          <w:color w:val="0000FF"/>
          <w:u w:val="single"/>
        </w:rPr>
        <w:fldChar w:fldCharType="begin"/>
      </w:r>
      <w:r w:rsidRPr="007E01E2">
        <w:rPr>
          <w:color w:val="0000FF"/>
          <w:u w:val="single"/>
        </w:rPr>
        <w:instrText xml:space="preserve"> REF Annex2 \h </w:instrText>
      </w:r>
      <w:r w:rsidRPr="007E01E2">
        <w:rPr>
          <w:color w:val="0000FF"/>
          <w:u w:val="single"/>
        </w:rPr>
      </w:r>
      <w:r w:rsidRPr="007E01E2">
        <w:rPr>
          <w:color w:val="0000FF"/>
          <w:u w:val="single"/>
        </w:rPr>
        <w:fldChar w:fldCharType="separate"/>
      </w:r>
      <w:r w:rsidR="00DB3355">
        <w:t>Annex 2</w:t>
      </w:r>
      <w:r w:rsidRPr="007E01E2">
        <w:rPr>
          <w:color w:val="0000FF"/>
          <w:u w:val="single"/>
        </w:rPr>
        <w:fldChar w:fldCharType="end"/>
      </w:r>
      <w:r>
        <w:t xml:space="preserve"> for further guidance.</w:t>
      </w:r>
      <w:bookmarkEnd w:id="15"/>
    </w:p>
    <w:p w14:paraId="79A3B73F" w14:textId="77777777" w:rsidR="0063719B" w:rsidRDefault="0063719B" w:rsidP="00471DA5">
      <w:pPr>
        <w:pStyle w:val="NumberedParagraph"/>
        <w:tabs>
          <w:tab w:val="num" w:pos="-31680"/>
        </w:tabs>
        <w:ind w:left="720"/>
        <w:jc w:val="both"/>
      </w:pPr>
      <w:bookmarkStart w:id="16" w:name="_Ref41910020"/>
      <w:r w:rsidRPr="00266E7A">
        <w:t xml:space="preserve">There may be occasions where </w:t>
      </w:r>
      <w:r>
        <w:t>a</w:t>
      </w:r>
      <w:r w:rsidRPr="00266E7A">
        <w:t xml:space="preserve"> </w:t>
      </w:r>
      <w:r>
        <w:t xml:space="preserve">PSR demonstrates that the </w:t>
      </w:r>
      <w:r w:rsidRPr="00266E7A">
        <w:t xml:space="preserve">licensee cannot </w:t>
      </w:r>
      <w:r>
        <w:t xml:space="preserve">in fact </w:t>
      </w:r>
      <w:r w:rsidRPr="00266E7A">
        <w:t>provide an adequate safety case to cover the whole of the subsequent period of operation</w:t>
      </w:r>
      <w:r>
        <w:t xml:space="preserve"> until the end of life or the next review.</w:t>
      </w:r>
      <w:r w:rsidR="00D951C6">
        <w:t xml:space="preserve"> </w:t>
      </w:r>
      <w:r>
        <w:t>This might, for example, occur because of limited knowledge of ageing and degradation mechanisms as plant reach ages beyond those with which the industry as a whole has direct experience.</w:t>
      </w:r>
      <w:r w:rsidR="00D951C6">
        <w:t xml:space="preserve"> </w:t>
      </w:r>
      <w:r>
        <w:t xml:space="preserve">In these cases the licensee must have in place a longer-term strategy for the management of safety until the </w:t>
      </w:r>
      <w:r w:rsidR="003F180D">
        <w:t>guaranteed shut down date (</w:t>
      </w:r>
      <w:r w:rsidR="003F180D" w:rsidRPr="001B76DD">
        <w:t xml:space="preserve">see </w:t>
      </w:r>
      <w:r w:rsidR="001B76DD">
        <w:fldChar w:fldCharType="begin"/>
      </w:r>
      <w:r w:rsidR="001B76DD">
        <w:instrText xml:space="preserve"> REF _Ref317251427 \r \h </w:instrText>
      </w:r>
      <w:r w:rsidR="001B76DD">
        <w:fldChar w:fldCharType="separate"/>
      </w:r>
      <w:r w:rsidR="00DB3355">
        <w:t>5.56</w:t>
      </w:r>
      <w:r w:rsidR="001B76DD">
        <w:fldChar w:fldCharType="end"/>
      </w:r>
      <w:r w:rsidR="003F180D" w:rsidRPr="001B76DD">
        <w:t>(</w:t>
      </w:r>
      <w:proofErr w:type="spellStart"/>
      <w:r w:rsidR="003F180D" w:rsidRPr="001B76DD">
        <w:t>i</w:t>
      </w:r>
      <w:proofErr w:type="spellEnd"/>
      <w:r w:rsidR="003F180D" w:rsidRPr="001B76DD">
        <w:t xml:space="preserve">)) </w:t>
      </w:r>
      <w:r w:rsidRPr="001B76DD">
        <w:t>or</w:t>
      </w:r>
      <w:r>
        <w:t xml:space="preserve"> the next PSR (whichever is sooner).</w:t>
      </w:r>
      <w:r w:rsidR="00D951C6">
        <w:t xml:space="preserve"> </w:t>
      </w:r>
      <w:r>
        <w:t>That strategy should include:</w:t>
      </w:r>
      <w:bookmarkEnd w:id="16"/>
    </w:p>
    <w:p w14:paraId="79A3B740" w14:textId="77777777" w:rsidR="0063719B" w:rsidRPr="00C929D7" w:rsidRDefault="0063719B" w:rsidP="00084490">
      <w:pPr>
        <w:pStyle w:val="ONRSquareBullet1"/>
        <w:tabs>
          <w:tab w:val="left" w:pos="880"/>
        </w:tabs>
        <w:spacing w:after="120"/>
        <w:jc w:val="both"/>
        <w:rPr>
          <w:color w:val="auto"/>
        </w:rPr>
      </w:pPr>
      <w:r w:rsidRPr="00C929D7">
        <w:rPr>
          <w:color w:val="auto"/>
        </w:rPr>
        <w:t>A demonstration that continued operation is appropriate and</w:t>
      </w:r>
      <w:r w:rsidR="00E033E2">
        <w:rPr>
          <w:color w:val="auto"/>
        </w:rPr>
        <w:t xml:space="preserve"> </w:t>
      </w:r>
      <w:r w:rsidR="001B76DD">
        <w:rPr>
          <w:color w:val="auto"/>
        </w:rPr>
        <w:t xml:space="preserve">that </w:t>
      </w:r>
      <w:r w:rsidR="00E033E2">
        <w:rPr>
          <w:color w:val="auto"/>
        </w:rPr>
        <w:t xml:space="preserve">risks are </w:t>
      </w:r>
      <w:r w:rsidRPr="00C929D7">
        <w:rPr>
          <w:color w:val="auto"/>
        </w:rPr>
        <w:t>ALARP i.e. that failure to meet the affected limit or condition would not present an unacceptable risk, and that all reasonably practicable options have been implemented to prevent or mitigate that risk.</w:t>
      </w:r>
      <w:r w:rsidR="00D951C6">
        <w:rPr>
          <w:color w:val="auto"/>
        </w:rPr>
        <w:t xml:space="preserve"> </w:t>
      </w:r>
      <w:r w:rsidRPr="00C929D7">
        <w:rPr>
          <w:color w:val="auto"/>
        </w:rPr>
        <w:t>As well as engineering or procedural enhancements, this might include operation in modes that reduce risk.</w:t>
      </w:r>
      <w:r w:rsidR="00D951C6">
        <w:rPr>
          <w:color w:val="auto"/>
        </w:rPr>
        <w:t xml:space="preserve"> </w:t>
      </w:r>
      <w:r w:rsidRPr="00C929D7">
        <w:rPr>
          <w:color w:val="auto"/>
        </w:rPr>
        <w:t>It is expected that such a justification would be underpinned by thorough and systematic optioneering.</w:t>
      </w:r>
    </w:p>
    <w:p w14:paraId="79A3B741" w14:textId="77777777" w:rsidR="0063719B" w:rsidRPr="00C929D7" w:rsidRDefault="0063719B" w:rsidP="00084490">
      <w:pPr>
        <w:pStyle w:val="ONRSquareBullet1"/>
        <w:tabs>
          <w:tab w:val="left" w:pos="880"/>
        </w:tabs>
        <w:spacing w:after="120"/>
        <w:jc w:val="both"/>
        <w:rPr>
          <w:color w:val="auto"/>
        </w:rPr>
      </w:pPr>
      <w:r w:rsidRPr="00C929D7">
        <w:rPr>
          <w:color w:val="auto"/>
        </w:rPr>
        <w:t>A robust process for managing (and decreasing) uncertainty and risk.</w:t>
      </w:r>
      <w:r w:rsidR="00D951C6">
        <w:rPr>
          <w:color w:val="auto"/>
        </w:rPr>
        <w:t xml:space="preserve"> </w:t>
      </w:r>
      <w:r w:rsidRPr="00C929D7">
        <w:rPr>
          <w:color w:val="auto"/>
        </w:rPr>
        <w:t>This will include (but not necessarily be limited to) ongoing monitoring and review activities.</w:t>
      </w:r>
    </w:p>
    <w:p w14:paraId="79A3B742" w14:textId="77777777" w:rsidR="0063719B" w:rsidRPr="00C929D7" w:rsidRDefault="0063719B" w:rsidP="0063719B">
      <w:pPr>
        <w:pStyle w:val="ONRSquareBullet1"/>
        <w:tabs>
          <w:tab w:val="left" w:pos="880"/>
        </w:tabs>
        <w:spacing w:after="120"/>
        <w:rPr>
          <w:color w:val="auto"/>
        </w:rPr>
      </w:pPr>
      <w:r w:rsidRPr="00C929D7">
        <w:rPr>
          <w:color w:val="auto"/>
        </w:rPr>
        <w:t>Any additional research that is necessary.</w:t>
      </w:r>
    </w:p>
    <w:p w14:paraId="79A3B743" w14:textId="77777777" w:rsidR="0063719B" w:rsidRPr="00C929D7" w:rsidRDefault="0063719B" w:rsidP="00084490">
      <w:pPr>
        <w:pStyle w:val="ONRSquareBullet1"/>
        <w:tabs>
          <w:tab w:val="left" w:pos="880"/>
        </w:tabs>
        <w:spacing w:after="240"/>
        <w:rPr>
          <w:color w:val="auto"/>
        </w:rPr>
      </w:pPr>
      <w:r w:rsidRPr="00C929D7">
        <w:rPr>
          <w:color w:val="auto"/>
        </w:rPr>
        <w:t>Conservative contingency planning.</w:t>
      </w:r>
    </w:p>
    <w:p w14:paraId="79A3B744" w14:textId="77777777" w:rsidR="0063719B" w:rsidRDefault="007A07BD" w:rsidP="00084490">
      <w:pPr>
        <w:pStyle w:val="Heading2"/>
        <w:numPr>
          <w:ilvl w:val="0"/>
          <w:numId w:val="0"/>
        </w:numPr>
        <w:spacing w:before="120" w:after="240"/>
        <w:ind w:firstLine="720"/>
      </w:pPr>
      <w:bookmarkStart w:id="17" w:name="_Ref352076258"/>
      <w:bookmarkStart w:id="18" w:name="_Toc43460812"/>
      <w:r w:rsidRPr="00C929D7">
        <w:t xml:space="preserve">Periodicity </w:t>
      </w:r>
      <w:r>
        <w:t xml:space="preserve">of </w:t>
      </w:r>
      <w:r w:rsidRPr="007A07BD">
        <w:t>PSR</w:t>
      </w:r>
      <w:r w:rsidR="00783E7E">
        <w:t>s</w:t>
      </w:r>
      <w:bookmarkEnd w:id="17"/>
      <w:bookmarkEnd w:id="18"/>
    </w:p>
    <w:p w14:paraId="79A3B745" w14:textId="77777777" w:rsidR="0063719B" w:rsidRDefault="007A07BD" w:rsidP="00084490">
      <w:pPr>
        <w:pStyle w:val="Heading3"/>
        <w:spacing w:before="0" w:after="120"/>
      </w:pPr>
      <w:bookmarkStart w:id="19" w:name="_Toc358727792"/>
      <w:r w:rsidRPr="00C929D7">
        <w:t>Periodicity</w:t>
      </w:r>
      <w:r>
        <w:t xml:space="preserve">: </w:t>
      </w:r>
      <w:r w:rsidR="0063719B">
        <w:t>General</w:t>
      </w:r>
      <w:bookmarkEnd w:id="19"/>
    </w:p>
    <w:p w14:paraId="79A3B746" w14:textId="66F5C21C" w:rsidR="0063719B" w:rsidRDefault="0063719B" w:rsidP="0063719B">
      <w:pPr>
        <w:pStyle w:val="NumberedParagraph"/>
        <w:tabs>
          <w:tab w:val="num" w:pos="-31680"/>
        </w:tabs>
        <w:ind w:left="720"/>
        <w:jc w:val="both"/>
      </w:pPr>
      <w:bookmarkStart w:id="20" w:name="_Ref41910458"/>
      <w:r>
        <w:t>On the basis of international experience, it is reasonable t</w:t>
      </w:r>
      <w:r w:rsidR="00C32CDE">
        <w:t xml:space="preserve">o perform a PSR </w:t>
      </w:r>
      <w:r>
        <w:t>t</w:t>
      </w:r>
      <w:r w:rsidR="00C32CDE">
        <w:t>ypically</w:t>
      </w:r>
      <w:r>
        <w:t xml:space="preserve"> ten years after the start of facility operation </w:t>
      </w:r>
      <w:r w:rsidR="0041374B">
        <w:t xml:space="preserve">(usually marked by </w:t>
      </w:r>
      <w:r w:rsidR="00081229">
        <w:t xml:space="preserve">the issue of an operational safety case </w:t>
      </w:r>
      <w:r w:rsidR="00976EE2">
        <w:t>which will baseline the facility, plant and equipment</w:t>
      </w:r>
      <w:r w:rsidR="003374A9">
        <w:t xml:space="preserve"> </w:t>
      </w:r>
      <w:r w:rsidR="00D51D84">
        <w:t xml:space="preserve">against modern standards </w:t>
      </w:r>
      <w:r w:rsidR="003374A9">
        <w:t>at that point in time</w:t>
      </w:r>
      <w:r w:rsidR="00976EE2">
        <w:t xml:space="preserve">) </w:t>
      </w:r>
      <w:r>
        <w:t>and then to undertake subsequent PSRs at</w:t>
      </w:r>
      <w:r w:rsidR="00C32CDE">
        <w:t xml:space="preserve"> roughly</w:t>
      </w:r>
      <w:r>
        <w:t xml:space="preserve"> ten year intervals (but see paragraph</w:t>
      </w:r>
      <w:r w:rsidR="005E1C35">
        <w:t xml:space="preserve"> </w:t>
      </w:r>
      <w:r w:rsidR="005E1C35">
        <w:fldChar w:fldCharType="begin"/>
      </w:r>
      <w:r w:rsidR="005E1C35">
        <w:instrText xml:space="preserve"> REF _Ref481140962 \r \h </w:instrText>
      </w:r>
      <w:r w:rsidR="005E1C35">
        <w:fldChar w:fldCharType="separate"/>
      </w:r>
      <w:r w:rsidR="00D86858">
        <w:t>5.31</w:t>
      </w:r>
      <w:r w:rsidR="005E1C35">
        <w:fldChar w:fldCharType="end"/>
      </w:r>
      <w:r>
        <w:t>).</w:t>
      </w:r>
      <w:bookmarkEnd w:id="20"/>
    </w:p>
    <w:p w14:paraId="79A3B747" w14:textId="77777777" w:rsidR="0063719B" w:rsidRDefault="0063719B" w:rsidP="0063719B">
      <w:pPr>
        <w:pStyle w:val="NumberedParagraph"/>
        <w:tabs>
          <w:tab w:val="num" w:pos="-31680"/>
        </w:tabs>
        <w:ind w:left="720"/>
        <w:jc w:val="both"/>
      </w:pPr>
      <w:r>
        <w:t>Ten years is considered to be an appropriate interval in view of the likelihood, within this period, of the following:</w:t>
      </w:r>
    </w:p>
    <w:p w14:paraId="79A3B748" w14:textId="77777777" w:rsidR="0063719B" w:rsidRPr="00C929D7" w:rsidRDefault="0063719B" w:rsidP="0063719B">
      <w:pPr>
        <w:pStyle w:val="ONRSquareBullet1"/>
        <w:tabs>
          <w:tab w:val="left" w:pos="880"/>
        </w:tabs>
        <w:spacing w:after="120"/>
        <w:rPr>
          <w:color w:val="auto"/>
        </w:rPr>
      </w:pPr>
      <w:r w:rsidRPr="00C929D7">
        <w:rPr>
          <w:color w:val="auto"/>
        </w:rPr>
        <w:t>Changes in national and international safety standards, operating practices, technology, underlying scientific knowledge or analytical techniques.</w:t>
      </w:r>
    </w:p>
    <w:p w14:paraId="79A3B749" w14:textId="77777777" w:rsidR="0063719B" w:rsidRPr="00C929D7" w:rsidRDefault="0063719B" w:rsidP="0063719B">
      <w:pPr>
        <w:pStyle w:val="ONRSquareBullet1"/>
        <w:tabs>
          <w:tab w:val="left" w:pos="880"/>
        </w:tabs>
        <w:spacing w:after="120"/>
        <w:rPr>
          <w:color w:val="auto"/>
        </w:rPr>
      </w:pPr>
      <w:r w:rsidRPr="00C929D7">
        <w:rPr>
          <w:color w:val="auto"/>
        </w:rPr>
        <w:t>The potential for the cumulative effects of plant modifications to adversely affect safety or the accessibility and usability of the safety documentation.</w:t>
      </w:r>
    </w:p>
    <w:p w14:paraId="79A3B74A" w14:textId="77777777" w:rsidR="0063719B" w:rsidRPr="00C929D7" w:rsidRDefault="0063719B" w:rsidP="0063719B">
      <w:pPr>
        <w:pStyle w:val="ONRSquareBullet1"/>
        <w:tabs>
          <w:tab w:val="left" w:pos="880"/>
        </w:tabs>
        <w:spacing w:after="120"/>
        <w:rPr>
          <w:color w:val="auto"/>
        </w:rPr>
      </w:pPr>
      <w:r w:rsidRPr="00C929D7">
        <w:rPr>
          <w:color w:val="auto"/>
        </w:rPr>
        <w:t>Identification of significant ageing effects or trends.</w:t>
      </w:r>
    </w:p>
    <w:p w14:paraId="79A3B74B" w14:textId="77777777" w:rsidR="0063719B" w:rsidRPr="00C929D7" w:rsidRDefault="0063719B" w:rsidP="0063719B">
      <w:pPr>
        <w:pStyle w:val="ONRSquareBullet1"/>
        <w:tabs>
          <w:tab w:val="left" w:pos="880"/>
        </w:tabs>
        <w:spacing w:after="120"/>
        <w:rPr>
          <w:color w:val="auto"/>
        </w:rPr>
      </w:pPr>
      <w:r w:rsidRPr="00C929D7">
        <w:rPr>
          <w:color w:val="auto"/>
        </w:rPr>
        <w:t xml:space="preserve">Accumulation of relevant operating experience and </w:t>
      </w:r>
      <w:proofErr w:type="spellStart"/>
      <w:r w:rsidRPr="00C929D7">
        <w:rPr>
          <w:color w:val="auto"/>
        </w:rPr>
        <w:t>organisational</w:t>
      </w:r>
      <w:proofErr w:type="spellEnd"/>
      <w:r w:rsidRPr="00C929D7">
        <w:rPr>
          <w:color w:val="auto"/>
        </w:rPr>
        <w:t xml:space="preserve"> learning.</w:t>
      </w:r>
    </w:p>
    <w:p w14:paraId="79A3B74C" w14:textId="77777777" w:rsidR="0063719B" w:rsidRPr="00C929D7" w:rsidRDefault="0063719B" w:rsidP="0063719B">
      <w:pPr>
        <w:pStyle w:val="ONRSquareBullet1"/>
        <w:tabs>
          <w:tab w:val="left" w:pos="880"/>
        </w:tabs>
        <w:spacing w:after="120"/>
        <w:rPr>
          <w:color w:val="auto"/>
        </w:rPr>
      </w:pPr>
      <w:r w:rsidRPr="00C929D7">
        <w:rPr>
          <w:color w:val="auto"/>
        </w:rPr>
        <w:t>Changes in the way the facility is, or will be, operated.</w:t>
      </w:r>
    </w:p>
    <w:p w14:paraId="79A3B74D" w14:textId="77777777" w:rsidR="0063719B" w:rsidRPr="00C929D7" w:rsidRDefault="0063719B" w:rsidP="0063719B">
      <w:pPr>
        <w:pStyle w:val="ONRSquareBullet1"/>
        <w:tabs>
          <w:tab w:val="left" w:pos="880"/>
        </w:tabs>
        <w:spacing w:after="120"/>
        <w:rPr>
          <w:color w:val="auto"/>
        </w:rPr>
      </w:pPr>
      <w:r w:rsidRPr="00C929D7">
        <w:rPr>
          <w:color w:val="auto"/>
        </w:rPr>
        <w:t xml:space="preserve">Changes in leadership, management structures and practices in the facility and/or licensee’s </w:t>
      </w:r>
      <w:proofErr w:type="spellStart"/>
      <w:r w:rsidRPr="00C929D7">
        <w:rPr>
          <w:color w:val="auto"/>
        </w:rPr>
        <w:t>organisation</w:t>
      </w:r>
      <w:proofErr w:type="spellEnd"/>
      <w:r w:rsidRPr="00C929D7">
        <w:rPr>
          <w:color w:val="auto"/>
        </w:rPr>
        <w:t>.</w:t>
      </w:r>
    </w:p>
    <w:p w14:paraId="79A3B74E" w14:textId="77777777" w:rsidR="0063719B" w:rsidRPr="00C929D7" w:rsidRDefault="0063719B" w:rsidP="0063719B">
      <w:pPr>
        <w:pStyle w:val="ONRSquareBullet1"/>
        <w:tabs>
          <w:tab w:val="left" w:pos="880"/>
        </w:tabs>
        <w:spacing w:after="120"/>
        <w:rPr>
          <w:color w:val="auto"/>
        </w:rPr>
      </w:pPr>
      <w:r w:rsidRPr="00C929D7">
        <w:rPr>
          <w:color w:val="auto"/>
        </w:rPr>
        <w:t xml:space="preserve">Changes in </w:t>
      </w:r>
      <w:proofErr w:type="spellStart"/>
      <w:r w:rsidRPr="00C929D7">
        <w:rPr>
          <w:color w:val="auto"/>
        </w:rPr>
        <w:t>organisational</w:t>
      </w:r>
      <w:proofErr w:type="spellEnd"/>
      <w:r w:rsidRPr="00C929D7">
        <w:rPr>
          <w:color w:val="auto"/>
        </w:rPr>
        <w:t xml:space="preserve"> structure, staffing levels or in the experience of staff.</w:t>
      </w:r>
    </w:p>
    <w:p w14:paraId="79A3B74F" w14:textId="77777777" w:rsidR="0063719B" w:rsidRPr="00C929D7" w:rsidRDefault="0063719B" w:rsidP="0063719B">
      <w:pPr>
        <w:pStyle w:val="ONRSquareBullet1"/>
        <w:tabs>
          <w:tab w:val="left" w:pos="880"/>
        </w:tabs>
        <w:spacing w:after="120"/>
        <w:rPr>
          <w:color w:val="auto"/>
        </w:rPr>
      </w:pPr>
      <w:r w:rsidRPr="00C929D7">
        <w:rPr>
          <w:color w:val="auto"/>
        </w:rPr>
        <w:t>Changes in the natural, industrial, or demographic environment around the facility.</w:t>
      </w:r>
    </w:p>
    <w:p w14:paraId="79A3B750" w14:textId="795CC44F" w:rsidR="00510B11" w:rsidRPr="00510B11" w:rsidRDefault="00C32CDE" w:rsidP="00510B11">
      <w:pPr>
        <w:pStyle w:val="NumberedParagraph"/>
        <w:tabs>
          <w:tab w:val="num" w:pos="-31680"/>
        </w:tabs>
        <w:ind w:left="720"/>
        <w:jc w:val="both"/>
      </w:pPr>
      <w:bookmarkStart w:id="21" w:name="_Ref481140933"/>
      <w:r>
        <w:t>The licensee is responsible for determining when PSRs should be undertaken, subject to the general constraint that the period between PSRs should be typically no more than ten years (unless otherwise agreed with ONR). LC15 requires the licensee to produce PSRs but the ten year period is not an explicit statutory requirement.</w:t>
      </w:r>
      <w:bookmarkEnd w:id="21"/>
      <w:r w:rsidR="00510B11">
        <w:t xml:space="preserve"> In addition, </w:t>
      </w:r>
      <w:r w:rsidR="00510B11" w:rsidRPr="00510B11">
        <w:t xml:space="preserve">ONR may specify an earlier PSR submission date using LC15(4) in the interest of safety (as stated </w:t>
      </w:r>
      <w:r w:rsidR="00510B11">
        <w:t xml:space="preserve">in </w:t>
      </w:r>
      <w:r w:rsidR="00510B11" w:rsidRPr="00510B11">
        <w:t xml:space="preserve">para </w:t>
      </w:r>
      <w:r w:rsidR="00510B11">
        <w:fldChar w:fldCharType="begin"/>
      </w:r>
      <w:r w:rsidR="00510B11">
        <w:instrText xml:space="preserve"> REF _Ref317257348 \r \h </w:instrText>
      </w:r>
      <w:r w:rsidR="00510B11">
        <w:fldChar w:fldCharType="separate"/>
      </w:r>
      <w:r w:rsidR="00D86858">
        <w:t>5.60</w:t>
      </w:r>
      <w:r w:rsidR="00510B11">
        <w:fldChar w:fldCharType="end"/>
      </w:r>
      <w:r w:rsidR="00510B11" w:rsidRPr="00510B11">
        <w:t xml:space="preserve">).  An example of where this may be relevant is touched on in para </w:t>
      </w:r>
      <w:r w:rsidR="00510B11">
        <w:fldChar w:fldCharType="begin"/>
      </w:r>
      <w:r w:rsidR="00510B11">
        <w:instrText xml:space="preserve"> REF _Ref41910020 \r \h </w:instrText>
      </w:r>
      <w:r w:rsidR="00510B11">
        <w:fldChar w:fldCharType="separate"/>
      </w:r>
      <w:r w:rsidR="00D86858">
        <w:t>5.24</w:t>
      </w:r>
      <w:r w:rsidR="00510B11">
        <w:fldChar w:fldCharType="end"/>
      </w:r>
      <w:r w:rsidR="00510B11" w:rsidRPr="00510B11">
        <w:t xml:space="preserve">, referring to circumstances where there are uncertainties relating to the adequacy of the safety case for the subsequent review period.  </w:t>
      </w:r>
    </w:p>
    <w:p w14:paraId="79A3B752" w14:textId="6FE17A93" w:rsidR="0063719B" w:rsidRDefault="0063719B" w:rsidP="0063719B">
      <w:pPr>
        <w:pStyle w:val="NumberedParagraph"/>
        <w:tabs>
          <w:tab w:val="num" w:pos="-31680"/>
        </w:tabs>
        <w:ind w:left="720"/>
        <w:jc w:val="both"/>
      </w:pPr>
      <w:bookmarkStart w:id="22" w:name="_Ref41994939"/>
      <w:r w:rsidRPr="006A1C07">
        <w:t xml:space="preserve">In the absence of any other requirements the first PSR of </w:t>
      </w:r>
      <w:r w:rsidR="000F23C3" w:rsidRPr="006A1C07">
        <w:t>a new</w:t>
      </w:r>
      <w:r w:rsidRPr="006A1C07">
        <w:t xml:space="preserve"> </w:t>
      </w:r>
      <w:r w:rsidR="000F23C3">
        <w:t>facility</w:t>
      </w:r>
      <w:r w:rsidR="000F23C3" w:rsidRPr="006A1C07">
        <w:t xml:space="preserve"> </w:t>
      </w:r>
      <w:r w:rsidR="000F23C3">
        <w:t>should</w:t>
      </w:r>
      <w:r w:rsidRPr="006A1C07">
        <w:t xml:space="preserve"> be completed within ten years of fuel being loaded in</w:t>
      </w:r>
      <w:r w:rsidR="000F23C3">
        <w:t>to</w:t>
      </w:r>
      <w:r w:rsidRPr="006A1C07">
        <w:t xml:space="preserve"> a</w:t>
      </w:r>
      <w:r w:rsidR="00653CDC">
        <w:t xml:space="preserve"> civil</w:t>
      </w:r>
      <w:r w:rsidRPr="006A1C07">
        <w:t xml:space="preserve"> reactor, or within ten years of the start of active commissioning for a non-reactor plant</w:t>
      </w:r>
      <w:r w:rsidR="001432F5">
        <w:t xml:space="preserve"> and then every ten years thereafter</w:t>
      </w:r>
      <w:r w:rsidR="00433263">
        <w:t xml:space="preserve"> (see para </w:t>
      </w:r>
      <w:r w:rsidR="00433263">
        <w:fldChar w:fldCharType="begin"/>
      </w:r>
      <w:r w:rsidR="00433263">
        <w:instrText xml:space="preserve"> REF _Ref41910458 \r \h </w:instrText>
      </w:r>
      <w:r w:rsidR="00433263">
        <w:fldChar w:fldCharType="separate"/>
      </w:r>
      <w:r w:rsidR="00433263">
        <w:t>5.25</w:t>
      </w:r>
      <w:r w:rsidR="00433263">
        <w:fldChar w:fldCharType="end"/>
      </w:r>
      <w:r w:rsidR="00433263">
        <w:t>)</w:t>
      </w:r>
      <w:r w:rsidR="00435103">
        <w:t>.</w:t>
      </w:r>
      <w:bookmarkEnd w:id="22"/>
    </w:p>
    <w:p w14:paraId="79A3B753" w14:textId="77777777" w:rsidR="0063719B" w:rsidRDefault="0063719B" w:rsidP="0063719B">
      <w:pPr>
        <w:pStyle w:val="NumberedParagraph"/>
        <w:tabs>
          <w:tab w:val="num" w:pos="-31680"/>
        </w:tabs>
        <w:ind w:left="720"/>
        <w:jc w:val="both"/>
      </w:pPr>
      <w:r w:rsidRPr="00CE1E0A">
        <w:t>Licensee</w:t>
      </w:r>
      <w:r w:rsidR="00C32CDE">
        <w:t>s</w:t>
      </w:r>
      <w:r w:rsidRPr="00CE1E0A">
        <w:t xml:space="preserve"> may choose to re-write their safety case for reasons unrelated to PSR</w:t>
      </w:r>
      <w:r>
        <w:t>.</w:t>
      </w:r>
      <w:r w:rsidR="00D951C6">
        <w:t xml:space="preserve"> </w:t>
      </w:r>
      <w:r>
        <w:t xml:space="preserve">For example, sites that are no longer operational may produce a new safety case once a major hazard reduction milestone (for example, completion of </w:t>
      </w:r>
      <w:proofErr w:type="spellStart"/>
      <w:r w:rsidR="00E05BC7">
        <w:t>defuel</w:t>
      </w:r>
      <w:r w:rsidR="0003675B">
        <w:t>l</w:t>
      </w:r>
      <w:r w:rsidR="00E05BC7">
        <w:t>ing</w:t>
      </w:r>
      <w:proofErr w:type="spellEnd"/>
      <w:r w:rsidR="00E05BC7">
        <w:t>, or when a particular activity starts or ends such as refuelling a submarine</w:t>
      </w:r>
      <w:r>
        <w:t xml:space="preserve">) has been </w:t>
      </w:r>
      <w:r w:rsidRPr="00E05BC7">
        <w:t>reached.</w:t>
      </w:r>
      <w:r w:rsidR="00D951C6" w:rsidRPr="00E05BC7">
        <w:t xml:space="preserve"> </w:t>
      </w:r>
      <w:r w:rsidRPr="00F26420">
        <w:t>Providing the work done in producing the new safety case reviews all aspects necessary for a PSR</w:t>
      </w:r>
      <w:r w:rsidR="00595465">
        <w:t xml:space="preserve"> and is appropriately documented</w:t>
      </w:r>
      <w:r w:rsidR="00E05BC7" w:rsidRPr="00084490">
        <w:t xml:space="preserve"> e.g. LFMS</w:t>
      </w:r>
      <w:r w:rsidR="009A07B5">
        <w:t>, look ahead</w:t>
      </w:r>
      <w:r w:rsidR="00E05BC7" w:rsidRPr="00084490">
        <w:t xml:space="preserve"> et al</w:t>
      </w:r>
      <w:r w:rsidRPr="00E05BC7">
        <w:t>, ONR may consider the revised safety case acceptable substitute for a PSR.</w:t>
      </w:r>
      <w:r w:rsidR="00D951C6" w:rsidRPr="00F26420">
        <w:t xml:space="preserve"> </w:t>
      </w:r>
      <w:r w:rsidRPr="00F26420">
        <w:t>The next PSR would then be due ten years from when the revised safety case is formally</w:t>
      </w:r>
      <w:r>
        <w:t xml:space="preserve"> adopted.</w:t>
      </w:r>
    </w:p>
    <w:p w14:paraId="79A3B754" w14:textId="77777777" w:rsidR="0063719B" w:rsidRDefault="0063719B" w:rsidP="0063719B">
      <w:pPr>
        <w:pStyle w:val="NumberedParagraph"/>
        <w:tabs>
          <w:tab w:val="num" w:pos="-31680"/>
        </w:tabs>
        <w:ind w:left="720"/>
        <w:jc w:val="both"/>
      </w:pPr>
      <w:bookmarkStart w:id="23" w:name="_Ref317242043"/>
      <w:r>
        <w:t>A licensee may also produce a PSR well before the due date. This may arise, for example:</w:t>
      </w:r>
      <w:bookmarkEnd w:id="23"/>
    </w:p>
    <w:p w14:paraId="79A3B755" w14:textId="77777777" w:rsidR="00124DB3" w:rsidRDefault="00124DB3" w:rsidP="0063719B">
      <w:pPr>
        <w:pStyle w:val="ONRSquareBullet1"/>
        <w:tabs>
          <w:tab w:val="left" w:pos="880"/>
        </w:tabs>
        <w:spacing w:after="120"/>
        <w:rPr>
          <w:color w:val="auto"/>
        </w:rPr>
      </w:pPr>
      <w:r>
        <w:rPr>
          <w:color w:val="auto"/>
        </w:rPr>
        <w:t xml:space="preserve">To align with a major reactor inspection </w:t>
      </w:r>
      <w:proofErr w:type="spellStart"/>
      <w:r>
        <w:rPr>
          <w:color w:val="auto"/>
        </w:rPr>
        <w:t>program</w:t>
      </w:r>
      <w:r w:rsidR="00A63508">
        <w:rPr>
          <w:color w:val="auto"/>
        </w:rPr>
        <w:t>me</w:t>
      </w:r>
      <w:proofErr w:type="spellEnd"/>
    </w:p>
    <w:p w14:paraId="79A3B756" w14:textId="77777777" w:rsidR="0063719B" w:rsidRPr="00C929D7" w:rsidRDefault="00595465" w:rsidP="0063719B">
      <w:pPr>
        <w:pStyle w:val="ONRSquareBullet1"/>
        <w:tabs>
          <w:tab w:val="left" w:pos="880"/>
        </w:tabs>
        <w:spacing w:after="120"/>
        <w:rPr>
          <w:color w:val="auto"/>
        </w:rPr>
      </w:pPr>
      <w:r>
        <w:rPr>
          <w:color w:val="auto"/>
        </w:rPr>
        <w:t>Where a</w:t>
      </w:r>
      <w:r w:rsidR="0063719B" w:rsidRPr="00C929D7">
        <w:rPr>
          <w:color w:val="auto"/>
        </w:rPr>
        <w:t>geing mechanisms demand more frequent review.</w:t>
      </w:r>
    </w:p>
    <w:p w14:paraId="79A3B757" w14:textId="77777777" w:rsidR="0063719B" w:rsidRPr="00CC5BCD" w:rsidRDefault="00595465" w:rsidP="00F17688">
      <w:pPr>
        <w:pStyle w:val="ONRSquareBullet1"/>
        <w:tabs>
          <w:tab w:val="left" w:pos="880"/>
        </w:tabs>
        <w:spacing w:after="120"/>
        <w:rPr>
          <w:color w:val="auto"/>
        </w:rPr>
      </w:pPr>
      <w:r>
        <w:rPr>
          <w:color w:val="auto"/>
        </w:rPr>
        <w:t>Where o</w:t>
      </w:r>
      <w:r w:rsidR="0063719B" w:rsidRPr="00C929D7">
        <w:rPr>
          <w:color w:val="auto"/>
        </w:rPr>
        <w:t>perational experience or significant changes in standards indicate that an earlier review may be prudent</w:t>
      </w:r>
      <w:r w:rsidR="00124DB3">
        <w:rPr>
          <w:color w:val="auto"/>
        </w:rPr>
        <w:t xml:space="preserve"> e.g. If there are known </w:t>
      </w:r>
      <w:r>
        <w:rPr>
          <w:color w:val="auto"/>
        </w:rPr>
        <w:t>degradation</w:t>
      </w:r>
      <w:r w:rsidR="00124DB3">
        <w:rPr>
          <w:color w:val="auto"/>
        </w:rPr>
        <w:t xml:space="preserve"> mechanisms that need to be reviewed within the ten year period</w:t>
      </w:r>
    </w:p>
    <w:p w14:paraId="79A3B758" w14:textId="77777777" w:rsidR="0063719B" w:rsidRDefault="0063719B" w:rsidP="0063719B">
      <w:pPr>
        <w:pStyle w:val="ONRSquareBullet1"/>
        <w:tabs>
          <w:tab w:val="left" w:pos="880"/>
        </w:tabs>
        <w:spacing w:after="120"/>
        <w:rPr>
          <w:color w:val="auto"/>
        </w:rPr>
      </w:pPr>
      <w:r w:rsidRPr="00C929D7">
        <w:rPr>
          <w:color w:val="auto"/>
        </w:rPr>
        <w:t>A significant change in operation occurs, e.g. decommissioning</w:t>
      </w:r>
      <w:r w:rsidR="00595465">
        <w:rPr>
          <w:color w:val="auto"/>
        </w:rPr>
        <w:t>, submarine refurbishment/reactor re-</w:t>
      </w:r>
      <w:r w:rsidR="002A312B">
        <w:rPr>
          <w:color w:val="auto"/>
        </w:rPr>
        <w:t>fueling</w:t>
      </w:r>
      <w:r w:rsidRPr="00C929D7">
        <w:rPr>
          <w:color w:val="auto"/>
        </w:rPr>
        <w:t>.</w:t>
      </w:r>
    </w:p>
    <w:p w14:paraId="79A3B759" w14:textId="77777777" w:rsidR="0063719B" w:rsidRDefault="0063719B" w:rsidP="0063719B">
      <w:pPr>
        <w:pStyle w:val="NumberedParagraph"/>
        <w:tabs>
          <w:tab w:val="num" w:pos="-31680"/>
        </w:tabs>
        <w:ind w:left="720"/>
        <w:jc w:val="both"/>
      </w:pPr>
      <w:bookmarkStart w:id="24" w:name="_Ref481140962"/>
      <w:r w:rsidRPr="00C929D7">
        <w:t xml:space="preserve">A </w:t>
      </w:r>
      <w:r>
        <w:t xml:space="preserve">PSR that is produced early should still address the principal requirements identified </w:t>
      </w:r>
      <w:r w:rsidR="00595465">
        <w:t>previously</w:t>
      </w:r>
      <w:r>
        <w:t xml:space="preserve"> in Section 4 before the ten-year ‘clock’ is reset.</w:t>
      </w:r>
      <w:bookmarkEnd w:id="24"/>
    </w:p>
    <w:p w14:paraId="79A3B75A" w14:textId="77777777" w:rsidR="0063719B" w:rsidRDefault="007A07BD" w:rsidP="00084490">
      <w:pPr>
        <w:pStyle w:val="Heading3"/>
        <w:spacing w:before="0" w:after="120"/>
      </w:pPr>
      <w:bookmarkStart w:id="25" w:name="_Toc358727793"/>
      <w:r w:rsidRPr="00C929D7">
        <w:t>Periodicity</w:t>
      </w:r>
      <w:r>
        <w:t xml:space="preserve">: </w:t>
      </w:r>
      <w:r w:rsidR="0063719B">
        <w:t>Continual or Interim Reviews</w:t>
      </w:r>
      <w:bookmarkEnd w:id="25"/>
    </w:p>
    <w:p w14:paraId="79A3B75B" w14:textId="77777777" w:rsidR="0063719B" w:rsidRDefault="0063719B" w:rsidP="0063719B">
      <w:pPr>
        <w:pStyle w:val="NumberedParagraph"/>
        <w:tabs>
          <w:tab w:val="num" w:pos="-31680"/>
        </w:tabs>
        <w:ind w:left="720"/>
        <w:jc w:val="both"/>
      </w:pPr>
      <w:bookmarkStart w:id="26" w:name="_Ref41903850"/>
      <w:r>
        <w:t>The production of a PSR need not necessarily be a major undertaking once every ten years.</w:t>
      </w:r>
      <w:r w:rsidR="00D951C6">
        <w:t xml:space="preserve"> </w:t>
      </w:r>
      <w:r>
        <w:t>An alternative approach is to place more emphasis on continual or interim reviews of safety</w:t>
      </w:r>
      <w:r w:rsidR="00595465">
        <w:t xml:space="preserve"> and/or data gathering</w:t>
      </w:r>
      <w:r>
        <w:t>, encompassing the principal requirements and scope of PSRs.</w:t>
      </w:r>
      <w:r w:rsidR="00D951C6">
        <w:t xml:space="preserve"> </w:t>
      </w:r>
      <w:r>
        <w:t>This has the advantage of identifying potential issues earlier and of fewer major issues emerging at the ten-yearly reviews.</w:t>
      </w:r>
      <w:r w:rsidR="00D951C6">
        <w:t xml:space="preserve"> </w:t>
      </w:r>
      <w:r>
        <w:t xml:space="preserve">It is also </w:t>
      </w:r>
      <w:r w:rsidR="008F7463">
        <w:t xml:space="preserve">has the potential to be </w:t>
      </w:r>
      <w:r>
        <w:t>less resource intensive at any given time and may provide the licensee with more flexibility in the management of resources and other operational programme requirements.</w:t>
      </w:r>
      <w:bookmarkEnd w:id="26"/>
    </w:p>
    <w:p w14:paraId="79A3B75C" w14:textId="77777777" w:rsidR="00BC5752" w:rsidRDefault="00BC5752" w:rsidP="00BC5752">
      <w:pPr>
        <w:pStyle w:val="NumberedParagraph"/>
        <w:tabs>
          <w:tab w:val="num" w:pos="-31680"/>
        </w:tabs>
        <w:ind w:left="720"/>
        <w:jc w:val="both"/>
      </w:pPr>
      <w:r>
        <w:t xml:space="preserve">IAEA SSG-25 </w:t>
      </w:r>
      <w:r w:rsidR="009A07B5">
        <w:t>[12]</w:t>
      </w:r>
      <w:r>
        <w:t xml:space="preserve"> notes that a continuous review programme</w:t>
      </w:r>
      <w:r w:rsidRPr="00BC5752">
        <w:t xml:space="preserve"> can,</w:t>
      </w:r>
      <w:r w:rsidR="00B95975">
        <w:t xml:space="preserve"> </w:t>
      </w:r>
      <w:r w:rsidRPr="00BC5752">
        <w:t>if applied with appropriate scope, frequency, depth and rigour, achieve the same</w:t>
      </w:r>
      <w:r w:rsidR="00B95975">
        <w:t xml:space="preserve"> </w:t>
      </w:r>
      <w:r w:rsidRPr="00BC5752">
        <w:t xml:space="preserve">outcomes as the process recommended </w:t>
      </w:r>
      <w:r w:rsidR="00B95975">
        <w:t>for a ten year review</w:t>
      </w:r>
      <w:r w:rsidRPr="00BC5752">
        <w:t>.</w:t>
      </w:r>
      <w:r w:rsidR="00B95975">
        <w:t xml:space="preserve"> In the</w:t>
      </w:r>
      <w:r w:rsidR="0068433E">
        <w:t>se</w:t>
      </w:r>
      <w:r w:rsidR="00B95975">
        <w:t xml:space="preserve"> instances, the licensee should</w:t>
      </w:r>
      <w:r w:rsidRPr="00BC5752">
        <w:t xml:space="preserve"> allow safety to</w:t>
      </w:r>
      <w:r w:rsidR="00B95975">
        <w:t xml:space="preserve"> </w:t>
      </w:r>
      <w:r w:rsidRPr="00BC5752">
        <w:t>be improved on a continuous basis and avoid the need to implement concurrently</w:t>
      </w:r>
      <w:r w:rsidR="00B95975">
        <w:t xml:space="preserve"> </w:t>
      </w:r>
      <w:r w:rsidRPr="00BC5752">
        <w:t xml:space="preserve">a large programme of corrective actions. </w:t>
      </w:r>
      <w:r w:rsidR="00B95975">
        <w:t xml:space="preserve">In these </w:t>
      </w:r>
      <w:r w:rsidR="0068433E">
        <w:t>instances it is important that the</w:t>
      </w:r>
      <w:r w:rsidR="00B95975">
        <w:t xml:space="preserve"> ONR inspector ensure</w:t>
      </w:r>
      <w:r w:rsidR="0068433E">
        <w:t>s</w:t>
      </w:r>
      <w:r w:rsidR="00B95975">
        <w:t xml:space="preserve"> that all areas of the plant/facility are still reviewed, proportionately, on a regular basis</w:t>
      </w:r>
      <w:r w:rsidR="0068433E">
        <w:t xml:space="preserve"> not exceeding ten years</w:t>
      </w:r>
      <w:r w:rsidR="00B95975">
        <w:t xml:space="preserve">. </w:t>
      </w:r>
    </w:p>
    <w:p w14:paraId="79A3B75D" w14:textId="77777777" w:rsidR="000043E8" w:rsidRDefault="007F7973" w:rsidP="0063719B">
      <w:pPr>
        <w:pStyle w:val="NumberedParagraph"/>
        <w:tabs>
          <w:tab w:val="num" w:pos="-31680"/>
        </w:tabs>
        <w:ind w:left="720"/>
        <w:jc w:val="both"/>
      </w:pPr>
      <w:r>
        <w:t xml:space="preserve">A more continuous review process </w:t>
      </w:r>
      <w:r w:rsidR="0063719B">
        <w:t>does not remove the requirement for a ten-yearly PSR.</w:t>
      </w:r>
      <w:r w:rsidR="00D951C6">
        <w:t xml:space="preserve"> </w:t>
      </w:r>
      <w:r w:rsidR="0063719B">
        <w:t>However, that PSR could take credit as appropriate for continual or interim reviews that have been undertaken, and provide a summary of the main findings of these reviews</w:t>
      </w:r>
      <w:r w:rsidR="00595465">
        <w:t>, noting that such information would need to be shared with the ONR inspector on a more frequent basis to ensure it is valid.</w:t>
      </w:r>
      <w:r w:rsidR="00D951C6">
        <w:t xml:space="preserve"> </w:t>
      </w:r>
      <w:r w:rsidR="0063719B">
        <w:t>The PSR would also have to include any additional work necessary to ensure the full requirements of a PSR have been met.</w:t>
      </w:r>
      <w:r w:rsidR="00D951C6">
        <w:t xml:space="preserve"> </w:t>
      </w:r>
      <w:r w:rsidR="0063719B">
        <w:t xml:space="preserve">In particular, the PSR must demonstrate safety for the next ten years, something that individual reviews taken in isolation are unlikely to be able to do. </w:t>
      </w:r>
      <w:r>
        <w:t>Again, the ONR inspector needs to satisfy themselves that where data/reviews are undertaken more frequently, the information gathered is appropriate for the less frequent reviews.</w:t>
      </w:r>
    </w:p>
    <w:p w14:paraId="79A3B75E" w14:textId="77777777" w:rsidR="0063719B" w:rsidRDefault="0063719B" w:rsidP="0063719B">
      <w:pPr>
        <w:pStyle w:val="NumberedParagraph"/>
        <w:tabs>
          <w:tab w:val="num" w:pos="-31680"/>
        </w:tabs>
        <w:ind w:left="720"/>
        <w:jc w:val="both"/>
      </w:pPr>
      <w:r>
        <w:t>The totality of continual, interim and ten-yearly reviews should encompass all the relevant topics highlighted in earlier sections of this guide on the purpose, requirements and scope of a PSR.</w:t>
      </w:r>
      <w:r w:rsidR="000043E8">
        <w:t xml:space="preserve">  It is therefore important that the continual or interim reviews are adequately scoped, planned, resourced, conducted and recorded to ensure that appropriate benefit can be taken from them during the ten-year PSR.  </w:t>
      </w:r>
    </w:p>
    <w:p w14:paraId="79A3B75F" w14:textId="77777777" w:rsidR="0063719B" w:rsidRDefault="0063719B" w:rsidP="0063719B">
      <w:pPr>
        <w:pStyle w:val="NumberedParagraph"/>
        <w:tabs>
          <w:tab w:val="num" w:pos="-31680"/>
        </w:tabs>
        <w:ind w:left="720"/>
        <w:jc w:val="both"/>
      </w:pPr>
      <w:r>
        <w:t>Where licensees elect to follow a process of continual or interim reviews, they need to ensure that identified improvements are implemented within appropriate timescales and are not delayed unnecessarily (e.g. until the production of the ten-yearly PSR).</w:t>
      </w:r>
    </w:p>
    <w:p w14:paraId="79A3B760" w14:textId="77777777" w:rsidR="0063719B" w:rsidRDefault="0063719B" w:rsidP="0063719B">
      <w:pPr>
        <w:pStyle w:val="NumberedParagraph"/>
        <w:tabs>
          <w:tab w:val="num" w:pos="-31680"/>
        </w:tabs>
        <w:ind w:left="720"/>
        <w:jc w:val="both"/>
      </w:pPr>
      <w:r>
        <w:t>Systems or components whose behaviour or nature may undergo significant change in the interval between major reviews should be addressed by interim reviews.</w:t>
      </w:r>
      <w:r w:rsidR="00D951C6">
        <w:t xml:space="preserve"> </w:t>
      </w:r>
      <w:r>
        <w:t>One possible outcome of an interim review is that the next scheduled PSR date is brought forward.</w:t>
      </w:r>
    </w:p>
    <w:p w14:paraId="79A3B761" w14:textId="77777777" w:rsidR="0063719B" w:rsidRDefault="006F4018" w:rsidP="0063719B">
      <w:pPr>
        <w:pStyle w:val="NumberedParagraph"/>
        <w:tabs>
          <w:tab w:val="num" w:pos="-31680"/>
        </w:tabs>
        <w:ind w:left="720"/>
        <w:jc w:val="both"/>
      </w:pPr>
      <w:bookmarkStart w:id="27" w:name="_Ref41910091"/>
      <w:r>
        <w:t>Regardless of the licensee’s preferred option for meeting the regulatory expectations of a ten-yearly PSR, the arrangements under LC15 should include interim reviews to ensure that the cumulative impact of all modifications and changes has been considered so that the safety case remains valid and up to date. Thus, a</w:t>
      </w:r>
      <w:r w:rsidR="0063719B">
        <w:t xml:space="preserve">n important outcome from continual or interim reviews is </w:t>
      </w:r>
      <w:r w:rsidR="00D0784B">
        <w:t xml:space="preserve">the consideration of the need </w:t>
      </w:r>
      <w:r w:rsidR="0063719B">
        <w:t>to update the facility or site safety case and other relevant documentation (e.g. procedures, organisational baseline) to reflect changes</w:t>
      </w:r>
      <w:r w:rsidR="00D0784B">
        <w:t xml:space="preserve"> in the facility</w:t>
      </w:r>
      <w:r w:rsidR="0063719B">
        <w:t>.</w:t>
      </w:r>
      <w:r w:rsidR="00D951C6">
        <w:t xml:space="preserve"> </w:t>
      </w:r>
      <w:r w:rsidR="0063719B">
        <w:t>If updates are not incorporated promptly into the extant safety case, other measures may be needed to enhance the accessibility and usability of the safety case, particularly in any areas where there have been numerous changes</w:t>
      </w:r>
      <w:r>
        <w:t xml:space="preserve"> that make the design basis difficult to identify</w:t>
      </w:r>
      <w:r w:rsidR="0063719B">
        <w:t>.</w:t>
      </w:r>
      <w:bookmarkEnd w:id="27"/>
    </w:p>
    <w:p w14:paraId="79A3B762" w14:textId="77777777" w:rsidR="0063719B" w:rsidRDefault="00FC1CE7" w:rsidP="0063719B">
      <w:pPr>
        <w:pStyle w:val="NumberedParagraph"/>
        <w:tabs>
          <w:tab w:val="num" w:pos="-31680"/>
        </w:tabs>
        <w:ind w:left="720"/>
        <w:jc w:val="both"/>
      </w:pPr>
      <w:bookmarkStart w:id="28" w:name="_Ref41903895"/>
      <w:r>
        <w:t>As</w:t>
      </w:r>
      <w:r w:rsidR="0063719B">
        <w:t xml:space="preserve"> a minimum, interim reviews should take into account the number and safety significance of modifications to the facility or safety case and changes to the organisation since the previous review.</w:t>
      </w:r>
      <w:r w:rsidR="00D951C6">
        <w:t xml:space="preserve"> </w:t>
      </w:r>
      <w:r w:rsidR="0063719B" w:rsidRPr="002D2BFA">
        <w:t>Interim reviews should also consider operating experience and the overall impact of incidents, events and operational changes.</w:t>
      </w:r>
      <w:r w:rsidR="00D951C6">
        <w:t xml:space="preserve"> </w:t>
      </w:r>
      <w:r w:rsidR="0063719B" w:rsidRPr="002D2BFA">
        <w:t>Components whose behaviour or nature may undergo significant change in the interval between major reviews should be encompassed by interim reviews.</w:t>
      </w:r>
      <w:r w:rsidR="00D951C6">
        <w:t xml:space="preserve"> </w:t>
      </w:r>
      <w:r w:rsidR="0063719B">
        <w:t>Interim reviews would normally be expected every one to three years, depending on the nature of the facility.</w:t>
      </w:r>
      <w:r w:rsidR="00D951C6">
        <w:t xml:space="preserve"> </w:t>
      </w:r>
      <w:r w:rsidR="0063719B">
        <w:t>Within this time span, the period could be flexible if account is taken of the number</w:t>
      </w:r>
      <w:r w:rsidR="006F4018">
        <w:t xml:space="preserve"> of</w:t>
      </w:r>
      <w:r w:rsidR="0063719B">
        <w:t xml:space="preserve"> changes that occur.</w:t>
      </w:r>
      <w:bookmarkEnd w:id="28"/>
    </w:p>
    <w:p w14:paraId="79A3B763" w14:textId="77777777" w:rsidR="0063719B" w:rsidRDefault="0063719B" w:rsidP="007A07BD">
      <w:pPr>
        <w:pStyle w:val="Heading3"/>
      </w:pPr>
      <w:bookmarkStart w:id="29" w:name="_Toc358727794"/>
      <w:r>
        <w:t>Phases of Operation</w:t>
      </w:r>
      <w:bookmarkEnd w:id="29"/>
    </w:p>
    <w:p w14:paraId="79A3B764" w14:textId="77777777" w:rsidR="00546662" w:rsidRPr="00546662" w:rsidRDefault="00546662" w:rsidP="00546662">
      <w:pPr>
        <w:pStyle w:val="NumberedParagraph"/>
        <w:tabs>
          <w:tab w:val="num" w:pos="-31680"/>
        </w:tabs>
        <w:ind w:left="720"/>
        <w:jc w:val="both"/>
      </w:pPr>
      <w:r>
        <w:t xml:space="preserve">The timing of a PSR for </w:t>
      </w:r>
      <w:r w:rsidR="006F4018">
        <w:t xml:space="preserve">facilities about to be </w:t>
      </w:r>
      <w:r>
        <w:t xml:space="preserve">permanently </w:t>
      </w:r>
      <w:r w:rsidR="006F4018">
        <w:t>shut down</w:t>
      </w:r>
      <w:r>
        <w:t xml:space="preserve"> facilities should normally be undertaken to coincide with the production of</w:t>
      </w:r>
      <w:r w:rsidR="006F4018">
        <w:t xml:space="preserve"> the</w:t>
      </w:r>
      <w:r>
        <w:t xml:space="preserve"> re-baselined safety cases written to support any significant changes in the mode of operations that may occur. Examples of changes in mode include: </w:t>
      </w:r>
    </w:p>
    <w:p w14:paraId="79A3B765" w14:textId="77777777" w:rsidR="0063719B" w:rsidRPr="00C929D7" w:rsidRDefault="00853C14" w:rsidP="0063719B">
      <w:pPr>
        <w:pStyle w:val="ONRSquareBullet1"/>
        <w:tabs>
          <w:tab w:val="left" w:pos="880"/>
        </w:tabs>
        <w:spacing w:after="120"/>
        <w:rPr>
          <w:color w:val="auto"/>
        </w:rPr>
      </w:pPr>
      <w:r>
        <w:rPr>
          <w:color w:val="auto"/>
        </w:rPr>
        <w:t>T</w:t>
      </w:r>
      <w:r w:rsidR="00FC1CE7">
        <w:rPr>
          <w:color w:val="auto"/>
        </w:rPr>
        <w:t>he e</w:t>
      </w:r>
      <w:r w:rsidR="0063719B" w:rsidRPr="00C929D7">
        <w:rPr>
          <w:color w:val="auto"/>
        </w:rPr>
        <w:t>nd of power operation for a reactor.</w:t>
      </w:r>
    </w:p>
    <w:p w14:paraId="79A3B766" w14:textId="77777777" w:rsidR="0063719B" w:rsidRPr="00C929D7" w:rsidRDefault="0063719B" w:rsidP="0063719B">
      <w:pPr>
        <w:pStyle w:val="ONRSquareBullet1"/>
        <w:tabs>
          <w:tab w:val="left" w:pos="880"/>
        </w:tabs>
        <w:spacing w:after="120"/>
        <w:rPr>
          <w:color w:val="auto"/>
        </w:rPr>
      </w:pPr>
      <w:r w:rsidRPr="00C929D7">
        <w:rPr>
          <w:color w:val="auto"/>
        </w:rPr>
        <w:t xml:space="preserve">The commencement of decommissioning operations at completion of final </w:t>
      </w:r>
      <w:proofErr w:type="spellStart"/>
      <w:r w:rsidRPr="00C929D7">
        <w:rPr>
          <w:color w:val="auto"/>
        </w:rPr>
        <w:t>defuelling</w:t>
      </w:r>
      <w:proofErr w:type="spellEnd"/>
      <w:r w:rsidRPr="00C929D7">
        <w:rPr>
          <w:color w:val="auto"/>
        </w:rPr>
        <w:t>.</w:t>
      </w:r>
    </w:p>
    <w:p w14:paraId="79A3B767" w14:textId="77777777" w:rsidR="0063719B" w:rsidRDefault="0063719B" w:rsidP="0063719B">
      <w:pPr>
        <w:pStyle w:val="ONRSquareBullet1"/>
        <w:tabs>
          <w:tab w:val="left" w:pos="880"/>
        </w:tabs>
        <w:spacing w:after="120"/>
        <w:rPr>
          <w:color w:val="auto"/>
        </w:rPr>
      </w:pPr>
      <w:r w:rsidRPr="00C929D7">
        <w:rPr>
          <w:color w:val="auto"/>
        </w:rPr>
        <w:t xml:space="preserve">At the transition to a care and maintenance regime, e.g. </w:t>
      </w:r>
      <w:proofErr w:type="spellStart"/>
      <w:r w:rsidRPr="00C929D7">
        <w:rPr>
          <w:color w:val="auto"/>
        </w:rPr>
        <w:t>safestore</w:t>
      </w:r>
      <w:proofErr w:type="spellEnd"/>
      <w:r w:rsidRPr="00C929D7">
        <w:rPr>
          <w:color w:val="auto"/>
        </w:rPr>
        <w:t>, once all reasonably practicable decommissioning activities have been undertaken.</w:t>
      </w:r>
    </w:p>
    <w:p w14:paraId="79A3B768" w14:textId="77777777" w:rsidR="003E07B2" w:rsidRPr="00C929D7" w:rsidRDefault="003E07B2" w:rsidP="0063719B">
      <w:pPr>
        <w:pStyle w:val="ONRSquareBullet1"/>
        <w:tabs>
          <w:tab w:val="left" w:pos="880"/>
        </w:tabs>
        <w:spacing w:after="120"/>
        <w:rPr>
          <w:color w:val="auto"/>
        </w:rPr>
      </w:pPr>
      <w:r>
        <w:rPr>
          <w:color w:val="auto"/>
        </w:rPr>
        <w:t>Re-</w:t>
      </w:r>
      <w:proofErr w:type="spellStart"/>
      <w:r w:rsidR="00D15F02">
        <w:rPr>
          <w:color w:val="auto"/>
        </w:rPr>
        <w:t>fuel</w:t>
      </w:r>
      <w:r w:rsidR="0003675B">
        <w:rPr>
          <w:color w:val="auto"/>
        </w:rPr>
        <w:t>l</w:t>
      </w:r>
      <w:r w:rsidR="00D15F02">
        <w:rPr>
          <w:color w:val="auto"/>
        </w:rPr>
        <w:t>ing</w:t>
      </w:r>
      <w:proofErr w:type="spellEnd"/>
      <w:r w:rsidR="00FC1CE7">
        <w:rPr>
          <w:color w:val="auto"/>
        </w:rPr>
        <w:t xml:space="preserve"> and/or refurbishment</w:t>
      </w:r>
      <w:r>
        <w:rPr>
          <w:color w:val="auto"/>
        </w:rPr>
        <w:t xml:space="preserve"> of a </w:t>
      </w:r>
      <w:r w:rsidR="00FC1CE7">
        <w:rPr>
          <w:color w:val="auto"/>
        </w:rPr>
        <w:t>nuclear submarine</w:t>
      </w:r>
    </w:p>
    <w:p w14:paraId="79A3B769" w14:textId="77777777" w:rsidR="0063719B" w:rsidRDefault="0063719B" w:rsidP="0063719B">
      <w:pPr>
        <w:pStyle w:val="NumberedParagraph"/>
        <w:tabs>
          <w:tab w:val="num" w:pos="-31680"/>
        </w:tabs>
        <w:ind w:left="720"/>
        <w:jc w:val="both"/>
      </w:pPr>
      <w:r w:rsidRPr="00C929D7">
        <w:t>T</w:t>
      </w:r>
      <w:r>
        <w:t>he production of a re-baselined safety case following such a change in mode may obviate the need for a full-scope PSR.</w:t>
      </w:r>
      <w:r w:rsidR="00D951C6">
        <w:t xml:space="preserve"> </w:t>
      </w:r>
      <w:r>
        <w:t>Instead, PSRs produced in conjunction with a new safety case should be limited to a review of matters not addressed directly within the new safety case (e.g. operational experience from relevant events and incidents</w:t>
      </w:r>
      <w:r w:rsidR="00783E7E">
        <w:t>, condition of plant and efficacy of arrangements</w:t>
      </w:r>
      <w:r w:rsidR="00FC1CE7">
        <w:t>, LM</w:t>
      </w:r>
      <w:r w:rsidR="00D15F02">
        <w:t>F</w:t>
      </w:r>
      <w:r w:rsidR="00FC1CE7">
        <w:t>S</w:t>
      </w:r>
      <w:r>
        <w:t>).</w:t>
      </w:r>
      <w:r w:rsidR="00D951C6">
        <w:t xml:space="preserve"> </w:t>
      </w:r>
      <w:r>
        <w:t>Such PSRs would be carried out irrespective of whether the ten years ha</w:t>
      </w:r>
      <w:r w:rsidR="006F4018">
        <w:t>s</w:t>
      </w:r>
      <w:r>
        <w:t xml:space="preserve"> elapsed since the previous PSR.</w:t>
      </w:r>
      <w:r w:rsidR="00D951C6">
        <w:t xml:space="preserve"> </w:t>
      </w:r>
      <w:r>
        <w:t>If changes in the mode of operations are anticipated to occur within a few years after the ten year period, then ONR should consider, in consultation with the licensee, whether a review at ten years remains appropriate; it may be acceptable to delay the PSR so that it can be carried out in conjunction with development of a revised safety case.</w:t>
      </w:r>
      <w:r w:rsidR="00D951C6">
        <w:t xml:space="preserve"> </w:t>
      </w:r>
      <w:r>
        <w:t>Such situations need to be considered on an individual basis taking into account relevant factors, including: degradation that might occur in the additional period; the approach adopted by the licensee with regard to continual or interim reviews; and the extent of the licensee’s commitment to the timescale for the change in operational mode.</w:t>
      </w:r>
    </w:p>
    <w:p w14:paraId="79A3B76A" w14:textId="77777777" w:rsidR="0063719B" w:rsidRDefault="0063719B" w:rsidP="0063719B">
      <w:pPr>
        <w:pStyle w:val="NumberedParagraph"/>
        <w:tabs>
          <w:tab w:val="num" w:pos="-31680"/>
        </w:tabs>
        <w:ind w:left="720"/>
        <w:jc w:val="both"/>
      </w:pPr>
      <w:r>
        <w:t>If a PSR is linked to the production of a re-baselined safety case it should not simply provide a summary of the re-baselined safety case.</w:t>
      </w:r>
      <w:r w:rsidR="00D951C6">
        <w:t xml:space="preserve"> </w:t>
      </w:r>
      <w:r>
        <w:t>The documents should instead be complementary so that the sum of the new safety case and the review meet all relevant safety case and PSR requirements.</w:t>
      </w:r>
    </w:p>
    <w:p w14:paraId="79A3B76B" w14:textId="77777777" w:rsidR="0063719B" w:rsidRDefault="0063719B" w:rsidP="0063719B">
      <w:pPr>
        <w:pStyle w:val="NumberedParagraph"/>
        <w:tabs>
          <w:tab w:val="num" w:pos="-31680"/>
        </w:tabs>
        <w:ind w:left="720"/>
        <w:jc w:val="both"/>
      </w:pPr>
      <w:r>
        <w:t>Provided the re-baselined safety case plus the associated review fulfils all the requirements of a PSR, e.g. contains appropriate elements of a forward and back review, then the next PSR will not be required until ten years after the adoption of the re-baselined safety case.</w:t>
      </w:r>
      <w:r w:rsidR="00D951C6">
        <w:t xml:space="preserve"> </w:t>
      </w:r>
    </w:p>
    <w:p w14:paraId="79A3B76C" w14:textId="77777777" w:rsidR="0063719B" w:rsidRDefault="007A07BD" w:rsidP="0063719B">
      <w:pPr>
        <w:pStyle w:val="Heading2"/>
        <w:numPr>
          <w:ilvl w:val="0"/>
          <w:numId w:val="0"/>
        </w:numPr>
        <w:spacing w:before="120" w:after="240"/>
        <w:ind w:firstLine="720"/>
      </w:pPr>
      <w:bookmarkStart w:id="30" w:name="_Toc43460813"/>
      <w:r>
        <w:t xml:space="preserve">Outputs from a </w:t>
      </w:r>
      <w:r w:rsidR="00D951C6">
        <w:t>PSR</w:t>
      </w:r>
      <w:bookmarkEnd w:id="30"/>
    </w:p>
    <w:p w14:paraId="79A3B76D" w14:textId="77777777" w:rsidR="0048066C" w:rsidRPr="008A4853" w:rsidRDefault="0048066C" w:rsidP="00084490">
      <w:pPr>
        <w:ind w:left="709"/>
      </w:pPr>
      <w:r w:rsidRPr="00084490">
        <w:rPr>
          <w:b/>
        </w:rPr>
        <w:t>Output: General</w:t>
      </w:r>
    </w:p>
    <w:p w14:paraId="79A3B76E" w14:textId="77777777" w:rsidR="0063719B" w:rsidRDefault="0063719B" w:rsidP="009E65EF">
      <w:pPr>
        <w:pStyle w:val="NumberedParagraph"/>
        <w:tabs>
          <w:tab w:val="num" w:pos="-31680"/>
        </w:tabs>
        <w:ind w:left="720"/>
        <w:jc w:val="both"/>
      </w:pPr>
      <w:r>
        <w:t>The outputs from a PSR should be summarised in an overview report.</w:t>
      </w:r>
      <w:r w:rsidR="00D951C6">
        <w:t xml:space="preserve"> </w:t>
      </w:r>
      <w:r>
        <w:t>This report should be understandable to the key users of the PSR</w:t>
      </w:r>
      <w:r w:rsidR="009E65EF">
        <w:t xml:space="preserve"> i.e. </w:t>
      </w:r>
      <w:r w:rsidR="009E65EF" w:rsidRPr="009E65EF">
        <w:t>those interacting directly with the plant and the Company Directors/Senior Managers</w:t>
      </w:r>
      <w:r>
        <w:t>, with links to more detailed documents as necessary.</w:t>
      </w:r>
    </w:p>
    <w:p w14:paraId="79A3B76F" w14:textId="77777777" w:rsidR="00063DA5" w:rsidRDefault="00452FCA" w:rsidP="00084490">
      <w:pPr>
        <w:pStyle w:val="NumberedParagraph"/>
        <w:tabs>
          <w:tab w:val="num" w:pos="-31680"/>
        </w:tabs>
        <w:ind w:left="720"/>
        <w:jc w:val="both"/>
      </w:pPr>
      <w:r>
        <w:t xml:space="preserve">The overview report should arrive at a judgement of the facility’s suitability for continued </w:t>
      </w:r>
      <w:r w:rsidR="00D64F5F">
        <w:t xml:space="preserve">safe </w:t>
      </w:r>
      <w:r>
        <w:t xml:space="preserve">operation </w:t>
      </w:r>
      <w:r w:rsidR="005752BA">
        <w:t>for the following review peri</w:t>
      </w:r>
      <w:r w:rsidR="005752BA" w:rsidRPr="00FC1CE7">
        <w:t>od (usually ten years)</w:t>
      </w:r>
      <w:r w:rsidR="005752BA">
        <w:t xml:space="preserve"> </w:t>
      </w:r>
      <w:r>
        <w:t xml:space="preserve">on the basis of a balanced view of the findings from the PSR reviews. </w:t>
      </w:r>
      <w:r w:rsidR="00B4050B">
        <w:t xml:space="preserve">Where a continuous review process has been used </w:t>
      </w:r>
      <w:r w:rsidR="00DD3560">
        <w:t>it</w:t>
      </w:r>
      <w:r w:rsidR="004B57FA">
        <w:t xml:space="preserve">s adequacy should be assessed in the report to confirm it has provided the appropriate information to provide a suitable review and look forward for all areas of the facility and its associated safety case. </w:t>
      </w:r>
      <w:r>
        <w:t xml:space="preserve">This judgement should take account of the safety improvements considered necessary (which may relate to the plant, safety case, arrangements or to the operating organisation) together with any positive findings (strengths) identified </w:t>
      </w:r>
      <w:r w:rsidR="00063DA5">
        <w:t xml:space="preserve">in the </w:t>
      </w:r>
      <w:r>
        <w:t xml:space="preserve">reviews. The </w:t>
      </w:r>
      <w:r w:rsidR="00063DA5">
        <w:t>overview report</w:t>
      </w:r>
      <w:r>
        <w:t xml:space="preserve"> should evaluate the impact on safety based on the findings from all the </w:t>
      </w:r>
      <w:r w:rsidR="00063DA5">
        <w:t>reviews</w:t>
      </w:r>
      <w:r>
        <w:t xml:space="preserve"> and so </w:t>
      </w:r>
      <w:r w:rsidR="00063DA5">
        <w:t>should be</w:t>
      </w:r>
      <w:r>
        <w:t xml:space="preserve"> performed after completion of </w:t>
      </w:r>
      <w:r w:rsidR="00063DA5">
        <w:t>all the individual</w:t>
      </w:r>
      <w:r>
        <w:t xml:space="preserve"> reviews.</w:t>
      </w:r>
      <w:r w:rsidR="00063DA5" w:rsidRPr="00063DA5">
        <w:t xml:space="preserve"> </w:t>
      </w:r>
    </w:p>
    <w:p w14:paraId="79A3B770" w14:textId="492BD1B1" w:rsidR="004C13DE" w:rsidRDefault="004C13DE" w:rsidP="00084490">
      <w:pPr>
        <w:pStyle w:val="NumberedParagraph"/>
        <w:tabs>
          <w:tab w:val="num" w:pos="-31680"/>
        </w:tabs>
        <w:ind w:left="720"/>
        <w:jc w:val="both"/>
      </w:pPr>
      <w:r w:rsidRPr="00084490">
        <w:t xml:space="preserve">The total effect of the negative findings, safety improvements and positive findings (strengths) identified in the PSR should be examined using deterministic methods to ensure that the overall </w:t>
      </w:r>
      <w:r w:rsidR="005752BA">
        <w:t>risks associated with continued operation of the plant remain as low as reasonabl</w:t>
      </w:r>
      <w:r w:rsidR="00485711">
        <w:t>y</w:t>
      </w:r>
      <w:r w:rsidR="005752BA">
        <w:t xml:space="preserve"> practical (ALARP)</w:t>
      </w:r>
      <w:r w:rsidRPr="00084490">
        <w:t>.</w:t>
      </w:r>
    </w:p>
    <w:p w14:paraId="79A3B771" w14:textId="77777777" w:rsidR="00452FCA" w:rsidRDefault="00063DA5" w:rsidP="00084490">
      <w:pPr>
        <w:pStyle w:val="NumberedParagraph"/>
        <w:tabs>
          <w:tab w:val="num" w:pos="-31680"/>
        </w:tabs>
        <w:ind w:left="720"/>
        <w:jc w:val="both"/>
      </w:pPr>
      <w:bookmarkStart w:id="31" w:name="_Ref41909785"/>
      <w:r>
        <w:t>The risks associated with negative findings should be assessed and an appropriate justification for continued operation should be provided. This justification should address operations both in the short term prior to the implementation of identified safety improvements and in the long term if th</w:t>
      </w:r>
      <w:r w:rsidR="004C13DE">
        <w:t>e</w:t>
      </w:r>
      <w:r>
        <w:t xml:space="preserve"> assessment concludes that addressing some of the negative findings is not reasonable and practicable</w:t>
      </w:r>
      <w:r w:rsidR="006404FE">
        <w:t>. Some engineered solutions may take time to implement and require interim measures to be put in place e.g. procedural safety measures, so that operations can continue</w:t>
      </w:r>
      <w:r>
        <w:t>.</w:t>
      </w:r>
      <w:bookmarkEnd w:id="31"/>
    </w:p>
    <w:p w14:paraId="79A3B772" w14:textId="77777777" w:rsidR="0048066C" w:rsidRPr="00084490" w:rsidRDefault="0048066C" w:rsidP="00084490">
      <w:pPr>
        <w:ind w:left="709"/>
        <w:rPr>
          <w:b/>
        </w:rPr>
      </w:pPr>
      <w:r w:rsidRPr="00084490">
        <w:rPr>
          <w:b/>
        </w:rPr>
        <w:t>Output: Shortfalls</w:t>
      </w:r>
    </w:p>
    <w:p w14:paraId="79A3B773" w14:textId="77777777" w:rsidR="0063719B" w:rsidRDefault="0063719B" w:rsidP="0063719B">
      <w:pPr>
        <w:pStyle w:val="NumberedParagraph"/>
        <w:tabs>
          <w:tab w:val="num" w:pos="-31680"/>
        </w:tabs>
        <w:ind w:left="720"/>
        <w:jc w:val="both"/>
      </w:pPr>
      <w:bookmarkStart w:id="32" w:name="_Ref20298803"/>
      <w:r>
        <w:t>The PSR should identify any shortfalls against modern standards and good practices, with a programme to implement all reasonably practicable improvements in the facility and its operations, including</w:t>
      </w:r>
      <w:r w:rsidR="00CB6A83">
        <w:t xml:space="preserve"> revisions</w:t>
      </w:r>
      <w:r>
        <w:t xml:space="preserve"> to the documented safety case, to ensure that risks to the public and workers will be ALARP.</w:t>
      </w:r>
      <w:r w:rsidR="00D951C6">
        <w:t xml:space="preserve"> </w:t>
      </w:r>
      <w:r>
        <w:t>The licensee should develop and then execute this programme in a timely manner.</w:t>
      </w:r>
      <w:r w:rsidR="00D951C6">
        <w:t xml:space="preserve"> </w:t>
      </w:r>
      <w:r>
        <w:t xml:space="preserve">The implementation work should be carried out as an ongoing process in accordance, where necessary, with a strategy for identifying </w:t>
      </w:r>
      <w:r w:rsidR="007A6578">
        <w:t xml:space="preserve">facility </w:t>
      </w:r>
      <w:r>
        <w:t>priorities and in a manner that ensures the safety case remains 'live' throughout.</w:t>
      </w:r>
      <w:bookmarkEnd w:id="32"/>
    </w:p>
    <w:p w14:paraId="79A3B774" w14:textId="77777777" w:rsidR="0063719B" w:rsidRDefault="0063719B" w:rsidP="0063719B">
      <w:pPr>
        <w:pStyle w:val="NumberedParagraph"/>
        <w:tabs>
          <w:tab w:val="num" w:pos="-31680"/>
        </w:tabs>
        <w:ind w:left="720"/>
        <w:jc w:val="both"/>
      </w:pPr>
      <w:r>
        <w:t>In addition to identifying individual shortfalls, the PSR should include an assessment of their combined effects and overall impact</w:t>
      </w:r>
      <w:r w:rsidR="00CB6A83">
        <w:t xml:space="preserve"> i.e. common root causes such as lack of maintenance, ageing, obsolescence etc</w:t>
      </w:r>
      <w:r>
        <w:t>.</w:t>
      </w:r>
      <w:r w:rsidR="00D951C6">
        <w:t xml:space="preserve"> </w:t>
      </w:r>
      <w:r>
        <w:t>This assessment should also consider potential interfaces between shortfalls</w:t>
      </w:r>
      <w:r w:rsidR="00CB6A83">
        <w:t xml:space="preserve"> and the identification of solutions that may improve multiple systems e.g. electrical supply upgrades, improved fire protection etc</w:t>
      </w:r>
      <w:r>
        <w:t>.</w:t>
      </w:r>
      <w:r w:rsidR="00D951C6">
        <w:t xml:space="preserve"> </w:t>
      </w:r>
      <w:r>
        <w:t xml:space="preserve">This should result in a more integrated improvement programme and </w:t>
      </w:r>
      <w:r w:rsidR="006404FE">
        <w:t>the prioritising of solutions that have the highest impact on risk reduction</w:t>
      </w:r>
      <w:r>
        <w:t>.</w:t>
      </w:r>
    </w:p>
    <w:p w14:paraId="79A3B775" w14:textId="77777777" w:rsidR="0063719B" w:rsidRDefault="0063719B" w:rsidP="0063719B">
      <w:pPr>
        <w:pStyle w:val="NumberedParagraph"/>
        <w:tabs>
          <w:tab w:val="num" w:pos="-31680"/>
        </w:tabs>
        <w:ind w:left="720"/>
        <w:jc w:val="both"/>
      </w:pPr>
      <w:bookmarkStart w:id="33" w:name="_Ref317257609"/>
      <w:r>
        <w:t>Where the PSR identifies an issue that significantly compromises the safety of the facility, the licensee should take immediate action to ensure that its operations remain in compliance with an adequate safety case (LC23(1) and LC23(3)).</w:t>
      </w:r>
      <w:r w:rsidR="00D951C6">
        <w:t xml:space="preserve"> </w:t>
      </w:r>
      <w:r>
        <w:t>This may mean halting operations until an appropriate safety case justification is in place, or a safety improvement implemented.</w:t>
      </w:r>
      <w:r w:rsidR="00D951C6">
        <w:t xml:space="preserve"> </w:t>
      </w:r>
      <w:r>
        <w:t>In the interests of urgency, such improvements will normally be managed outside the wider PSR improvement programme.</w:t>
      </w:r>
      <w:bookmarkEnd w:id="33"/>
    </w:p>
    <w:p w14:paraId="79A3B776" w14:textId="77777777" w:rsidR="0063719B" w:rsidRDefault="0063719B" w:rsidP="0063719B">
      <w:pPr>
        <w:pStyle w:val="NumberedParagraph"/>
        <w:tabs>
          <w:tab w:val="num" w:pos="-31680"/>
        </w:tabs>
        <w:ind w:left="720"/>
        <w:jc w:val="both"/>
      </w:pPr>
      <w:r>
        <w:t>Modifications should be progressed through the arrangements in support of LC22 and should not be delayed until ONR reaches a view on the adequacy of the PSR.</w:t>
      </w:r>
      <w:r w:rsidR="00D951C6">
        <w:t xml:space="preserve"> </w:t>
      </w:r>
      <w:r>
        <w:t>The justification for any significant modification will be submitted to ONR for consideration under LC22 arrangements.</w:t>
      </w:r>
      <w:r w:rsidR="00D951C6">
        <w:t xml:space="preserve"> </w:t>
      </w:r>
      <w:r>
        <w:t xml:space="preserve">There is also likely to have been early discussion on the proposals </w:t>
      </w:r>
      <w:r w:rsidR="00983A8F">
        <w:t xml:space="preserve">to rectify significant shortfalls identified by the PSR </w:t>
      </w:r>
      <w:r>
        <w:t>involving</w:t>
      </w:r>
      <w:r w:rsidR="00983A8F">
        <w:t xml:space="preserve"> the</w:t>
      </w:r>
      <w:r>
        <w:t xml:space="preserve"> licensee and ONR as part of normal regulatory engagement.</w:t>
      </w:r>
    </w:p>
    <w:p w14:paraId="79A3B777" w14:textId="77777777" w:rsidR="0063719B" w:rsidRPr="00DB11F8" w:rsidRDefault="0063719B" w:rsidP="0063719B">
      <w:pPr>
        <w:pStyle w:val="NumberedParagraph"/>
        <w:tabs>
          <w:tab w:val="num" w:pos="-31680"/>
        </w:tabs>
        <w:ind w:left="720"/>
        <w:jc w:val="both"/>
      </w:pPr>
      <w:bookmarkStart w:id="34" w:name="_Ref317261763"/>
      <w:r w:rsidRPr="00DB11F8">
        <w:t>The intent should be to implement all improvements before the PSR 'Decision Date' (i.e. Submission Date + 1</w:t>
      </w:r>
      <w:r w:rsidR="00983A8F">
        <w:t xml:space="preserve"> year</w:t>
      </w:r>
      <w:r w:rsidRPr="00DB11F8">
        <w:t xml:space="preserve">; see </w:t>
      </w:r>
      <w:hyperlink w:anchor="Table2" w:history="1">
        <w:r w:rsidRPr="00DB11F8">
          <w:rPr>
            <w:rStyle w:val="Hyperlink"/>
          </w:rPr>
          <w:t>Table 2</w:t>
        </w:r>
      </w:hyperlink>
      <w:r w:rsidRPr="00DB11F8">
        <w:t>)</w:t>
      </w:r>
      <w:r w:rsidR="006E0F1E">
        <w:t>, unless alternative arrangements have been agreed with the ONR</w:t>
      </w:r>
      <w:r w:rsidRPr="00DB11F8">
        <w:t>.</w:t>
      </w:r>
      <w:r w:rsidR="00D951C6">
        <w:t xml:space="preserve"> </w:t>
      </w:r>
      <w:r w:rsidRPr="00DB11F8">
        <w:t>In cases where this is not reasonably practicable, the improvements should be completed in a timely manner within a two year period after the Decision Date</w:t>
      </w:r>
      <w:r w:rsidR="00CC5BCD">
        <w:t>, unless the licensee can make a strong case for going beyond this period such as long lead times for the design and procurement of plant and equipment</w:t>
      </w:r>
      <w:r w:rsidRPr="00DB11F8">
        <w:t>.</w:t>
      </w:r>
      <w:r w:rsidR="00CC5BCD">
        <w:t xml:space="preserve"> However, in such ca</w:t>
      </w:r>
      <w:r w:rsidR="00D15F02">
        <w:t>ses, the site inspector should e</w:t>
      </w:r>
      <w:r w:rsidR="00CC5BCD">
        <w:t>nsure that continued realistic progress is being made to close out these shortfalls in a timely manner.</w:t>
      </w:r>
      <w:r w:rsidR="00D951C6">
        <w:t xml:space="preserve"> </w:t>
      </w:r>
      <w:r w:rsidRPr="00DB11F8">
        <w:t>The arrangements should also ensure that an effective control and monitoring process is in place to provide confidence that satisfactory close out of all PSR-related work will be achieved within the programmed dates</w:t>
      </w:r>
    </w:p>
    <w:bookmarkEnd w:id="34"/>
    <w:p w14:paraId="79A3B778" w14:textId="77777777" w:rsidR="0063719B" w:rsidRPr="00DB11F8" w:rsidRDefault="0063719B" w:rsidP="0063719B">
      <w:pPr>
        <w:pStyle w:val="NumberedParagraph"/>
        <w:tabs>
          <w:tab w:val="num" w:pos="-31680"/>
        </w:tabs>
        <w:ind w:left="720"/>
        <w:jc w:val="both"/>
      </w:pPr>
      <w:r w:rsidRPr="00DB11F8">
        <w:t>The licensee should set out the reasoning behind the proposed improvement programme and completion timescales, in particular for work that extends beyond the Decision Date.</w:t>
      </w:r>
      <w:r w:rsidR="00D951C6">
        <w:t xml:space="preserve"> </w:t>
      </w:r>
      <w:r w:rsidRPr="00DB11F8">
        <w:t>In applying the test of 'reasonable practicability' the extent of major improvements and options for implementation may be taken into account (e.g. undertake during planned major outage periods).</w:t>
      </w:r>
    </w:p>
    <w:p w14:paraId="79A3B779" w14:textId="77777777" w:rsidR="0063719B" w:rsidRDefault="00DD2166" w:rsidP="00084490">
      <w:pPr>
        <w:pStyle w:val="NumberedParagraph"/>
        <w:tabs>
          <w:tab w:val="num" w:pos="-31680"/>
        </w:tabs>
        <w:spacing w:after="120"/>
        <w:ind w:left="720"/>
        <w:jc w:val="both"/>
      </w:pPr>
      <w:r>
        <w:t>Reasonable practicability arguments for not implementing improvements should follow ONR’s ALARP guidance [</w:t>
      </w:r>
      <w:r w:rsidR="00D726FF">
        <w:t>3</w:t>
      </w:r>
      <w:r>
        <w:t>]. The supporting justification should take into account the actual condition of the facility, equipment, activity etc. at the time of the PSR submission and its potential deterioration up to the next PSR</w:t>
      </w:r>
      <w:r w:rsidR="00F5160F">
        <w:t>.</w:t>
      </w:r>
      <w:r w:rsidR="0063719B">
        <w:t xml:space="preserve"> </w:t>
      </w:r>
      <w:r>
        <w:t>The reasonable practicability arguments</w:t>
      </w:r>
      <w:r w:rsidR="0063719B">
        <w:t xml:space="preserve"> might include:</w:t>
      </w:r>
    </w:p>
    <w:p w14:paraId="79A3B77A" w14:textId="77777777" w:rsidR="0063719B" w:rsidRDefault="0063719B" w:rsidP="0063719B">
      <w:pPr>
        <w:pStyle w:val="ONRNormal"/>
        <w:ind w:left="1440" w:hanging="560"/>
      </w:pPr>
      <w:proofErr w:type="spellStart"/>
      <w:r>
        <w:t>i</w:t>
      </w:r>
      <w:proofErr w:type="spellEnd"/>
      <w:r>
        <w:t>)</w:t>
      </w:r>
      <w:r>
        <w:tab/>
        <w:t>that the benefit would only be applicable during normal operation; the time to</w:t>
      </w:r>
      <w:r w:rsidR="00D951C6">
        <w:t xml:space="preserve"> </w:t>
      </w:r>
      <w:r>
        <w:t>implement would extend beyond final shutdown; and the shutdown date has been guaranteed, e.g. in a letter to ONR (without such a guarantee a period of at least a further ten years of normal operation should be assumed in the ALARP argument);</w:t>
      </w:r>
    </w:p>
    <w:p w14:paraId="79A3B77B" w14:textId="77777777" w:rsidR="0063719B" w:rsidRDefault="0063719B" w:rsidP="0063719B">
      <w:pPr>
        <w:pStyle w:val="ONRNormal"/>
        <w:ind w:left="1440" w:hanging="560"/>
      </w:pPr>
      <w:r>
        <w:t>ii)</w:t>
      </w:r>
      <w:r>
        <w:tab/>
        <w:t>that it is physically impossible or impracticable to modify the facility so as to achieve compliance with modern standards; or</w:t>
      </w:r>
    </w:p>
    <w:p w14:paraId="79A3B77C" w14:textId="77777777" w:rsidR="0063719B" w:rsidRDefault="0063719B" w:rsidP="00084490">
      <w:pPr>
        <w:pStyle w:val="ONRNormal"/>
        <w:spacing w:after="240"/>
        <w:ind w:left="1440" w:hanging="560"/>
      </w:pPr>
      <w:r>
        <w:t>iii)</w:t>
      </w:r>
      <w:r>
        <w:tab/>
        <w:t>that the sacrifice from bringing the facility up to modern standards (e.g. in terms of time, trouble or cost) would be grossly disproportionate to the safety benefit gained.</w:t>
      </w:r>
    </w:p>
    <w:p w14:paraId="79A3B77D" w14:textId="77777777" w:rsidR="0063719B" w:rsidRDefault="0063719B" w:rsidP="00084490">
      <w:pPr>
        <w:pStyle w:val="NumberedParagraph"/>
        <w:tabs>
          <w:tab w:val="num" w:pos="-31680"/>
        </w:tabs>
        <w:spacing w:after="120"/>
        <w:ind w:left="720"/>
        <w:jc w:val="both"/>
      </w:pPr>
      <w:bookmarkStart w:id="35" w:name="_Ref317251427"/>
      <w:r>
        <w:t>Where ONR identifies further work to be undertaken over and above that identified by the licensee, such work should generally be completed within two years of the PSR Decision Date.</w:t>
      </w:r>
      <w:r w:rsidR="00D951C6">
        <w:t xml:space="preserve"> </w:t>
      </w:r>
      <w:r>
        <w:t>Exceptions include:</w:t>
      </w:r>
      <w:bookmarkEnd w:id="35"/>
    </w:p>
    <w:p w14:paraId="79A3B77E" w14:textId="77777777" w:rsidR="0063719B" w:rsidRDefault="0063719B" w:rsidP="0063719B">
      <w:pPr>
        <w:pStyle w:val="ONRNormal"/>
        <w:ind w:left="1440" w:hanging="560"/>
      </w:pPr>
      <w:proofErr w:type="spellStart"/>
      <w:r>
        <w:t>i</w:t>
      </w:r>
      <w:proofErr w:type="spellEnd"/>
      <w:r>
        <w:t>)</w:t>
      </w:r>
      <w:r>
        <w:tab/>
        <w:t>requirements relating to an agreed ongoing activity (e.g. condition monitoring) which can be incorporated into normal regulatory processes, e.g. start-up meetings following periodic shutdowns, or routine site review meetings; and</w:t>
      </w:r>
    </w:p>
    <w:p w14:paraId="79A3B77F" w14:textId="77777777" w:rsidR="0063719B" w:rsidRDefault="0063719B" w:rsidP="00084490">
      <w:pPr>
        <w:pStyle w:val="ONRNormal"/>
        <w:spacing w:after="120"/>
        <w:ind w:left="1440" w:hanging="560"/>
      </w:pPr>
      <w:r>
        <w:t>ii)</w:t>
      </w:r>
      <w:r>
        <w:tab/>
        <w:t>requirements that result in major facility modifications or major analytical work, which may not be capable of completion within the stated period.</w:t>
      </w:r>
    </w:p>
    <w:p w14:paraId="79A3B780" w14:textId="77777777" w:rsidR="0063719B" w:rsidRDefault="0063719B" w:rsidP="0063719B">
      <w:pPr>
        <w:pStyle w:val="NumberedParagraph"/>
        <w:tabs>
          <w:tab w:val="num" w:pos="-31680"/>
        </w:tabs>
        <w:ind w:left="720"/>
        <w:jc w:val="both"/>
      </w:pPr>
      <w:bookmarkStart w:id="36" w:name="_Ref317257605"/>
      <w:r>
        <w:t>The licensee, in discussion with ONR, should take into account not only the relative significance of the PSR shortfalls but also other (non-PSR) nuclear safety related work and improvements.</w:t>
      </w:r>
      <w:r w:rsidR="00D951C6">
        <w:t xml:space="preserve"> </w:t>
      </w:r>
      <w:r>
        <w:t>This could include important work the licensee has to complete to meet other commitments to ONR</w:t>
      </w:r>
      <w:r w:rsidR="00A16C9F">
        <w:t xml:space="preserve"> such as hazard reduction on sites that are being decommissioned</w:t>
      </w:r>
      <w:r>
        <w:t>.</w:t>
      </w:r>
      <w:r w:rsidR="00D951C6">
        <w:t xml:space="preserve"> </w:t>
      </w:r>
      <w:r>
        <w:t>(Note: this does not mean the licensee can ignore the indicative timescales in this guide for completing PSR improvements, but the licensee and ONR need to consider overall priorities for nuclear safety).</w:t>
      </w:r>
      <w:bookmarkEnd w:id="36"/>
      <w:r w:rsidR="00A16C9F">
        <w:t xml:space="preserve"> </w:t>
      </w:r>
    </w:p>
    <w:p w14:paraId="79A3B781" w14:textId="77777777" w:rsidR="0063719B" w:rsidRPr="00EB5C90" w:rsidRDefault="0063719B" w:rsidP="0063719B">
      <w:pPr>
        <w:pStyle w:val="Heading2"/>
        <w:numPr>
          <w:ilvl w:val="0"/>
          <w:numId w:val="0"/>
        </w:numPr>
        <w:spacing w:before="120" w:after="240"/>
        <w:ind w:firstLine="720"/>
      </w:pPr>
      <w:bookmarkStart w:id="37" w:name="_Toc43460814"/>
      <w:r w:rsidRPr="00EB5C90">
        <w:t>Licensee’s PSR Production Programme</w:t>
      </w:r>
      <w:bookmarkEnd w:id="37"/>
    </w:p>
    <w:p w14:paraId="79A3B782" w14:textId="77777777" w:rsidR="0063719B" w:rsidRDefault="0063719B" w:rsidP="0063719B">
      <w:pPr>
        <w:pStyle w:val="NumberedParagraph"/>
        <w:tabs>
          <w:tab w:val="num" w:pos="-31680"/>
        </w:tabs>
        <w:ind w:left="720"/>
        <w:jc w:val="both"/>
      </w:pPr>
      <w:bookmarkStart w:id="38" w:name="_Ref41556204"/>
      <w:r>
        <w:t>Each licensee’s LC15 arrangements should require the submission of a programme of PSRs for its sites and facilities to ONR for consideration.</w:t>
      </w:r>
      <w:r w:rsidR="00D951C6">
        <w:t xml:space="preserve"> </w:t>
      </w:r>
      <w:r>
        <w:t>The timing of PSRs is the licensee’s prerogative, subject to the constraints highlighted earlier.</w:t>
      </w:r>
      <w:bookmarkEnd w:id="38"/>
    </w:p>
    <w:p w14:paraId="79A3B783" w14:textId="77777777" w:rsidR="0063719B" w:rsidRDefault="0063719B" w:rsidP="0063719B">
      <w:pPr>
        <w:pStyle w:val="NumberedParagraph"/>
        <w:tabs>
          <w:tab w:val="num" w:pos="-31680"/>
        </w:tabs>
        <w:ind w:left="720"/>
        <w:jc w:val="both"/>
      </w:pPr>
      <w:bookmarkStart w:id="39" w:name="_Ref317257718"/>
      <w:r>
        <w:t>Prior to undertaking the work, it is advisable for a licensee to have preliminary discussions with ONR</w:t>
      </w:r>
      <w:r w:rsidR="00E0251B">
        <w:t xml:space="preserve"> and/or the </w:t>
      </w:r>
      <w:r w:rsidR="00447AE5">
        <w:t>licensee’s</w:t>
      </w:r>
      <w:r w:rsidR="00E0251B">
        <w:t xml:space="preserve"> internal regulator</w:t>
      </w:r>
      <w:r>
        <w:t xml:space="preserve"> on the scope of a PSR, including the modern standards to be used</w:t>
      </w:r>
      <w:r w:rsidR="00447AE5">
        <w:t xml:space="preserve"> for benchmarking</w:t>
      </w:r>
      <w:r>
        <w:t>.</w:t>
      </w:r>
      <w:r w:rsidR="00D951C6">
        <w:t xml:space="preserve"> </w:t>
      </w:r>
      <w:r>
        <w:t>These early discussions do not prejudice ONR’s assessment of the completed reviews but help to ensure that any fundamental issues over the basis of the PSR are identified at an early stage.</w:t>
      </w:r>
      <w:bookmarkEnd w:id="39"/>
    </w:p>
    <w:p w14:paraId="79A3B784" w14:textId="0AA73BF3" w:rsidR="0063719B" w:rsidRDefault="0063719B" w:rsidP="0063719B">
      <w:pPr>
        <w:pStyle w:val="NumberedParagraph"/>
        <w:tabs>
          <w:tab w:val="num" w:pos="-31680"/>
        </w:tabs>
        <w:ind w:left="720"/>
        <w:jc w:val="both"/>
      </w:pPr>
      <w:r w:rsidRPr="00D94145">
        <w:t>The licensee should have arrangements for implementing any new or revised safety case resulting from the PSR</w:t>
      </w:r>
      <w:r>
        <w:t xml:space="preserve">, and should ensure, in line with paragraphs </w:t>
      </w:r>
      <w:r w:rsidR="008751F4">
        <w:fldChar w:fldCharType="begin"/>
      </w:r>
      <w:r w:rsidR="008751F4">
        <w:instrText xml:space="preserve"> REF _Ref41556204 \r \h </w:instrText>
      </w:r>
      <w:r w:rsidR="008751F4">
        <w:fldChar w:fldCharType="separate"/>
      </w:r>
      <w:r w:rsidR="00D86858">
        <w:t>5.57</w:t>
      </w:r>
      <w:r w:rsidR="008751F4">
        <w:fldChar w:fldCharType="end"/>
      </w:r>
      <w:r w:rsidR="00803B82">
        <w:t xml:space="preserve"> – </w:t>
      </w:r>
      <w:r w:rsidR="008751F4">
        <w:fldChar w:fldCharType="begin"/>
      </w:r>
      <w:r w:rsidR="008751F4">
        <w:instrText xml:space="preserve"> REF _Ref317251423 \r \h </w:instrText>
      </w:r>
      <w:r w:rsidR="008751F4">
        <w:fldChar w:fldCharType="separate"/>
      </w:r>
      <w:r w:rsidR="00D86858">
        <w:t>5.61</w:t>
      </w:r>
      <w:r w:rsidR="008751F4">
        <w:fldChar w:fldCharType="end"/>
      </w:r>
      <w:r>
        <w:t>, that all significant changes are implemented according to any timescales agreed with ONR.</w:t>
      </w:r>
      <w:r w:rsidR="00D951C6">
        <w:t xml:space="preserve"> </w:t>
      </w:r>
      <w:r>
        <w:t>In normal circumstances where the safety case changes, the change itself should be carried out and categorised appropriately under the modification arrangements required by LC22.</w:t>
      </w:r>
    </w:p>
    <w:p w14:paraId="79A3B785" w14:textId="77777777" w:rsidR="0063719B" w:rsidRDefault="0063719B" w:rsidP="0063719B">
      <w:pPr>
        <w:pStyle w:val="NumberedParagraph"/>
        <w:tabs>
          <w:tab w:val="num" w:pos="-31680"/>
        </w:tabs>
        <w:ind w:left="720"/>
        <w:jc w:val="both"/>
      </w:pPr>
      <w:bookmarkStart w:id="40" w:name="_Ref317257348"/>
      <w:r>
        <w:t>Normally, the licensee's arrangements should make provision for submission of the PSR twelve months before the date when ONR anticipates reaching a view on the adequacy of the PSR, usually referred to as the ‘Decision Date’.</w:t>
      </w:r>
      <w:r w:rsidR="00D951C6">
        <w:t xml:space="preserve"> </w:t>
      </w:r>
      <w:r>
        <w:t>The PSR submission date will normally be decided by the licensee although ONR may specify a different date using LC15(4) in the interest of safety.</w:t>
      </w:r>
      <w:r w:rsidR="00D951C6">
        <w:t xml:space="preserve"> </w:t>
      </w:r>
      <w:r>
        <w:t>An indicative programme for production of a PSR submission is illustrated in</w:t>
      </w:r>
      <w:r>
        <w:rPr>
          <w:color w:val="0000FF"/>
          <w:u w:val="single"/>
        </w:rPr>
        <w:t xml:space="preserve"> </w:t>
      </w:r>
      <w:hyperlink w:anchor="Table2" w:history="1">
        <w:r w:rsidRPr="00DB11F8">
          <w:rPr>
            <w:rStyle w:val="Hyperlink"/>
          </w:rPr>
          <w:t>Table</w:t>
        </w:r>
        <w:r w:rsidR="00901D05">
          <w:rPr>
            <w:rStyle w:val="Hyperlink"/>
          </w:rPr>
          <w:t xml:space="preserve"> </w:t>
        </w:r>
        <w:r w:rsidRPr="00DB11F8">
          <w:rPr>
            <w:rStyle w:val="Hyperlink"/>
          </w:rPr>
          <w:t>2</w:t>
        </w:r>
      </w:hyperlink>
      <w:r>
        <w:t>.</w:t>
      </w:r>
      <w:bookmarkEnd w:id="40"/>
    </w:p>
    <w:p w14:paraId="79A3B786" w14:textId="77777777" w:rsidR="0063719B" w:rsidRDefault="0063719B" w:rsidP="0063719B">
      <w:pPr>
        <w:pStyle w:val="NumberedParagraph"/>
        <w:tabs>
          <w:tab w:val="num" w:pos="-31680"/>
        </w:tabs>
        <w:ind w:left="720"/>
        <w:jc w:val="both"/>
      </w:pPr>
      <w:bookmarkStart w:id="41" w:name="_Ref317251423"/>
      <w:r w:rsidRPr="00803B82">
        <w:t>Licensees’ arrangements should include the provision for ONR to set</w:t>
      </w:r>
      <w:r w:rsidR="00803B82">
        <w:t xml:space="preserve"> </w:t>
      </w:r>
      <w:r w:rsidR="00171968" w:rsidRPr="00803B82">
        <w:t>formal engagement</w:t>
      </w:r>
      <w:r w:rsidRPr="00803B82">
        <w:t xml:space="preserve"> points </w:t>
      </w:r>
      <w:r w:rsidR="00171968" w:rsidRPr="00803B82">
        <w:t>for ONR to mo</w:t>
      </w:r>
      <w:r w:rsidR="00171968">
        <w:t xml:space="preserve">nitor progress </w:t>
      </w:r>
      <w:r>
        <w:t>if necessary in the interests of safety.</w:t>
      </w:r>
      <w:r w:rsidR="000C3F76">
        <w:t xml:space="preserve"> </w:t>
      </w:r>
      <w:r>
        <w:t>When a licensee’s activities are delayed, the licensee should provide ONR with an appropriately robust and detailed justification so that ONR can intervene appropriately.</w:t>
      </w:r>
      <w:r w:rsidR="00D951C6">
        <w:t xml:space="preserve"> </w:t>
      </w:r>
      <w:r>
        <w:t>Failure to submit a PSR within the time period specified in the licensee’s arrangements could result in regulatory actio</w:t>
      </w:r>
      <w:r w:rsidR="00DC7800">
        <w:t>n in accordance with the EMM [1</w:t>
      </w:r>
      <w:r w:rsidR="00F51E99">
        <w:t>8</w:t>
      </w:r>
      <w:r>
        <w:t>].</w:t>
      </w:r>
      <w:bookmarkEnd w:id="41"/>
    </w:p>
    <w:p w14:paraId="79A3B787" w14:textId="77777777" w:rsidR="0063719B" w:rsidRDefault="0063719B" w:rsidP="007A07BD">
      <w:pPr>
        <w:pStyle w:val="Heading3"/>
      </w:pPr>
      <w:bookmarkStart w:id="42" w:name="_Toc358727797"/>
      <w:r>
        <w:t>Special Arrangements for Multi-Facility Sites</w:t>
      </w:r>
      <w:bookmarkEnd w:id="42"/>
    </w:p>
    <w:p w14:paraId="79A3B788" w14:textId="77777777" w:rsidR="0063719B" w:rsidRDefault="0063719B" w:rsidP="0063719B">
      <w:pPr>
        <w:pStyle w:val="NumberedParagraph"/>
        <w:tabs>
          <w:tab w:val="num" w:pos="-31680"/>
        </w:tabs>
        <w:ind w:left="720"/>
        <w:jc w:val="both"/>
      </w:pPr>
      <w:r>
        <w:t>Different arrangements may be made for multi-facility sites, where the licensee chooses to undertake PSRs for individual or groups of facilities at different points in time (for example, to spread the work load).</w:t>
      </w:r>
      <w:r w:rsidR="00D951C6">
        <w:t xml:space="preserve"> </w:t>
      </w:r>
      <w:r>
        <w:t>In such cases, the licensee will need to define a rolling programme of PSRs, ensuring that all reviews are undertaken within a ten year period.</w:t>
      </w:r>
      <w:r w:rsidR="00D951C6">
        <w:t xml:space="preserve"> </w:t>
      </w:r>
      <w:r>
        <w:t xml:space="preserve">This programme should be </w:t>
      </w:r>
      <w:r w:rsidR="00447AE5">
        <w:t xml:space="preserve">regularly reviewed and </w:t>
      </w:r>
      <w:r>
        <w:t>submitted to ONR, with pro</w:t>
      </w:r>
      <w:r w:rsidR="00447AE5">
        <w:t>posed PSR submission dates</w:t>
      </w:r>
      <w:r>
        <w:t>.</w:t>
      </w:r>
    </w:p>
    <w:p w14:paraId="79A3B789" w14:textId="509A1DD2" w:rsidR="0063719B" w:rsidRDefault="0063719B" w:rsidP="0063719B">
      <w:pPr>
        <w:pStyle w:val="NumberedParagraph"/>
        <w:tabs>
          <w:tab w:val="num" w:pos="-31680"/>
        </w:tabs>
        <w:ind w:left="720"/>
        <w:jc w:val="both"/>
      </w:pPr>
      <w:r>
        <w:t xml:space="preserve">The Site-wide or Corporate PSR (see paragraphs </w:t>
      </w:r>
      <w:r w:rsidR="008751F4">
        <w:fldChar w:fldCharType="begin"/>
      </w:r>
      <w:r w:rsidR="008751F4">
        <w:instrText xml:space="preserve"> REF _Ref41909983 \r \h </w:instrText>
      </w:r>
      <w:r w:rsidR="008751F4">
        <w:fldChar w:fldCharType="separate"/>
      </w:r>
      <w:r w:rsidR="00274893">
        <w:t>5.23</w:t>
      </w:r>
      <w:r w:rsidR="008751F4">
        <w:fldChar w:fldCharType="end"/>
      </w:r>
      <w:r w:rsidR="00E4065B">
        <w:t xml:space="preserve"> </w:t>
      </w:r>
      <w:r>
        <w:t>and</w:t>
      </w:r>
      <w:r w:rsidR="005C2147">
        <w:t xml:space="preserve"> </w:t>
      </w:r>
      <w:r w:rsidR="008751F4">
        <w:fldChar w:fldCharType="begin"/>
      </w:r>
      <w:r w:rsidR="008751F4">
        <w:instrText xml:space="preserve"> REF _Ref41910020 \r \h </w:instrText>
      </w:r>
      <w:r w:rsidR="008751F4">
        <w:fldChar w:fldCharType="separate"/>
      </w:r>
      <w:r w:rsidR="00274893">
        <w:t>5.24</w:t>
      </w:r>
      <w:r w:rsidR="008751F4">
        <w:fldChar w:fldCharType="end"/>
      </w:r>
      <w:r>
        <w:t>) should demonstrate the adequacy of the overall programme of reviews.</w:t>
      </w:r>
      <w:r w:rsidR="00D951C6">
        <w:t xml:space="preserve"> </w:t>
      </w:r>
      <w:r>
        <w:t xml:space="preserve">It should also summarise the outcomes from individual facility PSRs undertaken since the last </w:t>
      </w:r>
      <w:r w:rsidR="00447AE5">
        <w:t>s</w:t>
      </w:r>
      <w:r>
        <w:t>ite-wide PSR.</w:t>
      </w:r>
    </w:p>
    <w:p w14:paraId="79A3B78A" w14:textId="77777777" w:rsidR="0063719B" w:rsidRDefault="0063719B" w:rsidP="007A07BD">
      <w:pPr>
        <w:pStyle w:val="Heading3"/>
      </w:pPr>
      <w:bookmarkStart w:id="43" w:name="_Toc358727798"/>
      <w:r>
        <w:t>Interim or Continual Reviews</w:t>
      </w:r>
      <w:bookmarkEnd w:id="43"/>
    </w:p>
    <w:p w14:paraId="79A3B78B" w14:textId="230B3B07" w:rsidR="0063719B" w:rsidRDefault="0063719B" w:rsidP="0063719B">
      <w:pPr>
        <w:pStyle w:val="NumberedParagraph"/>
        <w:tabs>
          <w:tab w:val="num" w:pos="-31680"/>
        </w:tabs>
        <w:ind w:left="720"/>
        <w:jc w:val="both"/>
      </w:pPr>
      <w:r>
        <w:t xml:space="preserve">If the licensee chooses to conduct interim reviews as described in </w:t>
      </w:r>
      <w:r w:rsidR="008751F4">
        <w:t xml:space="preserve">paragraph </w:t>
      </w:r>
      <w:r w:rsidR="008751F4">
        <w:fldChar w:fldCharType="begin"/>
      </w:r>
      <w:r w:rsidR="008751F4">
        <w:instrText xml:space="preserve"> REF _Ref41910091 \r \h </w:instrText>
      </w:r>
      <w:r w:rsidR="008751F4">
        <w:fldChar w:fldCharType="separate"/>
      </w:r>
      <w:r w:rsidR="00274893">
        <w:t>5.38</w:t>
      </w:r>
      <w:r w:rsidR="008751F4">
        <w:fldChar w:fldCharType="end"/>
      </w:r>
      <w:r>
        <w:t xml:space="preserve"> then the scope and timing of those reviews and the overall programme should be set out and discussed with ONR.</w:t>
      </w:r>
      <w:r w:rsidR="00D951C6">
        <w:t xml:space="preserve"> </w:t>
      </w:r>
      <w:r>
        <w:t>Similarly, if the licensee undertakes continual reviews, their purpose, scope and nature should be defined and discussed with ONR.</w:t>
      </w:r>
      <w:r w:rsidR="00D951C6">
        <w:t xml:space="preserve"> </w:t>
      </w:r>
      <w:r>
        <w:t>For interim or continual reviews, the licensee should also take into account the need for, and timing of, a more stand-back ten-yearly PSR.</w:t>
      </w:r>
      <w:r w:rsidR="00EB27AF">
        <w:t xml:space="preserve"> </w:t>
      </w:r>
      <w:r w:rsidR="00EB27AF" w:rsidRPr="00EB27AF">
        <w:t>It is also important that continual reviews look at all areas of the facility in a proportionate manner at least once every ten years</w:t>
      </w:r>
      <w:r w:rsidR="00EB27AF">
        <w:t xml:space="preserve"> see paragraph</w:t>
      </w:r>
      <w:r w:rsidR="006103B2">
        <w:t xml:space="preserve"> </w:t>
      </w:r>
      <w:r w:rsidR="006103B2">
        <w:fldChar w:fldCharType="begin"/>
      </w:r>
      <w:r w:rsidR="006103B2">
        <w:instrText xml:space="preserve"> REF _Ref41910458 \r \h </w:instrText>
      </w:r>
      <w:r w:rsidR="006103B2">
        <w:fldChar w:fldCharType="separate"/>
      </w:r>
      <w:r w:rsidR="00274893">
        <w:t>5.25</w:t>
      </w:r>
      <w:r w:rsidR="006103B2">
        <w:fldChar w:fldCharType="end"/>
      </w:r>
      <w:r w:rsidR="00EB27AF">
        <w:t>.</w:t>
      </w:r>
    </w:p>
    <w:p w14:paraId="79A3B78C" w14:textId="77777777" w:rsidR="0063719B" w:rsidRDefault="0063719B" w:rsidP="0063719B">
      <w:pPr>
        <w:pStyle w:val="Heading2"/>
        <w:numPr>
          <w:ilvl w:val="0"/>
          <w:numId w:val="0"/>
        </w:numPr>
        <w:spacing w:before="120" w:after="240"/>
        <w:ind w:firstLine="720"/>
      </w:pPr>
      <w:bookmarkStart w:id="44" w:name="_Toc43460815"/>
      <w:r>
        <w:t>ONR's Assessment Programme</w:t>
      </w:r>
      <w:bookmarkEnd w:id="44"/>
    </w:p>
    <w:p w14:paraId="79A3B78D" w14:textId="77777777" w:rsidR="00021100" w:rsidRPr="00021100" w:rsidRDefault="00021100" w:rsidP="00021100">
      <w:pPr>
        <w:pStyle w:val="Heading2"/>
        <w:numPr>
          <w:ilvl w:val="0"/>
          <w:numId w:val="0"/>
        </w:numPr>
        <w:spacing w:before="120" w:after="240"/>
        <w:ind w:firstLine="720"/>
      </w:pPr>
      <w:bookmarkStart w:id="45" w:name="_Toc43460816"/>
      <w:r>
        <w:t>Adequate Submission:</w:t>
      </w:r>
      <w:bookmarkEnd w:id="45"/>
    </w:p>
    <w:p w14:paraId="79A3B78E" w14:textId="77777777" w:rsidR="0063719B" w:rsidRDefault="0063719B" w:rsidP="0063719B">
      <w:pPr>
        <w:pStyle w:val="NumberedParagraph"/>
        <w:tabs>
          <w:tab w:val="num" w:pos="-31680"/>
        </w:tabs>
        <w:ind w:left="720"/>
        <w:jc w:val="both"/>
      </w:pPr>
      <w:r>
        <w:t xml:space="preserve">ONR’s response to a PSR will vary </w:t>
      </w:r>
      <w:r w:rsidR="00BE2AFB">
        <w:t xml:space="preserve">proportionally </w:t>
      </w:r>
      <w:r>
        <w:t>on a case-by-case basis depending on a number of different considerations, e.g. size of hazard and risk; extent and nature of changes to a facility or its operations since previous review.</w:t>
      </w:r>
      <w:r w:rsidR="00BE2AFB">
        <w:t xml:space="preserve"> The ONR response may be</w:t>
      </w:r>
      <w:r w:rsidR="00EB27AF">
        <w:t xml:space="preserve"> to</w:t>
      </w:r>
      <w:r w:rsidR="00664969">
        <w:t xml:space="preserve"> do</w:t>
      </w:r>
      <w:r w:rsidR="00EB27AF">
        <w:t xml:space="preserve"> no assessment; undertake</w:t>
      </w:r>
      <w:r w:rsidR="00BE2AFB">
        <w:t xml:space="preserve"> a light touch inspection with a team of inspectors (similar to a readiness review); a detailed assessment; or something in between the</w:t>
      </w:r>
      <w:r w:rsidR="00001FD0">
        <w:t xml:space="preserve"> two e.g. the ONR project</w:t>
      </w:r>
      <w:r w:rsidR="00546662">
        <w:t xml:space="preserve"> inspector</w:t>
      </w:r>
      <w:r w:rsidR="00BE2AFB">
        <w:t xml:space="preserve"> forms their view</w:t>
      </w:r>
      <w:r w:rsidR="00D951C6">
        <w:t xml:space="preserve"> </w:t>
      </w:r>
      <w:r w:rsidR="00BE2AFB">
        <w:t>on the adequacy of the PSR</w:t>
      </w:r>
      <w:r w:rsidR="0084141E">
        <w:t xml:space="preserve"> using their knowledge of the facility and its operations over the review period</w:t>
      </w:r>
      <w:r w:rsidR="00BE2AFB">
        <w:t>.</w:t>
      </w:r>
      <w:r w:rsidR="00B75155">
        <w:t xml:space="preserve"> The basis of the ONR assessment should be determined at the start of the PSR process through consultation with the licensee to ensure that both parties understand what the formal ONR submission and assessment will entail. </w:t>
      </w:r>
      <w:r>
        <w:t>If a</w:t>
      </w:r>
      <w:r w:rsidR="00B75155">
        <w:t>n</w:t>
      </w:r>
      <w:r>
        <w:t xml:space="preserve"> assessment</w:t>
      </w:r>
      <w:r w:rsidR="00B75155">
        <w:t xml:space="preserve"> or inspection</w:t>
      </w:r>
      <w:r>
        <w:t xml:space="preserve"> is to be undertaken then the ONR project </w:t>
      </w:r>
      <w:r w:rsidR="005C2147">
        <w:t>inspector</w:t>
      </w:r>
      <w:r w:rsidR="00FB638D">
        <w:t xml:space="preserve"> for the PSR submission</w:t>
      </w:r>
      <w:r>
        <w:t xml:space="preserve"> should establish a programme for </w:t>
      </w:r>
      <w:r w:rsidR="00FB638D">
        <w:t>its assessment</w:t>
      </w:r>
      <w:r>
        <w:t xml:space="preserve">, with the aim of producing the collated findings to the licensee within a reasonable period, typically three months, prior to the ‘Decision Date’ (see </w:t>
      </w:r>
      <w:r>
        <w:rPr>
          <w:color w:val="0000FF"/>
          <w:u w:val="single"/>
        </w:rPr>
        <w:t>Table 2</w:t>
      </w:r>
      <w:r>
        <w:t xml:space="preserve">) </w:t>
      </w:r>
    </w:p>
    <w:p w14:paraId="79A3B78F" w14:textId="4CCA260A" w:rsidR="0063719B" w:rsidRDefault="0063719B" w:rsidP="0063719B">
      <w:pPr>
        <w:pStyle w:val="NumberedParagraph"/>
        <w:tabs>
          <w:tab w:val="num" w:pos="-31680"/>
        </w:tabs>
        <w:ind w:left="720"/>
        <w:jc w:val="both"/>
      </w:pPr>
      <w:r>
        <w:t xml:space="preserve">ONR should have had discussions with the licensee on the scope of the PSR at an early stage in the programme, for the reasons set out in paragraph </w:t>
      </w:r>
      <w:r w:rsidR="00C64BA6">
        <w:fldChar w:fldCharType="begin"/>
      </w:r>
      <w:r w:rsidR="00C64BA6">
        <w:instrText xml:space="preserve"> REF _Ref317257718 \r \h </w:instrText>
      </w:r>
      <w:r w:rsidR="00C64BA6">
        <w:fldChar w:fldCharType="separate"/>
      </w:r>
      <w:r w:rsidR="00274893">
        <w:t>5.58</w:t>
      </w:r>
      <w:r w:rsidR="00C64BA6">
        <w:fldChar w:fldCharType="end"/>
      </w:r>
      <w:r>
        <w:t>.</w:t>
      </w:r>
      <w:r w:rsidR="00D951C6">
        <w:t xml:space="preserve"> </w:t>
      </w:r>
      <w:r>
        <w:t>ONR should take care not to influence the licensee to structure the PSR to make ONR’s assessment work easier; the PSR needs to be structured to be of most use to the licensee</w:t>
      </w:r>
      <w:r w:rsidR="00EB27AF">
        <w:t>, in accordance with their arrangements</w:t>
      </w:r>
      <w:r>
        <w:t>.</w:t>
      </w:r>
    </w:p>
    <w:p w14:paraId="79A3B790" w14:textId="77777777" w:rsidR="0063719B" w:rsidRDefault="0063719B" w:rsidP="0063719B">
      <w:pPr>
        <w:pStyle w:val="NumberedParagraph"/>
        <w:tabs>
          <w:tab w:val="num" w:pos="-31680"/>
        </w:tabs>
        <w:ind w:left="720"/>
        <w:jc w:val="both"/>
      </w:pPr>
      <w:r>
        <w:t xml:space="preserve">If the licensee undertakes interim reviews, the scope of each </w:t>
      </w:r>
      <w:r w:rsidR="00EB27AF">
        <w:t xml:space="preserve">planned </w:t>
      </w:r>
      <w:r>
        <w:t>review and the overall programme should be discussed with ONR.</w:t>
      </w:r>
      <w:r w:rsidR="00D951C6">
        <w:t xml:space="preserve"> </w:t>
      </w:r>
      <w:r w:rsidR="000C3F76">
        <w:t>A consensus</w:t>
      </w:r>
      <w:r>
        <w:t xml:space="preserve"> can then be reached</w:t>
      </w:r>
      <w:r w:rsidR="000C3F76">
        <w:t xml:space="preserve"> with the licensee</w:t>
      </w:r>
      <w:r>
        <w:t xml:space="preserve"> on what </w:t>
      </w:r>
      <w:r w:rsidR="00705B7D">
        <w:t>the ONR inspector will</w:t>
      </w:r>
      <w:r w:rsidR="00546662">
        <w:t xml:space="preserve"> </w:t>
      </w:r>
      <w:r>
        <w:t>formally</w:t>
      </w:r>
      <w:r w:rsidR="00705B7D">
        <w:t xml:space="preserve"> request for </w:t>
      </w:r>
      <w:r w:rsidR="00CF31E6">
        <w:t>assessment</w:t>
      </w:r>
      <w:r>
        <w:t>.</w:t>
      </w:r>
      <w:r w:rsidR="00D951C6">
        <w:t xml:space="preserve"> </w:t>
      </w:r>
      <w:r>
        <w:t>Similarly, if the licensee undertakes continual reviews, ONR should have an understanding of their scope and nature and discuss what might need to be submitted</w:t>
      </w:r>
      <w:r w:rsidR="00B75155">
        <w:t xml:space="preserve"> in the interim periods between the 10 yearly reviews</w:t>
      </w:r>
      <w:r>
        <w:t>.</w:t>
      </w:r>
      <w:r w:rsidR="00D951C6">
        <w:t xml:space="preserve"> </w:t>
      </w:r>
      <w:r>
        <w:t>The need for more stand-back ten-yearly PSRs will still apply and ONR should seek confirmation that the combined scope of all the reviews meets the expectations set out in this guide.</w:t>
      </w:r>
    </w:p>
    <w:p w14:paraId="79A3B791" w14:textId="77777777" w:rsidR="0063719B" w:rsidRDefault="0063719B" w:rsidP="0063719B">
      <w:pPr>
        <w:pStyle w:val="NumberedParagraph"/>
        <w:tabs>
          <w:tab w:val="num" w:pos="-31680"/>
        </w:tabs>
        <w:ind w:left="720"/>
        <w:jc w:val="both"/>
      </w:pPr>
      <w:bookmarkStart w:id="46" w:name="_Ref41910176"/>
      <w:r>
        <w:t>For a full ten-yearly PSR, the documented PSR findings and associated programme of work to implement any improvements should form the basis of a formal submission to ONR.</w:t>
      </w:r>
      <w:r w:rsidR="00D951C6">
        <w:t xml:space="preserve"> </w:t>
      </w:r>
      <w:r>
        <w:t>This submission is distinct from a revised safety case</w:t>
      </w:r>
      <w:r w:rsidR="0013367F">
        <w:t xml:space="preserve"> (generally covered under LC22</w:t>
      </w:r>
      <w:r>
        <w:t xml:space="preserve"> </w:t>
      </w:r>
      <w:r w:rsidR="0013367F">
        <w:t xml:space="preserve">modification or experiment on existing plant) </w:t>
      </w:r>
      <w:r>
        <w:t>that could be one of the outputs from the review.</w:t>
      </w:r>
      <w:r w:rsidR="00D951C6">
        <w:t xml:space="preserve"> </w:t>
      </w:r>
      <w:r>
        <w:t>The work done during the PSR should also be reported, including the procedures applied.</w:t>
      </w:r>
      <w:bookmarkEnd w:id="46"/>
    </w:p>
    <w:p w14:paraId="79A3B792" w14:textId="77777777" w:rsidR="0063719B" w:rsidRDefault="0063719B" w:rsidP="0063719B">
      <w:pPr>
        <w:pStyle w:val="NumberedParagraph"/>
        <w:tabs>
          <w:tab w:val="num" w:pos="-31680"/>
        </w:tabs>
        <w:ind w:left="720"/>
        <w:jc w:val="both"/>
      </w:pPr>
      <w:r>
        <w:t>In carrying out</w:t>
      </w:r>
      <w:r w:rsidR="00664969">
        <w:t xml:space="preserve"> the</w:t>
      </w:r>
      <w:r>
        <w:t xml:space="preserve"> assessment of the PSR submission, the ONR project </w:t>
      </w:r>
      <w:r w:rsidR="00546662">
        <w:t>inspector</w:t>
      </w:r>
      <w:r w:rsidR="00FB638D">
        <w:t xml:space="preserve"> and specialist inspectors</w:t>
      </w:r>
      <w:r>
        <w:t xml:space="preserve"> should bear in mind a distinction between queries or issues that will arise during the assessment process and the need to have final PSR ‘findings’.</w:t>
      </w:r>
      <w:r w:rsidR="00D951C6">
        <w:t xml:space="preserve"> </w:t>
      </w:r>
      <w:r w:rsidR="00675E19">
        <w:t>T</w:t>
      </w:r>
      <w:r w:rsidR="00D82C34">
        <w:t xml:space="preserve">he ONR inspectors </w:t>
      </w:r>
      <w:r w:rsidR="00675E19">
        <w:t xml:space="preserve">may wish to </w:t>
      </w:r>
      <w:r w:rsidR="00D82C34">
        <w:t>gain familiarity with the facility prior to the formal PSR submission, so that they are able to put the finding</w:t>
      </w:r>
      <w:r w:rsidR="00675E19">
        <w:t>s</w:t>
      </w:r>
      <w:r w:rsidR="00D82C34">
        <w:t xml:space="preserve"> and anticipated solution</w:t>
      </w:r>
      <w:r w:rsidR="00675E19">
        <w:t>s</w:t>
      </w:r>
      <w:r w:rsidR="00D82C34">
        <w:t xml:space="preserve"> into context. </w:t>
      </w:r>
      <w:r>
        <w:t xml:space="preserve">Queries and issues should be addressed and, if possible, resolved as part of </w:t>
      </w:r>
      <w:r w:rsidR="0003675B">
        <w:t>ONR’s</w:t>
      </w:r>
      <w:r>
        <w:t xml:space="preserve"> assessment </w:t>
      </w:r>
      <w:r w:rsidR="0003675B">
        <w:t>of the PSR submission</w:t>
      </w:r>
      <w:r>
        <w:t>.</w:t>
      </w:r>
      <w:r w:rsidR="00D951C6">
        <w:t xml:space="preserve"> </w:t>
      </w:r>
      <w:r>
        <w:t>The outcome should culminate in specific and clearly defined ‘findings’, as necessary, where ONR considers the licensee needs to undertake more work and/or deliver improvements as part of the PSR programme.</w:t>
      </w:r>
    </w:p>
    <w:p w14:paraId="79A3B793" w14:textId="77777777" w:rsidR="0063719B" w:rsidRDefault="0063719B" w:rsidP="0063719B">
      <w:pPr>
        <w:pStyle w:val="NumberedParagraph"/>
        <w:tabs>
          <w:tab w:val="num" w:pos="-31680"/>
        </w:tabs>
        <w:ind w:left="720"/>
        <w:jc w:val="both"/>
      </w:pPr>
      <w:r>
        <w:t xml:space="preserve">The ONR project </w:t>
      </w:r>
      <w:r w:rsidR="005C2147">
        <w:t>inspector</w:t>
      </w:r>
      <w:r>
        <w:t xml:space="preserve">, working with </w:t>
      </w:r>
      <w:r w:rsidR="00FB638D">
        <w:t>specialist</w:t>
      </w:r>
      <w:r>
        <w:t xml:space="preserve"> and site inspectors, should maintain an overview of issues and any resultant findings.</w:t>
      </w:r>
      <w:r w:rsidR="00D951C6">
        <w:t xml:space="preserve"> </w:t>
      </w:r>
      <w:r>
        <w:t>Where appropriate, issues and/or findings should be collated into fewer but more effective PSR actions on the licensee.</w:t>
      </w:r>
      <w:r w:rsidR="00D951C6">
        <w:t xml:space="preserve"> </w:t>
      </w:r>
      <w:r>
        <w:t xml:space="preserve">Findings from the PSR should be recorded and tracked on </w:t>
      </w:r>
      <w:r w:rsidR="00675E19" w:rsidRPr="00675E19">
        <w:t>the regulatory issues database [</w:t>
      </w:r>
      <w:r w:rsidR="00F51E99">
        <w:t>19</w:t>
      </w:r>
      <w:r w:rsidR="00675E19" w:rsidRPr="00675E19">
        <w:t>]</w:t>
      </w:r>
      <w:r>
        <w:t>.</w:t>
      </w:r>
    </w:p>
    <w:p w14:paraId="79A3B794" w14:textId="77777777" w:rsidR="0063719B" w:rsidRDefault="0063719B" w:rsidP="0063719B">
      <w:pPr>
        <w:pStyle w:val="NumberedParagraph"/>
        <w:tabs>
          <w:tab w:val="num" w:pos="-31680"/>
        </w:tabs>
        <w:ind w:left="720"/>
        <w:jc w:val="both"/>
      </w:pPr>
      <w:r>
        <w:t>On completion of the assessment, a project assessment report should be produced to document ONR’s view on the adequacy of the PSR.</w:t>
      </w:r>
      <w:r w:rsidR="00D951C6">
        <w:t xml:space="preserve"> </w:t>
      </w:r>
      <w:r>
        <w:t>In line with ONR’s openness and transparency policy, this project assessment report would be published on ONR’s website.</w:t>
      </w:r>
      <w:r w:rsidR="00D951C6">
        <w:t xml:space="preserve"> </w:t>
      </w:r>
      <w:r>
        <w:t>For multi-facility sites ONR may issue a single public report of its PSR programme findings, triggered by the Site-wide PSR or Corporate submission, rather than for each individual facility.</w:t>
      </w:r>
      <w:r w:rsidR="00D951C6">
        <w:t xml:space="preserve"> </w:t>
      </w:r>
      <w:r>
        <w:t>Public reports may additionally be produced in response to facilities of particular significance.</w:t>
      </w:r>
    </w:p>
    <w:p w14:paraId="79A3B795" w14:textId="77777777" w:rsidR="00675E19" w:rsidRDefault="0063719B" w:rsidP="0063719B">
      <w:pPr>
        <w:pStyle w:val="NumberedParagraph"/>
        <w:tabs>
          <w:tab w:val="num" w:pos="-31680"/>
        </w:tabs>
        <w:ind w:left="720"/>
        <w:jc w:val="both"/>
      </w:pPr>
      <w:r>
        <w:t>ONR will either confirm with the licensee a favourable decision on the adequacy of the review, or will set out specific actions to be taken.</w:t>
      </w:r>
      <w:r w:rsidR="00D951C6">
        <w:t xml:space="preserve"> </w:t>
      </w:r>
      <w:r w:rsidR="00312820">
        <w:t>Where the PSR is deemed adequate, there is still a need for any recommendations or shortfalls resulting from the review to be addressed</w:t>
      </w:r>
      <w:r w:rsidR="00776BEA">
        <w:t xml:space="preserve"> by the licensee in a timely manner</w:t>
      </w:r>
      <w:r w:rsidR="00312820">
        <w:t xml:space="preserve">. These need to be agreed with the site inspector along with the timescales for their close out so that they can be reviewed </w:t>
      </w:r>
      <w:r w:rsidR="00776BEA">
        <w:t xml:space="preserve">by the site inspector </w:t>
      </w:r>
      <w:r w:rsidR="00312820">
        <w:t xml:space="preserve">at an appropriate point. </w:t>
      </w:r>
    </w:p>
    <w:p w14:paraId="79A3B796" w14:textId="74E957BA" w:rsidR="0063719B" w:rsidRDefault="0063719B" w:rsidP="0063719B">
      <w:pPr>
        <w:pStyle w:val="NumberedParagraph"/>
        <w:tabs>
          <w:tab w:val="num" w:pos="-31680"/>
        </w:tabs>
        <w:ind w:left="720"/>
        <w:jc w:val="both"/>
      </w:pPr>
      <w:r>
        <w:t>ONR’s PSR findings and actions should be prioritised, in discussion with the licensee.</w:t>
      </w:r>
      <w:r w:rsidR="00F510A8">
        <w:t xml:space="preserve"> All actions should then be recorded and tracked using the regulatory issues database [</w:t>
      </w:r>
      <w:r w:rsidR="00F51E99">
        <w:t>19</w:t>
      </w:r>
      <w:r w:rsidR="00F510A8">
        <w:t>].</w:t>
      </w:r>
      <w:r w:rsidR="00D951C6">
        <w:t xml:space="preserve"> </w:t>
      </w:r>
      <w:r>
        <w:t>This should take into account not only the relative significance of the findings but also other (non-PSR) nuclear safety related work and improvements that the licensee is undertaking (see paragraph</w:t>
      </w:r>
      <w:r w:rsidR="0014622E">
        <w:t xml:space="preserve"> </w:t>
      </w:r>
      <w:r w:rsidR="00C64BA6">
        <w:fldChar w:fldCharType="begin"/>
      </w:r>
      <w:r w:rsidR="00C64BA6">
        <w:instrText xml:space="preserve"> REF _Ref317257718 \r \h </w:instrText>
      </w:r>
      <w:r w:rsidR="00C64BA6">
        <w:fldChar w:fldCharType="separate"/>
      </w:r>
      <w:r w:rsidR="00274893">
        <w:t>5.58</w:t>
      </w:r>
      <w:r w:rsidR="00C64BA6">
        <w:fldChar w:fldCharType="end"/>
      </w:r>
      <w:r>
        <w:t>).</w:t>
      </w:r>
      <w:r w:rsidR="00F510A8">
        <w:t xml:space="preserve"> </w:t>
      </w:r>
    </w:p>
    <w:p w14:paraId="79A3B797" w14:textId="77777777" w:rsidR="00495A13" w:rsidRDefault="0063719B" w:rsidP="0063719B">
      <w:pPr>
        <w:pStyle w:val="NumberedParagraph"/>
        <w:tabs>
          <w:tab w:val="num" w:pos="-31680"/>
        </w:tabs>
        <w:ind w:left="720"/>
        <w:jc w:val="both"/>
      </w:pPr>
      <w:r>
        <w:t>Regardless of the decision taken or the timescale for required improvements or activities, the Decision Date for the next PSR should normally be set at no more than ten years from the current PSR Decision Date.</w:t>
      </w:r>
    </w:p>
    <w:p w14:paraId="79A3B798" w14:textId="77777777" w:rsidR="00021100" w:rsidRPr="00021100" w:rsidRDefault="00021100" w:rsidP="00021100">
      <w:pPr>
        <w:pStyle w:val="Heading2"/>
        <w:numPr>
          <w:ilvl w:val="0"/>
          <w:numId w:val="0"/>
        </w:numPr>
        <w:spacing w:before="120" w:after="240"/>
        <w:ind w:firstLine="720"/>
      </w:pPr>
      <w:bookmarkStart w:id="47" w:name="_Toc43460817"/>
      <w:r>
        <w:t>Inadequate Submission:</w:t>
      </w:r>
      <w:bookmarkEnd w:id="47"/>
    </w:p>
    <w:p w14:paraId="79A3B799" w14:textId="77777777" w:rsidR="00021100" w:rsidRDefault="00021100" w:rsidP="00021100">
      <w:pPr>
        <w:pStyle w:val="NumberedParagraph"/>
        <w:tabs>
          <w:tab w:val="num" w:pos="-31680"/>
        </w:tabs>
        <w:ind w:left="720"/>
        <w:jc w:val="both"/>
      </w:pPr>
      <w:bookmarkStart w:id="48" w:name="_Ref42074783"/>
      <w:r>
        <w:t xml:space="preserve">There may be </w:t>
      </w:r>
      <w:r w:rsidR="00083138">
        <w:t xml:space="preserve">instances where the PSR submission falls short of ONR expectations and further work may be required by the licensee either on the PSR process itself or the appropriateness and timescales associated with remedial work to </w:t>
      </w:r>
      <w:r w:rsidR="00FF52CA">
        <w:t>rectify and identified shortfalls.</w:t>
      </w:r>
      <w:bookmarkEnd w:id="48"/>
    </w:p>
    <w:p w14:paraId="79A3B79A" w14:textId="77777777" w:rsidR="00021100" w:rsidRDefault="00021100" w:rsidP="00021100">
      <w:pPr>
        <w:pStyle w:val="NumberedParagraph"/>
        <w:tabs>
          <w:tab w:val="num" w:pos="-31680"/>
        </w:tabs>
        <w:ind w:left="720"/>
        <w:jc w:val="both"/>
      </w:pPr>
      <w:bookmarkStart w:id="49" w:name="_Ref42074799"/>
      <w:r>
        <w:t>Depending on the circumstances, specific regulatory powers can be used to ensure that those actions are carried out; for example, regulatory powers might be used to: direct the licensee to carry out a further review in accordance with LC15(4); direct the licensee to cease operation in accordance with LC31(1); or require the licensee to undertake specific improvements or carry out other activities, such as preparing a forward improvement programme, using an Improvement Notice.</w:t>
      </w:r>
      <w:bookmarkEnd w:id="49"/>
    </w:p>
    <w:p w14:paraId="79A3B79B" w14:textId="77777777" w:rsidR="00021100" w:rsidRDefault="00021100">
      <w:pPr>
        <w:spacing w:after="0"/>
      </w:pPr>
      <w:r>
        <w:br w:type="page"/>
      </w:r>
    </w:p>
    <w:p w14:paraId="79A3B79C" w14:textId="77777777" w:rsidR="00495A13" w:rsidRDefault="00495A13">
      <w:pPr>
        <w:spacing w:after="0"/>
      </w:pPr>
    </w:p>
    <w:p w14:paraId="79A3B79D" w14:textId="77777777" w:rsidR="0063719B" w:rsidRDefault="0063719B" w:rsidP="0063719B">
      <w:pPr>
        <w:pStyle w:val="NumberedHeading"/>
        <w:ind w:left="720"/>
      </w:pPr>
      <w:bookmarkStart w:id="50" w:name="_Toc43460818"/>
      <w:r>
        <w:t>References</w:t>
      </w:r>
      <w:bookmarkEnd w:id="50"/>
    </w:p>
    <w:p w14:paraId="79A3B79E" w14:textId="77777777" w:rsidR="0063719B" w:rsidRPr="00AA1149" w:rsidRDefault="0063719B" w:rsidP="0063719B">
      <w:pPr>
        <w:pStyle w:val="ONRNormal"/>
        <w:ind w:left="880" w:hanging="880"/>
      </w:pPr>
      <w:bookmarkStart w:id="51" w:name="R0"/>
      <w:bookmarkStart w:id="52" w:name="Ref_1"/>
      <w:r>
        <w:t>1</w:t>
      </w:r>
      <w:bookmarkEnd w:id="51"/>
      <w:bookmarkEnd w:id="52"/>
      <w:r>
        <w:tab/>
        <w:t>Licence condition handbook.</w:t>
      </w:r>
      <w:r w:rsidR="00D951C6">
        <w:t xml:space="preserve"> </w:t>
      </w:r>
      <w:r>
        <w:t>Office for Nuclear Regulation.</w:t>
      </w:r>
      <w:r w:rsidR="00D951C6">
        <w:t xml:space="preserve"> </w:t>
      </w:r>
      <w:r w:rsidR="001B5538">
        <w:t>February 2017</w:t>
      </w:r>
      <w:r>
        <w:t>.</w:t>
      </w:r>
      <w:r w:rsidR="00D951C6">
        <w:t xml:space="preserve"> </w:t>
      </w:r>
      <w:hyperlink r:id="rId10" w:history="1">
        <w:r w:rsidR="00A63ECC" w:rsidRPr="00F4705A">
          <w:rPr>
            <w:rStyle w:val="Hyperlink"/>
          </w:rPr>
          <w:t>http://www.onr.org.uk/documents/licence-condition-handbook.pdf</w:t>
        </w:r>
      </w:hyperlink>
      <w:r w:rsidR="00A63ECC">
        <w:t xml:space="preserve"> </w:t>
      </w:r>
    </w:p>
    <w:p w14:paraId="79A3B79F" w14:textId="77777777" w:rsidR="0063719B" w:rsidRPr="009B66FC" w:rsidRDefault="0063719B" w:rsidP="0063719B">
      <w:pPr>
        <w:pStyle w:val="ONRNormal"/>
        <w:ind w:left="880" w:hanging="880"/>
        <w:rPr>
          <w:lang w:val="de-DE"/>
        </w:rPr>
      </w:pPr>
      <w:bookmarkStart w:id="53" w:name="R1"/>
      <w:r>
        <w:t>2</w:t>
      </w:r>
      <w:bookmarkEnd w:id="53"/>
      <w:r>
        <w:tab/>
      </w:r>
      <w:r w:rsidRPr="00A14A0C">
        <w:rPr>
          <w:i/>
        </w:rPr>
        <w:t>ONR How2 Business Managem</w:t>
      </w:r>
      <w:r w:rsidRPr="00E47852">
        <w:rPr>
          <w:i/>
        </w:rPr>
        <w:t>ent System. Guidance: LC15 Periodic review</w:t>
      </w:r>
      <w:r w:rsidRPr="009915A5">
        <w:t xml:space="preserve">. </w:t>
      </w:r>
      <w:r w:rsidRPr="009915A5">
        <w:rPr>
          <w:lang w:val="de-DE"/>
        </w:rPr>
        <w:t>NS-INSP-GD</w:t>
      </w:r>
      <w:r w:rsidRPr="00433FDB">
        <w:rPr>
          <w:lang w:val="de-DE"/>
        </w:rPr>
        <w:t xml:space="preserve">-015, </w:t>
      </w:r>
      <w:r w:rsidRPr="00433FDB">
        <w:t>Revision</w:t>
      </w:r>
      <w:r w:rsidRPr="00433FDB">
        <w:rPr>
          <w:lang w:val="de-DE"/>
        </w:rPr>
        <w:t xml:space="preserve"> </w:t>
      </w:r>
      <w:r w:rsidR="001B5538" w:rsidRPr="00433FDB">
        <w:rPr>
          <w:lang w:val="de-DE"/>
        </w:rPr>
        <w:t>4</w:t>
      </w:r>
      <w:r w:rsidRPr="00433FDB">
        <w:rPr>
          <w:lang w:val="de-DE"/>
        </w:rPr>
        <w:t xml:space="preserve">. </w:t>
      </w:r>
      <w:r w:rsidR="001B5538" w:rsidRPr="00433FDB">
        <w:rPr>
          <w:lang w:val="de-DE"/>
        </w:rPr>
        <w:t>June</w:t>
      </w:r>
      <w:r w:rsidR="00A63ECC" w:rsidRPr="00433FDB">
        <w:rPr>
          <w:lang w:val="de-DE"/>
        </w:rPr>
        <w:t> 201</w:t>
      </w:r>
      <w:r w:rsidR="001B5538" w:rsidRPr="00433FDB">
        <w:rPr>
          <w:lang w:val="de-DE"/>
        </w:rPr>
        <w:t>9</w:t>
      </w:r>
      <w:r w:rsidRPr="009B66FC">
        <w:rPr>
          <w:lang w:val="de-DE"/>
        </w:rPr>
        <w:t xml:space="preserve">. </w:t>
      </w:r>
      <w:hyperlink r:id="rId11" w:history="1">
        <w:r w:rsidR="00A63ECC" w:rsidRPr="00F4705A">
          <w:rPr>
            <w:rStyle w:val="Hyperlink"/>
          </w:rPr>
          <w:t>http://www.onr.org.uk/operational/tech_insp_guides/index.htm</w:t>
        </w:r>
      </w:hyperlink>
      <w:r w:rsidR="00A63ECC">
        <w:t xml:space="preserve"> </w:t>
      </w:r>
    </w:p>
    <w:p w14:paraId="79A3B7A0" w14:textId="77777777" w:rsidR="00AA43B5" w:rsidRDefault="00AA43B5" w:rsidP="0063719B">
      <w:pPr>
        <w:pStyle w:val="ONRNormal"/>
        <w:ind w:left="880" w:hanging="880"/>
      </w:pPr>
      <w:bookmarkStart w:id="54" w:name="R2"/>
      <w:r>
        <w:rPr>
          <w:i/>
        </w:rPr>
        <w:t>3</w:t>
      </w:r>
      <w:r>
        <w:rPr>
          <w:i/>
        </w:rPr>
        <w:tab/>
      </w:r>
      <w:r w:rsidRPr="00A14A0C">
        <w:rPr>
          <w:i/>
        </w:rPr>
        <w:t xml:space="preserve">ONR How2 Business Management System. ONR guidance on the demonstration of ALARP (as low as reasonably </w:t>
      </w:r>
      <w:r>
        <w:rPr>
          <w:i/>
        </w:rPr>
        <w:t>p</w:t>
      </w:r>
      <w:r w:rsidRPr="00A14A0C">
        <w:rPr>
          <w:i/>
        </w:rPr>
        <w:t>racticable).</w:t>
      </w:r>
      <w:r>
        <w:rPr>
          <w:i/>
        </w:rPr>
        <w:t xml:space="preserve"> </w:t>
      </w:r>
      <w:r w:rsidRPr="009915A5">
        <w:t>NS-TAST-</w:t>
      </w:r>
      <w:r>
        <w:t>GD-00</w:t>
      </w:r>
      <w:r w:rsidRPr="00433FDB">
        <w:t>5, Revision 10. ONR. December 2019</w:t>
      </w:r>
      <w:hyperlink r:id="rId12" w:history="1">
        <w:r w:rsidRPr="00F4705A">
          <w:rPr>
            <w:rStyle w:val="Hyperlink"/>
          </w:rPr>
          <w:t>http://www.onr.org.uk/operational/tech_asst_guides/index.htm</w:t>
        </w:r>
      </w:hyperlink>
    </w:p>
    <w:bookmarkEnd w:id="54"/>
    <w:p w14:paraId="79A3B7A1" w14:textId="77777777" w:rsidR="0063719B" w:rsidRDefault="00AA43B5" w:rsidP="0063719B">
      <w:pPr>
        <w:pStyle w:val="ONRNormal"/>
        <w:ind w:left="880" w:hanging="880"/>
      </w:pPr>
      <w:r>
        <w:t>4</w:t>
      </w:r>
      <w:r w:rsidR="0063719B">
        <w:tab/>
      </w:r>
      <w:r w:rsidR="0063719B" w:rsidRPr="004F08A6">
        <w:rPr>
          <w:i/>
        </w:rPr>
        <w:t>Safety Assessment Principles for Nuclear Facilities.</w:t>
      </w:r>
      <w:r w:rsidR="0063719B" w:rsidRPr="004F08A6">
        <w:t xml:space="preserve"> 20</w:t>
      </w:r>
      <w:r w:rsidR="009D5AEB">
        <w:t>14</w:t>
      </w:r>
      <w:r w:rsidR="0063719B" w:rsidRPr="004F08A6">
        <w:t xml:space="preserve"> Edition Revision </w:t>
      </w:r>
      <w:r w:rsidR="00CC3F35">
        <w:t>1</w:t>
      </w:r>
      <w:r w:rsidR="0063719B" w:rsidRPr="004F08A6">
        <w:t xml:space="preserve">. </w:t>
      </w:r>
      <w:r w:rsidR="009D5AEB">
        <w:t>ONR</w:t>
      </w:r>
      <w:r w:rsidR="0063719B" w:rsidRPr="004F08A6">
        <w:t>. 20</w:t>
      </w:r>
      <w:r w:rsidR="00CC3F35">
        <w:t>20</w:t>
      </w:r>
      <w:r w:rsidR="0063719B" w:rsidRPr="004F08A6">
        <w:t>.</w:t>
      </w:r>
    </w:p>
    <w:p w14:paraId="79A3B7A2" w14:textId="74B21DBA" w:rsidR="009823DC" w:rsidRDefault="00794DF9" w:rsidP="009823DC">
      <w:pPr>
        <w:pStyle w:val="ONRNormal"/>
        <w:ind w:left="880" w:hanging="880"/>
        <w:rPr>
          <w:rStyle w:val="Hyperlink"/>
        </w:rPr>
      </w:pPr>
      <w:r>
        <w:t>5</w:t>
      </w:r>
      <w:r w:rsidR="0063719B">
        <w:tab/>
      </w:r>
      <w:r w:rsidR="0063719B" w:rsidRPr="009823DC">
        <w:rPr>
          <w:i/>
        </w:rPr>
        <w:t>Western European Nuclear Regulators’ Association.</w:t>
      </w:r>
      <w:r w:rsidR="00D951C6">
        <w:rPr>
          <w:i/>
        </w:rPr>
        <w:t xml:space="preserve"> </w:t>
      </w:r>
      <w:bookmarkStart w:id="55" w:name="R4"/>
      <w:r w:rsidR="009823DC" w:rsidRPr="009823DC">
        <w:rPr>
          <w:i/>
        </w:rPr>
        <w:t>WENRA Safety Reference Levels for Existing Reactors – Update in relation to lessons learned from TEPCO Fukushima Dai-Ichi accident.</w:t>
      </w:r>
      <w:r w:rsidR="00D951C6">
        <w:rPr>
          <w:i/>
        </w:rPr>
        <w:t xml:space="preserve"> </w:t>
      </w:r>
      <w:r w:rsidR="009823DC" w:rsidRPr="009823DC">
        <w:rPr>
          <w:i/>
        </w:rPr>
        <w:t>24th September 2014.</w:t>
      </w:r>
      <w:r w:rsidR="00D951C6">
        <w:rPr>
          <w:i/>
        </w:rPr>
        <w:t xml:space="preserve"> </w:t>
      </w:r>
      <w:r w:rsidR="009823DC" w:rsidRPr="009823DC">
        <w:rPr>
          <w:i/>
        </w:rPr>
        <w:t>WENRA reference levels. September 2014</w:t>
      </w:r>
      <w:r w:rsidR="00BE0464">
        <w:rPr>
          <w:i/>
        </w:rPr>
        <w:t>.</w:t>
      </w:r>
    </w:p>
    <w:p w14:paraId="79A3B7A3" w14:textId="4CA47FF6" w:rsidR="0063719B" w:rsidRDefault="009823DC" w:rsidP="0063719B">
      <w:pPr>
        <w:pStyle w:val="ONRNormal"/>
        <w:ind w:left="880" w:hanging="880"/>
        <w:rPr>
          <w:color w:val="0000FF"/>
          <w:u w:val="single"/>
        </w:rPr>
      </w:pPr>
      <w:r>
        <w:t xml:space="preserve"> </w:t>
      </w:r>
      <w:bookmarkEnd w:id="55"/>
      <w:r w:rsidR="00B11532">
        <w:t>6</w:t>
      </w:r>
      <w:r w:rsidR="0063719B">
        <w:tab/>
      </w:r>
      <w:r w:rsidR="0063719B" w:rsidRPr="00514065">
        <w:rPr>
          <w:i/>
        </w:rPr>
        <w:t xml:space="preserve">Waste and Spent Fuel Pool </w:t>
      </w:r>
      <w:r w:rsidR="00A7282A">
        <w:rPr>
          <w:i/>
        </w:rPr>
        <w:t xml:space="preserve">Storage Safety </w:t>
      </w:r>
      <w:r w:rsidR="0063719B" w:rsidRPr="00514065">
        <w:rPr>
          <w:i/>
        </w:rPr>
        <w:t>Reference Levels</w:t>
      </w:r>
      <w:r w:rsidR="0063719B">
        <w:rPr>
          <w:i/>
        </w:rPr>
        <w:t>.</w:t>
      </w:r>
      <w:r w:rsidR="0063719B" w:rsidRPr="00514065">
        <w:rPr>
          <w:i/>
        </w:rPr>
        <w:t xml:space="preserve"> </w:t>
      </w:r>
      <w:r w:rsidR="0063719B" w:rsidRPr="00514065">
        <w:t>WENRA harmonized storage reference levels report</w:t>
      </w:r>
      <w:r w:rsidR="0063719B">
        <w:t>. WENRA Working Group on Waste and Decommissioning (WGWD) Western European Nuclear Regulators’ Association. Version 2.</w:t>
      </w:r>
      <w:r w:rsidR="00A7282A">
        <w:t>2, April 2014.</w:t>
      </w:r>
      <w:r w:rsidR="0063719B">
        <w:t xml:space="preserve"> </w:t>
      </w:r>
    </w:p>
    <w:p w14:paraId="79A3B7A4" w14:textId="496A5677" w:rsidR="0063719B" w:rsidRDefault="0063719B" w:rsidP="0063719B">
      <w:pPr>
        <w:pStyle w:val="ONRNormal"/>
        <w:ind w:left="880" w:hanging="880"/>
      </w:pPr>
      <w:bookmarkStart w:id="56" w:name="R5"/>
      <w:r>
        <w:t>7</w:t>
      </w:r>
      <w:bookmarkEnd w:id="56"/>
      <w:r>
        <w:tab/>
      </w:r>
      <w:r w:rsidRPr="009F5B6D">
        <w:rPr>
          <w:i/>
        </w:rPr>
        <w:t>Decommissioning Safety Reference Levels.</w:t>
      </w:r>
      <w:r w:rsidR="00D951C6">
        <w:rPr>
          <w:i/>
        </w:rPr>
        <w:t xml:space="preserve"> </w:t>
      </w:r>
      <w:r>
        <w:t>WENRA Working Group on Waste and Decommissioning (WGWD). Western European Nuclear Regulators’ Association. Version 2.</w:t>
      </w:r>
      <w:r w:rsidR="00A7282A">
        <w:t>2</w:t>
      </w:r>
      <w:r>
        <w:t xml:space="preserve">. </w:t>
      </w:r>
      <w:r w:rsidR="00A7282A">
        <w:t>April 2015</w:t>
      </w:r>
      <w:r>
        <w:t xml:space="preserve">. </w:t>
      </w:r>
    </w:p>
    <w:p w14:paraId="79A3B7A5" w14:textId="77777777" w:rsidR="00AA43B5" w:rsidRDefault="00AA43B5" w:rsidP="00AA43B5">
      <w:pPr>
        <w:pStyle w:val="ONRNormal"/>
        <w:ind w:left="880" w:hanging="880"/>
      </w:pPr>
      <w:r>
        <w:rPr>
          <w:i/>
        </w:rPr>
        <w:t>8</w:t>
      </w:r>
      <w:r>
        <w:rPr>
          <w:i/>
        </w:rPr>
        <w:tab/>
        <w:t>Safety Analysis for Facilities and Activities</w:t>
      </w:r>
      <w:r w:rsidRPr="001E5424">
        <w:rPr>
          <w:i/>
        </w:rPr>
        <w:t>:</w:t>
      </w:r>
      <w:r>
        <w:rPr>
          <w:i/>
        </w:rPr>
        <w:t xml:space="preserve"> Commissioning and Operation.</w:t>
      </w:r>
      <w:r w:rsidRPr="00AA533F">
        <w:rPr>
          <w:i/>
        </w:rPr>
        <w:t xml:space="preserve"> </w:t>
      </w:r>
      <w:r w:rsidRPr="00887A81">
        <w:t xml:space="preserve">IAEA </w:t>
      </w:r>
      <w:r w:rsidRPr="001E5424">
        <w:rPr>
          <w:iCs/>
        </w:rPr>
        <w:t>Specific Safety Requirements</w:t>
      </w:r>
      <w:r>
        <w:rPr>
          <w:iCs/>
        </w:rPr>
        <w:t xml:space="preserve"> </w:t>
      </w:r>
      <w:r w:rsidRPr="00AA533F">
        <w:rPr>
          <w:iCs/>
        </w:rPr>
        <w:t>No</w:t>
      </w:r>
      <w:r>
        <w:rPr>
          <w:iCs/>
        </w:rPr>
        <w:t xml:space="preserve">. GSR-4 Part 1 </w:t>
      </w:r>
      <w:r w:rsidRPr="001E5424">
        <w:rPr>
          <w:iCs/>
        </w:rPr>
        <w:t xml:space="preserve"> (Rev. 1)</w:t>
      </w:r>
      <w:r>
        <w:rPr>
          <w:iCs/>
        </w:rPr>
        <w:t xml:space="preserve">. </w:t>
      </w:r>
      <w:r w:rsidRPr="00AA533F">
        <w:t>International Atomic Energy Agency (IAEA)</w:t>
      </w:r>
      <w:r>
        <w:rPr>
          <w:iCs/>
        </w:rPr>
        <w:t xml:space="preserve">. </w:t>
      </w:r>
      <w:r w:rsidRPr="00AA533F">
        <w:t>20</w:t>
      </w:r>
      <w:r>
        <w:t>16</w:t>
      </w:r>
      <w:r w:rsidRPr="00AA533F">
        <w:t>.</w:t>
      </w:r>
      <w:r>
        <w:t xml:space="preserve"> </w:t>
      </w:r>
      <w:hyperlink r:id="rId13" w:history="1">
        <w:r w:rsidRPr="00097714">
          <w:rPr>
            <w:rStyle w:val="Hyperlink"/>
          </w:rPr>
          <w:t>www.iaea.org</w:t>
        </w:r>
      </w:hyperlink>
      <w:r>
        <w:t>.</w:t>
      </w:r>
    </w:p>
    <w:p w14:paraId="79A3B7A6" w14:textId="77777777" w:rsidR="0063719B" w:rsidRDefault="00AA43B5" w:rsidP="0063719B">
      <w:pPr>
        <w:pStyle w:val="ONRNormal"/>
        <w:ind w:left="880" w:hanging="880"/>
      </w:pPr>
      <w:r>
        <w:t>9</w:t>
      </w:r>
      <w:r w:rsidR="0063719B">
        <w:tab/>
      </w:r>
      <w:r w:rsidR="001E5424" w:rsidRPr="001E5424">
        <w:rPr>
          <w:i/>
        </w:rPr>
        <w:t>Safety of Nuclear Power Plants:</w:t>
      </w:r>
      <w:r w:rsidR="001E5424">
        <w:rPr>
          <w:i/>
        </w:rPr>
        <w:t xml:space="preserve"> Commissioning and Operation</w:t>
      </w:r>
      <w:r w:rsidR="0063719B">
        <w:rPr>
          <w:i/>
        </w:rPr>
        <w:t>.</w:t>
      </w:r>
      <w:r w:rsidR="0063719B" w:rsidRPr="00AA533F">
        <w:rPr>
          <w:i/>
        </w:rPr>
        <w:t xml:space="preserve"> </w:t>
      </w:r>
      <w:r w:rsidR="0063719B" w:rsidRPr="00887A81">
        <w:t xml:space="preserve">IAEA </w:t>
      </w:r>
      <w:r w:rsidR="001E5424" w:rsidRPr="001E5424">
        <w:rPr>
          <w:iCs/>
        </w:rPr>
        <w:t>Specific Safety Requirements</w:t>
      </w:r>
      <w:r w:rsidR="001E5424">
        <w:rPr>
          <w:iCs/>
        </w:rPr>
        <w:t xml:space="preserve"> </w:t>
      </w:r>
      <w:r w:rsidR="0063719B" w:rsidRPr="00AA533F">
        <w:rPr>
          <w:iCs/>
        </w:rPr>
        <w:t>No</w:t>
      </w:r>
      <w:r w:rsidR="0063719B">
        <w:rPr>
          <w:iCs/>
        </w:rPr>
        <w:t xml:space="preserve">. </w:t>
      </w:r>
      <w:r w:rsidR="001E5424" w:rsidRPr="001E5424">
        <w:rPr>
          <w:iCs/>
        </w:rPr>
        <w:t>SSR-2/2 (Rev. 1)</w:t>
      </w:r>
      <w:r w:rsidR="0063719B">
        <w:rPr>
          <w:iCs/>
        </w:rPr>
        <w:t xml:space="preserve">. </w:t>
      </w:r>
      <w:r w:rsidR="0063719B" w:rsidRPr="00AA533F">
        <w:t>International Atomic Energy Agency (IAEA)</w:t>
      </w:r>
      <w:r w:rsidR="0063719B">
        <w:rPr>
          <w:iCs/>
        </w:rPr>
        <w:t xml:space="preserve">. </w:t>
      </w:r>
      <w:r w:rsidR="0063719B" w:rsidRPr="00AA533F">
        <w:t>20</w:t>
      </w:r>
      <w:r w:rsidR="001E5424">
        <w:t>16</w:t>
      </w:r>
      <w:r w:rsidR="0063719B" w:rsidRPr="00AA533F">
        <w:t>.</w:t>
      </w:r>
      <w:r w:rsidR="0063719B">
        <w:t xml:space="preserve"> </w:t>
      </w:r>
      <w:hyperlink r:id="rId14" w:history="1">
        <w:r w:rsidR="0063719B" w:rsidRPr="00097714">
          <w:rPr>
            <w:rStyle w:val="Hyperlink"/>
          </w:rPr>
          <w:t>www.iaea.org</w:t>
        </w:r>
      </w:hyperlink>
      <w:r w:rsidR="0063719B">
        <w:t>.</w:t>
      </w:r>
      <w:r w:rsidR="00D951C6">
        <w:t xml:space="preserve"> </w:t>
      </w:r>
    </w:p>
    <w:p w14:paraId="79A3B7A7" w14:textId="77777777" w:rsidR="00B11532" w:rsidRPr="00ED2933" w:rsidRDefault="00AA43B5" w:rsidP="00B11532">
      <w:pPr>
        <w:pStyle w:val="ONRNormal"/>
        <w:ind w:left="880" w:hanging="880"/>
        <w:rPr>
          <w:i/>
        </w:rPr>
      </w:pPr>
      <w:r>
        <w:rPr>
          <w:i/>
        </w:rPr>
        <w:t>10</w:t>
      </w:r>
      <w:r w:rsidR="00B11532">
        <w:rPr>
          <w:i/>
        </w:rPr>
        <w:tab/>
      </w:r>
      <w:r w:rsidR="00B11532" w:rsidRPr="001E5424">
        <w:rPr>
          <w:i/>
        </w:rPr>
        <w:t xml:space="preserve">Safety of Nuclear </w:t>
      </w:r>
      <w:r w:rsidR="00B11532">
        <w:rPr>
          <w:i/>
        </w:rPr>
        <w:t xml:space="preserve">Fuel Cycles. </w:t>
      </w:r>
      <w:r w:rsidR="00B11532" w:rsidRPr="00AA533F">
        <w:rPr>
          <w:i/>
        </w:rPr>
        <w:t xml:space="preserve"> </w:t>
      </w:r>
      <w:r w:rsidR="00B11532" w:rsidRPr="00ED2933">
        <w:rPr>
          <w:i/>
        </w:rPr>
        <w:t xml:space="preserve">IAEA Specific Safety Requirements No. SSR-4 (Rev. 1). International Atomic Energy Agency (IAEA). 2016. </w:t>
      </w:r>
      <w:hyperlink r:id="rId15" w:history="1">
        <w:r w:rsidR="00B11532" w:rsidRPr="00ED2933">
          <w:rPr>
            <w:i/>
          </w:rPr>
          <w:t>www.iaea.org</w:t>
        </w:r>
      </w:hyperlink>
      <w:r w:rsidR="00B11532" w:rsidRPr="00ED2933">
        <w:rPr>
          <w:i/>
        </w:rPr>
        <w:t>.</w:t>
      </w:r>
    </w:p>
    <w:p w14:paraId="79A3B7A8" w14:textId="77777777" w:rsidR="00B11532" w:rsidRDefault="00AA43B5" w:rsidP="00B11532">
      <w:pPr>
        <w:pStyle w:val="ONRNormal"/>
        <w:ind w:left="880" w:hanging="880"/>
      </w:pPr>
      <w:r>
        <w:rPr>
          <w:i/>
        </w:rPr>
        <w:t>11</w:t>
      </w:r>
      <w:r w:rsidR="00B11532">
        <w:rPr>
          <w:i/>
        </w:rPr>
        <w:tab/>
      </w:r>
      <w:r w:rsidR="00B11532" w:rsidRPr="001E5424">
        <w:rPr>
          <w:i/>
        </w:rPr>
        <w:t xml:space="preserve">Safety of </w:t>
      </w:r>
      <w:r w:rsidR="00B11532">
        <w:rPr>
          <w:i/>
        </w:rPr>
        <w:t>Research Reactors</w:t>
      </w:r>
      <w:r w:rsidR="00B11532" w:rsidRPr="001E5424">
        <w:rPr>
          <w:i/>
        </w:rPr>
        <w:t>:</w:t>
      </w:r>
      <w:r w:rsidR="00B11532">
        <w:rPr>
          <w:i/>
        </w:rPr>
        <w:t xml:space="preserve"> Commissioning and Operation.</w:t>
      </w:r>
      <w:r w:rsidR="00B11532" w:rsidRPr="00AA533F">
        <w:rPr>
          <w:i/>
        </w:rPr>
        <w:t xml:space="preserve"> </w:t>
      </w:r>
      <w:r w:rsidR="00B11532" w:rsidRPr="00887A81">
        <w:t xml:space="preserve">IAEA </w:t>
      </w:r>
      <w:r w:rsidR="00B11532" w:rsidRPr="001E5424">
        <w:rPr>
          <w:iCs/>
        </w:rPr>
        <w:t>Specific Safety Requirements</w:t>
      </w:r>
      <w:r w:rsidR="00B11532">
        <w:rPr>
          <w:iCs/>
        </w:rPr>
        <w:t xml:space="preserve"> </w:t>
      </w:r>
      <w:r w:rsidR="00B11532" w:rsidRPr="00AA533F">
        <w:rPr>
          <w:iCs/>
        </w:rPr>
        <w:t>No</w:t>
      </w:r>
      <w:r w:rsidR="00B11532">
        <w:rPr>
          <w:iCs/>
        </w:rPr>
        <w:t xml:space="preserve">. </w:t>
      </w:r>
      <w:r w:rsidR="00B11532" w:rsidRPr="001E5424">
        <w:rPr>
          <w:iCs/>
        </w:rPr>
        <w:t>SSR-</w:t>
      </w:r>
      <w:r w:rsidR="00B11532">
        <w:rPr>
          <w:iCs/>
        </w:rPr>
        <w:t>3</w:t>
      </w:r>
      <w:r w:rsidR="00B11532" w:rsidRPr="001E5424">
        <w:rPr>
          <w:iCs/>
        </w:rPr>
        <w:t xml:space="preserve"> (Rev. 1)</w:t>
      </w:r>
      <w:r w:rsidR="00B11532">
        <w:rPr>
          <w:iCs/>
        </w:rPr>
        <w:t xml:space="preserve">. </w:t>
      </w:r>
      <w:r w:rsidR="00B11532" w:rsidRPr="00AA533F">
        <w:t>International Atomic Energy Agency (IAEA)</w:t>
      </w:r>
      <w:r w:rsidR="00B11532">
        <w:rPr>
          <w:iCs/>
        </w:rPr>
        <w:t xml:space="preserve">. </w:t>
      </w:r>
      <w:r w:rsidR="00B11532" w:rsidRPr="00AA533F">
        <w:t>20</w:t>
      </w:r>
      <w:r w:rsidR="00B11532">
        <w:t>16</w:t>
      </w:r>
      <w:r w:rsidR="00B11532" w:rsidRPr="00AA533F">
        <w:t>.</w:t>
      </w:r>
      <w:r w:rsidR="00B11532">
        <w:t xml:space="preserve"> </w:t>
      </w:r>
      <w:hyperlink r:id="rId16" w:history="1">
        <w:r w:rsidR="00B11532" w:rsidRPr="00097714">
          <w:rPr>
            <w:rStyle w:val="Hyperlink"/>
          </w:rPr>
          <w:t>www.iaea.org</w:t>
        </w:r>
      </w:hyperlink>
      <w:r w:rsidR="00B11532">
        <w:t>.</w:t>
      </w:r>
    </w:p>
    <w:p w14:paraId="79A3B7A9" w14:textId="77777777" w:rsidR="0063719B" w:rsidRDefault="00D2334D" w:rsidP="0063719B">
      <w:pPr>
        <w:pStyle w:val="ONRNormal"/>
        <w:ind w:left="880" w:hanging="880"/>
      </w:pPr>
      <w:r>
        <w:t>12</w:t>
      </w:r>
      <w:r w:rsidR="0063719B">
        <w:tab/>
      </w:r>
      <w:r w:rsidR="0063719B" w:rsidRPr="005171B9">
        <w:rPr>
          <w:i/>
          <w:iCs/>
        </w:rPr>
        <w:t>Periodic safety review of nuclear power plants</w:t>
      </w:r>
      <w:r w:rsidR="0063719B">
        <w:rPr>
          <w:i/>
          <w:iCs/>
        </w:rPr>
        <w:t xml:space="preserve">. </w:t>
      </w:r>
      <w:r w:rsidR="0063719B" w:rsidRPr="00255F9C">
        <w:rPr>
          <w:iCs/>
        </w:rPr>
        <w:t>Specific Safety Guide</w:t>
      </w:r>
      <w:r w:rsidR="0063719B">
        <w:rPr>
          <w:iCs/>
        </w:rPr>
        <w:t xml:space="preserve"> </w:t>
      </w:r>
      <w:r w:rsidR="0063719B" w:rsidRPr="00255F9C">
        <w:t>No.</w:t>
      </w:r>
      <w:r w:rsidR="0063719B">
        <w:t> </w:t>
      </w:r>
      <w:r w:rsidR="0063719B" w:rsidRPr="00255F9C">
        <w:t>SSG</w:t>
      </w:r>
      <w:r w:rsidR="0063719B">
        <w:noBreakHyphen/>
      </w:r>
      <w:r w:rsidR="0063719B" w:rsidRPr="00255F9C">
        <w:t>25</w:t>
      </w:r>
      <w:r w:rsidR="0063719B">
        <w:t xml:space="preserve"> </w:t>
      </w:r>
      <w:r w:rsidR="0063719B" w:rsidRPr="00AA533F">
        <w:t>International Atomic Energy Agency (IAEA)</w:t>
      </w:r>
      <w:r w:rsidR="0063719B">
        <w:rPr>
          <w:iCs/>
        </w:rPr>
        <w:t xml:space="preserve">. </w:t>
      </w:r>
      <w:r w:rsidR="0063719B" w:rsidRPr="00AA533F">
        <w:t>20</w:t>
      </w:r>
      <w:r w:rsidR="0063719B">
        <w:t>13</w:t>
      </w:r>
      <w:r w:rsidR="0063719B" w:rsidRPr="00AA533F">
        <w:t>.</w:t>
      </w:r>
      <w:r w:rsidR="0063719B">
        <w:t xml:space="preserve"> </w:t>
      </w:r>
      <w:hyperlink r:id="rId17" w:history="1">
        <w:r w:rsidR="0063719B" w:rsidRPr="00097714">
          <w:rPr>
            <w:rStyle w:val="Hyperlink"/>
          </w:rPr>
          <w:t>www.iaea.org</w:t>
        </w:r>
      </w:hyperlink>
      <w:r w:rsidR="0063719B">
        <w:t>.</w:t>
      </w:r>
    </w:p>
    <w:p w14:paraId="79A3B7AA" w14:textId="77777777" w:rsidR="00F51E99" w:rsidRDefault="00F51E99" w:rsidP="00F51E99">
      <w:pPr>
        <w:pStyle w:val="ONRNormal"/>
        <w:ind w:left="880" w:hanging="880"/>
        <w:rPr>
          <w:rStyle w:val="Hyperlink"/>
          <w:i/>
          <w:color w:val="auto"/>
          <w:u w:val="none"/>
        </w:rPr>
      </w:pPr>
      <w:r>
        <w:t>13</w:t>
      </w:r>
      <w:r>
        <w:tab/>
      </w:r>
      <w:r w:rsidRPr="00A14A0C">
        <w:rPr>
          <w:i/>
        </w:rPr>
        <w:t>ONR How2 Business Ma</w:t>
      </w:r>
      <w:r w:rsidRPr="001F4CBD">
        <w:rPr>
          <w:i/>
        </w:rPr>
        <w:t xml:space="preserve">nagement System. </w:t>
      </w:r>
      <w:r>
        <w:rPr>
          <w:i/>
        </w:rPr>
        <w:t>Decommissioning</w:t>
      </w:r>
      <w:r w:rsidRPr="001F4CBD">
        <w:rPr>
          <w:i/>
        </w:rPr>
        <w:t>.</w:t>
      </w:r>
      <w:r>
        <w:t xml:space="preserve"> NS-TAST-GD-026</w:t>
      </w:r>
      <w:r w:rsidRPr="009915A5">
        <w:t xml:space="preserve"> </w:t>
      </w:r>
      <w:r w:rsidRPr="00084490">
        <w:t>Revision 5. ONR. September 2019.</w:t>
      </w:r>
    </w:p>
    <w:p w14:paraId="79A3B7AB" w14:textId="77777777" w:rsidR="009C5799" w:rsidRDefault="009C5799" w:rsidP="009C5799">
      <w:pPr>
        <w:pStyle w:val="ONRNormal"/>
        <w:ind w:left="880" w:hanging="880"/>
        <w:rPr>
          <w:rStyle w:val="Hyperlink"/>
        </w:rPr>
      </w:pPr>
      <w:r>
        <w:t>1</w:t>
      </w:r>
      <w:r w:rsidR="00F51E99">
        <w:t>4</w:t>
      </w:r>
      <w:r>
        <w:tab/>
      </w:r>
      <w:r w:rsidRPr="00A14A0C">
        <w:rPr>
          <w:i/>
        </w:rPr>
        <w:t>ONR How2 Business Ma</w:t>
      </w:r>
      <w:r w:rsidRPr="001F4CBD">
        <w:rPr>
          <w:i/>
        </w:rPr>
        <w:t xml:space="preserve">nagement </w:t>
      </w:r>
      <w:proofErr w:type="spellStart"/>
      <w:r w:rsidRPr="001F4CBD">
        <w:rPr>
          <w:i/>
        </w:rPr>
        <w:t>System.</w:t>
      </w:r>
      <w:r>
        <w:rPr>
          <w:i/>
        </w:rPr>
        <w:t>The</w:t>
      </w:r>
      <w:proofErr w:type="spellEnd"/>
      <w:r>
        <w:rPr>
          <w:i/>
        </w:rPr>
        <w:t xml:space="preserve"> Purpose Scope, and Content of a Safety Case. NS-TAST-GD-051 Revision 6. ONR. December 2019.</w:t>
      </w:r>
    </w:p>
    <w:p w14:paraId="79A3B7AC" w14:textId="77777777" w:rsidR="009C5799" w:rsidRDefault="009C5799" w:rsidP="009C5799">
      <w:pPr>
        <w:pStyle w:val="ONRNormal"/>
        <w:ind w:left="880" w:hanging="880"/>
        <w:rPr>
          <w:rStyle w:val="Hyperlink"/>
        </w:rPr>
      </w:pPr>
      <w:r>
        <w:tab/>
      </w:r>
      <w:hyperlink r:id="rId18" w:history="1">
        <w:r w:rsidRPr="002604D8">
          <w:rPr>
            <w:rStyle w:val="Hyperlink"/>
          </w:rPr>
          <w:t>http://www.onr.org.uk/operational/tech_asst_guides/index.htm</w:t>
        </w:r>
      </w:hyperlink>
    </w:p>
    <w:p w14:paraId="79A3B7AD" w14:textId="77777777" w:rsidR="009C5799" w:rsidRDefault="009C5799" w:rsidP="009C5799">
      <w:pPr>
        <w:pStyle w:val="ONRNormal"/>
        <w:ind w:left="880" w:hanging="880"/>
      </w:pPr>
      <w:bookmarkStart w:id="57" w:name="R9"/>
      <w:r>
        <w:t>1</w:t>
      </w:r>
      <w:bookmarkEnd w:id="57"/>
      <w:r>
        <w:t>5</w:t>
      </w:r>
      <w:r>
        <w:tab/>
      </w:r>
      <w:r w:rsidRPr="005171B9">
        <w:rPr>
          <w:i/>
          <w:iCs/>
        </w:rPr>
        <w:t>Successful health and safety management</w:t>
      </w:r>
      <w:r>
        <w:rPr>
          <w:i/>
          <w:iCs/>
        </w:rPr>
        <w:t xml:space="preserve">. </w:t>
      </w:r>
      <w:r w:rsidRPr="005171B9">
        <w:t>HSG65 (Second edition)</w:t>
      </w:r>
      <w:r>
        <w:t>.</w:t>
      </w:r>
      <w:r w:rsidRPr="005171B9">
        <w:t xml:space="preserve"> HSE Books 1997</w:t>
      </w:r>
      <w:r>
        <w:t>.</w:t>
      </w:r>
      <w:r w:rsidRPr="005171B9">
        <w:t xml:space="preserve"> ISBN 0 7176 1276 7</w:t>
      </w:r>
      <w:r>
        <w:t>.</w:t>
      </w:r>
    </w:p>
    <w:p w14:paraId="79A3B7AE" w14:textId="77777777" w:rsidR="009C5799" w:rsidRDefault="009C5799" w:rsidP="0063719B">
      <w:pPr>
        <w:pStyle w:val="ONRNormal"/>
        <w:ind w:left="880" w:hanging="880"/>
      </w:pPr>
      <w:bookmarkStart w:id="58" w:name="R10"/>
      <w:r>
        <w:t>1</w:t>
      </w:r>
      <w:bookmarkEnd w:id="58"/>
      <w:r>
        <w:t>6</w:t>
      </w:r>
      <w:r>
        <w:tab/>
      </w:r>
      <w:r w:rsidRPr="00A14A0C">
        <w:rPr>
          <w:i/>
        </w:rPr>
        <w:t>ONR How2 Business Management System.</w:t>
      </w:r>
      <w:r>
        <w:rPr>
          <w:i/>
        </w:rPr>
        <w:t xml:space="preserve"> </w:t>
      </w:r>
      <w:r w:rsidRPr="00536EF7">
        <w:rPr>
          <w:i/>
        </w:rPr>
        <w:t xml:space="preserve">Technical Assessment Guide – Function and </w:t>
      </w:r>
      <w:r w:rsidRPr="00433FDB">
        <w:rPr>
          <w:i/>
        </w:rPr>
        <w:t>Content of the Nuclear Baseline.</w:t>
      </w:r>
      <w:r w:rsidRPr="00433FDB">
        <w:t xml:space="preserve"> NS-TAST-GD-065, Revision 3. August 2018.</w:t>
      </w:r>
      <w:r>
        <w:t xml:space="preserve"> </w:t>
      </w:r>
      <w:hyperlink r:id="rId19" w:history="1">
        <w:r w:rsidRPr="00F4705A">
          <w:rPr>
            <w:rStyle w:val="Hyperlink"/>
          </w:rPr>
          <w:t>http://www.onr.org.uk/operational/tech_asst_guides/index.htm</w:t>
        </w:r>
      </w:hyperlink>
    </w:p>
    <w:p w14:paraId="79A3B7AF" w14:textId="77777777" w:rsidR="00BE4DD2" w:rsidRDefault="00AB4662" w:rsidP="0063719B">
      <w:pPr>
        <w:pStyle w:val="ONRNormal"/>
        <w:ind w:left="880" w:hanging="880"/>
        <w:rPr>
          <w:rStyle w:val="Hyperlink"/>
        </w:rPr>
      </w:pPr>
      <w:r>
        <w:t>17</w:t>
      </w:r>
      <w:r w:rsidR="00BE4DD2">
        <w:tab/>
      </w:r>
      <w:r w:rsidR="00BE4DD2" w:rsidRPr="00A14A0C">
        <w:rPr>
          <w:i/>
        </w:rPr>
        <w:t>ONR How2 Business Ma</w:t>
      </w:r>
      <w:r w:rsidR="00BE4DD2" w:rsidRPr="001F4CBD">
        <w:rPr>
          <w:i/>
        </w:rPr>
        <w:t xml:space="preserve">nagement System. </w:t>
      </w:r>
      <w:r w:rsidR="00BE4DD2">
        <w:rPr>
          <w:i/>
        </w:rPr>
        <w:t>Safety Aspect Specific to storage of Spent Nuclear Fuel</w:t>
      </w:r>
      <w:r w:rsidR="00BE4DD2" w:rsidRPr="001F4CBD">
        <w:rPr>
          <w:i/>
        </w:rPr>
        <w:t>.</w:t>
      </w:r>
      <w:r w:rsidR="00BE4DD2">
        <w:t xml:space="preserve"> NS-TAST-G</w:t>
      </w:r>
      <w:r w:rsidR="00BE4DD2" w:rsidRPr="002604D8">
        <w:t xml:space="preserve">D-081 </w:t>
      </w:r>
      <w:r w:rsidR="00BE4DD2" w:rsidRPr="00084490">
        <w:t>Revision 2. ONR. June 2019.</w:t>
      </w:r>
      <w:r w:rsidR="00BE4DD2" w:rsidRPr="005709E3">
        <w:t xml:space="preserve"> </w:t>
      </w:r>
      <w:hyperlink r:id="rId20" w:history="1">
        <w:r w:rsidR="00BE4DD2" w:rsidRPr="00F4705A">
          <w:rPr>
            <w:rStyle w:val="Hyperlink"/>
          </w:rPr>
          <w:t>http://www.onr.org.uk/operational/tech_asst_guides/index.htm</w:t>
        </w:r>
      </w:hyperlink>
    </w:p>
    <w:p w14:paraId="79A3B7B0" w14:textId="77777777" w:rsidR="00305EFE" w:rsidRDefault="0063719B" w:rsidP="0063719B">
      <w:pPr>
        <w:pStyle w:val="ONRNormal"/>
        <w:ind w:left="880" w:hanging="880"/>
      </w:pPr>
      <w:bookmarkStart w:id="59" w:name="R12"/>
      <w:r>
        <w:t>1</w:t>
      </w:r>
      <w:bookmarkEnd w:id="59"/>
      <w:r w:rsidR="00F51E99">
        <w:t>8</w:t>
      </w:r>
      <w:r>
        <w:tab/>
      </w:r>
      <w:r w:rsidR="00305EFE" w:rsidRPr="00305EFE">
        <w:t>ONR How2 Business Management System.</w:t>
      </w:r>
      <w:r w:rsidR="00305EFE">
        <w:t xml:space="preserve"> Enforcement. ONR-ENF-GD-006, Revision 2. ONR. August 2019.</w:t>
      </w:r>
    </w:p>
    <w:p w14:paraId="79A3B7B1" w14:textId="77777777" w:rsidR="00E660F7" w:rsidRDefault="00F51E99" w:rsidP="00E660F7">
      <w:pPr>
        <w:pStyle w:val="ONRNormal"/>
        <w:ind w:left="880" w:hanging="880"/>
        <w:rPr>
          <w:i/>
        </w:rPr>
      </w:pPr>
      <w:r>
        <w:rPr>
          <w:i/>
        </w:rPr>
        <w:t>19</w:t>
      </w:r>
      <w:r w:rsidR="00E660F7">
        <w:rPr>
          <w:i/>
        </w:rPr>
        <w:tab/>
      </w:r>
      <w:r w:rsidR="00E660F7" w:rsidRPr="00A14A0C">
        <w:rPr>
          <w:i/>
        </w:rPr>
        <w:t>ONR How2 Business Ma</w:t>
      </w:r>
      <w:r w:rsidR="00E660F7" w:rsidRPr="001F4CBD">
        <w:rPr>
          <w:i/>
        </w:rPr>
        <w:t>nagement System</w:t>
      </w:r>
      <w:r w:rsidR="00E660F7">
        <w:rPr>
          <w:i/>
        </w:rPr>
        <w:t>. Management of Regulator</w:t>
      </w:r>
      <w:r w:rsidR="00DD3560">
        <w:rPr>
          <w:i/>
        </w:rPr>
        <w:t>y</w:t>
      </w:r>
      <w:r w:rsidR="00E660F7">
        <w:rPr>
          <w:i/>
        </w:rPr>
        <w:t xml:space="preserve"> Issues – Guidance. ONR-RI-GD-003 Revision 4 August 2017. </w:t>
      </w:r>
    </w:p>
    <w:p w14:paraId="79A3B7B2" w14:textId="77777777" w:rsidR="0063719B" w:rsidRDefault="00F51E99" w:rsidP="0063719B">
      <w:pPr>
        <w:pStyle w:val="ONRNormal"/>
        <w:ind w:left="880" w:hanging="880"/>
      </w:pPr>
      <w:r>
        <w:t>20</w:t>
      </w:r>
      <w:r w:rsidR="0063719B">
        <w:tab/>
      </w:r>
      <w:r w:rsidR="0063719B" w:rsidRPr="00A14A0C">
        <w:rPr>
          <w:i/>
        </w:rPr>
        <w:t>ONR How2 Business Ma</w:t>
      </w:r>
      <w:r w:rsidR="0063719B" w:rsidRPr="001F4CBD">
        <w:rPr>
          <w:i/>
        </w:rPr>
        <w:t>nagement System. Function and Content of a Safety Management Prospectus.</w:t>
      </w:r>
      <w:r w:rsidR="0063719B">
        <w:t xml:space="preserve"> NS-TAST-GD-</w:t>
      </w:r>
      <w:r w:rsidR="0063719B" w:rsidRPr="002604D8">
        <w:t>072</w:t>
      </w:r>
      <w:r w:rsidR="0063719B" w:rsidRPr="00171968">
        <w:t xml:space="preserve"> Revision </w:t>
      </w:r>
      <w:r w:rsidR="002604D8" w:rsidRPr="00084490">
        <w:t>3</w:t>
      </w:r>
      <w:r w:rsidR="0063719B" w:rsidRPr="002604D8">
        <w:t xml:space="preserve">. </w:t>
      </w:r>
      <w:r w:rsidR="002604D8" w:rsidRPr="00084490">
        <w:t>ONR</w:t>
      </w:r>
      <w:r w:rsidR="0063719B" w:rsidRPr="002604D8">
        <w:t xml:space="preserve">. </w:t>
      </w:r>
      <w:r w:rsidR="002604D8" w:rsidRPr="00084490">
        <w:t>July</w:t>
      </w:r>
      <w:r w:rsidR="0063719B" w:rsidRPr="002604D8">
        <w:t xml:space="preserve"> 201</w:t>
      </w:r>
      <w:r w:rsidR="002604D8" w:rsidRPr="00084490">
        <w:t>8</w:t>
      </w:r>
      <w:r w:rsidR="0063719B" w:rsidRPr="00171968">
        <w:t xml:space="preserve">. </w:t>
      </w:r>
      <w:hyperlink r:id="rId21" w:history="1">
        <w:r w:rsidR="00A63ECC" w:rsidRPr="00171968">
          <w:rPr>
            <w:rStyle w:val="Hyperlink"/>
          </w:rPr>
          <w:t>http://www.onr.org.uk/operational/tech_asst_guides/index.htm</w:t>
        </w:r>
      </w:hyperlink>
    </w:p>
    <w:p w14:paraId="79A3B7B3" w14:textId="77777777" w:rsidR="0063719B" w:rsidRDefault="00F51E99" w:rsidP="0063719B">
      <w:pPr>
        <w:pStyle w:val="ONRNormal"/>
        <w:ind w:left="880" w:hanging="880"/>
      </w:pPr>
      <w:r>
        <w:t>21</w:t>
      </w:r>
      <w:r w:rsidR="0063719B">
        <w:tab/>
        <w:t>Application of the Management System for Facilities and Activities.</w:t>
      </w:r>
      <w:r w:rsidR="00D951C6">
        <w:t xml:space="preserve"> </w:t>
      </w:r>
      <w:r w:rsidR="0063719B">
        <w:t>IAEA Safety Standards.</w:t>
      </w:r>
      <w:r w:rsidR="00D951C6">
        <w:t xml:space="preserve"> </w:t>
      </w:r>
      <w:r w:rsidR="0063719B">
        <w:t xml:space="preserve">Safety Guide No. GS-G-3.1, </w:t>
      </w:r>
      <w:r w:rsidR="0063719B" w:rsidRPr="00AA533F">
        <w:t>International Atomic Energy Agency (IAEA)</w:t>
      </w:r>
      <w:r w:rsidR="0063719B">
        <w:rPr>
          <w:iCs/>
        </w:rPr>
        <w:t xml:space="preserve">. </w:t>
      </w:r>
      <w:r w:rsidR="0063719B" w:rsidRPr="00AA533F">
        <w:t>200</w:t>
      </w:r>
      <w:r w:rsidR="0063719B">
        <w:t>6</w:t>
      </w:r>
      <w:r w:rsidR="0063719B" w:rsidRPr="00AA533F">
        <w:t>.</w:t>
      </w:r>
      <w:r w:rsidR="0063719B">
        <w:t xml:space="preserve"> </w:t>
      </w:r>
      <w:hyperlink r:id="rId22" w:history="1">
        <w:r w:rsidR="0063719B" w:rsidRPr="00097714">
          <w:rPr>
            <w:rStyle w:val="Hyperlink"/>
          </w:rPr>
          <w:t>www.iaea.org</w:t>
        </w:r>
      </w:hyperlink>
      <w:r w:rsidR="0063719B">
        <w:t>.</w:t>
      </w:r>
      <w:r w:rsidR="00D951C6">
        <w:t xml:space="preserve"> </w:t>
      </w:r>
    </w:p>
    <w:p w14:paraId="79A3B7B4" w14:textId="77777777" w:rsidR="00B54EB8" w:rsidRDefault="00B54EB8" w:rsidP="00B54EB8">
      <w:pPr>
        <w:pStyle w:val="ONRNormal"/>
        <w:ind w:left="880" w:hanging="880"/>
        <w:rPr>
          <w:rStyle w:val="Hyperlink"/>
        </w:rPr>
      </w:pPr>
      <w:r>
        <w:rPr>
          <w:i/>
        </w:rPr>
        <w:t>2</w:t>
      </w:r>
      <w:r w:rsidR="00F51E99">
        <w:rPr>
          <w:i/>
        </w:rPr>
        <w:t>2</w:t>
      </w:r>
      <w:r>
        <w:tab/>
      </w:r>
      <w:r w:rsidRPr="00A14A0C">
        <w:rPr>
          <w:i/>
        </w:rPr>
        <w:t xml:space="preserve">ONR How2 Business Management System. </w:t>
      </w:r>
      <w:r w:rsidRPr="007F60A6">
        <w:rPr>
          <w:i/>
        </w:rPr>
        <w:t xml:space="preserve">Management of Radioactive Materials and Radioactive Waste on Nuclear Licensed Sites. </w:t>
      </w:r>
      <w:r w:rsidRPr="009915A5">
        <w:t>NS</w:t>
      </w:r>
      <w:r>
        <w:rPr>
          <w:i/>
        </w:rPr>
        <w:t>-</w:t>
      </w:r>
      <w:r>
        <w:t>TAST-GD-</w:t>
      </w:r>
      <w:r w:rsidRPr="002604D8">
        <w:t xml:space="preserve">024, Revision </w:t>
      </w:r>
      <w:r w:rsidRPr="00084490">
        <w:t>6</w:t>
      </w:r>
      <w:r w:rsidRPr="002604D8">
        <w:t xml:space="preserve">. </w:t>
      </w:r>
      <w:r w:rsidRPr="00084490">
        <w:t>September</w:t>
      </w:r>
      <w:r w:rsidRPr="002604D8">
        <w:t xml:space="preserve"> 201</w:t>
      </w:r>
      <w:r w:rsidRPr="00084490">
        <w:t>9</w:t>
      </w:r>
      <w:r w:rsidRPr="002604D8">
        <w:t>.</w:t>
      </w:r>
      <w:r>
        <w:br/>
      </w:r>
      <w:hyperlink r:id="rId23" w:history="1">
        <w:r w:rsidRPr="00F4705A">
          <w:rPr>
            <w:rStyle w:val="Hyperlink"/>
          </w:rPr>
          <w:t>http://www.onr.org.uk/operational/tech_asst_guides/index.htm</w:t>
        </w:r>
      </w:hyperlink>
    </w:p>
    <w:p w14:paraId="79A3B7B5" w14:textId="77777777" w:rsidR="001439EE" w:rsidRDefault="001439EE" w:rsidP="0063719B">
      <w:pPr>
        <w:pStyle w:val="ONRNormal"/>
        <w:ind w:left="880" w:hanging="880"/>
        <w:rPr>
          <w:rStyle w:val="Hyperlink"/>
        </w:rPr>
      </w:pPr>
      <w:r>
        <w:rPr>
          <w:i/>
        </w:rPr>
        <w:t>2</w:t>
      </w:r>
      <w:r w:rsidR="00723A50">
        <w:rPr>
          <w:i/>
        </w:rPr>
        <w:t>3</w:t>
      </w:r>
      <w:r>
        <w:rPr>
          <w:i/>
        </w:rPr>
        <w:tab/>
      </w:r>
      <w:r w:rsidRPr="00A14A0C">
        <w:rPr>
          <w:i/>
        </w:rPr>
        <w:t>ONR How2 Business Ma</w:t>
      </w:r>
      <w:r w:rsidRPr="001F4CBD">
        <w:rPr>
          <w:i/>
        </w:rPr>
        <w:t>nagement System</w:t>
      </w:r>
      <w:r>
        <w:rPr>
          <w:i/>
        </w:rPr>
        <w:t xml:space="preserve">. Technical Assessment Guide - Fundamental Principles. NS-TAST-GD-004 Revision 7 April 2019. </w:t>
      </w:r>
      <w:hyperlink r:id="rId24" w:history="1">
        <w:r w:rsidRPr="00F4705A">
          <w:rPr>
            <w:rStyle w:val="Hyperlink"/>
          </w:rPr>
          <w:t>http://www.onr.org.uk/operational/tech_asst_guides/index.htm</w:t>
        </w:r>
      </w:hyperlink>
    </w:p>
    <w:p w14:paraId="79A3B7B6" w14:textId="77777777" w:rsidR="001439EE" w:rsidRDefault="001C0A22" w:rsidP="001439EE">
      <w:pPr>
        <w:pStyle w:val="ONRNormal"/>
        <w:ind w:left="880" w:hanging="880"/>
        <w:rPr>
          <w:rStyle w:val="Hyperlink"/>
          <w:i/>
        </w:rPr>
      </w:pPr>
      <w:r>
        <w:rPr>
          <w:i/>
        </w:rPr>
        <w:t>2</w:t>
      </w:r>
      <w:r w:rsidR="00723A50">
        <w:rPr>
          <w:i/>
        </w:rPr>
        <w:t>4</w:t>
      </w:r>
      <w:r w:rsidR="001439EE">
        <w:rPr>
          <w:i/>
        </w:rPr>
        <w:tab/>
      </w:r>
      <w:r w:rsidR="001439EE" w:rsidRPr="00A14A0C">
        <w:rPr>
          <w:i/>
        </w:rPr>
        <w:t>ONR How2 Business Ma</w:t>
      </w:r>
      <w:r w:rsidR="001439EE" w:rsidRPr="001F4CBD">
        <w:rPr>
          <w:i/>
        </w:rPr>
        <w:t>nagement System</w:t>
      </w:r>
      <w:r w:rsidR="001439EE">
        <w:rPr>
          <w:i/>
        </w:rPr>
        <w:t xml:space="preserve">. </w:t>
      </w:r>
      <w:r w:rsidR="001439EE" w:rsidRPr="005B165E">
        <w:rPr>
          <w:i/>
        </w:rPr>
        <w:t>Radiological Protection,</w:t>
      </w:r>
      <w:r w:rsidR="009C120D">
        <w:rPr>
          <w:i/>
        </w:rPr>
        <w:t xml:space="preserve"> NS-TAST-GD-038 Revision </w:t>
      </w:r>
      <w:r w:rsidR="001439EE" w:rsidRPr="005B165E">
        <w:rPr>
          <w:i/>
        </w:rPr>
        <w:t>8, November 2017</w:t>
      </w:r>
      <w:r w:rsidR="001439EE">
        <w:rPr>
          <w:i/>
        </w:rPr>
        <w:t>.</w:t>
      </w:r>
      <w:r w:rsidR="001439EE" w:rsidRPr="005B165E">
        <w:t xml:space="preserve"> </w:t>
      </w:r>
      <w:hyperlink r:id="rId25" w:history="1">
        <w:r w:rsidR="001439EE" w:rsidRPr="005B165E">
          <w:rPr>
            <w:rStyle w:val="Hyperlink"/>
            <w:i/>
          </w:rPr>
          <w:t>http://www.onr.org.uk/operational/tech_asst_guides/index.htm</w:t>
        </w:r>
      </w:hyperlink>
    </w:p>
    <w:p w14:paraId="79A3B7B7" w14:textId="77777777" w:rsidR="001439EE" w:rsidRDefault="001439EE" w:rsidP="001439EE">
      <w:pPr>
        <w:pStyle w:val="ONRNormal"/>
        <w:ind w:left="880" w:hanging="880"/>
      </w:pPr>
      <w:r>
        <w:rPr>
          <w:i/>
        </w:rPr>
        <w:t>2</w:t>
      </w:r>
      <w:r w:rsidR="00723A50">
        <w:rPr>
          <w:i/>
        </w:rPr>
        <w:t>5</w:t>
      </w:r>
      <w:r>
        <w:rPr>
          <w:i/>
        </w:rPr>
        <w:tab/>
      </w:r>
      <w:r w:rsidRPr="00FB0DAD">
        <w:t>Ionising Radiations Regulations 2017</w:t>
      </w:r>
      <w:r>
        <w:t>/1075</w:t>
      </w:r>
      <w:r w:rsidRPr="00FB0DAD">
        <w:t xml:space="preserve"> (IRR17) Approved Code of Practice and Guidance</w:t>
      </w:r>
      <w:r>
        <w:t xml:space="preserve">, </w:t>
      </w:r>
      <w:r w:rsidRPr="005B165E">
        <w:t>L121, Second Edition 2018</w:t>
      </w:r>
      <w:r>
        <w:t>.</w:t>
      </w:r>
    </w:p>
    <w:p w14:paraId="79A3B7B8" w14:textId="77777777" w:rsidR="008260B0" w:rsidRDefault="008260B0" w:rsidP="008260B0">
      <w:pPr>
        <w:pStyle w:val="ONRNormal"/>
        <w:ind w:left="880" w:hanging="880"/>
      </w:pPr>
    </w:p>
    <w:p w14:paraId="79A3B7B9" w14:textId="77777777" w:rsidR="001439EE" w:rsidRDefault="001439EE" w:rsidP="001439EE">
      <w:pPr>
        <w:pStyle w:val="ONRNormal"/>
        <w:ind w:left="880" w:hanging="880"/>
        <w:rPr>
          <w:rStyle w:val="Hyperlink"/>
          <w:i/>
          <w:color w:val="auto"/>
          <w:u w:val="none"/>
        </w:rPr>
      </w:pPr>
    </w:p>
    <w:p w14:paraId="79A3B7BA" w14:textId="77777777" w:rsidR="009C5799" w:rsidRDefault="009C5799" w:rsidP="001439EE">
      <w:pPr>
        <w:pStyle w:val="ONRNormal"/>
        <w:ind w:left="880" w:hanging="880"/>
        <w:rPr>
          <w:rStyle w:val="Hyperlink"/>
          <w:i/>
          <w:color w:val="auto"/>
          <w:u w:val="none"/>
        </w:rPr>
      </w:pPr>
    </w:p>
    <w:p w14:paraId="79A3B7BB" w14:textId="77777777" w:rsidR="009C5799" w:rsidRPr="001439EE" w:rsidRDefault="009C5799" w:rsidP="001439EE">
      <w:pPr>
        <w:pStyle w:val="ONRNormal"/>
        <w:ind w:left="880" w:hanging="880"/>
        <w:rPr>
          <w:rStyle w:val="Hyperlink"/>
          <w:i/>
          <w:color w:val="auto"/>
          <w:u w:val="none"/>
        </w:rPr>
      </w:pPr>
    </w:p>
    <w:p w14:paraId="79A3B7BC" w14:textId="77777777" w:rsidR="0063719B" w:rsidRPr="00A075E1" w:rsidRDefault="0063719B" w:rsidP="0063719B">
      <w:pPr>
        <w:rPr>
          <w:i/>
          <w:sz w:val="20"/>
          <w:szCs w:val="20"/>
        </w:rPr>
      </w:pPr>
      <w:r w:rsidRPr="00A075E1">
        <w:rPr>
          <w:sz w:val="20"/>
          <w:szCs w:val="20"/>
        </w:rPr>
        <w:t>Note:</w:t>
      </w:r>
      <w:r w:rsidRPr="00A075E1">
        <w:rPr>
          <w:i/>
          <w:sz w:val="20"/>
          <w:szCs w:val="20"/>
        </w:rPr>
        <w:t xml:space="preserve"> </w:t>
      </w:r>
      <w:r w:rsidRPr="00A075E1">
        <w:rPr>
          <w:sz w:val="20"/>
          <w:szCs w:val="20"/>
        </w:rPr>
        <w:t xml:space="preserve">ONR staff should access </w:t>
      </w:r>
      <w:r>
        <w:rPr>
          <w:sz w:val="20"/>
          <w:szCs w:val="20"/>
        </w:rPr>
        <w:t xml:space="preserve">the above </w:t>
      </w:r>
      <w:r w:rsidRPr="00A075E1">
        <w:rPr>
          <w:sz w:val="20"/>
          <w:szCs w:val="20"/>
        </w:rPr>
        <w:t xml:space="preserve">internal ONR references via the How2 Business Management System. </w:t>
      </w:r>
    </w:p>
    <w:p w14:paraId="79A3B7BD" w14:textId="77777777" w:rsidR="00EB7487" w:rsidRDefault="00EB7487" w:rsidP="00EB7487">
      <w:pPr>
        <w:pStyle w:val="NumberedHeading"/>
        <w:pageBreakBefore/>
        <w:ind w:left="720"/>
      </w:pPr>
      <w:bookmarkStart w:id="60" w:name="_Toc43460819"/>
      <w:r>
        <w:t>Glossary and Abbreviations</w:t>
      </w:r>
      <w:bookmarkEnd w:id="60"/>
    </w:p>
    <w:tbl>
      <w:tblPr>
        <w:tblW w:w="0" w:type="auto"/>
        <w:tblInd w:w="880" w:type="dxa"/>
        <w:tblCellMar>
          <w:top w:w="57" w:type="dxa"/>
          <w:left w:w="0" w:type="dxa"/>
          <w:bottom w:w="57" w:type="dxa"/>
          <w:right w:w="0" w:type="dxa"/>
        </w:tblCellMar>
        <w:tblLook w:val="0000" w:firstRow="0" w:lastRow="0" w:firstColumn="0" w:lastColumn="0" w:noHBand="0" w:noVBand="0"/>
      </w:tblPr>
      <w:tblGrid>
        <w:gridCol w:w="1819"/>
        <w:gridCol w:w="6371"/>
      </w:tblGrid>
      <w:tr w:rsidR="00EB7487" w:rsidRPr="00460BCD" w14:paraId="79A3B7C0" w14:textId="77777777" w:rsidTr="00EB7487">
        <w:tc>
          <w:tcPr>
            <w:tcW w:w="1923" w:type="dxa"/>
          </w:tcPr>
          <w:p w14:paraId="79A3B7BE" w14:textId="77777777" w:rsidR="00EB7487" w:rsidRPr="00460BCD" w:rsidRDefault="00EB7487" w:rsidP="00EB7487">
            <w:pPr>
              <w:spacing w:after="0"/>
              <w:rPr>
                <w:sz w:val="20"/>
                <w:szCs w:val="20"/>
              </w:rPr>
            </w:pPr>
            <w:r w:rsidRPr="00460BCD">
              <w:rPr>
                <w:sz w:val="20"/>
                <w:szCs w:val="20"/>
              </w:rPr>
              <w:t>ALARP</w:t>
            </w:r>
          </w:p>
        </w:tc>
        <w:tc>
          <w:tcPr>
            <w:tcW w:w="6838" w:type="dxa"/>
          </w:tcPr>
          <w:p w14:paraId="79A3B7BF" w14:textId="77777777" w:rsidR="00EB7487" w:rsidRPr="00460BCD" w:rsidRDefault="00EB7487" w:rsidP="00EB7487">
            <w:pPr>
              <w:spacing w:after="0"/>
              <w:rPr>
                <w:sz w:val="20"/>
                <w:szCs w:val="20"/>
              </w:rPr>
            </w:pPr>
            <w:r w:rsidRPr="00460BCD">
              <w:rPr>
                <w:sz w:val="20"/>
                <w:szCs w:val="20"/>
              </w:rPr>
              <w:t>As low as reasonably practicable</w:t>
            </w:r>
          </w:p>
        </w:tc>
      </w:tr>
      <w:tr w:rsidR="00EB7487" w:rsidRPr="00460BCD" w14:paraId="79A3B7C3" w14:textId="77777777" w:rsidTr="00EB7487">
        <w:tc>
          <w:tcPr>
            <w:tcW w:w="1923" w:type="dxa"/>
          </w:tcPr>
          <w:p w14:paraId="79A3B7C1" w14:textId="77777777" w:rsidR="00EB7487" w:rsidRPr="00460BCD" w:rsidRDefault="00656ED2" w:rsidP="00EB7487">
            <w:pPr>
              <w:spacing w:after="0"/>
              <w:rPr>
                <w:sz w:val="20"/>
                <w:szCs w:val="20"/>
              </w:rPr>
            </w:pPr>
            <w:r>
              <w:rPr>
                <w:sz w:val="20"/>
                <w:szCs w:val="20"/>
              </w:rPr>
              <w:t>C&amp;M</w:t>
            </w:r>
          </w:p>
        </w:tc>
        <w:tc>
          <w:tcPr>
            <w:tcW w:w="6838" w:type="dxa"/>
          </w:tcPr>
          <w:p w14:paraId="79A3B7C2" w14:textId="77777777" w:rsidR="00EB7487" w:rsidRPr="00460BCD" w:rsidRDefault="0003675B" w:rsidP="00EB7487">
            <w:pPr>
              <w:spacing w:after="0"/>
              <w:rPr>
                <w:sz w:val="20"/>
                <w:szCs w:val="20"/>
              </w:rPr>
            </w:pPr>
            <w:r>
              <w:rPr>
                <w:sz w:val="20"/>
                <w:szCs w:val="20"/>
              </w:rPr>
              <w:t>Care and maintenance</w:t>
            </w:r>
          </w:p>
        </w:tc>
      </w:tr>
      <w:tr w:rsidR="00AA6817" w:rsidRPr="00460BCD" w14:paraId="79A3B7C6" w14:textId="77777777" w:rsidTr="00EB7487">
        <w:tc>
          <w:tcPr>
            <w:tcW w:w="1923" w:type="dxa"/>
          </w:tcPr>
          <w:p w14:paraId="79A3B7C4" w14:textId="77777777" w:rsidR="00AA6817" w:rsidRPr="00460BCD" w:rsidRDefault="00AA6817" w:rsidP="00EB7487">
            <w:pPr>
              <w:spacing w:after="0"/>
              <w:rPr>
                <w:sz w:val="20"/>
                <w:szCs w:val="20"/>
              </w:rPr>
            </w:pPr>
            <w:r>
              <w:rPr>
                <w:sz w:val="20"/>
                <w:szCs w:val="20"/>
              </w:rPr>
              <w:t>COMAH</w:t>
            </w:r>
          </w:p>
        </w:tc>
        <w:tc>
          <w:tcPr>
            <w:tcW w:w="6838" w:type="dxa"/>
          </w:tcPr>
          <w:p w14:paraId="79A3B7C5" w14:textId="77777777" w:rsidR="00AA6817" w:rsidRPr="00460BCD" w:rsidRDefault="00AA6817" w:rsidP="00E033E2">
            <w:pPr>
              <w:spacing w:after="0"/>
              <w:rPr>
                <w:sz w:val="20"/>
                <w:szCs w:val="20"/>
              </w:rPr>
            </w:pPr>
            <w:r>
              <w:rPr>
                <w:sz w:val="20"/>
                <w:szCs w:val="20"/>
              </w:rPr>
              <w:t>Control of Major Accident Hazards</w:t>
            </w:r>
          </w:p>
        </w:tc>
      </w:tr>
      <w:tr w:rsidR="00EB7487" w:rsidRPr="00460BCD" w14:paraId="79A3B7C9" w14:textId="77777777" w:rsidTr="00EB7487">
        <w:tc>
          <w:tcPr>
            <w:tcW w:w="1923" w:type="dxa"/>
          </w:tcPr>
          <w:p w14:paraId="79A3B7C7" w14:textId="77777777" w:rsidR="00EB7487" w:rsidRPr="00460BCD" w:rsidRDefault="00EB7487" w:rsidP="00EB7487">
            <w:pPr>
              <w:spacing w:after="0"/>
              <w:rPr>
                <w:sz w:val="20"/>
                <w:szCs w:val="20"/>
              </w:rPr>
            </w:pPr>
            <w:r w:rsidRPr="00460BCD">
              <w:rPr>
                <w:sz w:val="20"/>
                <w:szCs w:val="20"/>
              </w:rPr>
              <w:t>EMM</w:t>
            </w:r>
          </w:p>
        </w:tc>
        <w:tc>
          <w:tcPr>
            <w:tcW w:w="6838" w:type="dxa"/>
          </w:tcPr>
          <w:p w14:paraId="79A3B7C8" w14:textId="77777777" w:rsidR="00EB7487" w:rsidRPr="00460BCD" w:rsidRDefault="00EB7487" w:rsidP="00E033E2">
            <w:pPr>
              <w:spacing w:after="0"/>
              <w:rPr>
                <w:sz w:val="20"/>
                <w:szCs w:val="20"/>
              </w:rPr>
            </w:pPr>
            <w:r w:rsidRPr="00460BCD">
              <w:rPr>
                <w:sz w:val="20"/>
                <w:szCs w:val="20"/>
              </w:rPr>
              <w:t>Enforcement Management Model</w:t>
            </w:r>
          </w:p>
        </w:tc>
      </w:tr>
      <w:tr w:rsidR="00AA6817" w:rsidRPr="00460BCD" w14:paraId="79A3B7CC" w14:textId="77777777" w:rsidTr="00EB7487">
        <w:tc>
          <w:tcPr>
            <w:tcW w:w="1923" w:type="dxa"/>
          </w:tcPr>
          <w:p w14:paraId="79A3B7CA" w14:textId="77777777" w:rsidR="00AA6817" w:rsidRPr="00460BCD" w:rsidRDefault="00AA6817" w:rsidP="00EB7487">
            <w:pPr>
              <w:spacing w:after="0"/>
              <w:rPr>
                <w:sz w:val="20"/>
                <w:szCs w:val="20"/>
              </w:rPr>
            </w:pPr>
            <w:r>
              <w:rPr>
                <w:sz w:val="20"/>
                <w:szCs w:val="20"/>
              </w:rPr>
              <w:t>EIADAR</w:t>
            </w:r>
          </w:p>
        </w:tc>
        <w:tc>
          <w:tcPr>
            <w:tcW w:w="6838" w:type="dxa"/>
          </w:tcPr>
          <w:p w14:paraId="79A3B7CB" w14:textId="77777777" w:rsidR="00AA6817" w:rsidRPr="000619C8" w:rsidRDefault="00077D38" w:rsidP="00E033E2">
            <w:pPr>
              <w:spacing w:after="0"/>
              <w:rPr>
                <w:sz w:val="20"/>
                <w:szCs w:val="20"/>
              </w:rPr>
            </w:pPr>
            <w:r w:rsidRPr="00E26909">
              <w:rPr>
                <w:sz w:val="20"/>
                <w:szCs w:val="20"/>
              </w:rPr>
              <w:t>Environmental Impact Assessment for Decommissioning 1999 (as amended)</w:t>
            </w:r>
          </w:p>
        </w:tc>
      </w:tr>
      <w:tr w:rsidR="0033485E" w:rsidRPr="00460BCD" w14:paraId="79A3B7CF" w14:textId="77777777" w:rsidTr="00EB7487">
        <w:tc>
          <w:tcPr>
            <w:tcW w:w="1923" w:type="dxa"/>
          </w:tcPr>
          <w:p w14:paraId="79A3B7CD" w14:textId="77777777" w:rsidR="0033485E" w:rsidRDefault="0033485E" w:rsidP="00EB7487">
            <w:pPr>
              <w:spacing w:after="0"/>
              <w:rPr>
                <w:sz w:val="20"/>
                <w:szCs w:val="20"/>
              </w:rPr>
            </w:pPr>
            <w:r>
              <w:rPr>
                <w:sz w:val="20"/>
                <w:szCs w:val="20"/>
              </w:rPr>
              <w:t>EIMT</w:t>
            </w:r>
          </w:p>
        </w:tc>
        <w:tc>
          <w:tcPr>
            <w:tcW w:w="6838" w:type="dxa"/>
          </w:tcPr>
          <w:p w14:paraId="79A3B7CE" w14:textId="77777777" w:rsidR="0033485E" w:rsidRPr="00E26909" w:rsidRDefault="0033485E" w:rsidP="000619C8">
            <w:pPr>
              <w:spacing w:after="0"/>
              <w:rPr>
                <w:sz w:val="20"/>
                <w:szCs w:val="20"/>
              </w:rPr>
            </w:pPr>
            <w:r w:rsidRPr="00E26909">
              <w:rPr>
                <w:sz w:val="20"/>
                <w:szCs w:val="20"/>
              </w:rPr>
              <w:t xml:space="preserve">Examination, Inspection, </w:t>
            </w:r>
            <w:r w:rsidR="000619C8" w:rsidRPr="00E26909">
              <w:rPr>
                <w:sz w:val="20"/>
                <w:szCs w:val="20"/>
              </w:rPr>
              <w:t xml:space="preserve">Maintenance </w:t>
            </w:r>
            <w:r w:rsidRPr="00E26909">
              <w:rPr>
                <w:sz w:val="20"/>
                <w:szCs w:val="20"/>
              </w:rPr>
              <w:t>and Testing</w:t>
            </w:r>
          </w:p>
        </w:tc>
      </w:tr>
      <w:tr w:rsidR="0033485E" w:rsidRPr="00460BCD" w14:paraId="79A3B7D2" w14:textId="77777777" w:rsidTr="00EB7487">
        <w:tc>
          <w:tcPr>
            <w:tcW w:w="1923" w:type="dxa"/>
          </w:tcPr>
          <w:p w14:paraId="79A3B7D0" w14:textId="77777777" w:rsidR="0033485E" w:rsidRDefault="0033485E" w:rsidP="00EB7487">
            <w:pPr>
              <w:spacing w:after="0"/>
              <w:rPr>
                <w:sz w:val="20"/>
                <w:szCs w:val="20"/>
              </w:rPr>
            </w:pPr>
            <w:r>
              <w:rPr>
                <w:sz w:val="20"/>
                <w:szCs w:val="20"/>
              </w:rPr>
              <w:t>HAZAN</w:t>
            </w:r>
          </w:p>
        </w:tc>
        <w:tc>
          <w:tcPr>
            <w:tcW w:w="6838" w:type="dxa"/>
          </w:tcPr>
          <w:p w14:paraId="79A3B7D1" w14:textId="77777777" w:rsidR="0033485E" w:rsidRPr="00E26909" w:rsidRDefault="0033485E" w:rsidP="00E033E2">
            <w:pPr>
              <w:spacing w:after="0"/>
              <w:rPr>
                <w:sz w:val="20"/>
                <w:szCs w:val="20"/>
              </w:rPr>
            </w:pPr>
            <w:r w:rsidRPr="00E26909">
              <w:rPr>
                <w:sz w:val="20"/>
                <w:szCs w:val="20"/>
              </w:rPr>
              <w:t>Hazard Analysis</w:t>
            </w:r>
          </w:p>
        </w:tc>
      </w:tr>
      <w:tr w:rsidR="0033485E" w:rsidRPr="00460BCD" w14:paraId="79A3B7D5" w14:textId="77777777" w:rsidTr="00EB7487">
        <w:tc>
          <w:tcPr>
            <w:tcW w:w="1923" w:type="dxa"/>
          </w:tcPr>
          <w:p w14:paraId="79A3B7D3" w14:textId="77777777" w:rsidR="0033485E" w:rsidRDefault="0033485E" w:rsidP="00EB7487">
            <w:pPr>
              <w:spacing w:after="0"/>
              <w:rPr>
                <w:sz w:val="20"/>
                <w:szCs w:val="20"/>
              </w:rPr>
            </w:pPr>
            <w:r>
              <w:rPr>
                <w:sz w:val="20"/>
                <w:szCs w:val="20"/>
              </w:rPr>
              <w:t>HAZID</w:t>
            </w:r>
          </w:p>
        </w:tc>
        <w:tc>
          <w:tcPr>
            <w:tcW w:w="6838" w:type="dxa"/>
          </w:tcPr>
          <w:p w14:paraId="79A3B7D4" w14:textId="77777777" w:rsidR="0033485E" w:rsidRPr="00E26909" w:rsidRDefault="0033485E" w:rsidP="00E033E2">
            <w:pPr>
              <w:spacing w:after="0"/>
              <w:rPr>
                <w:sz w:val="20"/>
                <w:szCs w:val="20"/>
              </w:rPr>
            </w:pPr>
            <w:r w:rsidRPr="00E26909">
              <w:rPr>
                <w:sz w:val="20"/>
                <w:szCs w:val="20"/>
              </w:rPr>
              <w:t>Hazard Identification</w:t>
            </w:r>
          </w:p>
        </w:tc>
      </w:tr>
      <w:tr w:rsidR="00EB7487" w:rsidRPr="00460BCD" w14:paraId="79A3B7D8" w14:textId="77777777" w:rsidTr="00EB7487">
        <w:tc>
          <w:tcPr>
            <w:tcW w:w="1923" w:type="dxa"/>
          </w:tcPr>
          <w:p w14:paraId="79A3B7D6" w14:textId="77777777" w:rsidR="00EB7487" w:rsidRPr="00460BCD" w:rsidRDefault="00EB7487" w:rsidP="00EB7487">
            <w:pPr>
              <w:spacing w:after="0"/>
              <w:rPr>
                <w:sz w:val="20"/>
                <w:szCs w:val="20"/>
              </w:rPr>
            </w:pPr>
            <w:r w:rsidRPr="00460BCD">
              <w:rPr>
                <w:sz w:val="20"/>
                <w:szCs w:val="20"/>
              </w:rPr>
              <w:t>HSE</w:t>
            </w:r>
          </w:p>
        </w:tc>
        <w:tc>
          <w:tcPr>
            <w:tcW w:w="6838" w:type="dxa"/>
          </w:tcPr>
          <w:p w14:paraId="79A3B7D7" w14:textId="77777777" w:rsidR="00EB7487" w:rsidRPr="00460BCD" w:rsidRDefault="00EB7487" w:rsidP="00EB7487">
            <w:pPr>
              <w:spacing w:after="0"/>
              <w:rPr>
                <w:sz w:val="20"/>
                <w:szCs w:val="20"/>
              </w:rPr>
            </w:pPr>
            <w:r w:rsidRPr="00460BCD">
              <w:rPr>
                <w:sz w:val="20"/>
                <w:szCs w:val="20"/>
              </w:rPr>
              <w:t>Health and Safety Executive</w:t>
            </w:r>
          </w:p>
        </w:tc>
      </w:tr>
      <w:tr w:rsidR="00EB7487" w:rsidRPr="00460BCD" w14:paraId="79A3B7DB" w14:textId="77777777" w:rsidTr="00EB7487">
        <w:tc>
          <w:tcPr>
            <w:tcW w:w="1923" w:type="dxa"/>
          </w:tcPr>
          <w:p w14:paraId="79A3B7D9" w14:textId="77777777" w:rsidR="00EB7487" w:rsidRPr="00460BCD" w:rsidRDefault="00EB7487" w:rsidP="00EB7487">
            <w:pPr>
              <w:spacing w:after="0"/>
              <w:rPr>
                <w:sz w:val="20"/>
                <w:szCs w:val="20"/>
              </w:rPr>
            </w:pPr>
            <w:r w:rsidRPr="00460BCD">
              <w:rPr>
                <w:sz w:val="20"/>
                <w:szCs w:val="20"/>
              </w:rPr>
              <w:t>IAEA</w:t>
            </w:r>
          </w:p>
        </w:tc>
        <w:tc>
          <w:tcPr>
            <w:tcW w:w="6838" w:type="dxa"/>
          </w:tcPr>
          <w:p w14:paraId="79A3B7DA" w14:textId="77777777" w:rsidR="00EB7487" w:rsidRPr="00460BCD" w:rsidRDefault="00EB7487" w:rsidP="00EB7487">
            <w:pPr>
              <w:spacing w:after="0"/>
              <w:rPr>
                <w:sz w:val="20"/>
                <w:szCs w:val="20"/>
              </w:rPr>
            </w:pPr>
            <w:r w:rsidRPr="00460BCD">
              <w:rPr>
                <w:sz w:val="20"/>
                <w:szCs w:val="20"/>
              </w:rPr>
              <w:t>International Atomic Energy Agency</w:t>
            </w:r>
          </w:p>
        </w:tc>
      </w:tr>
      <w:tr w:rsidR="00AA6817" w:rsidRPr="00460BCD" w14:paraId="79A3B7DE" w14:textId="77777777" w:rsidTr="00EB7487">
        <w:tc>
          <w:tcPr>
            <w:tcW w:w="1923" w:type="dxa"/>
          </w:tcPr>
          <w:p w14:paraId="79A3B7DC" w14:textId="77777777" w:rsidR="00AA6817" w:rsidRPr="00460BCD" w:rsidRDefault="00AA6817" w:rsidP="00EB7487">
            <w:pPr>
              <w:spacing w:after="0"/>
              <w:rPr>
                <w:sz w:val="20"/>
                <w:szCs w:val="20"/>
              </w:rPr>
            </w:pPr>
            <w:r>
              <w:rPr>
                <w:sz w:val="20"/>
                <w:szCs w:val="20"/>
              </w:rPr>
              <w:t>IRR</w:t>
            </w:r>
          </w:p>
        </w:tc>
        <w:tc>
          <w:tcPr>
            <w:tcW w:w="6838" w:type="dxa"/>
          </w:tcPr>
          <w:p w14:paraId="79A3B7DD" w14:textId="77777777" w:rsidR="00AA6817" w:rsidRDefault="00AA6817" w:rsidP="00EB7487">
            <w:pPr>
              <w:spacing w:after="0"/>
              <w:rPr>
                <w:sz w:val="20"/>
                <w:szCs w:val="20"/>
              </w:rPr>
            </w:pPr>
            <w:r>
              <w:rPr>
                <w:sz w:val="20"/>
                <w:szCs w:val="20"/>
              </w:rPr>
              <w:t>Ionising Radiation Regulations 201</w:t>
            </w:r>
            <w:r w:rsidR="00077D38">
              <w:rPr>
                <w:sz w:val="20"/>
                <w:szCs w:val="20"/>
              </w:rPr>
              <w:t>7</w:t>
            </w:r>
          </w:p>
        </w:tc>
      </w:tr>
      <w:tr w:rsidR="00EB7487" w:rsidRPr="00460BCD" w14:paraId="79A3B7E1" w14:textId="77777777" w:rsidTr="00EB7487">
        <w:tc>
          <w:tcPr>
            <w:tcW w:w="1923" w:type="dxa"/>
          </w:tcPr>
          <w:p w14:paraId="79A3B7DF" w14:textId="77777777" w:rsidR="00EB7487" w:rsidRPr="00460BCD" w:rsidRDefault="00EB7487" w:rsidP="00EB7487">
            <w:pPr>
              <w:spacing w:after="0"/>
              <w:rPr>
                <w:sz w:val="20"/>
                <w:szCs w:val="20"/>
              </w:rPr>
            </w:pPr>
            <w:proofErr w:type="spellStart"/>
            <w:r w:rsidRPr="00460BCD">
              <w:rPr>
                <w:sz w:val="20"/>
                <w:szCs w:val="20"/>
              </w:rPr>
              <w:t>L&amp;MfS</w:t>
            </w:r>
            <w:proofErr w:type="spellEnd"/>
          </w:p>
        </w:tc>
        <w:tc>
          <w:tcPr>
            <w:tcW w:w="6838" w:type="dxa"/>
          </w:tcPr>
          <w:p w14:paraId="79A3B7E0" w14:textId="77777777" w:rsidR="00EB7487" w:rsidRPr="00460BCD" w:rsidRDefault="00EB7487" w:rsidP="00EB7487">
            <w:pPr>
              <w:spacing w:after="0"/>
              <w:rPr>
                <w:sz w:val="20"/>
                <w:szCs w:val="20"/>
              </w:rPr>
            </w:pPr>
            <w:r>
              <w:rPr>
                <w:sz w:val="20"/>
                <w:szCs w:val="20"/>
              </w:rPr>
              <w:t>L</w:t>
            </w:r>
            <w:r w:rsidRPr="00460BCD">
              <w:rPr>
                <w:sz w:val="20"/>
                <w:szCs w:val="20"/>
              </w:rPr>
              <w:t xml:space="preserve">eadership and </w:t>
            </w:r>
            <w:r>
              <w:rPr>
                <w:sz w:val="20"/>
                <w:szCs w:val="20"/>
              </w:rPr>
              <w:t>M</w:t>
            </w:r>
            <w:r w:rsidRPr="00460BCD">
              <w:rPr>
                <w:sz w:val="20"/>
                <w:szCs w:val="20"/>
              </w:rPr>
              <w:t xml:space="preserve">anagement for </w:t>
            </w:r>
            <w:r>
              <w:rPr>
                <w:sz w:val="20"/>
                <w:szCs w:val="20"/>
              </w:rPr>
              <w:t>S</w:t>
            </w:r>
            <w:r w:rsidRPr="00460BCD">
              <w:rPr>
                <w:sz w:val="20"/>
                <w:szCs w:val="20"/>
              </w:rPr>
              <w:t>afety</w:t>
            </w:r>
          </w:p>
        </w:tc>
      </w:tr>
      <w:tr w:rsidR="00EB7487" w:rsidRPr="00460BCD" w14:paraId="79A3B7E4" w14:textId="77777777" w:rsidTr="00EB7487">
        <w:tc>
          <w:tcPr>
            <w:tcW w:w="1923" w:type="dxa"/>
          </w:tcPr>
          <w:p w14:paraId="79A3B7E2" w14:textId="77777777" w:rsidR="00EB7487" w:rsidRPr="00460BCD" w:rsidRDefault="00EB7487" w:rsidP="00EB7487">
            <w:pPr>
              <w:spacing w:after="0"/>
              <w:rPr>
                <w:sz w:val="20"/>
                <w:szCs w:val="20"/>
              </w:rPr>
            </w:pPr>
            <w:r w:rsidRPr="00460BCD">
              <w:rPr>
                <w:sz w:val="20"/>
                <w:szCs w:val="20"/>
              </w:rPr>
              <w:t>LC</w:t>
            </w:r>
          </w:p>
        </w:tc>
        <w:tc>
          <w:tcPr>
            <w:tcW w:w="6838" w:type="dxa"/>
          </w:tcPr>
          <w:p w14:paraId="79A3B7E3" w14:textId="77777777" w:rsidR="00EB7487" w:rsidRPr="00460BCD" w:rsidRDefault="00EB7487" w:rsidP="00EB7487">
            <w:pPr>
              <w:spacing w:after="0"/>
              <w:rPr>
                <w:sz w:val="20"/>
                <w:szCs w:val="20"/>
              </w:rPr>
            </w:pPr>
            <w:r w:rsidRPr="00460BCD">
              <w:rPr>
                <w:sz w:val="20"/>
                <w:szCs w:val="20"/>
              </w:rPr>
              <w:t>Licence Condition</w:t>
            </w:r>
          </w:p>
        </w:tc>
      </w:tr>
      <w:tr w:rsidR="00EB7487" w:rsidRPr="00460BCD" w14:paraId="79A3B7E7" w14:textId="77777777" w:rsidTr="00EB7487">
        <w:tc>
          <w:tcPr>
            <w:tcW w:w="1923" w:type="dxa"/>
          </w:tcPr>
          <w:p w14:paraId="79A3B7E5" w14:textId="77777777" w:rsidR="00EB7487" w:rsidRPr="00460BCD" w:rsidRDefault="00EB7487" w:rsidP="00EB7487">
            <w:pPr>
              <w:spacing w:after="0"/>
              <w:rPr>
                <w:sz w:val="20"/>
                <w:szCs w:val="20"/>
              </w:rPr>
            </w:pPr>
            <w:r w:rsidRPr="00460BCD">
              <w:rPr>
                <w:sz w:val="20"/>
                <w:szCs w:val="20"/>
              </w:rPr>
              <w:t>ONR</w:t>
            </w:r>
          </w:p>
        </w:tc>
        <w:tc>
          <w:tcPr>
            <w:tcW w:w="6838" w:type="dxa"/>
          </w:tcPr>
          <w:p w14:paraId="79A3B7E6" w14:textId="77777777" w:rsidR="00EB7487" w:rsidRPr="00460BCD" w:rsidRDefault="00EB7487" w:rsidP="00E033E2">
            <w:pPr>
              <w:spacing w:after="0"/>
              <w:rPr>
                <w:sz w:val="20"/>
                <w:szCs w:val="20"/>
              </w:rPr>
            </w:pPr>
            <w:r w:rsidRPr="00460BCD">
              <w:rPr>
                <w:sz w:val="20"/>
                <w:szCs w:val="20"/>
              </w:rPr>
              <w:t xml:space="preserve">Office for Nuclear Regulation </w:t>
            </w:r>
          </w:p>
        </w:tc>
      </w:tr>
      <w:tr w:rsidR="00AA6817" w:rsidRPr="00460BCD" w14:paraId="79A3B7EA" w14:textId="77777777" w:rsidTr="00EB7487">
        <w:tc>
          <w:tcPr>
            <w:tcW w:w="1923" w:type="dxa"/>
          </w:tcPr>
          <w:p w14:paraId="79A3B7E8" w14:textId="77777777" w:rsidR="00AA6817" w:rsidRPr="00460BCD" w:rsidRDefault="00AA6817" w:rsidP="00EB7487">
            <w:pPr>
              <w:spacing w:after="0"/>
              <w:rPr>
                <w:sz w:val="20"/>
                <w:szCs w:val="20"/>
              </w:rPr>
            </w:pPr>
            <w:r>
              <w:rPr>
                <w:sz w:val="20"/>
                <w:szCs w:val="20"/>
              </w:rPr>
              <w:t>NIA</w:t>
            </w:r>
          </w:p>
        </w:tc>
        <w:tc>
          <w:tcPr>
            <w:tcW w:w="6838" w:type="dxa"/>
          </w:tcPr>
          <w:p w14:paraId="79A3B7E9" w14:textId="77777777" w:rsidR="00AA6817" w:rsidRPr="00460BCD" w:rsidRDefault="00182E37" w:rsidP="00E033E2">
            <w:pPr>
              <w:spacing w:after="0"/>
              <w:rPr>
                <w:sz w:val="20"/>
                <w:szCs w:val="20"/>
              </w:rPr>
            </w:pPr>
            <w:r>
              <w:rPr>
                <w:sz w:val="20"/>
                <w:szCs w:val="20"/>
              </w:rPr>
              <w:t>Nuclear Installations Act</w:t>
            </w:r>
            <w:r w:rsidR="00F97636">
              <w:rPr>
                <w:sz w:val="20"/>
                <w:szCs w:val="20"/>
              </w:rPr>
              <w:t xml:space="preserve"> 1965</w:t>
            </w:r>
          </w:p>
        </w:tc>
      </w:tr>
      <w:tr w:rsidR="00EB7487" w:rsidRPr="00460BCD" w14:paraId="79A3B7ED" w14:textId="77777777" w:rsidTr="00EB7487">
        <w:tc>
          <w:tcPr>
            <w:tcW w:w="1923" w:type="dxa"/>
          </w:tcPr>
          <w:p w14:paraId="79A3B7EB" w14:textId="77777777" w:rsidR="00EB7487" w:rsidRPr="00460BCD" w:rsidRDefault="00EB7487" w:rsidP="00EB7487">
            <w:pPr>
              <w:spacing w:after="0"/>
              <w:rPr>
                <w:sz w:val="20"/>
                <w:szCs w:val="20"/>
              </w:rPr>
            </w:pPr>
            <w:r w:rsidRPr="00460BCD">
              <w:rPr>
                <w:sz w:val="20"/>
                <w:szCs w:val="20"/>
              </w:rPr>
              <w:t>POCO</w:t>
            </w:r>
          </w:p>
        </w:tc>
        <w:tc>
          <w:tcPr>
            <w:tcW w:w="6838" w:type="dxa"/>
          </w:tcPr>
          <w:p w14:paraId="79A3B7EC" w14:textId="77777777" w:rsidR="00EB7487" w:rsidRPr="00460BCD" w:rsidRDefault="00EB7487" w:rsidP="00EB7487">
            <w:pPr>
              <w:spacing w:after="0"/>
              <w:rPr>
                <w:sz w:val="20"/>
                <w:szCs w:val="20"/>
              </w:rPr>
            </w:pPr>
            <w:r w:rsidRPr="00460BCD">
              <w:rPr>
                <w:sz w:val="20"/>
                <w:szCs w:val="20"/>
              </w:rPr>
              <w:t>Post-operational Clear</w:t>
            </w:r>
            <w:r>
              <w:rPr>
                <w:sz w:val="20"/>
                <w:szCs w:val="20"/>
              </w:rPr>
              <w:t>-o</w:t>
            </w:r>
            <w:r w:rsidRPr="00460BCD">
              <w:rPr>
                <w:sz w:val="20"/>
                <w:szCs w:val="20"/>
              </w:rPr>
              <w:t>ut</w:t>
            </w:r>
          </w:p>
        </w:tc>
      </w:tr>
      <w:tr w:rsidR="00EB7487" w:rsidRPr="00460BCD" w14:paraId="79A3B7F0" w14:textId="77777777" w:rsidTr="00EB7487">
        <w:tc>
          <w:tcPr>
            <w:tcW w:w="1923" w:type="dxa"/>
          </w:tcPr>
          <w:p w14:paraId="79A3B7EE" w14:textId="77777777" w:rsidR="00EB7487" w:rsidRPr="00460BCD" w:rsidRDefault="00EB7487" w:rsidP="00EB7487">
            <w:pPr>
              <w:spacing w:after="0"/>
              <w:rPr>
                <w:sz w:val="20"/>
                <w:szCs w:val="20"/>
              </w:rPr>
            </w:pPr>
            <w:r w:rsidRPr="00460BCD">
              <w:rPr>
                <w:sz w:val="20"/>
                <w:szCs w:val="20"/>
              </w:rPr>
              <w:t>PSR</w:t>
            </w:r>
          </w:p>
        </w:tc>
        <w:tc>
          <w:tcPr>
            <w:tcW w:w="6838" w:type="dxa"/>
          </w:tcPr>
          <w:p w14:paraId="79A3B7EF" w14:textId="77777777" w:rsidR="00EB7487" w:rsidRPr="00460BCD" w:rsidRDefault="00EB7487" w:rsidP="00EB7487">
            <w:pPr>
              <w:spacing w:after="0"/>
              <w:rPr>
                <w:sz w:val="20"/>
                <w:szCs w:val="20"/>
              </w:rPr>
            </w:pPr>
            <w:r w:rsidRPr="00460BCD">
              <w:rPr>
                <w:sz w:val="20"/>
                <w:szCs w:val="20"/>
              </w:rPr>
              <w:t>Periodic Safety Review</w:t>
            </w:r>
          </w:p>
        </w:tc>
      </w:tr>
      <w:tr w:rsidR="00077D38" w:rsidRPr="00460BCD" w14:paraId="79A3B7F3" w14:textId="77777777" w:rsidTr="00EB7487">
        <w:tc>
          <w:tcPr>
            <w:tcW w:w="1923" w:type="dxa"/>
          </w:tcPr>
          <w:p w14:paraId="79A3B7F1" w14:textId="77777777" w:rsidR="00077D38" w:rsidRPr="00460BCD" w:rsidRDefault="00077D38" w:rsidP="00EB7487">
            <w:pPr>
              <w:spacing w:after="0"/>
              <w:rPr>
                <w:sz w:val="20"/>
                <w:szCs w:val="20"/>
              </w:rPr>
            </w:pPr>
            <w:r>
              <w:rPr>
                <w:sz w:val="20"/>
                <w:szCs w:val="20"/>
              </w:rPr>
              <w:t>REPPIR</w:t>
            </w:r>
          </w:p>
        </w:tc>
        <w:tc>
          <w:tcPr>
            <w:tcW w:w="6838" w:type="dxa"/>
          </w:tcPr>
          <w:p w14:paraId="79A3B7F2" w14:textId="77777777" w:rsidR="00077D38" w:rsidRPr="00460BCD" w:rsidRDefault="00077D38" w:rsidP="00E033E2">
            <w:pPr>
              <w:spacing w:after="0"/>
              <w:rPr>
                <w:sz w:val="20"/>
                <w:szCs w:val="20"/>
              </w:rPr>
            </w:pPr>
            <w:r>
              <w:rPr>
                <w:sz w:val="20"/>
                <w:szCs w:val="20"/>
              </w:rPr>
              <w:t>Radiation Emergency Preparedness and Public Information Regulations 2019</w:t>
            </w:r>
          </w:p>
        </w:tc>
      </w:tr>
      <w:tr w:rsidR="00EB7487" w:rsidRPr="00460BCD" w14:paraId="79A3B7F6" w14:textId="77777777" w:rsidTr="00EB7487">
        <w:tc>
          <w:tcPr>
            <w:tcW w:w="1923" w:type="dxa"/>
          </w:tcPr>
          <w:p w14:paraId="79A3B7F4" w14:textId="77777777" w:rsidR="00EB7487" w:rsidRPr="00460BCD" w:rsidRDefault="00EB7487" w:rsidP="00EB7487">
            <w:pPr>
              <w:spacing w:after="0"/>
              <w:rPr>
                <w:sz w:val="20"/>
                <w:szCs w:val="20"/>
              </w:rPr>
            </w:pPr>
            <w:r w:rsidRPr="00460BCD">
              <w:rPr>
                <w:sz w:val="20"/>
                <w:szCs w:val="20"/>
              </w:rPr>
              <w:t>SAP</w:t>
            </w:r>
          </w:p>
        </w:tc>
        <w:tc>
          <w:tcPr>
            <w:tcW w:w="6838" w:type="dxa"/>
          </w:tcPr>
          <w:p w14:paraId="79A3B7F5" w14:textId="77777777" w:rsidR="0033485E" w:rsidRPr="00460BCD" w:rsidRDefault="00EB7487" w:rsidP="00E033E2">
            <w:pPr>
              <w:spacing w:after="0"/>
              <w:rPr>
                <w:sz w:val="20"/>
                <w:szCs w:val="20"/>
              </w:rPr>
            </w:pPr>
            <w:r w:rsidRPr="00460BCD">
              <w:rPr>
                <w:sz w:val="20"/>
                <w:szCs w:val="20"/>
              </w:rPr>
              <w:t>Safety Assessment Principle(s) (</w:t>
            </w:r>
            <w:r w:rsidR="00E033E2">
              <w:rPr>
                <w:sz w:val="20"/>
                <w:szCs w:val="20"/>
              </w:rPr>
              <w:t>ONR</w:t>
            </w:r>
            <w:r w:rsidRPr="00460BCD">
              <w:rPr>
                <w:sz w:val="20"/>
                <w:szCs w:val="20"/>
              </w:rPr>
              <w:t>)</w:t>
            </w:r>
          </w:p>
        </w:tc>
      </w:tr>
      <w:tr w:rsidR="0033485E" w:rsidRPr="00460BCD" w14:paraId="79A3B7F9" w14:textId="77777777" w:rsidTr="00EB7487">
        <w:tc>
          <w:tcPr>
            <w:tcW w:w="1923" w:type="dxa"/>
          </w:tcPr>
          <w:p w14:paraId="79A3B7F7" w14:textId="77777777" w:rsidR="0033485E" w:rsidRPr="00460BCD" w:rsidRDefault="0033485E" w:rsidP="00EB7487">
            <w:pPr>
              <w:spacing w:after="0"/>
              <w:rPr>
                <w:sz w:val="20"/>
                <w:szCs w:val="20"/>
              </w:rPr>
            </w:pPr>
            <w:r>
              <w:rPr>
                <w:sz w:val="20"/>
                <w:szCs w:val="20"/>
              </w:rPr>
              <w:t>SOE</w:t>
            </w:r>
          </w:p>
        </w:tc>
        <w:tc>
          <w:tcPr>
            <w:tcW w:w="6838" w:type="dxa"/>
          </w:tcPr>
          <w:p w14:paraId="79A3B7F8" w14:textId="77777777" w:rsidR="0033485E" w:rsidRPr="00460BCD" w:rsidRDefault="0033485E" w:rsidP="00E033E2">
            <w:pPr>
              <w:spacing w:after="0"/>
              <w:rPr>
                <w:sz w:val="20"/>
                <w:szCs w:val="20"/>
              </w:rPr>
            </w:pPr>
            <w:r>
              <w:rPr>
                <w:sz w:val="20"/>
                <w:szCs w:val="20"/>
              </w:rPr>
              <w:t>Safe Operating Envelope</w:t>
            </w:r>
          </w:p>
        </w:tc>
      </w:tr>
      <w:tr w:rsidR="00EB7487" w:rsidRPr="00460BCD" w14:paraId="79A3B7FC" w14:textId="77777777" w:rsidTr="00EB7487">
        <w:tc>
          <w:tcPr>
            <w:tcW w:w="1923" w:type="dxa"/>
          </w:tcPr>
          <w:p w14:paraId="79A3B7FA" w14:textId="77777777" w:rsidR="00EB7487" w:rsidRPr="00460BCD" w:rsidRDefault="00EB7487" w:rsidP="00EB7487">
            <w:pPr>
              <w:spacing w:after="0"/>
              <w:rPr>
                <w:sz w:val="20"/>
                <w:szCs w:val="20"/>
              </w:rPr>
            </w:pPr>
            <w:r>
              <w:rPr>
                <w:sz w:val="20"/>
                <w:szCs w:val="20"/>
              </w:rPr>
              <w:t>SD</w:t>
            </w:r>
          </w:p>
        </w:tc>
        <w:tc>
          <w:tcPr>
            <w:tcW w:w="6838" w:type="dxa"/>
          </w:tcPr>
          <w:p w14:paraId="79A3B7FB" w14:textId="77777777" w:rsidR="00EB7487" w:rsidRPr="00460BCD" w:rsidRDefault="00EB7487" w:rsidP="00EB7487">
            <w:pPr>
              <w:spacing w:after="0"/>
              <w:rPr>
                <w:sz w:val="20"/>
                <w:szCs w:val="20"/>
              </w:rPr>
            </w:pPr>
            <w:r>
              <w:rPr>
                <w:sz w:val="20"/>
                <w:szCs w:val="20"/>
              </w:rPr>
              <w:t>(PSR) Submission Date</w:t>
            </w:r>
          </w:p>
        </w:tc>
      </w:tr>
      <w:tr w:rsidR="00EB7487" w:rsidRPr="00460BCD" w14:paraId="79A3B7FF" w14:textId="77777777" w:rsidTr="00EB7487">
        <w:tc>
          <w:tcPr>
            <w:tcW w:w="1923" w:type="dxa"/>
          </w:tcPr>
          <w:p w14:paraId="79A3B7FD" w14:textId="77777777" w:rsidR="00EB7487" w:rsidRPr="00460BCD" w:rsidRDefault="00EB7487" w:rsidP="00EB7487">
            <w:pPr>
              <w:spacing w:after="0"/>
              <w:rPr>
                <w:sz w:val="20"/>
                <w:szCs w:val="20"/>
              </w:rPr>
            </w:pPr>
            <w:r w:rsidRPr="00460BCD">
              <w:rPr>
                <w:sz w:val="20"/>
                <w:szCs w:val="20"/>
              </w:rPr>
              <w:t>SRL</w:t>
            </w:r>
          </w:p>
        </w:tc>
        <w:tc>
          <w:tcPr>
            <w:tcW w:w="6838" w:type="dxa"/>
          </w:tcPr>
          <w:p w14:paraId="79A3B7FE" w14:textId="77777777" w:rsidR="00EB7487" w:rsidRPr="00460BCD" w:rsidRDefault="00EB7487" w:rsidP="00EB7487">
            <w:pPr>
              <w:spacing w:after="0"/>
              <w:rPr>
                <w:sz w:val="20"/>
                <w:szCs w:val="20"/>
              </w:rPr>
            </w:pPr>
            <w:r w:rsidRPr="00460BCD">
              <w:rPr>
                <w:sz w:val="20"/>
                <w:szCs w:val="20"/>
              </w:rPr>
              <w:t>Safety Reference Level</w:t>
            </w:r>
            <w:r>
              <w:rPr>
                <w:sz w:val="20"/>
                <w:szCs w:val="20"/>
              </w:rPr>
              <w:t>(</w:t>
            </w:r>
            <w:r w:rsidRPr="00460BCD">
              <w:rPr>
                <w:sz w:val="20"/>
                <w:szCs w:val="20"/>
              </w:rPr>
              <w:t>s</w:t>
            </w:r>
            <w:r>
              <w:rPr>
                <w:sz w:val="20"/>
                <w:szCs w:val="20"/>
              </w:rPr>
              <w:t>)</w:t>
            </w:r>
          </w:p>
        </w:tc>
      </w:tr>
      <w:tr w:rsidR="00EB7487" w:rsidRPr="00460BCD" w14:paraId="79A3B802" w14:textId="77777777" w:rsidTr="00EB7487">
        <w:tc>
          <w:tcPr>
            <w:tcW w:w="1923" w:type="dxa"/>
          </w:tcPr>
          <w:p w14:paraId="79A3B800" w14:textId="77777777" w:rsidR="00EB7487" w:rsidRPr="00460BCD" w:rsidRDefault="00EB7487" w:rsidP="00EB7487">
            <w:pPr>
              <w:spacing w:after="0"/>
              <w:rPr>
                <w:sz w:val="20"/>
                <w:szCs w:val="20"/>
              </w:rPr>
            </w:pPr>
            <w:r w:rsidRPr="00460BCD">
              <w:rPr>
                <w:sz w:val="20"/>
                <w:szCs w:val="20"/>
              </w:rPr>
              <w:t>SSC</w:t>
            </w:r>
          </w:p>
        </w:tc>
        <w:tc>
          <w:tcPr>
            <w:tcW w:w="6838" w:type="dxa"/>
          </w:tcPr>
          <w:p w14:paraId="79A3B801" w14:textId="77777777" w:rsidR="00EB7487" w:rsidRPr="00460BCD" w:rsidRDefault="00EB7487" w:rsidP="00EB7487">
            <w:pPr>
              <w:spacing w:after="0"/>
              <w:rPr>
                <w:sz w:val="20"/>
                <w:szCs w:val="20"/>
              </w:rPr>
            </w:pPr>
            <w:r w:rsidRPr="00460BCD">
              <w:rPr>
                <w:sz w:val="20"/>
                <w:szCs w:val="20"/>
              </w:rPr>
              <w:t>Structures, Systems and Component</w:t>
            </w:r>
            <w:r>
              <w:rPr>
                <w:sz w:val="20"/>
                <w:szCs w:val="20"/>
              </w:rPr>
              <w:t>(</w:t>
            </w:r>
            <w:r w:rsidRPr="00460BCD">
              <w:rPr>
                <w:sz w:val="20"/>
                <w:szCs w:val="20"/>
              </w:rPr>
              <w:t>s</w:t>
            </w:r>
            <w:r>
              <w:rPr>
                <w:sz w:val="20"/>
                <w:szCs w:val="20"/>
              </w:rPr>
              <w:t>)</w:t>
            </w:r>
          </w:p>
        </w:tc>
      </w:tr>
      <w:tr w:rsidR="00934554" w:rsidRPr="00460BCD" w14:paraId="79A3B805" w14:textId="77777777" w:rsidTr="00EB7487">
        <w:tc>
          <w:tcPr>
            <w:tcW w:w="1923" w:type="dxa"/>
          </w:tcPr>
          <w:p w14:paraId="79A3B803" w14:textId="77777777" w:rsidR="00934554" w:rsidRPr="00460BCD" w:rsidRDefault="00934554" w:rsidP="00EB7487">
            <w:pPr>
              <w:spacing w:after="0"/>
              <w:rPr>
                <w:sz w:val="20"/>
                <w:szCs w:val="20"/>
              </w:rPr>
            </w:pPr>
            <w:r>
              <w:rPr>
                <w:sz w:val="20"/>
                <w:szCs w:val="20"/>
              </w:rPr>
              <w:t>SSG</w:t>
            </w:r>
          </w:p>
        </w:tc>
        <w:tc>
          <w:tcPr>
            <w:tcW w:w="6838" w:type="dxa"/>
          </w:tcPr>
          <w:p w14:paraId="79A3B804" w14:textId="77777777" w:rsidR="00934554" w:rsidRPr="00460BCD" w:rsidRDefault="00934554" w:rsidP="00EB7487">
            <w:pPr>
              <w:spacing w:after="0"/>
              <w:rPr>
                <w:sz w:val="20"/>
                <w:szCs w:val="20"/>
              </w:rPr>
            </w:pPr>
            <w:r>
              <w:rPr>
                <w:sz w:val="20"/>
                <w:szCs w:val="20"/>
              </w:rPr>
              <w:t>Specific Safety Guide</w:t>
            </w:r>
          </w:p>
        </w:tc>
      </w:tr>
      <w:tr w:rsidR="0010552B" w:rsidRPr="00460BCD" w14:paraId="79A3B808" w14:textId="77777777" w:rsidTr="00EB7487">
        <w:tc>
          <w:tcPr>
            <w:tcW w:w="1923" w:type="dxa"/>
          </w:tcPr>
          <w:p w14:paraId="79A3B806" w14:textId="77777777" w:rsidR="0010552B" w:rsidRPr="00460BCD" w:rsidRDefault="0010552B" w:rsidP="00EB7487">
            <w:pPr>
              <w:spacing w:after="0"/>
              <w:rPr>
                <w:sz w:val="20"/>
                <w:szCs w:val="20"/>
              </w:rPr>
            </w:pPr>
            <w:r>
              <w:rPr>
                <w:sz w:val="20"/>
                <w:szCs w:val="20"/>
              </w:rPr>
              <w:t>SQEP</w:t>
            </w:r>
          </w:p>
        </w:tc>
        <w:tc>
          <w:tcPr>
            <w:tcW w:w="6838" w:type="dxa"/>
          </w:tcPr>
          <w:p w14:paraId="79A3B807" w14:textId="77777777" w:rsidR="0010552B" w:rsidRPr="00460BCD" w:rsidRDefault="0010552B" w:rsidP="00EB7487">
            <w:pPr>
              <w:spacing w:after="0"/>
              <w:rPr>
                <w:sz w:val="20"/>
                <w:szCs w:val="20"/>
              </w:rPr>
            </w:pPr>
            <w:r>
              <w:rPr>
                <w:sz w:val="20"/>
                <w:szCs w:val="20"/>
              </w:rPr>
              <w:t>Suitability Qualified and Experience Person</w:t>
            </w:r>
          </w:p>
        </w:tc>
      </w:tr>
      <w:tr w:rsidR="00EB7487" w:rsidRPr="00460BCD" w14:paraId="79A3B80B" w14:textId="77777777" w:rsidTr="00EB7487">
        <w:tc>
          <w:tcPr>
            <w:tcW w:w="1923" w:type="dxa"/>
          </w:tcPr>
          <w:p w14:paraId="79A3B809" w14:textId="77777777" w:rsidR="00EB7487" w:rsidRPr="00460BCD" w:rsidRDefault="00EB7487" w:rsidP="00EB7487">
            <w:pPr>
              <w:spacing w:after="0"/>
              <w:rPr>
                <w:sz w:val="20"/>
                <w:szCs w:val="20"/>
              </w:rPr>
            </w:pPr>
            <w:r w:rsidRPr="00460BCD">
              <w:rPr>
                <w:sz w:val="20"/>
                <w:szCs w:val="20"/>
              </w:rPr>
              <w:t>TAG</w:t>
            </w:r>
          </w:p>
        </w:tc>
        <w:tc>
          <w:tcPr>
            <w:tcW w:w="6838" w:type="dxa"/>
          </w:tcPr>
          <w:p w14:paraId="79A3B80A" w14:textId="77777777" w:rsidR="00EB7487" w:rsidRPr="00460BCD" w:rsidRDefault="00EB7487" w:rsidP="00EB7487">
            <w:pPr>
              <w:spacing w:after="0"/>
              <w:rPr>
                <w:sz w:val="20"/>
                <w:szCs w:val="20"/>
              </w:rPr>
            </w:pPr>
            <w:r w:rsidRPr="00460BCD">
              <w:rPr>
                <w:sz w:val="20"/>
                <w:szCs w:val="20"/>
              </w:rPr>
              <w:t>Technical Assessment Guide(s)</w:t>
            </w:r>
          </w:p>
        </w:tc>
      </w:tr>
      <w:tr w:rsidR="00EB7487" w:rsidRPr="00460BCD" w14:paraId="79A3B80E" w14:textId="77777777" w:rsidTr="00EB7487">
        <w:tc>
          <w:tcPr>
            <w:tcW w:w="1923" w:type="dxa"/>
          </w:tcPr>
          <w:p w14:paraId="79A3B80C" w14:textId="77777777" w:rsidR="00EB7487" w:rsidRPr="00460BCD" w:rsidRDefault="00EB7487" w:rsidP="00EB7487">
            <w:pPr>
              <w:spacing w:after="0"/>
              <w:rPr>
                <w:sz w:val="20"/>
                <w:szCs w:val="20"/>
              </w:rPr>
            </w:pPr>
            <w:r w:rsidRPr="00460BCD">
              <w:rPr>
                <w:sz w:val="20"/>
                <w:szCs w:val="20"/>
              </w:rPr>
              <w:t>WENRA</w:t>
            </w:r>
          </w:p>
        </w:tc>
        <w:tc>
          <w:tcPr>
            <w:tcW w:w="6838" w:type="dxa"/>
          </w:tcPr>
          <w:p w14:paraId="79A3B80D" w14:textId="77777777" w:rsidR="00EB7487" w:rsidRPr="00460BCD" w:rsidRDefault="00EB7487" w:rsidP="00EB7487">
            <w:pPr>
              <w:spacing w:after="0"/>
              <w:rPr>
                <w:sz w:val="20"/>
                <w:szCs w:val="20"/>
              </w:rPr>
            </w:pPr>
            <w:r w:rsidRPr="00460BCD">
              <w:rPr>
                <w:sz w:val="20"/>
                <w:szCs w:val="20"/>
              </w:rPr>
              <w:t>Western European Nuclear Regulators’ Association</w:t>
            </w:r>
          </w:p>
        </w:tc>
      </w:tr>
      <w:tr w:rsidR="00EB7487" w:rsidRPr="00460BCD" w14:paraId="79A3B811" w14:textId="77777777" w:rsidTr="00EB7487">
        <w:tc>
          <w:tcPr>
            <w:tcW w:w="1923" w:type="dxa"/>
          </w:tcPr>
          <w:p w14:paraId="79A3B80F" w14:textId="77777777" w:rsidR="00EB7487" w:rsidRPr="00460BCD" w:rsidRDefault="00EB7487" w:rsidP="00EB7487">
            <w:pPr>
              <w:spacing w:after="0"/>
              <w:rPr>
                <w:sz w:val="20"/>
                <w:szCs w:val="20"/>
              </w:rPr>
            </w:pPr>
            <w:r w:rsidRPr="00460BCD">
              <w:rPr>
                <w:sz w:val="20"/>
                <w:szCs w:val="20"/>
              </w:rPr>
              <w:t>WGWD</w:t>
            </w:r>
          </w:p>
        </w:tc>
        <w:tc>
          <w:tcPr>
            <w:tcW w:w="6838" w:type="dxa"/>
          </w:tcPr>
          <w:p w14:paraId="79A3B810" w14:textId="77777777" w:rsidR="00EB7487" w:rsidRPr="00460BCD" w:rsidRDefault="00EB7487" w:rsidP="00EB7487">
            <w:pPr>
              <w:spacing w:after="0"/>
              <w:rPr>
                <w:sz w:val="20"/>
                <w:szCs w:val="20"/>
              </w:rPr>
            </w:pPr>
            <w:r w:rsidRPr="00460BCD">
              <w:rPr>
                <w:sz w:val="20"/>
                <w:szCs w:val="20"/>
              </w:rPr>
              <w:t>WENRA Group on Waste and Decommissioning</w:t>
            </w:r>
          </w:p>
        </w:tc>
      </w:tr>
    </w:tbl>
    <w:p w14:paraId="79A3B812" w14:textId="77777777" w:rsidR="00EB7487" w:rsidRDefault="00EB7487" w:rsidP="00EB7487"/>
    <w:p w14:paraId="79A3B813" w14:textId="77777777" w:rsidR="0063719B" w:rsidRDefault="0063719B" w:rsidP="0084786D">
      <w:pPr>
        <w:pStyle w:val="NumberedHeading"/>
        <w:pageBreakBefore/>
        <w:numPr>
          <w:ilvl w:val="0"/>
          <w:numId w:val="0"/>
        </w:numPr>
        <w:tabs>
          <w:tab w:val="left" w:pos="1134"/>
        </w:tabs>
      </w:pPr>
      <w:bookmarkStart w:id="61" w:name="ANNEX1"/>
      <w:bookmarkStart w:id="62" w:name="_Toc43460820"/>
      <w:r>
        <w:t>Annex 1</w:t>
      </w:r>
      <w:bookmarkEnd w:id="61"/>
      <w:r>
        <w:t xml:space="preserve">: Expectations for the Coverage of Leadership and </w:t>
      </w:r>
      <w:r w:rsidR="0084786D">
        <w:tab/>
      </w:r>
      <w:r w:rsidR="0084786D">
        <w:tab/>
      </w:r>
      <w:r w:rsidR="0084786D">
        <w:tab/>
      </w:r>
      <w:r>
        <w:t>Management for Safety Aspects in PSR</w:t>
      </w:r>
      <w:bookmarkEnd w:id="62"/>
    </w:p>
    <w:p w14:paraId="79A3B814" w14:textId="77777777" w:rsidR="0063719B" w:rsidRDefault="0063719B" w:rsidP="0063719B">
      <w:pPr>
        <w:pStyle w:val="ONRNumberedParagraph1"/>
        <w:numPr>
          <w:ilvl w:val="0"/>
          <w:numId w:val="46"/>
        </w:numPr>
        <w:spacing w:after="120"/>
        <w:jc w:val="both"/>
      </w:pPr>
      <w:r>
        <w:t>Major events worldwide in the nuclear and other sectors continually highlight the importance of leadership, management for safety and culture.</w:t>
      </w:r>
      <w:r w:rsidR="00D951C6">
        <w:t xml:space="preserve"> </w:t>
      </w:r>
      <w:r>
        <w:t>Weaknesses or shortfalls can and do lead to major events in experienced organisations with established management systems.</w:t>
      </w:r>
      <w:r w:rsidR="00D951C6">
        <w:t xml:space="preserve"> </w:t>
      </w:r>
      <w:r>
        <w:t>Investigations often reveal that weaknesses and warning signs existed for some time before the events but were not highlighted or not considered significant.</w:t>
      </w:r>
      <w:r w:rsidR="00D951C6">
        <w:t xml:space="preserve"> </w:t>
      </w:r>
      <w:r>
        <w:t>The coverage of Leadership and Management for Safety (</w:t>
      </w:r>
      <w:proofErr w:type="spellStart"/>
      <w:r>
        <w:t>L&amp;MfS</w:t>
      </w:r>
      <w:proofErr w:type="spellEnd"/>
      <w:r>
        <w:t>) aspects in PSR</w:t>
      </w:r>
      <w:r w:rsidR="00F02053">
        <w:t>s</w:t>
      </w:r>
      <w:r>
        <w:t xml:space="preserve"> needs to reflect their level of importance and draw upon the persistent worldwide lessons.</w:t>
      </w:r>
    </w:p>
    <w:p w14:paraId="79A3B815" w14:textId="77777777" w:rsidR="0063719B" w:rsidRDefault="0063719B" w:rsidP="00E26909">
      <w:pPr>
        <w:pStyle w:val="ONRFloatingHeadingBold"/>
        <w:spacing w:before="240" w:after="120"/>
      </w:pPr>
      <w:r>
        <w:t xml:space="preserve">Aims of the </w:t>
      </w:r>
      <w:proofErr w:type="spellStart"/>
      <w:r>
        <w:t>L&amp;MfS</w:t>
      </w:r>
      <w:proofErr w:type="spellEnd"/>
      <w:r>
        <w:t xml:space="preserve"> Review</w:t>
      </w:r>
    </w:p>
    <w:p w14:paraId="79A3B816" w14:textId="77777777" w:rsidR="0063719B" w:rsidRDefault="0063719B" w:rsidP="0063719B">
      <w:pPr>
        <w:pStyle w:val="ONRNumberedParagraph1"/>
        <w:spacing w:after="120"/>
        <w:jc w:val="both"/>
      </w:pPr>
      <w:r>
        <w:t>The review should be relevant and challenging:</w:t>
      </w:r>
    </w:p>
    <w:p w14:paraId="79A3B817" w14:textId="77777777" w:rsidR="0063719B" w:rsidRPr="00035D98" w:rsidRDefault="0063719B" w:rsidP="0063719B">
      <w:pPr>
        <w:pStyle w:val="ONRNormal"/>
        <w:ind w:left="880"/>
        <w:rPr>
          <w:b/>
          <w:i/>
        </w:rPr>
      </w:pPr>
      <w:r w:rsidRPr="00035D98">
        <w:rPr>
          <w:b/>
          <w:i/>
        </w:rPr>
        <w:t>Relevant</w:t>
      </w:r>
    </w:p>
    <w:p w14:paraId="79A3B818" w14:textId="77777777" w:rsidR="0063719B" w:rsidRPr="00E0754E" w:rsidRDefault="0063719B" w:rsidP="0063719B">
      <w:pPr>
        <w:pStyle w:val="ONRSquareBullet1"/>
        <w:tabs>
          <w:tab w:val="left" w:pos="880"/>
        </w:tabs>
        <w:spacing w:after="120"/>
        <w:rPr>
          <w:color w:val="auto"/>
        </w:rPr>
      </w:pPr>
      <w:r w:rsidRPr="00E0754E">
        <w:rPr>
          <w:color w:val="auto"/>
        </w:rPr>
        <w:t>There should be a clear focus on nuclear safety.</w:t>
      </w:r>
    </w:p>
    <w:p w14:paraId="79A3B819" w14:textId="77777777" w:rsidR="0063719B" w:rsidRPr="00E0754E" w:rsidRDefault="0063719B" w:rsidP="0063719B">
      <w:pPr>
        <w:pStyle w:val="ONRSquareBullet1"/>
        <w:tabs>
          <w:tab w:val="left" w:pos="880"/>
        </w:tabs>
        <w:spacing w:after="120"/>
        <w:rPr>
          <w:color w:val="auto"/>
        </w:rPr>
      </w:pPr>
      <w:r w:rsidRPr="00E0754E">
        <w:rPr>
          <w:color w:val="auto"/>
        </w:rPr>
        <w:t xml:space="preserve">The PSR should show that </w:t>
      </w:r>
      <w:proofErr w:type="spellStart"/>
      <w:r w:rsidRPr="00E0754E">
        <w:rPr>
          <w:color w:val="auto"/>
        </w:rPr>
        <w:t>L&amp;MfS</w:t>
      </w:r>
      <w:proofErr w:type="spellEnd"/>
      <w:r w:rsidRPr="00E0754E">
        <w:rPr>
          <w:color w:val="auto"/>
        </w:rPr>
        <w:t xml:space="preserve"> processes and practices are appropriate and proportionate to the specific hazards, risks, scale of operations and key safety claims made in the safety case.</w:t>
      </w:r>
    </w:p>
    <w:p w14:paraId="79A3B81A" w14:textId="77777777" w:rsidR="0063719B" w:rsidRPr="00E0754E" w:rsidRDefault="0063719B" w:rsidP="0063719B">
      <w:pPr>
        <w:pStyle w:val="ONRNormal"/>
        <w:ind w:left="880"/>
        <w:rPr>
          <w:b/>
          <w:i/>
        </w:rPr>
      </w:pPr>
      <w:r w:rsidRPr="00E0754E">
        <w:rPr>
          <w:b/>
          <w:i/>
        </w:rPr>
        <w:t>Challenging</w:t>
      </w:r>
    </w:p>
    <w:p w14:paraId="79A3B81B" w14:textId="77777777" w:rsidR="0063719B" w:rsidRPr="00E0754E" w:rsidRDefault="0063719B" w:rsidP="0063719B">
      <w:pPr>
        <w:pStyle w:val="ONRSquareBullet1"/>
        <w:tabs>
          <w:tab w:val="left" w:pos="880"/>
        </w:tabs>
        <w:spacing w:after="120"/>
        <w:rPr>
          <w:color w:val="auto"/>
        </w:rPr>
      </w:pPr>
      <w:r w:rsidRPr="00E0754E">
        <w:rPr>
          <w:color w:val="auto"/>
        </w:rPr>
        <w:t xml:space="preserve">The PSR should show evidence of an open-minded, critical, challenging review of </w:t>
      </w:r>
      <w:proofErr w:type="spellStart"/>
      <w:r w:rsidRPr="00E0754E">
        <w:rPr>
          <w:color w:val="auto"/>
        </w:rPr>
        <w:t>L&amp;MfS</w:t>
      </w:r>
      <w:proofErr w:type="spellEnd"/>
      <w:r w:rsidRPr="00E0754E">
        <w:rPr>
          <w:color w:val="auto"/>
        </w:rPr>
        <w:t>, not just a description of existing processes or assertions of effectiveness.</w:t>
      </w:r>
    </w:p>
    <w:p w14:paraId="79A3B81C" w14:textId="77777777" w:rsidR="0063719B" w:rsidRPr="00E0754E" w:rsidRDefault="0063719B" w:rsidP="0063719B">
      <w:pPr>
        <w:pStyle w:val="ONRSquareBullet1"/>
        <w:tabs>
          <w:tab w:val="left" w:pos="880"/>
        </w:tabs>
        <w:spacing w:after="120"/>
        <w:rPr>
          <w:color w:val="auto"/>
        </w:rPr>
      </w:pPr>
      <w:r w:rsidRPr="00E0754E">
        <w:rPr>
          <w:color w:val="auto"/>
        </w:rPr>
        <w:tab/>
        <w:t>The review should search for potential weaknesses and areas for improvement, rather than focus on arguments in support of the status quo.</w:t>
      </w:r>
    </w:p>
    <w:p w14:paraId="79A3B81D" w14:textId="77777777" w:rsidR="0063719B" w:rsidRPr="00E0754E" w:rsidRDefault="0063719B" w:rsidP="0063719B">
      <w:pPr>
        <w:pStyle w:val="ONRSquareBullet1"/>
        <w:tabs>
          <w:tab w:val="left" w:pos="880"/>
        </w:tabs>
        <w:spacing w:after="120"/>
        <w:rPr>
          <w:color w:val="auto"/>
        </w:rPr>
      </w:pPr>
      <w:r w:rsidRPr="00E0754E">
        <w:rPr>
          <w:color w:val="auto"/>
        </w:rPr>
        <w:tab/>
        <w:t xml:space="preserve">The claims made for </w:t>
      </w:r>
      <w:proofErr w:type="spellStart"/>
      <w:r w:rsidRPr="00E0754E">
        <w:rPr>
          <w:color w:val="auto"/>
        </w:rPr>
        <w:t>L&amp;MfS</w:t>
      </w:r>
      <w:proofErr w:type="spellEnd"/>
      <w:r w:rsidRPr="00E0754E">
        <w:rPr>
          <w:color w:val="auto"/>
        </w:rPr>
        <w:t xml:space="preserve"> processes and practices should be evidence based, i.e. a review of effectiveness in practice and achievement of desired outcomes not just apparent suitability on paper.</w:t>
      </w:r>
    </w:p>
    <w:p w14:paraId="79A3B81E" w14:textId="77777777" w:rsidR="0063719B" w:rsidRDefault="0063719B" w:rsidP="00E26909">
      <w:pPr>
        <w:pStyle w:val="ONRFloatingHeadingBold"/>
        <w:spacing w:before="240" w:after="120"/>
      </w:pPr>
      <w:r>
        <w:t>Scope of the Review</w:t>
      </w:r>
    </w:p>
    <w:p w14:paraId="79A3B81F" w14:textId="77777777" w:rsidR="0063719B" w:rsidRDefault="0063719B" w:rsidP="0063719B">
      <w:pPr>
        <w:pStyle w:val="ONRNumberedParagraph1"/>
        <w:spacing w:after="120"/>
        <w:jc w:val="both"/>
      </w:pPr>
      <w:r>
        <w:t>The review should be sufficiently wide-ranging to encompass key facets of leadership and management for safety.</w:t>
      </w:r>
      <w:r w:rsidR="00D951C6">
        <w:t xml:space="preserve"> </w:t>
      </w:r>
      <w:r>
        <w:t>The licensee can determine how the review is structured but the following documents could be used for guidance on the scope: Safety Assessment Principles (SAP</w:t>
      </w:r>
      <w:r w:rsidR="009D60F2">
        <w:t>s</w:t>
      </w:r>
      <w:r>
        <w:t>) on Leadership and Managemen</w:t>
      </w:r>
      <w:r w:rsidR="00D726FF">
        <w:t>t for Safety (MS.1 to MS.4 in [3</w:t>
      </w:r>
      <w:r>
        <w:t>]); Function and Content of a Safety Management Prospectus [</w:t>
      </w:r>
      <w:r w:rsidR="00F51E99">
        <w:t>20</w:t>
      </w:r>
      <w:r>
        <w:t xml:space="preserve">]; and Application of the Management System </w:t>
      </w:r>
      <w:r w:rsidR="00E660F7">
        <w:t>for Facilities and Activities [</w:t>
      </w:r>
      <w:r w:rsidR="00D726FF">
        <w:t>2</w:t>
      </w:r>
      <w:r w:rsidR="00F51E99">
        <w:t>1</w:t>
      </w:r>
      <w:r>
        <w:t>].</w:t>
      </w:r>
    </w:p>
    <w:p w14:paraId="79A3B820" w14:textId="77777777" w:rsidR="0063719B" w:rsidRDefault="0063719B" w:rsidP="0063719B">
      <w:pPr>
        <w:pStyle w:val="ONRNumberedParagraph1"/>
        <w:spacing w:after="120"/>
        <w:jc w:val="both"/>
      </w:pPr>
      <w:r>
        <w:t xml:space="preserve">The SAPs </w:t>
      </w:r>
      <w:proofErr w:type="spellStart"/>
      <w:r>
        <w:t>L&amp;MfS</w:t>
      </w:r>
      <w:proofErr w:type="spellEnd"/>
      <w:r>
        <w:t xml:space="preserve"> principles MS.1 to MS.4 cover leadership, capable organisation, decision making and learning.</w:t>
      </w:r>
      <w:r w:rsidR="00D951C6">
        <w:t xml:space="preserve"> </w:t>
      </w:r>
      <w:r>
        <w:t>The principles provide a good basis for the ONR to examine the PSR regardless of how the licensee has structured the review or its management system.</w:t>
      </w:r>
    </w:p>
    <w:p w14:paraId="79A3B821" w14:textId="77777777" w:rsidR="0063719B" w:rsidRDefault="0063719B" w:rsidP="0063719B">
      <w:pPr>
        <w:pStyle w:val="ONRNumberedParagraph1"/>
        <w:keepNext/>
        <w:keepLines/>
        <w:spacing w:after="120"/>
        <w:jc w:val="both"/>
      </w:pPr>
      <w:r>
        <w:t>Specific areas that the review should consider, following the aims set out above, include:</w:t>
      </w:r>
    </w:p>
    <w:p w14:paraId="79A3B822" w14:textId="77777777" w:rsidR="0063719B" w:rsidRPr="00035D98" w:rsidRDefault="0063719B" w:rsidP="0063719B">
      <w:pPr>
        <w:pStyle w:val="ONRNormal"/>
        <w:keepNext/>
        <w:keepLines/>
        <w:ind w:left="879"/>
        <w:rPr>
          <w:b/>
          <w:i/>
        </w:rPr>
      </w:pPr>
      <w:r w:rsidRPr="00035D98">
        <w:rPr>
          <w:b/>
          <w:i/>
        </w:rPr>
        <w:t>Leadership</w:t>
      </w:r>
    </w:p>
    <w:p w14:paraId="79A3B823" w14:textId="77777777" w:rsidR="0063719B" w:rsidRPr="00C929D7" w:rsidRDefault="0063719B" w:rsidP="0063719B">
      <w:pPr>
        <w:pStyle w:val="ONRSquareBullet1"/>
        <w:tabs>
          <w:tab w:val="left" w:pos="880"/>
        </w:tabs>
        <w:spacing w:after="120"/>
        <w:rPr>
          <w:color w:val="auto"/>
        </w:rPr>
      </w:pPr>
      <w:r w:rsidRPr="00C929D7">
        <w:rPr>
          <w:color w:val="auto"/>
        </w:rPr>
        <w:t xml:space="preserve">How effective is the </w:t>
      </w:r>
      <w:proofErr w:type="spellStart"/>
      <w:r w:rsidRPr="00C929D7">
        <w:rPr>
          <w:color w:val="auto"/>
        </w:rPr>
        <w:t>organisation’s</w:t>
      </w:r>
      <w:proofErr w:type="spellEnd"/>
      <w:r w:rsidRPr="00C929D7">
        <w:rPr>
          <w:color w:val="auto"/>
        </w:rPr>
        <w:t xml:space="preserve"> approach to the governance of nuclear safety (including the systems and processes for monitoring, directing and controlling activities from the licensee board and executive team downwards)?</w:t>
      </w:r>
    </w:p>
    <w:p w14:paraId="79A3B824" w14:textId="77777777" w:rsidR="0063719B" w:rsidRPr="00C929D7" w:rsidRDefault="0063719B" w:rsidP="0063719B">
      <w:pPr>
        <w:pStyle w:val="ONRSquareBullet1"/>
        <w:tabs>
          <w:tab w:val="left" w:pos="880"/>
        </w:tabs>
        <w:spacing w:after="120"/>
        <w:rPr>
          <w:color w:val="auto"/>
        </w:rPr>
      </w:pPr>
      <w:r w:rsidRPr="00C929D7">
        <w:rPr>
          <w:color w:val="auto"/>
        </w:rPr>
        <w:t xml:space="preserve">How well does the </w:t>
      </w:r>
      <w:proofErr w:type="spellStart"/>
      <w:r w:rsidRPr="00C929D7">
        <w:rPr>
          <w:color w:val="auto"/>
        </w:rPr>
        <w:t>organisation</w:t>
      </w:r>
      <w:proofErr w:type="spellEnd"/>
      <w:r w:rsidRPr="00C929D7">
        <w:rPr>
          <w:color w:val="auto"/>
        </w:rPr>
        <w:t xml:space="preserve"> understand and demonstrate the attributes of a positive safety culture (including reviews and improvement plans)?</w:t>
      </w:r>
    </w:p>
    <w:p w14:paraId="79A3B825" w14:textId="77777777" w:rsidR="0063719B" w:rsidRPr="00C929D7" w:rsidRDefault="0063719B" w:rsidP="0063719B">
      <w:pPr>
        <w:pStyle w:val="ONRSquareBullet1"/>
        <w:tabs>
          <w:tab w:val="left" w:pos="880"/>
        </w:tabs>
        <w:spacing w:after="120"/>
        <w:rPr>
          <w:color w:val="auto"/>
        </w:rPr>
      </w:pPr>
      <w:r w:rsidRPr="00C929D7">
        <w:rPr>
          <w:color w:val="auto"/>
        </w:rPr>
        <w:t>Are the leadership active and effective in promoting and implanting robust standards for nuclear safety and a positive safety culture?</w:t>
      </w:r>
    </w:p>
    <w:p w14:paraId="79A3B826" w14:textId="77777777" w:rsidR="0063719B" w:rsidRPr="00C929D7" w:rsidRDefault="0063719B" w:rsidP="0063719B">
      <w:pPr>
        <w:pStyle w:val="ONRSquareBullet1"/>
        <w:tabs>
          <w:tab w:val="left" w:pos="880"/>
        </w:tabs>
        <w:spacing w:after="120"/>
        <w:rPr>
          <w:color w:val="auto"/>
        </w:rPr>
      </w:pPr>
      <w:r w:rsidRPr="00C929D7">
        <w:rPr>
          <w:color w:val="auto"/>
        </w:rPr>
        <w:t xml:space="preserve">Is there open, honest and effective communication throughout the </w:t>
      </w:r>
      <w:proofErr w:type="spellStart"/>
      <w:r w:rsidRPr="00C929D7">
        <w:rPr>
          <w:color w:val="auto"/>
        </w:rPr>
        <w:t>organisation</w:t>
      </w:r>
      <w:proofErr w:type="spellEnd"/>
      <w:r w:rsidRPr="00C929D7">
        <w:rPr>
          <w:color w:val="auto"/>
        </w:rPr>
        <w:t xml:space="preserve"> and with contractors, particularly on nuclear safety matters?</w:t>
      </w:r>
    </w:p>
    <w:p w14:paraId="79A3B827" w14:textId="77777777" w:rsidR="009D60F2" w:rsidRPr="00E26909" w:rsidRDefault="0063719B" w:rsidP="00E26909">
      <w:pPr>
        <w:pStyle w:val="ONRSquareBullet1"/>
        <w:tabs>
          <w:tab w:val="left" w:pos="880"/>
        </w:tabs>
        <w:spacing w:after="120"/>
        <w:rPr>
          <w:color w:val="auto"/>
        </w:rPr>
      </w:pPr>
      <w:r w:rsidRPr="00C929D7">
        <w:rPr>
          <w:color w:val="auto"/>
        </w:rPr>
        <w:t>Is the management system ‘fit for purpose’ to meet nuclear safety requirements (including clarity of standards and expectations, appropriate and usable procedures, continual review and improvement)?</w:t>
      </w:r>
      <w:r w:rsidR="00D951C6" w:rsidRPr="00E26909">
        <w:rPr>
          <w:color w:val="auto"/>
        </w:rPr>
        <w:t xml:space="preserve"> </w:t>
      </w:r>
    </w:p>
    <w:p w14:paraId="79A3B828" w14:textId="77777777" w:rsidR="0063719B" w:rsidRPr="00C929D7" w:rsidRDefault="0063719B" w:rsidP="00E26909">
      <w:pPr>
        <w:pStyle w:val="ONRNormal"/>
        <w:keepNext/>
        <w:keepLines/>
        <w:ind w:left="879"/>
        <w:rPr>
          <w:b/>
          <w:i/>
        </w:rPr>
      </w:pPr>
      <w:r w:rsidRPr="00C929D7">
        <w:rPr>
          <w:b/>
          <w:i/>
        </w:rPr>
        <w:t>Capable Organisation</w:t>
      </w:r>
    </w:p>
    <w:p w14:paraId="79A3B829" w14:textId="77777777" w:rsidR="0063719B" w:rsidRPr="00C929D7" w:rsidRDefault="0063719B" w:rsidP="0063719B">
      <w:pPr>
        <w:pStyle w:val="ONRSquareBullet1"/>
        <w:tabs>
          <w:tab w:val="left" w:pos="880"/>
        </w:tabs>
        <w:spacing w:after="120"/>
        <w:rPr>
          <w:color w:val="auto"/>
        </w:rPr>
      </w:pPr>
      <w:r w:rsidRPr="00C929D7">
        <w:rPr>
          <w:color w:val="auto"/>
        </w:rPr>
        <w:t xml:space="preserve">Are the </w:t>
      </w:r>
      <w:proofErr w:type="spellStart"/>
      <w:r w:rsidRPr="00C929D7">
        <w:rPr>
          <w:color w:val="auto"/>
        </w:rPr>
        <w:t>organisational</w:t>
      </w:r>
      <w:proofErr w:type="spellEnd"/>
      <w:r w:rsidRPr="00C929D7">
        <w:rPr>
          <w:color w:val="auto"/>
        </w:rPr>
        <w:t xml:space="preserve"> design principles and the </w:t>
      </w:r>
      <w:proofErr w:type="spellStart"/>
      <w:r w:rsidRPr="00C929D7">
        <w:rPr>
          <w:color w:val="auto"/>
        </w:rPr>
        <w:t>organisational</w:t>
      </w:r>
      <w:proofErr w:type="spellEnd"/>
      <w:r w:rsidRPr="00C929D7">
        <w:rPr>
          <w:color w:val="auto"/>
        </w:rPr>
        <w:t xml:space="preserve"> structure appropriate to meet the nuclear safety needs of the business (particularly if the needs have changed)?</w:t>
      </w:r>
    </w:p>
    <w:p w14:paraId="79A3B82A" w14:textId="77777777" w:rsidR="0063719B" w:rsidRPr="00C929D7" w:rsidRDefault="0063719B" w:rsidP="0063719B">
      <w:pPr>
        <w:pStyle w:val="ONRSquareBullet1"/>
        <w:tabs>
          <w:tab w:val="left" w:pos="880"/>
        </w:tabs>
        <w:spacing w:after="120"/>
        <w:rPr>
          <w:color w:val="auto"/>
        </w:rPr>
      </w:pPr>
      <w:r w:rsidRPr="00C929D7">
        <w:rPr>
          <w:color w:val="auto"/>
        </w:rPr>
        <w:t xml:space="preserve">Is the </w:t>
      </w:r>
      <w:proofErr w:type="spellStart"/>
      <w:r w:rsidRPr="00C929D7">
        <w:rPr>
          <w:color w:val="auto"/>
        </w:rPr>
        <w:t>organisational</w:t>
      </w:r>
      <w:proofErr w:type="spellEnd"/>
      <w:r w:rsidRPr="00C929D7">
        <w:rPr>
          <w:color w:val="auto"/>
        </w:rPr>
        <w:t xml:space="preserve"> baseline adequate, with effective processes for maintaining an </w:t>
      </w:r>
      <w:proofErr w:type="spellStart"/>
      <w:r w:rsidRPr="00C929D7">
        <w:rPr>
          <w:color w:val="auto"/>
        </w:rPr>
        <w:t>organisation</w:t>
      </w:r>
      <w:proofErr w:type="spellEnd"/>
      <w:r w:rsidRPr="00C929D7">
        <w:rPr>
          <w:color w:val="auto"/>
        </w:rPr>
        <w:t xml:space="preserve"> with suitable resources and competences to deliver nuclear safety (including vulnerability analysis, succession planning, recruitment etc.)?</w:t>
      </w:r>
    </w:p>
    <w:p w14:paraId="79A3B82B" w14:textId="77777777" w:rsidR="0063719B" w:rsidRPr="00C929D7" w:rsidRDefault="0063719B" w:rsidP="0063719B">
      <w:pPr>
        <w:pStyle w:val="ONRSquareBullet1"/>
        <w:tabs>
          <w:tab w:val="left" w:pos="880"/>
        </w:tabs>
        <w:spacing w:after="120"/>
        <w:rPr>
          <w:color w:val="auto"/>
        </w:rPr>
      </w:pPr>
      <w:r w:rsidRPr="00C929D7">
        <w:rPr>
          <w:color w:val="auto"/>
        </w:rPr>
        <w:t xml:space="preserve">Are </w:t>
      </w:r>
      <w:proofErr w:type="spellStart"/>
      <w:r w:rsidRPr="00C929D7">
        <w:rPr>
          <w:color w:val="auto"/>
        </w:rPr>
        <w:t>organisational</w:t>
      </w:r>
      <w:proofErr w:type="spellEnd"/>
      <w:r w:rsidRPr="00C929D7">
        <w:rPr>
          <w:color w:val="auto"/>
        </w:rPr>
        <w:t xml:space="preserve"> changes managed well and is due consideration given to the cumulative impact of changes or anticipated changes (including restructuring, changes of parent company, major changes to the activities of the site, e.g. entering decommissioning, or ‘care and maintenance’)?</w:t>
      </w:r>
    </w:p>
    <w:p w14:paraId="79A3B82C" w14:textId="77777777" w:rsidR="0063719B" w:rsidRPr="00C929D7" w:rsidRDefault="0063719B" w:rsidP="0063719B">
      <w:pPr>
        <w:pStyle w:val="ONRSquareBullet1"/>
        <w:tabs>
          <w:tab w:val="left" w:pos="880"/>
        </w:tabs>
        <w:spacing w:after="120"/>
        <w:rPr>
          <w:color w:val="auto"/>
        </w:rPr>
      </w:pPr>
      <w:r w:rsidRPr="00C929D7">
        <w:rPr>
          <w:color w:val="auto"/>
        </w:rPr>
        <w:t>Does the competence assurance system (including knowledge management or transfer processes) define and deliver nuclear safety requirements?</w:t>
      </w:r>
    </w:p>
    <w:p w14:paraId="79A3B82D" w14:textId="77777777" w:rsidR="009D60F2" w:rsidRPr="00E26909" w:rsidRDefault="0063719B" w:rsidP="00D951C6">
      <w:pPr>
        <w:pStyle w:val="ONRSquareBullet1"/>
        <w:tabs>
          <w:tab w:val="left" w:pos="880"/>
        </w:tabs>
        <w:spacing w:after="120"/>
        <w:rPr>
          <w:b/>
          <w:i/>
        </w:rPr>
      </w:pPr>
      <w:r w:rsidRPr="00C929D7">
        <w:rPr>
          <w:color w:val="auto"/>
        </w:rPr>
        <w:t>Are the policy and practices for using contractors appropriate (including the ‘make/buy’ balance, management and oversight of contractors and sub-contractors, consideration of potential vulnerabilities and contingencies)?</w:t>
      </w:r>
    </w:p>
    <w:p w14:paraId="79A3B82E" w14:textId="77777777" w:rsidR="0063719B" w:rsidRPr="00C929D7" w:rsidRDefault="0063719B" w:rsidP="00E26909">
      <w:pPr>
        <w:pStyle w:val="ONRNormal"/>
        <w:keepNext/>
        <w:keepLines/>
        <w:ind w:left="879"/>
        <w:rPr>
          <w:b/>
          <w:i/>
        </w:rPr>
      </w:pPr>
      <w:r w:rsidRPr="00C929D7">
        <w:rPr>
          <w:b/>
          <w:i/>
        </w:rPr>
        <w:t>Decision making</w:t>
      </w:r>
    </w:p>
    <w:p w14:paraId="79A3B82F" w14:textId="77777777" w:rsidR="0063719B" w:rsidRPr="00C929D7" w:rsidRDefault="0063719B" w:rsidP="0063719B">
      <w:pPr>
        <w:pStyle w:val="ONRSquareBullet1"/>
        <w:tabs>
          <w:tab w:val="left" w:pos="880"/>
        </w:tabs>
        <w:spacing w:after="120"/>
        <w:rPr>
          <w:color w:val="auto"/>
        </w:rPr>
      </w:pPr>
      <w:r w:rsidRPr="00C929D7">
        <w:rPr>
          <w:color w:val="auto"/>
        </w:rPr>
        <w:t>How is it ensured that nuclear safety is given appropriate consideration in decision making within the business (including the use of good quality information, diverse views and questioning of assumptions, exploration of all relevant scenarios that may threaten nuclear safety and due consideration of options)?</w:t>
      </w:r>
    </w:p>
    <w:p w14:paraId="79A3B830" w14:textId="77777777" w:rsidR="0063719B" w:rsidRPr="00C929D7" w:rsidRDefault="0063719B" w:rsidP="0063719B">
      <w:pPr>
        <w:pStyle w:val="ONRSquareBullet1"/>
        <w:tabs>
          <w:tab w:val="left" w:pos="880"/>
        </w:tabs>
        <w:spacing w:after="120"/>
        <w:rPr>
          <w:color w:val="auto"/>
        </w:rPr>
      </w:pPr>
      <w:r w:rsidRPr="00C929D7">
        <w:rPr>
          <w:color w:val="auto"/>
        </w:rPr>
        <w:t>How well is the principle of conservative decision making applied, in the interests of nuclear safety, when faced with uncertainty or the unexpected?</w:t>
      </w:r>
    </w:p>
    <w:p w14:paraId="79A3B831" w14:textId="77777777" w:rsidR="0063719B" w:rsidRPr="00C929D7" w:rsidRDefault="0063719B" w:rsidP="0063719B">
      <w:pPr>
        <w:pStyle w:val="ONRSquareBullet1"/>
        <w:tabs>
          <w:tab w:val="left" w:pos="880"/>
        </w:tabs>
        <w:spacing w:after="120"/>
        <w:rPr>
          <w:color w:val="auto"/>
        </w:rPr>
      </w:pPr>
      <w:r w:rsidRPr="00C929D7">
        <w:rPr>
          <w:color w:val="auto"/>
        </w:rPr>
        <w:t>Is there a healthy ‘challenge culture’ and appropriate internal challenge for decisions of all types at all levels that may impact upon nuclear safety (including, but not limited to, a strong ‘internal regulator’ function)?</w:t>
      </w:r>
    </w:p>
    <w:p w14:paraId="79A3B832" w14:textId="77777777" w:rsidR="0063719B" w:rsidRPr="00C929D7" w:rsidRDefault="0063719B" w:rsidP="0063719B">
      <w:pPr>
        <w:pStyle w:val="ONRSquareBullet1"/>
        <w:tabs>
          <w:tab w:val="left" w:pos="880"/>
        </w:tabs>
        <w:spacing w:after="120"/>
        <w:rPr>
          <w:color w:val="auto"/>
        </w:rPr>
      </w:pPr>
      <w:r w:rsidRPr="00C929D7">
        <w:rPr>
          <w:color w:val="auto"/>
        </w:rPr>
        <w:t>Are the performance indicators/metrics, particularly those used at senior levels, sufficiently relevant to nuclear safety and are there any significant gaps in coverage; are the indicators used in combination with other, qualitative sources of information (e.g. audits/reviews, operating experience?)</w:t>
      </w:r>
    </w:p>
    <w:p w14:paraId="79A3B833" w14:textId="77777777" w:rsidR="0063719B" w:rsidRPr="00C929D7" w:rsidRDefault="0063719B" w:rsidP="0063719B">
      <w:pPr>
        <w:pStyle w:val="ONRNormal"/>
        <w:keepNext/>
        <w:keepLines/>
        <w:ind w:left="879"/>
        <w:rPr>
          <w:b/>
          <w:i/>
        </w:rPr>
      </w:pPr>
      <w:r w:rsidRPr="00C929D7">
        <w:rPr>
          <w:b/>
          <w:i/>
        </w:rPr>
        <w:t>Learning organisation</w:t>
      </w:r>
    </w:p>
    <w:p w14:paraId="79A3B834" w14:textId="77777777" w:rsidR="0063719B" w:rsidRPr="00C929D7" w:rsidRDefault="0063719B" w:rsidP="0063719B">
      <w:pPr>
        <w:pStyle w:val="ONRSquareBullet1"/>
        <w:tabs>
          <w:tab w:val="left" w:pos="880"/>
        </w:tabs>
        <w:spacing w:after="120"/>
        <w:rPr>
          <w:color w:val="auto"/>
        </w:rPr>
      </w:pPr>
      <w:r w:rsidRPr="00C929D7">
        <w:rPr>
          <w:color w:val="auto"/>
        </w:rPr>
        <w:t>Is there an open and fair reporting culture (do managers encourage this)?</w:t>
      </w:r>
    </w:p>
    <w:p w14:paraId="79A3B835" w14:textId="77777777" w:rsidR="0063719B" w:rsidRPr="00C929D7" w:rsidRDefault="0063719B" w:rsidP="0063719B">
      <w:pPr>
        <w:pStyle w:val="ONRSquareBullet1"/>
        <w:tabs>
          <w:tab w:val="left" w:pos="880"/>
        </w:tabs>
        <w:spacing w:after="120"/>
        <w:rPr>
          <w:color w:val="auto"/>
        </w:rPr>
      </w:pPr>
      <w:r w:rsidRPr="00C929D7">
        <w:rPr>
          <w:color w:val="auto"/>
        </w:rPr>
        <w:t>How well are opportunities for learning captured, collated, considered and acted upon (is learning being embedded)?</w:t>
      </w:r>
    </w:p>
    <w:p w14:paraId="79A3B836" w14:textId="77777777" w:rsidR="0063719B" w:rsidRPr="00C929D7" w:rsidRDefault="0063719B" w:rsidP="0063719B">
      <w:pPr>
        <w:pStyle w:val="ONRSquareBullet1"/>
        <w:tabs>
          <w:tab w:val="left" w:pos="880"/>
        </w:tabs>
        <w:spacing w:after="120"/>
        <w:rPr>
          <w:color w:val="auto"/>
        </w:rPr>
      </w:pPr>
      <w:r w:rsidRPr="00C929D7">
        <w:rPr>
          <w:color w:val="auto"/>
        </w:rPr>
        <w:t xml:space="preserve">Do event investigations/root cause analyses identify and address systemic issues (underlying leadership, </w:t>
      </w:r>
      <w:proofErr w:type="spellStart"/>
      <w:r w:rsidRPr="00C929D7">
        <w:rPr>
          <w:color w:val="auto"/>
        </w:rPr>
        <w:t>organisational</w:t>
      </w:r>
      <w:proofErr w:type="spellEnd"/>
      <w:r w:rsidRPr="00C929D7">
        <w:rPr>
          <w:color w:val="auto"/>
        </w:rPr>
        <w:t xml:space="preserve"> and cultural factors)?</w:t>
      </w:r>
    </w:p>
    <w:p w14:paraId="79A3B837" w14:textId="77777777" w:rsidR="0063719B" w:rsidRPr="00C929D7" w:rsidRDefault="0063719B" w:rsidP="0063719B">
      <w:pPr>
        <w:pStyle w:val="ONRSquareBullet1"/>
        <w:tabs>
          <w:tab w:val="left" w:pos="880"/>
        </w:tabs>
        <w:spacing w:after="120"/>
        <w:rPr>
          <w:color w:val="auto"/>
        </w:rPr>
      </w:pPr>
      <w:r w:rsidRPr="00C929D7">
        <w:rPr>
          <w:color w:val="auto"/>
        </w:rPr>
        <w:t xml:space="preserve">Does the </w:t>
      </w:r>
      <w:proofErr w:type="spellStart"/>
      <w:r w:rsidRPr="00C929D7">
        <w:rPr>
          <w:color w:val="auto"/>
        </w:rPr>
        <w:t>organisation</w:t>
      </w:r>
      <w:proofErr w:type="spellEnd"/>
      <w:r w:rsidRPr="00C929D7">
        <w:rPr>
          <w:color w:val="auto"/>
        </w:rPr>
        <w:t xml:space="preserve"> actively seek out and act upon external sources of learning (including non-nuclear sectors)?</w:t>
      </w:r>
    </w:p>
    <w:p w14:paraId="79A3B838" w14:textId="77777777" w:rsidR="0063719B" w:rsidRPr="00C929D7" w:rsidRDefault="0063719B" w:rsidP="0063719B">
      <w:pPr>
        <w:pStyle w:val="ONRSquareBullet1"/>
        <w:tabs>
          <w:tab w:val="left" w:pos="880"/>
        </w:tabs>
        <w:spacing w:after="120"/>
        <w:rPr>
          <w:color w:val="auto"/>
        </w:rPr>
      </w:pPr>
      <w:r w:rsidRPr="00C929D7">
        <w:rPr>
          <w:color w:val="auto"/>
        </w:rPr>
        <w:t>Is there an adequate range of self-evaluations and independent evaluations (including cross-cutting themes such as leadership and culture)?</w:t>
      </w:r>
    </w:p>
    <w:p w14:paraId="79A3B839" w14:textId="77777777" w:rsidR="0063719B" w:rsidRPr="007A07BD" w:rsidRDefault="0063719B" w:rsidP="0063719B">
      <w:pPr>
        <w:pStyle w:val="ONRSquareBullet1"/>
        <w:tabs>
          <w:tab w:val="left" w:pos="880"/>
        </w:tabs>
        <w:spacing w:after="120"/>
        <w:rPr>
          <w:color w:val="auto"/>
        </w:rPr>
      </w:pPr>
      <w:r w:rsidRPr="00C929D7">
        <w:rPr>
          <w:color w:val="auto"/>
        </w:rPr>
        <w:t xml:space="preserve">Is there an integrated approach to </w:t>
      </w:r>
      <w:proofErr w:type="spellStart"/>
      <w:r w:rsidRPr="00C929D7">
        <w:rPr>
          <w:color w:val="auto"/>
        </w:rPr>
        <w:t>organisational</w:t>
      </w:r>
      <w:proofErr w:type="spellEnd"/>
      <w:r w:rsidRPr="00C929D7">
        <w:rPr>
          <w:color w:val="auto"/>
        </w:rPr>
        <w:t xml:space="preserve"> learning (pulling together lessons from internal and external events, investigations, evaluations, </w:t>
      </w:r>
      <w:proofErr w:type="spellStart"/>
      <w:r w:rsidRPr="00C929D7">
        <w:rPr>
          <w:color w:val="auto"/>
        </w:rPr>
        <w:t>organisational</w:t>
      </w:r>
      <w:proofErr w:type="spellEnd"/>
      <w:r w:rsidRPr="00C929D7">
        <w:rPr>
          <w:color w:val="auto"/>
        </w:rPr>
        <w:t xml:space="preserve"> changes etc.)?</w:t>
      </w:r>
    </w:p>
    <w:p w14:paraId="79A3B83A" w14:textId="77777777" w:rsidR="0063719B" w:rsidRDefault="0063719B" w:rsidP="00495A13">
      <w:pPr>
        <w:pStyle w:val="NumberedHeading"/>
        <w:pageBreakBefore/>
        <w:numPr>
          <w:ilvl w:val="0"/>
          <w:numId w:val="0"/>
        </w:numPr>
      </w:pPr>
      <w:bookmarkStart w:id="63" w:name="ANNEX2"/>
      <w:bookmarkStart w:id="64" w:name="_Toc43460821"/>
      <w:r>
        <w:t>Annex 2</w:t>
      </w:r>
      <w:bookmarkEnd w:id="63"/>
      <w:r>
        <w:t>: Expectations for a Decommissioning PSR</w:t>
      </w:r>
      <w:bookmarkEnd w:id="64"/>
    </w:p>
    <w:p w14:paraId="79A3B83B" w14:textId="77777777" w:rsidR="0063719B" w:rsidRDefault="0063719B" w:rsidP="00E146F9">
      <w:pPr>
        <w:pStyle w:val="ONRNumberedParagraph1"/>
        <w:numPr>
          <w:ilvl w:val="0"/>
          <w:numId w:val="48"/>
        </w:numPr>
        <w:spacing w:after="120"/>
        <w:jc w:val="both"/>
      </w:pPr>
      <w:r>
        <w:t>The PSR for a facility or site undergoing decommissioning needs to consider current nuclear safety and also that ageing and other effects will not render the plant unsafe before the next PSR.</w:t>
      </w:r>
      <w:r w:rsidR="00D951C6">
        <w:t xml:space="preserve"> </w:t>
      </w:r>
      <w:r>
        <w:t>In addition, for so-called ‘essential facilities’ (i.e. those where there is no reasonably practicable alternative other than continued operation, e.g. certain radioactive waste facilities), the review should consider the period of potential continued operation before the facility could be replaced or closed (a period of fifty years is suggested).</w:t>
      </w:r>
    </w:p>
    <w:p w14:paraId="79A3B83C" w14:textId="77777777" w:rsidR="0063719B" w:rsidRDefault="0063719B" w:rsidP="00495A13">
      <w:pPr>
        <w:pStyle w:val="ONRNumberedParagraph1"/>
        <w:spacing w:after="120"/>
        <w:jc w:val="both"/>
      </w:pPr>
      <w:r>
        <w:t>The PSR should also look forward to final decommissioning and Post-operational Clear-out (POCO), checking that there are no foreseeable circumstances that are likely to be a threat to continued safe operation prior to this time.</w:t>
      </w:r>
      <w:r w:rsidR="00D951C6">
        <w:t xml:space="preserve"> </w:t>
      </w:r>
      <w:r>
        <w:t>For decommissioning sites, this aspect of the PSR should be carried out with reference to the site’s Decommissioning Plan.</w:t>
      </w:r>
      <w:r w:rsidR="00D951C6">
        <w:t xml:space="preserve"> </w:t>
      </w:r>
      <w:r>
        <w:t>If no such plan currently exists, the Licensee needs to provide one to support the PSR.</w:t>
      </w:r>
    </w:p>
    <w:p w14:paraId="79A3B83D" w14:textId="77777777" w:rsidR="0063719B" w:rsidRDefault="0063719B" w:rsidP="00495A13">
      <w:pPr>
        <w:pStyle w:val="ONRNumberedParagraph1"/>
        <w:spacing w:after="120"/>
        <w:jc w:val="both"/>
      </w:pPr>
      <w:r>
        <w:t>The scope of the PSR needs to reflect the type of operations being undertaken at the facility and it is unlikely that the scope used for PSRs when the facility was in normal operations will be appropriate.</w:t>
      </w:r>
      <w:r w:rsidR="00D951C6">
        <w:t xml:space="preserve"> </w:t>
      </w:r>
      <w:r>
        <w:t xml:space="preserve">The scope of a decommissioning PSR should include the following components of the site’s safety case, so that the continuing validity of identified </w:t>
      </w:r>
      <w:r w:rsidR="005C0CC7">
        <w:t>li</w:t>
      </w:r>
      <w:r>
        <w:t>mits</w:t>
      </w:r>
      <w:r w:rsidR="005C0CC7">
        <w:t xml:space="preserve"> and conditions</w:t>
      </w:r>
      <w:r>
        <w:t xml:space="preserve"> may be confirmed:</w:t>
      </w:r>
    </w:p>
    <w:p w14:paraId="79A3B83E" w14:textId="77777777" w:rsidR="0063719B" w:rsidRPr="00C929D7" w:rsidRDefault="0063719B" w:rsidP="00495A13">
      <w:pPr>
        <w:pStyle w:val="ONRSquareBullet1"/>
        <w:tabs>
          <w:tab w:val="left" w:pos="880"/>
        </w:tabs>
        <w:spacing w:after="120"/>
        <w:rPr>
          <w:color w:val="auto"/>
        </w:rPr>
      </w:pPr>
      <w:r w:rsidRPr="00C929D7">
        <w:rPr>
          <w:color w:val="auto"/>
        </w:rPr>
        <w:t>All site operations and processes affecting nuclear safety (including the storing of wastes and contaminated land).</w:t>
      </w:r>
    </w:p>
    <w:p w14:paraId="79A3B83F" w14:textId="77777777" w:rsidR="0063719B" w:rsidRPr="00C929D7" w:rsidRDefault="0063719B" w:rsidP="00495A13">
      <w:pPr>
        <w:pStyle w:val="ONRSquareBullet1"/>
        <w:tabs>
          <w:tab w:val="left" w:pos="880"/>
        </w:tabs>
        <w:spacing w:after="120"/>
        <w:rPr>
          <w:color w:val="auto"/>
        </w:rPr>
      </w:pPr>
      <w:r w:rsidRPr="00C929D7">
        <w:rPr>
          <w:color w:val="auto"/>
        </w:rPr>
        <w:t>The procedural documentation and other records kept to support these and other likely future operations and processes.</w:t>
      </w:r>
    </w:p>
    <w:p w14:paraId="79A3B840" w14:textId="77777777" w:rsidR="0063719B" w:rsidRPr="00C929D7" w:rsidRDefault="0063719B" w:rsidP="00495A13">
      <w:pPr>
        <w:pStyle w:val="ONRSquareBullet1"/>
        <w:tabs>
          <w:tab w:val="left" w:pos="880"/>
        </w:tabs>
        <w:spacing w:after="120"/>
        <w:rPr>
          <w:color w:val="auto"/>
        </w:rPr>
      </w:pPr>
      <w:r w:rsidRPr="00C929D7">
        <w:rPr>
          <w:color w:val="auto"/>
        </w:rPr>
        <w:t>Age-related degradation mechanisms and life-limiting features.</w:t>
      </w:r>
    </w:p>
    <w:p w14:paraId="79A3B841" w14:textId="77777777" w:rsidR="0063719B" w:rsidRPr="00C929D7" w:rsidRDefault="0063719B" w:rsidP="00495A13">
      <w:pPr>
        <w:pStyle w:val="ONRSquareBullet1"/>
        <w:tabs>
          <w:tab w:val="left" w:pos="880"/>
        </w:tabs>
        <w:spacing w:after="120"/>
        <w:rPr>
          <w:color w:val="auto"/>
        </w:rPr>
      </w:pPr>
      <w:r w:rsidRPr="00C929D7">
        <w:rPr>
          <w:color w:val="auto"/>
        </w:rPr>
        <w:t>The maintenance, inspection and testing regime.</w:t>
      </w:r>
    </w:p>
    <w:p w14:paraId="79A3B842" w14:textId="77777777" w:rsidR="0063719B" w:rsidRPr="00C929D7" w:rsidRDefault="0063719B" w:rsidP="00495A13">
      <w:pPr>
        <w:pStyle w:val="ONRSquareBullet1"/>
        <w:tabs>
          <w:tab w:val="left" w:pos="880"/>
        </w:tabs>
        <w:spacing w:after="120"/>
        <w:rPr>
          <w:color w:val="auto"/>
        </w:rPr>
      </w:pPr>
      <w:r w:rsidRPr="00C929D7">
        <w:rPr>
          <w:color w:val="auto"/>
        </w:rPr>
        <w:t>The updated radioactive inventory.</w:t>
      </w:r>
    </w:p>
    <w:p w14:paraId="79A3B843" w14:textId="77777777" w:rsidR="0063719B" w:rsidRPr="00C929D7" w:rsidRDefault="0063719B" w:rsidP="00495A13">
      <w:pPr>
        <w:pStyle w:val="ONRSquareBullet1"/>
        <w:tabs>
          <w:tab w:val="left" w:pos="880"/>
        </w:tabs>
        <w:spacing w:after="120"/>
        <w:rPr>
          <w:color w:val="auto"/>
        </w:rPr>
      </w:pPr>
      <w:r w:rsidRPr="00C929D7">
        <w:rPr>
          <w:color w:val="auto"/>
        </w:rPr>
        <w:t>The assessment of hazards and risks.</w:t>
      </w:r>
    </w:p>
    <w:p w14:paraId="79A3B844" w14:textId="77777777" w:rsidR="0063719B" w:rsidRPr="00C929D7" w:rsidRDefault="0063719B" w:rsidP="00495A13">
      <w:pPr>
        <w:pStyle w:val="ONRSquareBullet1"/>
        <w:tabs>
          <w:tab w:val="left" w:pos="880"/>
        </w:tabs>
        <w:spacing w:after="120"/>
        <w:rPr>
          <w:color w:val="auto"/>
        </w:rPr>
      </w:pPr>
      <w:r w:rsidRPr="00C929D7">
        <w:rPr>
          <w:color w:val="auto"/>
        </w:rPr>
        <w:t>Plans and drawings referred to in the safety case.</w:t>
      </w:r>
    </w:p>
    <w:p w14:paraId="79A3B845" w14:textId="77777777" w:rsidR="0063719B" w:rsidRPr="00C929D7" w:rsidRDefault="0063719B" w:rsidP="00495A13">
      <w:pPr>
        <w:pStyle w:val="ONRSquareBullet1"/>
        <w:tabs>
          <w:tab w:val="left" w:pos="880"/>
        </w:tabs>
        <w:spacing w:after="120"/>
        <w:rPr>
          <w:color w:val="auto"/>
        </w:rPr>
      </w:pPr>
      <w:r w:rsidRPr="00C929D7">
        <w:rPr>
          <w:color w:val="auto"/>
        </w:rPr>
        <w:t>The facility condition and configuration, and in particular whether this continues to reflect what is assumed in the safety case.</w:t>
      </w:r>
      <w:r w:rsidR="00D951C6">
        <w:rPr>
          <w:color w:val="auto"/>
        </w:rPr>
        <w:t xml:space="preserve"> </w:t>
      </w:r>
      <w:r w:rsidRPr="00C929D7">
        <w:rPr>
          <w:color w:val="auto"/>
        </w:rPr>
        <w:t>Plant walk-downs may be helpful in reviewing these aspects.</w:t>
      </w:r>
    </w:p>
    <w:p w14:paraId="79A3B846" w14:textId="77777777" w:rsidR="0063719B" w:rsidRPr="00C929D7" w:rsidRDefault="0063719B" w:rsidP="00495A13">
      <w:pPr>
        <w:pStyle w:val="ONRSquareBullet1"/>
        <w:tabs>
          <w:tab w:val="left" w:pos="880"/>
        </w:tabs>
        <w:spacing w:after="120"/>
        <w:rPr>
          <w:color w:val="auto"/>
        </w:rPr>
      </w:pPr>
      <w:r w:rsidRPr="00C929D7">
        <w:rPr>
          <w:color w:val="auto"/>
        </w:rPr>
        <w:t>The condition of the site infrastructure (e.g. buildings) and whether this is suitable to support the safety case.</w:t>
      </w:r>
    </w:p>
    <w:p w14:paraId="79A3B847" w14:textId="77777777" w:rsidR="0063719B" w:rsidRPr="00C929D7" w:rsidRDefault="0063719B" w:rsidP="00495A13">
      <w:pPr>
        <w:pStyle w:val="ONRSquareBullet1"/>
        <w:tabs>
          <w:tab w:val="left" w:pos="880"/>
        </w:tabs>
        <w:spacing w:after="120"/>
        <w:rPr>
          <w:color w:val="auto"/>
        </w:rPr>
      </w:pPr>
      <w:r w:rsidRPr="00C929D7">
        <w:rPr>
          <w:color w:val="auto"/>
        </w:rPr>
        <w:t>Site services (and in particular Radiation Protection and Emergency Planning).</w:t>
      </w:r>
    </w:p>
    <w:p w14:paraId="79A3B848" w14:textId="77777777" w:rsidR="0063719B" w:rsidRPr="00C929D7" w:rsidRDefault="0063719B" w:rsidP="00495A13">
      <w:pPr>
        <w:pStyle w:val="ONRSquareBullet1"/>
        <w:tabs>
          <w:tab w:val="left" w:pos="880"/>
        </w:tabs>
        <w:spacing w:after="120"/>
        <w:rPr>
          <w:color w:val="auto"/>
        </w:rPr>
      </w:pPr>
      <w:r w:rsidRPr="00C929D7">
        <w:rPr>
          <w:color w:val="auto"/>
        </w:rPr>
        <w:t>The site’s management of safety arrangements and resources available for their implementation.</w:t>
      </w:r>
    </w:p>
    <w:p w14:paraId="79A3B849" w14:textId="77777777" w:rsidR="0063719B" w:rsidRPr="00C929D7" w:rsidRDefault="0063719B" w:rsidP="00495A13">
      <w:pPr>
        <w:pStyle w:val="ONRSquareBullet1"/>
        <w:tabs>
          <w:tab w:val="left" w:pos="880"/>
        </w:tabs>
        <w:spacing w:after="120"/>
        <w:rPr>
          <w:color w:val="auto"/>
        </w:rPr>
      </w:pPr>
      <w:r w:rsidRPr="00C929D7">
        <w:rPr>
          <w:color w:val="auto"/>
        </w:rPr>
        <w:t>Dependencies on other facilities and services provided externally.</w:t>
      </w:r>
    </w:p>
    <w:p w14:paraId="79A3B84A" w14:textId="77777777" w:rsidR="0063719B" w:rsidRDefault="0063719B" w:rsidP="00495A13">
      <w:pPr>
        <w:pStyle w:val="ONRNumberedParagraph1"/>
        <w:spacing w:after="120"/>
        <w:jc w:val="both"/>
      </w:pPr>
      <w:r w:rsidRPr="00C929D7">
        <w:t>For</w:t>
      </w:r>
      <w:r>
        <w:t xml:space="preserve"> facilities or sites where decommissioning activities are programmed, a strategy for developing and managing the safety case as it evolves during the decommissioning process should be documented and submitted to the ONR prior to the start of work either as part of a Decommissioning Safety Case or as part of a PSR submission if a complete review is being carried out at that stage.</w:t>
      </w:r>
      <w:r w:rsidR="00D951C6">
        <w:t xml:space="preserve"> </w:t>
      </w:r>
      <w:r>
        <w:t>The strategy should show how the safety case for the project will remain live and valid at all stages, and indicate how the progressive reduction of hazard will be achieved.</w:t>
      </w:r>
      <w:r w:rsidR="00D951C6">
        <w:t xml:space="preserve"> </w:t>
      </w:r>
      <w:r>
        <w:t>Where activities may increase risks temporarily (for example to enable remedial work, facility installation or waste retrievals to be carried out) the submission should set out and justify the change in</w:t>
      </w:r>
      <w:r w:rsidR="00DC01C5">
        <w:t xml:space="preserve"> risk profile</w:t>
      </w:r>
      <w:r>
        <w:t>.</w:t>
      </w:r>
      <w:r w:rsidR="00D951C6">
        <w:t xml:space="preserve"> </w:t>
      </w:r>
      <w:r>
        <w:t>Guidance on the management of radioactive materials and radioactive waste [</w:t>
      </w:r>
      <w:r w:rsidR="001C0A22">
        <w:t>2</w:t>
      </w:r>
      <w:r w:rsidR="00F51E99">
        <w:t>2</w:t>
      </w:r>
      <w:r>
        <w:t>] should be noted.</w:t>
      </w:r>
    </w:p>
    <w:p w14:paraId="79A3B84B" w14:textId="77777777" w:rsidR="004F035B" w:rsidRPr="00495A13" w:rsidRDefault="0063719B" w:rsidP="00495A13">
      <w:pPr>
        <w:pStyle w:val="ONRNumberedParagraph1"/>
        <w:spacing w:after="120"/>
        <w:jc w:val="both"/>
      </w:pPr>
      <w:r>
        <w:tab/>
        <w:t>For a decommissioning site the review should consider whether the date of the next PSR (normally at ten-yearly intervals) is appropriate, and in particular whether the next formal review should be brought forward in the light of any age-related topics and in particular because of ageing mechanisms or planned changes in future activities on the site.</w:t>
      </w:r>
    </w:p>
    <w:p w14:paraId="79A3B84C" w14:textId="77777777" w:rsidR="008D4F34" w:rsidRPr="00495A13" w:rsidRDefault="001C102A" w:rsidP="00495A13">
      <w:pPr>
        <w:pStyle w:val="ONRNumberedParagraph1"/>
        <w:spacing w:after="120"/>
        <w:jc w:val="both"/>
      </w:pPr>
      <w:r>
        <w:t xml:space="preserve">Where facilities are either being defueled or </w:t>
      </w:r>
      <w:r w:rsidR="00537D8A">
        <w:t xml:space="preserve">placed into POCO </w:t>
      </w:r>
      <w:r>
        <w:t xml:space="preserve">in preparation for </w:t>
      </w:r>
      <w:r w:rsidR="004471A5">
        <w:t>decommissioning</w:t>
      </w:r>
      <w:r>
        <w:t xml:space="preserve">, within the forthcoming PSR cycle, this will affect how the review is undertaken. ONR expectations are that in these circumstances a PSR will still be undertaken. However, the treatment of identified shortfalls should be undertaken in a proportionate manner which takes into account </w:t>
      </w:r>
      <w:r w:rsidR="008D4F34">
        <w:t xml:space="preserve">the following factors (this </w:t>
      </w:r>
      <w:r w:rsidR="00DC018E">
        <w:t>list is not exhaustive) when identify</w:t>
      </w:r>
      <w:r w:rsidR="008D4F34">
        <w:t>ing to an ALARP solution:</w:t>
      </w:r>
    </w:p>
    <w:p w14:paraId="79A3B84D" w14:textId="77777777" w:rsidR="00F41728" w:rsidRPr="00495A13" w:rsidRDefault="008D4F34" w:rsidP="00495A13">
      <w:pPr>
        <w:pStyle w:val="ONRSquareBullet1"/>
        <w:tabs>
          <w:tab w:val="left" w:pos="880"/>
        </w:tabs>
        <w:spacing w:after="120"/>
        <w:rPr>
          <w:color w:val="auto"/>
        </w:rPr>
      </w:pPr>
      <w:r w:rsidRPr="00084490">
        <w:rPr>
          <w:color w:val="auto"/>
        </w:rPr>
        <w:t>Whether the identified hazard will continue into the decommissioning phase of the facility (e.g. building structure shortfalls)</w:t>
      </w:r>
      <w:r w:rsidR="001C102A" w:rsidRPr="00084490">
        <w:rPr>
          <w:color w:val="auto"/>
        </w:rPr>
        <w:t xml:space="preserve"> </w:t>
      </w:r>
    </w:p>
    <w:p w14:paraId="79A3B84E" w14:textId="77777777" w:rsidR="008D4F34" w:rsidRPr="00495A13" w:rsidRDefault="008D4F34" w:rsidP="00495A13">
      <w:pPr>
        <w:pStyle w:val="ONRSquareBullet1"/>
        <w:tabs>
          <w:tab w:val="left" w:pos="880"/>
        </w:tabs>
        <w:spacing w:after="120"/>
        <w:rPr>
          <w:color w:val="auto"/>
        </w:rPr>
      </w:pPr>
      <w:r>
        <w:rPr>
          <w:color w:val="auto"/>
        </w:rPr>
        <w:t>Whether the safety systems will be required for decommissioning</w:t>
      </w:r>
      <w:r w:rsidR="00DC018E">
        <w:rPr>
          <w:color w:val="auto"/>
        </w:rPr>
        <w:t>/defueling</w:t>
      </w:r>
      <w:r>
        <w:rPr>
          <w:color w:val="auto"/>
        </w:rPr>
        <w:t xml:space="preserve"> (e.g. ventilation</w:t>
      </w:r>
      <w:r w:rsidR="0014622E">
        <w:rPr>
          <w:color w:val="auto"/>
        </w:rPr>
        <w:t>, w</w:t>
      </w:r>
      <w:r w:rsidR="00DC018E">
        <w:rPr>
          <w:color w:val="auto"/>
        </w:rPr>
        <w:t>aste handling etc.)</w:t>
      </w:r>
    </w:p>
    <w:p w14:paraId="79A3B84F" w14:textId="77777777" w:rsidR="008D4F34" w:rsidRPr="00495A13" w:rsidRDefault="008D4F34" w:rsidP="00495A13">
      <w:pPr>
        <w:pStyle w:val="ONRSquareBullet1"/>
        <w:tabs>
          <w:tab w:val="left" w:pos="880"/>
        </w:tabs>
        <w:spacing w:after="120"/>
        <w:rPr>
          <w:color w:val="auto"/>
        </w:rPr>
      </w:pPr>
      <w:r>
        <w:rPr>
          <w:color w:val="auto"/>
        </w:rPr>
        <w:t>Transient hazards that may arise during decommissioning</w:t>
      </w:r>
    </w:p>
    <w:p w14:paraId="79A3B850" w14:textId="77777777" w:rsidR="008D4F34" w:rsidRPr="00495A13" w:rsidRDefault="008D4F34" w:rsidP="00495A13">
      <w:pPr>
        <w:pStyle w:val="ONRSquareBullet1"/>
        <w:tabs>
          <w:tab w:val="left" w:pos="880"/>
        </w:tabs>
        <w:spacing w:after="120"/>
        <w:rPr>
          <w:color w:val="auto"/>
        </w:rPr>
      </w:pPr>
      <w:r>
        <w:rPr>
          <w:color w:val="auto"/>
        </w:rPr>
        <w:t>If the facility is being replaced</w:t>
      </w:r>
      <w:r w:rsidR="00DC018E">
        <w:rPr>
          <w:color w:val="auto"/>
        </w:rPr>
        <w:t>,</w:t>
      </w:r>
      <w:r>
        <w:rPr>
          <w:color w:val="auto"/>
        </w:rPr>
        <w:t xml:space="preserve"> the timescales for the new facility to come on-line taking into account any un-certainties</w:t>
      </w:r>
    </w:p>
    <w:p w14:paraId="79A3B851" w14:textId="77777777" w:rsidR="008D4F34" w:rsidRPr="00495A13" w:rsidRDefault="00DC018E" w:rsidP="00495A13">
      <w:pPr>
        <w:pStyle w:val="ONRSquareBullet1"/>
        <w:tabs>
          <w:tab w:val="left" w:pos="880"/>
        </w:tabs>
        <w:spacing w:after="120"/>
        <w:rPr>
          <w:color w:val="auto"/>
        </w:rPr>
      </w:pPr>
      <w:r>
        <w:rPr>
          <w:color w:val="auto"/>
        </w:rPr>
        <w:t>Whether the facility will be decommissioned in phases (e.g. some areas of the facility may remain operational whilst others are in POCO)</w:t>
      </w:r>
    </w:p>
    <w:p w14:paraId="79A3B852" w14:textId="77777777" w:rsidR="00C8253C" w:rsidRPr="00495A13" w:rsidRDefault="00DC018E" w:rsidP="00495A13">
      <w:pPr>
        <w:pStyle w:val="ONRSquareBullet1"/>
        <w:tabs>
          <w:tab w:val="left" w:pos="880"/>
        </w:tabs>
        <w:spacing w:after="120"/>
        <w:rPr>
          <w:color w:val="auto"/>
        </w:rPr>
      </w:pPr>
      <w:r>
        <w:rPr>
          <w:color w:val="auto"/>
        </w:rPr>
        <w:t>The availability of other facilities for hazard removal e.g. stores etc.</w:t>
      </w:r>
    </w:p>
    <w:p w14:paraId="79A3B853" w14:textId="77777777" w:rsidR="00C8253C" w:rsidRDefault="00C8253C" w:rsidP="00495A13">
      <w:pPr>
        <w:pStyle w:val="ONRNumberedParagraph1"/>
        <w:spacing w:after="120"/>
        <w:jc w:val="both"/>
      </w:pPr>
      <w:r>
        <w:t xml:space="preserve">TAG 051 </w:t>
      </w:r>
      <w:r w:rsidRPr="00C8253C">
        <w:t>[</w:t>
      </w:r>
      <w:r w:rsidR="0014622E">
        <w:t>1</w:t>
      </w:r>
      <w:r w:rsidR="00F51E99">
        <w:t>4</w:t>
      </w:r>
      <w:r w:rsidRPr="00C8253C">
        <w:t>]</w:t>
      </w:r>
      <w:r>
        <w:t xml:space="preserve"> notes </w:t>
      </w:r>
      <w:r w:rsidRPr="0014622E">
        <w:t>that the safety cases should be re-written prior to</w:t>
      </w:r>
      <w:r>
        <w:t xml:space="preserve"> a facility entering decommissioning in order to ensure that the engineering proceeds in a manner that provides confidence that the safety requirements will be met. </w:t>
      </w:r>
      <w:r w:rsidR="0014622E">
        <w:t>In addition TAG 02</w:t>
      </w:r>
      <w:r w:rsidR="00E64756">
        <w:t>6 [</w:t>
      </w:r>
      <w:r w:rsidR="0014622E">
        <w:t>1</w:t>
      </w:r>
      <w:r w:rsidR="00F51E99">
        <w:t>3</w:t>
      </w:r>
      <w:r w:rsidR="00E64756">
        <w:t xml:space="preserve">] – Decommissioning notes that </w:t>
      </w:r>
      <w:r w:rsidR="001F2657">
        <w:t>i</w:t>
      </w:r>
      <w:r w:rsidR="00E64756">
        <w:t>n determining the frequency of reviews, the licensee should consider aligning periodic reviews with any major changes in the facility or hazard(s) which may arise well before an otherwise planned periodic review</w:t>
      </w:r>
      <w:r w:rsidR="000757FB">
        <w:t>.</w:t>
      </w:r>
      <w:r w:rsidR="001F2657">
        <w:t xml:space="preserve"> Thus, a PSR may be brought forward to align with the end of a facilities operating</w:t>
      </w:r>
      <w:r w:rsidR="00E51C60">
        <w:t xml:space="preserve"> life. This will enable the PSR to align with the future operations being undertaken in the facility and ensure that the ALARP solutions are appropriate. </w:t>
      </w:r>
    </w:p>
    <w:p w14:paraId="79A3B854" w14:textId="77777777" w:rsidR="00E51C60" w:rsidRDefault="00E51C60" w:rsidP="00495A13">
      <w:pPr>
        <w:pStyle w:val="ONRNumberedParagraph1"/>
        <w:tabs>
          <w:tab w:val="clear" w:pos="880"/>
          <w:tab w:val="left" w:pos="993"/>
        </w:tabs>
        <w:spacing w:after="120"/>
        <w:jc w:val="both"/>
      </w:pPr>
      <w:r>
        <w:t>If a PSR is undertaken close to the e</w:t>
      </w:r>
      <w:r w:rsidRPr="0014622E">
        <w:t>nd of its</w:t>
      </w:r>
      <w:r>
        <w:t xml:space="preserve"> operating life e.g. within two years of shutdown, this may have an impact on the identified ALARP solutions for any identified shortfalls e.g. </w:t>
      </w:r>
      <w:r w:rsidR="006F2818">
        <w:t>any solutions that will take a long time to implement may be discounted unless they will benefit the decommissioning operations, however short term solution</w:t>
      </w:r>
      <w:r w:rsidR="000757FB">
        <w:t>s</w:t>
      </w:r>
      <w:r w:rsidR="006F2818">
        <w:t xml:space="preserve"> would still be expected to take their place or, if necessary, the cessation of operations brought forward. All of these factors, and others, must be considered when coming to an appropriate ALARP solution. TAG 005 Guidance </w:t>
      </w:r>
      <w:r w:rsidR="00E660F7">
        <w:t>on the Demonstration of ALARP [</w:t>
      </w:r>
      <w:r w:rsidR="00D726FF">
        <w:t>3</w:t>
      </w:r>
      <w:r w:rsidR="006F2818">
        <w:t>] contains further details.</w:t>
      </w:r>
    </w:p>
    <w:p w14:paraId="79A3B855" w14:textId="77777777" w:rsidR="00FB0DAD" w:rsidRDefault="00FB0DAD">
      <w:pPr>
        <w:spacing w:after="0"/>
        <w:rPr>
          <w:lang w:eastAsia="en-GB"/>
        </w:rPr>
      </w:pPr>
      <w:r>
        <w:br w:type="page"/>
      </w:r>
    </w:p>
    <w:p w14:paraId="79A3B856" w14:textId="77777777" w:rsidR="00FB0DAD" w:rsidRPr="00AC7C94" w:rsidRDefault="00FB0DAD" w:rsidP="00AC7C94">
      <w:pPr>
        <w:pStyle w:val="NumberedHeading"/>
        <w:pageBreakBefore/>
        <w:numPr>
          <w:ilvl w:val="0"/>
          <w:numId w:val="0"/>
        </w:numPr>
        <w:ind w:left="1134" w:hanging="1134"/>
      </w:pPr>
      <w:bookmarkStart w:id="65" w:name="_Toc43460822"/>
      <w:r w:rsidRPr="00AC7C94">
        <w:t>Annex 3: Expectations for the Coverage of Radiological Protection in PSR</w:t>
      </w:r>
      <w:bookmarkEnd w:id="65"/>
    </w:p>
    <w:p w14:paraId="79A3B857" w14:textId="77777777" w:rsidR="00FB0DAD" w:rsidRDefault="00FB0DAD" w:rsidP="00FB0DAD">
      <w:pPr>
        <w:rPr>
          <w:b/>
        </w:rPr>
      </w:pPr>
      <w:r w:rsidRPr="00B963CB">
        <w:rPr>
          <w:b/>
        </w:rPr>
        <w:t>Purpose</w:t>
      </w:r>
    </w:p>
    <w:p w14:paraId="79A3B858" w14:textId="77777777" w:rsidR="00FB0DAD" w:rsidRPr="00FB0DAD" w:rsidRDefault="00FB0DAD" w:rsidP="00E146F9">
      <w:pPr>
        <w:pStyle w:val="ONRNumberedParagraph1"/>
        <w:numPr>
          <w:ilvl w:val="0"/>
          <w:numId w:val="49"/>
        </w:numPr>
        <w:spacing w:after="120"/>
        <w:jc w:val="both"/>
      </w:pPr>
      <w:r w:rsidRPr="0065447E">
        <w:t>There are significant radiological protection challenges during the lifetime of a</w:t>
      </w:r>
      <w:r w:rsidRPr="00FB0DAD">
        <w:t xml:space="preserve"> nuclear licensed site, and appropriate arrangements need to be in place to restrict exposures SFAIRP. Under current international guidance from the IAEA [1</w:t>
      </w:r>
      <w:r w:rsidR="00517C95">
        <w:t>2</w:t>
      </w:r>
      <w:r w:rsidRPr="00FB0DAD">
        <w:t xml:space="preserve">] radiological protection is regarded as an overarching safety factor, to be considered throughout the other fourteen safety factors it describes. However, GB licensees have generally provided specific radiological protection safety cases when a PSR assessment is undertaken. This annex provides a guide to ONR’s expectations </w:t>
      </w:r>
      <w:r w:rsidR="00CE66C0">
        <w:t xml:space="preserve">of a PSR </w:t>
      </w:r>
      <w:r w:rsidRPr="00FB0DAD">
        <w:t xml:space="preserve">from a radiological protection perspective. </w:t>
      </w:r>
    </w:p>
    <w:p w14:paraId="79A3B859" w14:textId="77777777" w:rsidR="00FB0DAD" w:rsidRDefault="00FB0DAD" w:rsidP="00FB0DAD">
      <w:pPr>
        <w:rPr>
          <w:b/>
        </w:rPr>
      </w:pPr>
      <w:r w:rsidRPr="00B963CB">
        <w:rPr>
          <w:b/>
        </w:rPr>
        <w:t xml:space="preserve">Aims </w:t>
      </w:r>
      <w:r>
        <w:rPr>
          <w:b/>
        </w:rPr>
        <w:t>of ONR’s</w:t>
      </w:r>
      <w:r w:rsidRPr="00B963CB">
        <w:rPr>
          <w:b/>
        </w:rPr>
        <w:t xml:space="preserve"> R</w:t>
      </w:r>
      <w:r>
        <w:rPr>
          <w:b/>
        </w:rPr>
        <w:t xml:space="preserve">adiological </w:t>
      </w:r>
      <w:r w:rsidRPr="00B963CB">
        <w:rPr>
          <w:b/>
        </w:rPr>
        <w:t>P</w:t>
      </w:r>
      <w:r>
        <w:rPr>
          <w:b/>
        </w:rPr>
        <w:t>rotection R</w:t>
      </w:r>
      <w:r w:rsidRPr="00B963CB">
        <w:rPr>
          <w:b/>
        </w:rPr>
        <w:t>eview</w:t>
      </w:r>
    </w:p>
    <w:p w14:paraId="79A3B85A" w14:textId="77777777" w:rsidR="00FB0DAD" w:rsidRPr="008427E4" w:rsidRDefault="008427E4" w:rsidP="008427E4">
      <w:pPr>
        <w:tabs>
          <w:tab w:val="left" w:pos="851"/>
        </w:tabs>
        <w:rPr>
          <w:b/>
        </w:rPr>
      </w:pPr>
      <w:r w:rsidRPr="008427E4">
        <w:rPr>
          <w:b/>
        </w:rPr>
        <w:tab/>
      </w:r>
      <w:r w:rsidR="00FB0DAD" w:rsidRPr="008427E4">
        <w:rPr>
          <w:b/>
        </w:rPr>
        <w:t>ONR’s aim is to ensure that:</w:t>
      </w:r>
    </w:p>
    <w:p w14:paraId="79A3B85B" w14:textId="77777777" w:rsidR="00FB0DAD" w:rsidRPr="00FB0DAD" w:rsidRDefault="00FB0DAD" w:rsidP="00E26909">
      <w:pPr>
        <w:pStyle w:val="ONRSquareBullet1"/>
        <w:tabs>
          <w:tab w:val="left" w:pos="880"/>
        </w:tabs>
        <w:spacing w:after="120"/>
        <w:rPr>
          <w:color w:val="auto"/>
        </w:rPr>
      </w:pPr>
      <w:r w:rsidRPr="00FB0DAD">
        <w:rPr>
          <w:color w:val="auto"/>
        </w:rPr>
        <w:t xml:space="preserve">The licensee has conducted an adequate review of the radiological protection aspects of their safety case. The claims and arguments identified in the PSR are supported by appropriate evidence supplied or readily available for ONR to sample. </w:t>
      </w:r>
    </w:p>
    <w:p w14:paraId="79A3B85C" w14:textId="77777777" w:rsidR="00FB0DAD" w:rsidRPr="00FB0DAD" w:rsidRDefault="00FB0DAD" w:rsidP="00E26909">
      <w:pPr>
        <w:pStyle w:val="ONRSquareBullet1"/>
        <w:tabs>
          <w:tab w:val="left" w:pos="880"/>
        </w:tabs>
        <w:spacing w:after="120"/>
        <w:rPr>
          <w:color w:val="auto"/>
        </w:rPr>
      </w:pPr>
      <w:r w:rsidRPr="00FB0DAD">
        <w:rPr>
          <w:color w:val="auto"/>
        </w:rPr>
        <w:t xml:space="preserve">The licensee has identified any areas for improvement and provided an appropriate </w:t>
      </w:r>
      <w:proofErr w:type="spellStart"/>
      <w:r w:rsidRPr="00FB0DAD">
        <w:rPr>
          <w:color w:val="auto"/>
        </w:rPr>
        <w:t>programme</w:t>
      </w:r>
      <w:proofErr w:type="spellEnd"/>
      <w:r w:rsidRPr="00FB0DAD">
        <w:rPr>
          <w:color w:val="auto"/>
        </w:rPr>
        <w:t xml:space="preserve"> to address them.</w:t>
      </w:r>
    </w:p>
    <w:p w14:paraId="79A3B85D" w14:textId="77777777" w:rsidR="00FB0DAD" w:rsidRPr="00FB0DAD" w:rsidRDefault="00FB0DAD" w:rsidP="00E26909">
      <w:pPr>
        <w:pStyle w:val="ONRSquareBullet1"/>
        <w:tabs>
          <w:tab w:val="left" w:pos="880"/>
        </w:tabs>
        <w:spacing w:after="120"/>
        <w:rPr>
          <w:color w:val="auto"/>
        </w:rPr>
      </w:pPr>
      <w:r w:rsidRPr="00FB0DAD">
        <w:rPr>
          <w:color w:val="auto"/>
        </w:rPr>
        <w:t>The licensee has provided a summary of worker dose as well as estimated doses to the public from direct radiation over the past 10 years as well as future projected doses for the next 10 years. In addition any information on any factors that might cause it to change in the next 10 years.</w:t>
      </w:r>
    </w:p>
    <w:p w14:paraId="79A3B85E" w14:textId="77777777" w:rsidR="00FB0DAD" w:rsidRPr="00FB0DAD" w:rsidRDefault="00FB0DAD" w:rsidP="00E26909">
      <w:pPr>
        <w:pStyle w:val="ONRSquareBullet1"/>
        <w:tabs>
          <w:tab w:val="left" w:pos="880"/>
        </w:tabs>
        <w:spacing w:after="120"/>
        <w:rPr>
          <w:color w:val="auto"/>
        </w:rPr>
      </w:pPr>
      <w:r w:rsidRPr="00FB0DAD">
        <w:rPr>
          <w:color w:val="auto"/>
        </w:rPr>
        <w:t>The licensee has provided appropriate detail on the status of the plant and has identified the potential radiological protection challenges over the next 10 years.</w:t>
      </w:r>
    </w:p>
    <w:p w14:paraId="79A3B85F" w14:textId="77777777" w:rsidR="00FB0DAD" w:rsidRDefault="00FB0DAD" w:rsidP="00FB0DAD">
      <w:pPr>
        <w:rPr>
          <w:b/>
        </w:rPr>
      </w:pPr>
      <w:r>
        <w:rPr>
          <w:b/>
        </w:rPr>
        <w:t>Scope of ONR’s Radiological Protection Review</w:t>
      </w:r>
    </w:p>
    <w:p w14:paraId="79A3B860" w14:textId="77777777" w:rsidR="00FB0DAD" w:rsidRDefault="00FB0DAD" w:rsidP="00E146F9">
      <w:pPr>
        <w:pStyle w:val="ONRNumberedParagraph1"/>
        <w:numPr>
          <w:ilvl w:val="0"/>
          <w:numId w:val="48"/>
        </w:numPr>
        <w:spacing w:after="120"/>
        <w:jc w:val="both"/>
      </w:pPr>
      <w:r>
        <w:t>The licensee’s</w:t>
      </w:r>
      <w:r w:rsidRPr="002B5EDE">
        <w:t xml:space="preserve"> </w:t>
      </w:r>
      <w:r>
        <w:t xml:space="preserve">PSR </w:t>
      </w:r>
      <w:r w:rsidRPr="002B5EDE">
        <w:t xml:space="preserve">should encompass key </w:t>
      </w:r>
      <w:r>
        <w:t>aspects</w:t>
      </w:r>
      <w:r w:rsidRPr="002B5EDE">
        <w:t xml:space="preserve"> of</w:t>
      </w:r>
      <w:r>
        <w:t xml:space="preserve"> radiological protection</w:t>
      </w:r>
      <w:r w:rsidRPr="002B5EDE">
        <w:t xml:space="preserve">. The licensee can determine how the review is structured but the following documents could be used for guidance on the scope: </w:t>
      </w:r>
    </w:p>
    <w:p w14:paraId="79A3B861" w14:textId="77777777" w:rsidR="00FB0DAD" w:rsidRPr="00FB0DAD" w:rsidRDefault="00FB0DAD" w:rsidP="00E26909">
      <w:pPr>
        <w:pStyle w:val="ONRSquareBullet1"/>
        <w:tabs>
          <w:tab w:val="left" w:pos="880"/>
        </w:tabs>
        <w:spacing w:after="120"/>
        <w:rPr>
          <w:color w:val="auto"/>
        </w:rPr>
      </w:pPr>
      <w:r w:rsidRPr="00FB0DAD">
        <w:rPr>
          <w:color w:val="auto"/>
        </w:rPr>
        <w:t>Safety Assessment Principles (SAP) on Radiological Protection (RP.1 to Rp.7) [</w:t>
      </w:r>
      <w:r w:rsidR="00D726FF">
        <w:rPr>
          <w:color w:val="auto"/>
        </w:rPr>
        <w:t>4</w:t>
      </w:r>
      <w:r w:rsidRPr="00FB0DAD">
        <w:rPr>
          <w:color w:val="auto"/>
        </w:rPr>
        <w:t>].</w:t>
      </w:r>
    </w:p>
    <w:p w14:paraId="79A3B862" w14:textId="77777777" w:rsidR="00FB0DAD" w:rsidRPr="00FB0DAD" w:rsidRDefault="00FB0DAD" w:rsidP="00E26909">
      <w:pPr>
        <w:pStyle w:val="ONRSquareBullet1"/>
        <w:tabs>
          <w:tab w:val="left" w:pos="880"/>
        </w:tabs>
        <w:spacing w:after="120"/>
        <w:rPr>
          <w:color w:val="auto"/>
        </w:rPr>
      </w:pPr>
      <w:r w:rsidRPr="00FB0DAD">
        <w:rPr>
          <w:color w:val="auto"/>
        </w:rPr>
        <w:t>NS-TAST-GD-004 – Fundamental Principles [</w:t>
      </w:r>
      <w:r w:rsidR="001439EE">
        <w:rPr>
          <w:color w:val="auto"/>
        </w:rPr>
        <w:t>2</w:t>
      </w:r>
      <w:r w:rsidR="00723A50">
        <w:rPr>
          <w:color w:val="auto"/>
        </w:rPr>
        <w:t>3</w:t>
      </w:r>
      <w:r w:rsidRPr="00FB0DAD">
        <w:rPr>
          <w:color w:val="auto"/>
        </w:rPr>
        <w:t>].</w:t>
      </w:r>
    </w:p>
    <w:p w14:paraId="79A3B863" w14:textId="77777777" w:rsidR="00FB0DAD" w:rsidRPr="00FB0DAD" w:rsidRDefault="00FB0DAD" w:rsidP="00E26909">
      <w:pPr>
        <w:pStyle w:val="ONRSquareBullet1"/>
        <w:tabs>
          <w:tab w:val="left" w:pos="880"/>
        </w:tabs>
        <w:spacing w:after="120"/>
        <w:rPr>
          <w:color w:val="auto"/>
        </w:rPr>
      </w:pPr>
      <w:r w:rsidRPr="00FB0DAD">
        <w:rPr>
          <w:color w:val="auto"/>
        </w:rPr>
        <w:t>NS-TAST-GD-038 – Radiological Protection [</w:t>
      </w:r>
      <w:r w:rsidR="001C0A22">
        <w:rPr>
          <w:color w:val="auto"/>
        </w:rPr>
        <w:t>2</w:t>
      </w:r>
      <w:r w:rsidR="00723A50">
        <w:rPr>
          <w:color w:val="auto"/>
        </w:rPr>
        <w:t>4</w:t>
      </w:r>
      <w:r w:rsidRPr="00FB0DAD">
        <w:rPr>
          <w:color w:val="auto"/>
        </w:rPr>
        <w:t>].</w:t>
      </w:r>
    </w:p>
    <w:p w14:paraId="79A3B864" w14:textId="77777777" w:rsidR="00FB0DAD" w:rsidRPr="00FB0DAD" w:rsidRDefault="00FB0DAD" w:rsidP="00E26909">
      <w:pPr>
        <w:pStyle w:val="ONRSquareBullet1"/>
        <w:tabs>
          <w:tab w:val="left" w:pos="880"/>
        </w:tabs>
        <w:spacing w:after="120"/>
        <w:rPr>
          <w:color w:val="auto"/>
        </w:rPr>
      </w:pPr>
      <w:proofErr w:type="spellStart"/>
      <w:r w:rsidRPr="00FB0DAD">
        <w:rPr>
          <w:color w:val="auto"/>
        </w:rPr>
        <w:t>Ionising</w:t>
      </w:r>
      <w:proofErr w:type="spellEnd"/>
      <w:r w:rsidRPr="00FB0DAD">
        <w:rPr>
          <w:color w:val="auto"/>
        </w:rPr>
        <w:t xml:space="preserve"> Radiations Regulations 2017 (IRR17) Approved Code of Practice and Guidance [</w:t>
      </w:r>
      <w:r w:rsidR="001439EE">
        <w:rPr>
          <w:color w:val="auto"/>
        </w:rPr>
        <w:t>2</w:t>
      </w:r>
      <w:r w:rsidR="00723A50">
        <w:rPr>
          <w:color w:val="auto"/>
        </w:rPr>
        <w:t>5</w:t>
      </w:r>
      <w:r w:rsidRPr="00FB0DAD">
        <w:rPr>
          <w:color w:val="auto"/>
        </w:rPr>
        <w:t>].</w:t>
      </w:r>
    </w:p>
    <w:p w14:paraId="79A3B865" w14:textId="77777777" w:rsidR="00FB0DAD" w:rsidRDefault="00FB0DAD" w:rsidP="00E146F9">
      <w:pPr>
        <w:pStyle w:val="ONRNumberedParagraph1"/>
        <w:numPr>
          <w:ilvl w:val="0"/>
          <w:numId w:val="48"/>
        </w:numPr>
        <w:spacing w:after="120"/>
        <w:jc w:val="both"/>
      </w:pPr>
      <w:r w:rsidRPr="002B5EDE">
        <w:t xml:space="preserve">The SAPs </w:t>
      </w:r>
      <w:r>
        <w:t xml:space="preserve">addressing fundamental principles (FP.1 – FP.8), radiological protection (RP.1 - RP.7) and accident management (AM.1) are those most relevant to the assessment of the adequacy of the PSR from a radiological protection perspective. In addition, the adequacy of the PSR to secure compliance with the legal requirements of IRR17 should be examined. </w:t>
      </w:r>
    </w:p>
    <w:p w14:paraId="79A3B866" w14:textId="77777777" w:rsidR="00FB0DAD" w:rsidRPr="002F4ED6" w:rsidRDefault="00FB0DAD" w:rsidP="00FB0DAD">
      <w:pPr>
        <w:rPr>
          <w:b/>
        </w:rPr>
      </w:pPr>
      <w:r w:rsidRPr="002F4ED6">
        <w:rPr>
          <w:b/>
        </w:rPr>
        <w:t>Areas for</w:t>
      </w:r>
      <w:r>
        <w:rPr>
          <w:b/>
        </w:rPr>
        <w:t xml:space="preserve"> ONR</w:t>
      </w:r>
      <w:r w:rsidRPr="002F4ED6">
        <w:rPr>
          <w:b/>
        </w:rPr>
        <w:t xml:space="preserve"> R</w:t>
      </w:r>
      <w:r>
        <w:rPr>
          <w:b/>
        </w:rPr>
        <w:t xml:space="preserve">adiological </w:t>
      </w:r>
      <w:r w:rsidRPr="002F4ED6">
        <w:rPr>
          <w:b/>
        </w:rPr>
        <w:t>P</w:t>
      </w:r>
      <w:r>
        <w:rPr>
          <w:b/>
        </w:rPr>
        <w:t>rotection R</w:t>
      </w:r>
      <w:r w:rsidRPr="002F4ED6">
        <w:rPr>
          <w:b/>
        </w:rPr>
        <w:t>eview</w:t>
      </w:r>
    </w:p>
    <w:p w14:paraId="79A3B867" w14:textId="77777777" w:rsidR="00FB0DAD" w:rsidRDefault="00FB0DAD" w:rsidP="00E146F9">
      <w:pPr>
        <w:pStyle w:val="ONRNumberedParagraph1"/>
        <w:numPr>
          <w:ilvl w:val="0"/>
          <w:numId w:val="48"/>
        </w:numPr>
        <w:spacing w:after="120"/>
        <w:jc w:val="both"/>
      </w:pPr>
      <w:r>
        <w:t xml:space="preserve">There are several areas that should be considered when undertaking a radiological protection PSR review. Below is a non-exhaustive list of areas </w:t>
      </w:r>
      <w:r w:rsidR="00CE66C0">
        <w:t>the ONR radiological protection assessor may</w:t>
      </w:r>
      <w:r>
        <w:t xml:space="preserve"> consider.</w:t>
      </w:r>
    </w:p>
    <w:p w14:paraId="79A3B868" w14:textId="77777777" w:rsidR="004471A5" w:rsidRDefault="004471A5" w:rsidP="004471A5">
      <w:pPr>
        <w:pStyle w:val="ONRNumberedParagraph1"/>
        <w:numPr>
          <w:ilvl w:val="0"/>
          <w:numId w:val="0"/>
        </w:numPr>
        <w:spacing w:after="120"/>
        <w:ind w:left="907"/>
        <w:jc w:val="both"/>
      </w:pPr>
    </w:p>
    <w:p w14:paraId="79A3B869" w14:textId="77777777" w:rsidR="00FB0DAD" w:rsidRPr="008427E4" w:rsidRDefault="008427E4" w:rsidP="008427E4">
      <w:pPr>
        <w:tabs>
          <w:tab w:val="left" w:pos="851"/>
        </w:tabs>
        <w:rPr>
          <w:b/>
          <w:i/>
        </w:rPr>
      </w:pPr>
      <w:r w:rsidRPr="008427E4">
        <w:rPr>
          <w:b/>
          <w:i/>
        </w:rPr>
        <w:tab/>
      </w:r>
      <w:r w:rsidR="00FB0DAD" w:rsidRPr="008427E4">
        <w:rPr>
          <w:b/>
          <w:i/>
        </w:rPr>
        <w:t xml:space="preserve">Radiation Exposure </w:t>
      </w:r>
    </w:p>
    <w:p w14:paraId="79A3B86A" w14:textId="77777777" w:rsidR="00FB0DAD" w:rsidRPr="00FB0DAD" w:rsidRDefault="00FB0DAD" w:rsidP="00E26909">
      <w:pPr>
        <w:pStyle w:val="ONRSquareBullet1"/>
        <w:tabs>
          <w:tab w:val="left" w:pos="880"/>
        </w:tabs>
        <w:spacing w:after="120"/>
        <w:rPr>
          <w:color w:val="auto"/>
        </w:rPr>
      </w:pPr>
      <w:r w:rsidRPr="00FB0DAD">
        <w:rPr>
          <w:color w:val="auto"/>
        </w:rPr>
        <w:t>What analysis has the licensee provided regarding individual and collective occupational doses (i.e. workers, contractors) and public doses for the plant over the past 10 years?</w:t>
      </w:r>
    </w:p>
    <w:p w14:paraId="79A3B86B" w14:textId="77777777" w:rsidR="00FB0DAD" w:rsidRPr="00FB0DAD" w:rsidRDefault="00FB0DAD" w:rsidP="00E26909">
      <w:pPr>
        <w:pStyle w:val="ONRSquareBullet1"/>
        <w:tabs>
          <w:tab w:val="left" w:pos="880"/>
        </w:tabs>
        <w:spacing w:after="120"/>
        <w:rPr>
          <w:color w:val="auto"/>
        </w:rPr>
      </w:pPr>
      <w:r w:rsidRPr="00FB0DAD">
        <w:rPr>
          <w:color w:val="auto"/>
        </w:rPr>
        <w:t xml:space="preserve">If there are anomalies identified in the licensee’s analysis of occupational and public doses, what explanation has been provided for the anomalies, and what action has the licensee undertaken to mitigate reoccurrence and ensure doses remain ALARP?                   </w:t>
      </w:r>
    </w:p>
    <w:p w14:paraId="79A3B86C" w14:textId="77777777" w:rsidR="00FB0DAD" w:rsidRPr="00FB0DAD" w:rsidRDefault="00FB0DAD" w:rsidP="00E26909">
      <w:pPr>
        <w:pStyle w:val="ONRSquareBullet1"/>
        <w:tabs>
          <w:tab w:val="left" w:pos="880"/>
        </w:tabs>
        <w:spacing w:after="120"/>
        <w:rPr>
          <w:color w:val="auto"/>
        </w:rPr>
      </w:pPr>
      <w:r w:rsidRPr="00FB0DAD">
        <w:rPr>
          <w:color w:val="auto"/>
        </w:rPr>
        <w:t>What procedures are undertaken if a worker / contractor exceed the dose constraint / action level stipulated by the licensee for a planned operation at a plant? Has this occurred over the past 10 years, and what measures have been undertaken to mitigate reoccurrence?</w:t>
      </w:r>
    </w:p>
    <w:p w14:paraId="79A3B86D" w14:textId="77777777" w:rsidR="00FB0DAD" w:rsidRPr="00FB0DAD" w:rsidRDefault="00FB0DAD" w:rsidP="00E26909">
      <w:pPr>
        <w:pStyle w:val="ONRSquareBullet1"/>
        <w:tabs>
          <w:tab w:val="left" w:pos="880"/>
        </w:tabs>
        <w:spacing w:after="120"/>
        <w:rPr>
          <w:color w:val="auto"/>
        </w:rPr>
      </w:pPr>
      <w:r w:rsidRPr="00FB0DAD">
        <w:rPr>
          <w:color w:val="auto"/>
        </w:rPr>
        <w:t xml:space="preserve">What engineered radiological protection controls (e.g. shielding) are in place to </w:t>
      </w:r>
      <w:proofErr w:type="spellStart"/>
      <w:r w:rsidRPr="00FB0DAD">
        <w:rPr>
          <w:color w:val="auto"/>
        </w:rPr>
        <w:t>minimise</w:t>
      </w:r>
      <w:proofErr w:type="spellEnd"/>
      <w:r w:rsidRPr="00FB0DAD">
        <w:rPr>
          <w:color w:val="auto"/>
        </w:rPr>
        <w:t xml:space="preserve"> dose to workers and members of the public? Are these still adequate for the current state of the plant?   </w:t>
      </w:r>
    </w:p>
    <w:p w14:paraId="79A3B86E" w14:textId="77777777" w:rsidR="00FB0DAD" w:rsidRPr="00FB0DAD" w:rsidRDefault="00FB0DAD" w:rsidP="00E26909">
      <w:pPr>
        <w:pStyle w:val="ONRSquareBullet1"/>
        <w:tabs>
          <w:tab w:val="left" w:pos="880"/>
        </w:tabs>
        <w:spacing w:after="120"/>
        <w:rPr>
          <w:color w:val="auto"/>
        </w:rPr>
      </w:pPr>
      <w:r w:rsidRPr="00FB0DAD">
        <w:rPr>
          <w:color w:val="auto"/>
        </w:rPr>
        <w:t xml:space="preserve">What measures has the licensee put in place to monitor dose trends and to maintain a continuous focus on ensuring that doses remain ALARP? </w:t>
      </w:r>
    </w:p>
    <w:p w14:paraId="79A3B86F" w14:textId="77777777" w:rsidR="00FB0DAD" w:rsidRPr="00FB0DAD" w:rsidRDefault="00FB0DAD" w:rsidP="00E26909">
      <w:pPr>
        <w:pStyle w:val="ONRSquareBullet1"/>
        <w:tabs>
          <w:tab w:val="left" w:pos="880"/>
        </w:tabs>
        <w:spacing w:after="120"/>
        <w:rPr>
          <w:color w:val="auto"/>
        </w:rPr>
      </w:pPr>
      <w:r w:rsidRPr="00FB0DAD">
        <w:rPr>
          <w:color w:val="auto"/>
        </w:rPr>
        <w:t xml:space="preserve">What information has been provided regarding collective dose from higher dose activities (e.g. statutory outages, intrusive maintenance, decommissioning)? How has the licensee restricted exposure for these activities to ensure that doses are ALARP?  </w:t>
      </w:r>
    </w:p>
    <w:p w14:paraId="79A3B870" w14:textId="77777777" w:rsidR="00FB0DAD" w:rsidRPr="00FB0DAD" w:rsidRDefault="00FB0DAD" w:rsidP="00E26909">
      <w:pPr>
        <w:pStyle w:val="ONRSquareBullet1"/>
        <w:tabs>
          <w:tab w:val="left" w:pos="880"/>
        </w:tabs>
        <w:spacing w:after="120"/>
        <w:rPr>
          <w:color w:val="auto"/>
        </w:rPr>
      </w:pPr>
      <w:r w:rsidRPr="00FB0DAD">
        <w:rPr>
          <w:color w:val="auto"/>
        </w:rPr>
        <w:t>If the plant is to undergo a change in operation (e.g. statutory outages, intrusive maintenance, decommissioning, enter</w:t>
      </w:r>
      <w:r w:rsidR="00656ED2">
        <w:rPr>
          <w:color w:val="auto"/>
        </w:rPr>
        <w:t>ing care &amp; maintenance</w:t>
      </w:r>
      <w:r w:rsidRPr="00FB0DAD">
        <w:rPr>
          <w:color w:val="auto"/>
        </w:rPr>
        <w:t xml:space="preserve"> </w:t>
      </w:r>
      <w:r w:rsidR="00656ED2">
        <w:rPr>
          <w:color w:val="auto"/>
        </w:rPr>
        <w:t>(</w:t>
      </w:r>
      <w:r w:rsidRPr="00FB0DAD">
        <w:rPr>
          <w:color w:val="auto"/>
        </w:rPr>
        <w:t>C&amp;M</w:t>
      </w:r>
      <w:r w:rsidR="00656ED2">
        <w:rPr>
          <w:color w:val="auto"/>
        </w:rPr>
        <w:t>)</w:t>
      </w:r>
      <w:r w:rsidRPr="00FB0DAD">
        <w:rPr>
          <w:color w:val="auto"/>
        </w:rPr>
        <w:t xml:space="preserve">) over the next 10 years, what analysis has the licensee provided regarding dose predictions and to ensure that doses remain ALARP?  </w:t>
      </w:r>
    </w:p>
    <w:p w14:paraId="79A3B871" w14:textId="77777777" w:rsidR="00FB0DAD" w:rsidRPr="008427E4" w:rsidRDefault="008427E4" w:rsidP="008427E4">
      <w:pPr>
        <w:tabs>
          <w:tab w:val="left" w:pos="851"/>
        </w:tabs>
        <w:rPr>
          <w:b/>
          <w:i/>
        </w:rPr>
      </w:pPr>
      <w:r w:rsidRPr="008427E4">
        <w:rPr>
          <w:b/>
          <w:i/>
        </w:rPr>
        <w:tab/>
      </w:r>
      <w:r w:rsidR="00FB0DAD" w:rsidRPr="008427E4">
        <w:rPr>
          <w:b/>
          <w:i/>
        </w:rPr>
        <w:t>Radiological &amp; Contamination Events</w:t>
      </w:r>
    </w:p>
    <w:p w14:paraId="79A3B872" w14:textId="77777777" w:rsidR="00FB0DAD" w:rsidRPr="00FB0DAD" w:rsidRDefault="00FB0DAD" w:rsidP="00E26909">
      <w:pPr>
        <w:pStyle w:val="ONRSquareBullet1"/>
        <w:tabs>
          <w:tab w:val="left" w:pos="880"/>
        </w:tabs>
        <w:spacing w:after="120"/>
        <w:rPr>
          <w:color w:val="auto"/>
        </w:rPr>
      </w:pPr>
      <w:r w:rsidRPr="00FB0DAD">
        <w:rPr>
          <w:color w:val="auto"/>
        </w:rPr>
        <w:t xml:space="preserve">What analysis has the licensee provided regarding radiological and personal or plant contamination events over the past 10 years? </w:t>
      </w:r>
    </w:p>
    <w:p w14:paraId="79A3B873" w14:textId="77777777" w:rsidR="00FB0DAD" w:rsidRPr="00FB0DAD" w:rsidRDefault="00FB0DAD" w:rsidP="00E26909">
      <w:pPr>
        <w:pStyle w:val="ONRSquareBullet1"/>
        <w:tabs>
          <w:tab w:val="left" w:pos="880"/>
        </w:tabs>
        <w:spacing w:after="120"/>
        <w:rPr>
          <w:color w:val="auto"/>
        </w:rPr>
      </w:pPr>
      <w:r w:rsidRPr="00FB0DAD">
        <w:rPr>
          <w:color w:val="auto"/>
        </w:rPr>
        <w:t>What learning has the licensee taken from such events and what measures have been put in place to prevent reoccurrence?</w:t>
      </w:r>
    </w:p>
    <w:p w14:paraId="79A3B874" w14:textId="77777777" w:rsidR="00FB0DAD" w:rsidRPr="00FB0DAD" w:rsidRDefault="00FB0DAD" w:rsidP="00E26909">
      <w:pPr>
        <w:pStyle w:val="ONRSquareBullet1"/>
        <w:tabs>
          <w:tab w:val="left" w:pos="880"/>
        </w:tabs>
        <w:spacing w:after="120"/>
        <w:rPr>
          <w:color w:val="auto"/>
        </w:rPr>
      </w:pPr>
      <w:r w:rsidRPr="00FB0DAD">
        <w:rPr>
          <w:color w:val="auto"/>
        </w:rPr>
        <w:t>If there have been any contamination / radiological events of greater significance or reoccurrence of similar types of event that have occurred on plant over the past 10 years, what specific actions were undertaken during the event and what controls were implemented to prevent a re-occurrence?</w:t>
      </w:r>
    </w:p>
    <w:p w14:paraId="79A3B875" w14:textId="77777777" w:rsidR="00FB0DAD" w:rsidRPr="00E26909" w:rsidRDefault="00FB0DAD" w:rsidP="00E26909">
      <w:pPr>
        <w:pStyle w:val="ONRSquareBullet1"/>
        <w:tabs>
          <w:tab w:val="left" w:pos="880"/>
        </w:tabs>
        <w:spacing w:after="120"/>
        <w:rPr>
          <w:color w:val="auto"/>
        </w:rPr>
      </w:pPr>
      <w:r w:rsidRPr="00E26909">
        <w:rPr>
          <w:color w:val="auto"/>
        </w:rPr>
        <w:t>Radiological Protection Management &amp; Staff Resource</w:t>
      </w:r>
    </w:p>
    <w:p w14:paraId="79A3B876" w14:textId="77777777" w:rsidR="00FB0DAD" w:rsidRPr="00FB0DAD" w:rsidRDefault="00FB0DAD" w:rsidP="00E26909">
      <w:pPr>
        <w:pStyle w:val="ONRSquareBullet1"/>
        <w:tabs>
          <w:tab w:val="left" w:pos="880"/>
        </w:tabs>
        <w:spacing w:after="120"/>
        <w:rPr>
          <w:color w:val="auto"/>
        </w:rPr>
      </w:pPr>
      <w:r w:rsidRPr="00FB0DAD">
        <w:rPr>
          <w:color w:val="auto"/>
        </w:rPr>
        <w:t>What is the current radiological protection resource on the plant and how has the licensee demonstrated there is appropriate radiological protection resource at present?</w:t>
      </w:r>
    </w:p>
    <w:p w14:paraId="79A3B877" w14:textId="77777777" w:rsidR="00FB0DAD" w:rsidRPr="00FB0DAD" w:rsidRDefault="00FB0DAD" w:rsidP="00E26909">
      <w:pPr>
        <w:pStyle w:val="ONRSquareBullet1"/>
        <w:tabs>
          <w:tab w:val="left" w:pos="880"/>
        </w:tabs>
        <w:spacing w:after="120"/>
        <w:rPr>
          <w:color w:val="auto"/>
        </w:rPr>
      </w:pPr>
      <w:r w:rsidRPr="00FB0DAD">
        <w:rPr>
          <w:color w:val="auto"/>
        </w:rPr>
        <w:t>What are the likely radiological protection resource requirements for the next 10 years and what plans are in place to achieve this?</w:t>
      </w:r>
    </w:p>
    <w:p w14:paraId="79A3B878" w14:textId="77777777" w:rsidR="00FB0DAD" w:rsidRPr="00FB0DAD" w:rsidRDefault="00FB0DAD" w:rsidP="00E26909">
      <w:pPr>
        <w:pStyle w:val="ONRSquareBullet1"/>
        <w:tabs>
          <w:tab w:val="left" w:pos="880"/>
        </w:tabs>
        <w:spacing w:after="120"/>
        <w:rPr>
          <w:color w:val="auto"/>
        </w:rPr>
      </w:pPr>
      <w:r w:rsidRPr="00FB0DAD">
        <w:rPr>
          <w:color w:val="auto"/>
        </w:rPr>
        <w:t xml:space="preserve">How is knowledge management undertaken at the plant from a radiological protection perspective? </w:t>
      </w:r>
    </w:p>
    <w:p w14:paraId="79A3B879" w14:textId="77777777" w:rsidR="00FB0DAD" w:rsidRPr="008427E4" w:rsidRDefault="008427E4" w:rsidP="008427E4">
      <w:pPr>
        <w:tabs>
          <w:tab w:val="left" w:pos="851"/>
        </w:tabs>
        <w:rPr>
          <w:b/>
          <w:i/>
        </w:rPr>
      </w:pPr>
      <w:r w:rsidRPr="008427E4">
        <w:rPr>
          <w:b/>
          <w:i/>
        </w:rPr>
        <w:tab/>
      </w:r>
      <w:r w:rsidR="00FB0DAD" w:rsidRPr="008427E4">
        <w:rPr>
          <w:b/>
          <w:i/>
        </w:rPr>
        <w:t>Training</w:t>
      </w:r>
    </w:p>
    <w:p w14:paraId="79A3B87A" w14:textId="77777777" w:rsidR="00FB0DAD" w:rsidRPr="00FB0DAD" w:rsidRDefault="00FB0DAD" w:rsidP="00E26909">
      <w:pPr>
        <w:pStyle w:val="ONRSquareBullet1"/>
        <w:tabs>
          <w:tab w:val="left" w:pos="880"/>
        </w:tabs>
        <w:spacing w:after="120"/>
        <w:rPr>
          <w:color w:val="auto"/>
        </w:rPr>
      </w:pPr>
      <w:r w:rsidRPr="00FB0DAD">
        <w:rPr>
          <w:color w:val="auto"/>
        </w:rPr>
        <w:t xml:space="preserve">What are the current radiological protection training arrangements at the plant for workers, contractors and visitors? </w:t>
      </w:r>
    </w:p>
    <w:p w14:paraId="79A3B87B" w14:textId="77777777" w:rsidR="00FB0DAD" w:rsidRPr="00FB0DAD" w:rsidRDefault="00FB0DAD" w:rsidP="00E26909">
      <w:pPr>
        <w:pStyle w:val="ONRSquareBullet1"/>
        <w:tabs>
          <w:tab w:val="left" w:pos="880"/>
        </w:tabs>
        <w:spacing w:after="120"/>
        <w:rPr>
          <w:color w:val="auto"/>
        </w:rPr>
      </w:pPr>
      <w:r w:rsidRPr="00FB0DAD">
        <w:rPr>
          <w:color w:val="auto"/>
        </w:rPr>
        <w:t>How do employees and contractors with radiological protection responsibilities demonstrate being SQEP for their roles?</w:t>
      </w:r>
    </w:p>
    <w:p w14:paraId="79A3B87C" w14:textId="77777777" w:rsidR="00FB0DAD" w:rsidRPr="00FB0DAD" w:rsidRDefault="00FB0DAD" w:rsidP="00E26909">
      <w:pPr>
        <w:pStyle w:val="ONRSquareBullet1"/>
        <w:tabs>
          <w:tab w:val="left" w:pos="880"/>
        </w:tabs>
        <w:spacing w:after="120"/>
        <w:rPr>
          <w:color w:val="auto"/>
        </w:rPr>
      </w:pPr>
      <w:r w:rsidRPr="00FB0DAD">
        <w:rPr>
          <w:color w:val="auto"/>
        </w:rPr>
        <w:t xml:space="preserve">If the plant is currently changing or likely to change phase (e.g. from a decommissioning to C&amp;M phase) will this affect training requirements for radiological protection on the plant?  If so, what requirements for the modification of the RP training </w:t>
      </w:r>
      <w:proofErr w:type="spellStart"/>
      <w:r w:rsidRPr="00FB0DAD">
        <w:rPr>
          <w:color w:val="auto"/>
        </w:rPr>
        <w:t>programme</w:t>
      </w:r>
      <w:proofErr w:type="spellEnd"/>
      <w:r w:rsidRPr="00FB0DAD">
        <w:rPr>
          <w:color w:val="auto"/>
        </w:rPr>
        <w:t xml:space="preserve"> have been identified and how will they be implemented?</w:t>
      </w:r>
    </w:p>
    <w:p w14:paraId="79A3B87D" w14:textId="77777777" w:rsidR="00FB0DAD" w:rsidRPr="00E26909" w:rsidRDefault="008427E4" w:rsidP="00E26909">
      <w:pPr>
        <w:keepNext/>
        <w:tabs>
          <w:tab w:val="left" w:pos="851"/>
        </w:tabs>
        <w:rPr>
          <w:b/>
          <w:i/>
        </w:rPr>
      </w:pPr>
      <w:r>
        <w:rPr>
          <w:i/>
        </w:rPr>
        <w:tab/>
      </w:r>
      <w:r w:rsidR="00FB0DAD" w:rsidRPr="00E26909">
        <w:rPr>
          <w:b/>
          <w:i/>
        </w:rPr>
        <w:t>Radiological Protection arrangements on plant</w:t>
      </w:r>
    </w:p>
    <w:p w14:paraId="79A3B87E" w14:textId="77777777" w:rsidR="00FB0DAD" w:rsidRPr="00FB0DAD" w:rsidRDefault="00FB0DAD" w:rsidP="00E26909">
      <w:pPr>
        <w:pStyle w:val="ONRSquareBullet1"/>
        <w:tabs>
          <w:tab w:val="left" w:pos="880"/>
        </w:tabs>
        <w:spacing w:after="120"/>
        <w:rPr>
          <w:color w:val="auto"/>
        </w:rPr>
      </w:pPr>
      <w:r w:rsidRPr="00FB0DAD">
        <w:rPr>
          <w:color w:val="auto"/>
        </w:rPr>
        <w:t>What information has been provided on the application of the hierarchy of control measures for restriction of exposure on the plant? Do examples provided align with current radiological protection guidance?</w:t>
      </w:r>
    </w:p>
    <w:p w14:paraId="79A3B87F" w14:textId="77777777" w:rsidR="00FB0DAD" w:rsidRPr="00FB0DAD" w:rsidRDefault="00FB0DAD" w:rsidP="00E26909">
      <w:pPr>
        <w:pStyle w:val="ONRSquareBullet1"/>
        <w:tabs>
          <w:tab w:val="left" w:pos="880"/>
        </w:tabs>
        <w:spacing w:after="120"/>
        <w:rPr>
          <w:color w:val="auto"/>
        </w:rPr>
      </w:pPr>
      <w:r w:rsidRPr="00FB0DAD">
        <w:rPr>
          <w:color w:val="auto"/>
        </w:rPr>
        <w:t xml:space="preserve">How has the licensee demonstrated that designation of areas restricts exposure on plant? </w:t>
      </w:r>
    </w:p>
    <w:p w14:paraId="79A3B880" w14:textId="77777777" w:rsidR="00FB0DAD" w:rsidRPr="00FB0DAD" w:rsidRDefault="00FB0DAD" w:rsidP="00E26909">
      <w:pPr>
        <w:pStyle w:val="ONRSquareBullet1"/>
        <w:tabs>
          <w:tab w:val="left" w:pos="880"/>
        </w:tabs>
        <w:spacing w:after="120"/>
        <w:rPr>
          <w:color w:val="auto"/>
        </w:rPr>
      </w:pPr>
      <w:r w:rsidRPr="00FB0DAD">
        <w:rPr>
          <w:color w:val="auto"/>
        </w:rPr>
        <w:t xml:space="preserve">How is monitoring undertaken to restrict exposure on plant and control contamination at source? </w:t>
      </w:r>
    </w:p>
    <w:p w14:paraId="79A3B881" w14:textId="77777777" w:rsidR="00FB0DAD" w:rsidRPr="00FB0DAD" w:rsidRDefault="00FB0DAD" w:rsidP="00E26909">
      <w:pPr>
        <w:pStyle w:val="ONRSquareBullet1"/>
        <w:tabs>
          <w:tab w:val="left" w:pos="880"/>
        </w:tabs>
        <w:spacing w:after="120"/>
        <w:rPr>
          <w:color w:val="auto"/>
        </w:rPr>
      </w:pPr>
      <w:r w:rsidRPr="00FB0DAD">
        <w:rPr>
          <w:color w:val="auto"/>
        </w:rPr>
        <w:t>What are the current arrangements for the storage, control and accountancy of radioactive sources and radiation generators on plant?</w:t>
      </w:r>
    </w:p>
    <w:p w14:paraId="79A3B882" w14:textId="77777777" w:rsidR="00FB0DAD" w:rsidRPr="00FB0DAD" w:rsidRDefault="00FB0DAD" w:rsidP="00E26909">
      <w:pPr>
        <w:pStyle w:val="ONRSquareBullet1"/>
        <w:tabs>
          <w:tab w:val="left" w:pos="880"/>
        </w:tabs>
        <w:spacing w:after="120"/>
        <w:rPr>
          <w:color w:val="auto"/>
        </w:rPr>
      </w:pPr>
      <w:r w:rsidRPr="00FB0DAD">
        <w:rPr>
          <w:color w:val="auto"/>
        </w:rPr>
        <w:t>What arrangements in place for changeroom facilities on the plant? Are they in line with relevant good practice?</w:t>
      </w:r>
    </w:p>
    <w:p w14:paraId="79A3B883" w14:textId="77777777" w:rsidR="00FB0DAD" w:rsidRPr="00FB0DAD" w:rsidRDefault="00FB0DAD" w:rsidP="00E26909">
      <w:pPr>
        <w:pStyle w:val="ONRSquareBullet1"/>
        <w:tabs>
          <w:tab w:val="left" w:pos="880"/>
        </w:tabs>
        <w:spacing w:after="120"/>
        <w:rPr>
          <w:color w:val="auto"/>
        </w:rPr>
      </w:pPr>
      <w:r w:rsidRPr="00FB0DAD">
        <w:rPr>
          <w:color w:val="auto"/>
        </w:rPr>
        <w:t>What contingency arrangements are in place and are they appropriate for the plant?</w:t>
      </w:r>
    </w:p>
    <w:p w14:paraId="79A3B884" w14:textId="77777777" w:rsidR="00FB0DAD" w:rsidRPr="00FB0DAD" w:rsidRDefault="00FB0DAD" w:rsidP="00E26909">
      <w:pPr>
        <w:pStyle w:val="ONRSquareBullet1"/>
        <w:tabs>
          <w:tab w:val="left" w:pos="880"/>
        </w:tabs>
        <w:spacing w:after="120"/>
        <w:rPr>
          <w:color w:val="auto"/>
        </w:rPr>
      </w:pPr>
      <w:r w:rsidRPr="00FB0DAD">
        <w:rPr>
          <w:color w:val="auto"/>
        </w:rPr>
        <w:t xml:space="preserve">What benchmarking with other licensee’s or international </w:t>
      </w:r>
      <w:proofErr w:type="spellStart"/>
      <w:r w:rsidRPr="00FB0DAD">
        <w:rPr>
          <w:color w:val="auto"/>
        </w:rPr>
        <w:t>organisations</w:t>
      </w:r>
      <w:proofErr w:type="spellEnd"/>
      <w:r w:rsidRPr="00FB0DAD">
        <w:rPr>
          <w:color w:val="auto"/>
        </w:rPr>
        <w:t xml:space="preserve"> has been undertaken? </w:t>
      </w:r>
    </w:p>
    <w:p w14:paraId="79A3B885" w14:textId="77777777" w:rsidR="00FB0DAD" w:rsidRPr="00FB0DAD" w:rsidRDefault="00FB0DAD" w:rsidP="00E26909">
      <w:pPr>
        <w:pStyle w:val="ONRSquareBullet1"/>
        <w:tabs>
          <w:tab w:val="left" w:pos="880"/>
        </w:tabs>
        <w:spacing w:after="120"/>
        <w:rPr>
          <w:color w:val="auto"/>
        </w:rPr>
      </w:pPr>
      <w:r w:rsidRPr="00FB0DAD">
        <w:rPr>
          <w:color w:val="auto"/>
        </w:rPr>
        <w:t>What relevant good practice has been initiated?</w:t>
      </w:r>
    </w:p>
    <w:p w14:paraId="79A3B886" w14:textId="77777777" w:rsidR="00FB0DAD" w:rsidRPr="00E26909" w:rsidRDefault="008427E4" w:rsidP="008427E4">
      <w:pPr>
        <w:tabs>
          <w:tab w:val="left" w:pos="851"/>
        </w:tabs>
        <w:rPr>
          <w:b/>
          <w:i/>
        </w:rPr>
      </w:pPr>
      <w:r>
        <w:rPr>
          <w:i/>
        </w:rPr>
        <w:tab/>
      </w:r>
      <w:r w:rsidR="00FB0DAD" w:rsidRPr="00E26909">
        <w:rPr>
          <w:b/>
          <w:i/>
        </w:rPr>
        <w:t>Work Documentation</w:t>
      </w:r>
    </w:p>
    <w:p w14:paraId="79A3B887" w14:textId="77777777" w:rsidR="00FB0DAD" w:rsidRPr="00FB0DAD" w:rsidRDefault="00FB0DAD" w:rsidP="00E26909">
      <w:pPr>
        <w:pStyle w:val="ONRSquareBullet1"/>
        <w:tabs>
          <w:tab w:val="left" w:pos="880"/>
        </w:tabs>
        <w:spacing w:after="120"/>
        <w:rPr>
          <w:color w:val="auto"/>
        </w:rPr>
      </w:pPr>
      <w:r w:rsidRPr="00FB0DAD">
        <w:rPr>
          <w:color w:val="auto"/>
        </w:rPr>
        <w:t>To support the licensee’s PSR submissions, there should be a selection of radiological protection documentations to sample, which might include:</w:t>
      </w:r>
    </w:p>
    <w:p w14:paraId="79A3B888" w14:textId="77777777" w:rsidR="00FB0DAD" w:rsidRPr="00FB0DAD" w:rsidRDefault="00FB0DAD" w:rsidP="00E26909">
      <w:pPr>
        <w:pStyle w:val="ONRSquareBullet1"/>
        <w:numPr>
          <w:ilvl w:val="1"/>
          <w:numId w:val="18"/>
        </w:numPr>
        <w:tabs>
          <w:tab w:val="clear" w:pos="1440"/>
          <w:tab w:val="left" w:pos="851"/>
        </w:tabs>
        <w:spacing w:after="120"/>
        <w:ind w:left="1985" w:hanging="567"/>
        <w:rPr>
          <w:color w:val="auto"/>
        </w:rPr>
      </w:pPr>
      <w:r w:rsidRPr="00FB0DAD">
        <w:rPr>
          <w:color w:val="auto"/>
        </w:rPr>
        <w:t>Radiological Protection Standards for the plant</w:t>
      </w:r>
    </w:p>
    <w:p w14:paraId="79A3B889" w14:textId="77777777" w:rsidR="00FB0DAD" w:rsidRPr="00FB0DAD" w:rsidRDefault="00FB0DAD" w:rsidP="00E26909">
      <w:pPr>
        <w:pStyle w:val="ONRSquareBullet1"/>
        <w:numPr>
          <w:ilvl w:val="1"/>
          <w:numId w:val="18"/>
        </w:numPr>
        <w:tabs>
          <w:tab w:val="clear" w:pos="1440"/>
          <w:tab w:val="left" w:pos="851"/>
        </w:tabs>
        <w:spacing w:after="120"/>
        <w:ind w:left="1985" w:hanging="567"/>
        <w:rPr>
          <w:color w:val="auto"/>
        </w:rPr>
      </w:pPr>
      <w:r w:rsidRPr="00FB0DAD">
        <w:rPr>
          <w:color w:val="auto"/>
        </w:rPr>
        <w:t>Radiological Risk Assessments</w:t>
      </w:r>
    </w:p>
    <w:p w14:paraId="79A3B88A" w14:textId="77777777" w:rsidR="00FB0DAD" w:rsidRPr="00FB0DAD" w:rsidRDefault="00FB0DAD" w:rsidP="00E26909">
      <w:pPr>
        <w:pStyle w:val="ONRSquareBullet1"/>
        <w:numPr>
          <w:ilvl w:val="1"/>
          <w:numId w:val="18"/>
        </w:numPr>
        <w:tabs>
          <w:tab w:val="clear" w:pos="1440"/>
          <w:tab w:val="left" w:pos="851"/>
        </w:tabs>
        <w:spacing w:after="120"/>
        <w:ind w:left="1985" w:hanging="567"/>
        <w:rPr>
          <w:color w:val="auto"/>
        </w:rPr>
      </w:pPr>
      <w:r w:rsidRPr="00FB0DAD">
        <w:rPr>
          <w:color w:val="auto"/>
        </w:rPr>
        <w:t>Local Rules</w:t>
      </w:r>
    </w:p>
    <w:p w14:paraId="79A3B88B" w14:textId="77777777" w:rsidR="00FB0DAD" w:rsidRPr="00FB0DAD" w:rsidRDefault="00FB0DAD" w:rsidP="00E26909">
      <w:pPr>
        <w:pStyle w:val="ONRSquareBullet1"/>
        <w:numPr>
          <w:ilvl w:val="1"/>
          <w:numId w:val="18"/>
        </w:numPr>
        <w:tabs>
          <w:tab w:val="clear" w:pos="1440"/>
          <w:tab w:val="left" w:pos="851"/>
        </w:tabs>
        <w:spacing w:after="120"/>
        <w:ind w:left="1985" w:hanging="567"/>
        <w:rPr>
          <w:color w:val="auto"/>
        </w:rPr>
      </w:pPr>
      <w:r w:rsidRPr="00FB0DAD">
        <w:rPr>
          <w:color w:val="auto"/>
        </w:rPr>
        <w:t>Training Records</w:t>
      </w:r>
    </w:p>
    <w:p w14:paraId="79A3B88C" w14:textId="77777777" w:rsidR="00FB0DAD" w:rsidRPr="00FB0DAD" w:rsidRDefault="00FB0DAD" w:rsidP="00E26909">
      <w:pPr>
        <w:pStyle w:val="ONRSquareBullet1"/>
        <w:numPr>
          <w:ilvl w:val="1"/>
          <w:numId w:val="18"/>
        </w:numPr>
        <w:tabs>
          <w:tab w:val="clear" w:pos="1440"/>
          <w:tab w:val="left" w:pos="851"/>
        </w:tabs>
        <w:spacing w:after="120"/>
        <w:ind w:left="1985" w:hanging="567"/>
        <w:rPr>
          <w:color w:val="auto"/>
        </w:rPr>
      </w:pPr>
      <w:r w:rsidRPr="00FB0DAD">
        <w:rPr>
          <w:color w:val="auto"/>
        </w:rPr>
        <w:t>Surveys</w:t>
      </w:r>
    </w:p>
    <w:p w14:paraId="79A3B88D" w14:textId="77777777" w:rsidR="00FB0DAD" w:rsidRPr="00FB0DAD" w:rsidRDefault="00FB0DAD" w:rsidP="00E26909">
      <w:pPr>
        <w:pStyle w:val="ONRSquareBullet1"/>
        <w:numPr>
          <w:ilvl w:val="1"/>
          <w:numId w:val="18"/>
        </w:numPr>
        <w:tabs>
          <w:tab w:val="clear" w:pos="1440"/>
          <w:tab w:val="left" w:pos="851"/>
        </w:tabs>
        <w:spacing w:after="120"/>
        <w:ind w:left="1985" w:hanging="567"/>
        <w:rPr>
          <w:color w:val="auto"/>
        </w:rPr>
      </w:pPr>
      <w:r w:rsidRPr="00FB0DAD">
        <w:rPr>
          <w:color w:val="auto"/>
        </w:rPr>
        <w:t>Contingency Plans</w:t>
      </w:r>
    </w:p>
    <w:p w14:paraId="79A3B88E" w14:textId="77777777" w:rsidR="00FB0DAD" w:rsidRPr="00FB0DAD" w:rsidRDefault="00FB0DAD" w:rsidP="00E26909">
      <w:pPr>
        <w:pStyle w:val="ONRSquareBullet1"/>
        <w:numPr>
          <w:ilvl w:val="1"/>
          <w:numId w:val="18"/>
        </w:numPr>
        <w:tabs>
          <w:tab w:val="clear" w:pos="1440"/>
          <w:tab w:val="left" w:pos="851"/>
        </w:tabs>
        <w:spacing w:after="120"/>
        <w:ind w:left="1985" w:hanging="567"/>
        <w:rPr>
          <w:color w:val="auto"/>
        </w:rPr>
      </w:pPr>
      <w:r w:rsidRPr="00FB0DAD">
        <w:rPr>
          <w:color w:val="auto"/>
        </w:rPr>
        <w:t>Dose investigations</w:t>
      </w:r>
    </w:p>
    <w:p w14:paraId="79A3B88F" w14:textId="77777777" w:rsidR="00FB0DAD" w:rsidRPr="00FB0DAD" w:rsidRDefault="00FB0DAD" w:rsidP="00E26909">
      <w:pPr>
        <w:pStyle w:val="ONRSquareBullet1"/>
        <w:numPr>
          <w:ilvl w:val="1"/>
          <w:numId w:val="18"/>
        </w:numPr>
        <w:tabs>
          <w:tab w:val="clear" w:pos="1440"/>
          <w:tab w:val="left" w:pos="851"/>
        </w:tabs>
        <w:spacing w:after="120"/>
        <w:ind w:left="1985" w:hanging="567"/>
        <w:rPr>
          <w:color w:val="auto"/>
        </w:rPr>
      </w:pPr>
      <w:r w:rsidRPr="00FB0DAD">
        <w:rPr>
          <w:color w:val="auto"/>
        </w:rPr>
        <w:t>Company Standards</w:t>
      </w:r>
    </w:p>
    <w:p w14:paraId="79A3B890" w14:textId="77777777" w:rsidR="00FB0DAD" w:rsidRPr="00FB0DAD" w:rsidRDefault="00FB0DAD" w:rsidP="00E26909">
      <w:pPr>
        <w:pStyle w:val="ONRSquareBullet1"/>
        <w:numPr>
          <w:ilvl w:val="1"/>
          <w:numId w:val="18"/>
        </w:numPr>
        <w:tabs>
          <w:tab w:val="clear" w:pos="1440"/>
          <w:tab w:val="left" w:pos="851"/>
        </w:tabs>
        <w:spacing w:after="120"/>
        <w:ind w:left="1985" w:hanging="567"/>
        <w:rPr>
          <w:color w:val="auto"/>
        </w:rPr>
      </w:pPr>
      <w:r w:rsidRPr="00FB0DAD">
        <w:rPr>
          <w:color w:val="auto"/>
        </w:rPr>
        <w:t>Source Store Accountancy</w:t>
      </w:r>
    </w:p>
    <w:p w14:paraId="79A3B891" w14:textId="77777777" w:rsidR="00FB0DAD" w:rsidRDefault="00FB0DAD" w:rsidP="00FB0DAD">
      <w:pPr>
        <w:rPr>
          <w:i/>
        </w:rPr>
      </w:pPr>
    </w:p>
    <w:p w14:paraId="79A3B892" w14:textId="77777777" w:rsidR="00FB0DAD" w:rsidRPr="00DD7A59" w:rsidRDefault="008427E4" w:rsidP="008427E4">
      <w:pPr>
        <w:tabs>
          <w:tab w:val="left" w:pos="851"/>
        </w:tabs>
        <w:ind w:left="851" w:hanging="851"/>
        <w:rPr>
          <w:i/>
        </w:rPr>
      </w:pPr>
      <w:r>
        <w:rPr>
          <w:i/>
        </w:rPr>
        <w:tab/>
      </w:r>
      <w:r w:rsidR="00FB0DAD" w:rsidRPr="00E26909">
        <w:rPr>
          <w:b/>
          <w:i/>
        </w:rPr>
        <w:t xml:space="preserve">Decommissioning </w:t>
      </w:r>
      <w:r w:rsidR="00FB0DAD">
        <w:rPr>
          <w:i/>
        </w:rPr>
        <w:t>(for plants which are preparing for decommissioning in the next 10 years)</w:t>
      </w:r>
    </w:p>
    <w:p w14:paraId="79A3B893" w14:textId="77777777" w:rsidR="00FB0DAD" w:rsidRPr="00FB0DAD" w:rsidRDefault="00FB0DAD" w:rsidP="00CE66C0">
      <w:pPr>
        <w:pStyle w:val="ONRSquareBullet1"/>
        <w:tabs>
          <w:tab w:val="left" w:pos="880"/>
        </w:tabs>
        <w:spacing w:after="120"/>
        <w:rPr>
          <w:color w:val="auto"/>
        </w:rPr>
      </w:pPr>
      <w:r w:rsidRPr="00FB0DAD">
        <w:rPr>
          <w:color w:val="auto"/>
        </w:rPr>
        <w:t>What are the main radiological challenges facing the plant over the next 10 years from a decommissioning perspective?</w:t>
      </w:r>
    </w:p>
    <w:p w14:paraId="79A3B894" w14:textId="77777777" w:rsidR="00FB0DAD" w:rsidRPr="00FB0DAD" w:rsidRDefault="00FB0DAD" w:rsidP="00CE66C0">
      <w:pPr>
        <w:pStyle w:val="ONRSquareBullet1"/>
        <w:tabs>
          <w:tab w:val="left" w:pos="880"/>
        </w:tabs>
        <w:spacing w:after="120"/>
        <w:rPr>
          <w:color w:val="auto"/>
        </w:rPr>
      </w:pPr>
      <w:r w:rsidRPr="00FB0DAD">
        <w:rPr>
          <w:color w:val="auto"/>
        </w:rPr>
        <w:t xml:space="preserve">Have environmental issues such as ageing or corrosion resulted in or likely to result in degradation of the building and structures? If so, how has the licensee demonstrated that radiological protection arrangements are adequate?  </w:t>
      </w:r>
    </w:p>
    <w:p w14:paraId="79A3B895" w14:textId="77777777" w:rsidR="00FB0DAD" w:rsidRPr="00FB0DAD" w:rsidRDefault="00FB0DAD" w:rsidP="00CE66C0">
      <w:pPr>
        <w:pStyle w:val="ONRSquareBullet1"/>
        <w:tabs>
          <w:tab w:val="left" w:pos="880"/>
        </w:tabs>
        <w:spacing w:after="120"/>
        <w:rPr>
          <w:color w:val="auto"/>
        </w:rPr>
      </w:pPr>
      <w:r w:rsidRPr="00FB0DAD">
        <w:rPr>
          <w:color w:val="auto"/>
        </w:rPr>
        <w:t>What are the radiological arrangements in place for when the plant enters C&amp;M phase if this is to occur within the next 10 years?</w:t>
      </w:r>
    </w:p>
    <w:p w14:paraId="79A3B896" w14:textId="77777777" w:rsidR="00420EDE" w:rsidRDefault="00420EDE" w:rsidP="00420EDE">
      <w:pPr>
        <w:pStyle w:val="Heading6"/>
        <w:rPr>
          <w:b w:val="0"/>
          <w:bCs w:val="0"/>
          <w:i w:val="0"/>
          <w:iCs w:val="0"/>
          <w:kern w:val="0"/>
          <w:szCs w:val="22"/>
          <w:lang w:val="en"/>
        </w:rPr>
      </w:pPr>
    </w:p>
    <w:p w14:paraId="79A3B897" w14:textId="77777777" w:rsidR="0063719B" w:rsidRPr="0084786D" w:rsidRDefault="0063719B" w:rsidP="0084786D">
      <w:pPr>
        <w:pStyle w:val="NumberedHeading"/>
        <w:pageBreakBefore/>
        <w:numPr>
          <w:ilvl w:val="0"/>
          <w:numId w:val="0"/>
        </w:numPr>
      </w:pPr>
      <w:bookmarkStart w:id="66" w:name="_Toc43460823"/>
      <w:r w:rsidRPr="0084786D">
        <w:t>Table 1: WENRA Safety Reference Levels</w:t>
      </w:r>
      <w:bookmarkEnd w:id="66"/>
      <w:r w:rsidRPr="0084786D">
        <w:t xml:space="preserve"> </w:t>
      </w:r>
    </w:p>
    <w:tbl>
      <w:tblPr>
        <w:tblStyle w:val="TableGrid"/>
        <w:tblW w:w="0" w:type="auto"/>
        <w:tblLook w:val="01E0" w:firstRow="1" w:lastRow="1" w:firstColumn="1" w:lastColumn="1" w:noHBand="0" w:noVBand="0"/>
      </w:tblPr>
      <w:tblGrid>
        <w:gridCol w:w="901"/>
        <w:gridCol w:w="8228"/>
      </w:tblGrid>
      <w:tr w:rsidR="00E0754E" w:rsidRPr="003E5012" w14:paraId="79A3B899" w14:textId="77777777" w:rsidTr="00E0754E">
        <w:trPr>
          <w:cantSplit/>
          <w:tblHeader/>
        </w:trPr>
        <w:tc>
          <w:tcPr>
            <w:tcW w:w="9129" w:type="dxa"/>
            <w:gridSpan w:val="2"/>
            <w:shd w:val="clear" w:color="auto" w:fill="auto"/>
          </w:tcPr>
          <w:p w14:paraId="79A3B898" w14:textId="77777777" w:rsidR="00E0754E" w:rsidRPr="003E5012" w:rsidRDefault="00E0754E" w:rsidP="006633C1">
            <w:pPr>
              <w:spacing w:after="0"/>
              <w:jc w:val="center"/>
              <w:rPr>
                <w:b/>
                <w:sz w:val="20"/>
              </w:rPr>
            </w:pPr>
            <w:r>
              <w:rPr>
                <w:b/>
                <w:sz w:val="20"/>
              </w:rPr>
              <w:t>SRL</w:t>
            </w:r>
          </w:p>
        </w:tc>
      </w:tr>
      <w:tr w:rsidR="00E0754E" w:rsidRPr="00A97CE6" w14:paraId="79A3B89B" w14:textId="77777777" w:rsidTr="00E0754E">
        <w:trPr>
          <w:cantSplit/>
        </w:trPr>
        <w:tc>
          <w:tcPr>
            <w:tcW w:w="9129" w:type="dxa"/>
            <w:gridSpan w:val="2"/>
            <w:shd w:val="clear" w:color="auto" w:fill="auto"/>
          </w:tcPr>
          <w:p w14:paraId="79A3B89A" w14:textId="77777777" w:rsidR="00E0754E" w:rsidRPr="00A97CE6" w:rsidRDefault="00E0754E" w:rsidP="006633C1">
            <w:pPr>
              <w:spacing w:after="0"/>
              <w:jc w:val="center"/>
              <w:rPr>
                <w:b/>
                <w:sz w:val="20"/>
              </w:rPr>
            </w:pPr>
            <w:r w:rsidRPr="00A97CE6">
              <w:rPr>
                <w:b/>
              </w:rPr>
              <w:t>Reactor Harmonisation SRLs - Issue I</w:t>
            </w:r>
          </w:p>
        </w:tc>
      </w:tr>
      <w:tr w:rsidR="00E0754E" w:rsidRPr="003E5012" w14:paraId="79A3B89E" w14:textId="77777777" w:rsidTr="00E0754E">
        <w:trPr>
          <w:cantSplit/>
        </w:trPr>
        <w:tc>
          <w:tcPr>
            <w:tcW w:w="901" w:type="dxa"/>
            <w:shd w:val="clear" w:color="auto" w:fill="auto"/>
          </w:tcPr>
          <w:p w14:paraId="79A3B89C" w14:textId="77777777" w:rsidR="00E0754E" w:rsidRPr="003E5012" w:rsidRDefault="00E0754E" w:rsidP="006633C1">
            <w:pPr>
              <w:spacing w:after="0"/>
              <w:rPr>
                <w:sz w:val="20"/>
              </w:rPr>
            </w:pPr>
            <w:r w:rsidRPr="003E5012">
              <w:t>2.3</w:t>
            </w:r>
          </w:p>
        </w:tc>
        <w:tc>
          <w:tcPr>
            <w:tcW w:w="8228" w:type="dxa"/>
            <w:shd w:val="clear" w:color="auto" w:fill="auto"/>
            <w:vAlign w:val="center"/>
          </w:tcPr>
          <w:p w14:paraId="79A3B89D" w14:textId="77777777" w:rsidR="00E0754E" w:rsidRPr="003E5012" w:rsidRDefault="00E0754E" w:rsidP="006633C1">
            <w:pPr>
              <w:spacing w:after="0"/>
              <w:rPr>
                <w:sz w:val="20"/>
              </w:rPr>
            </w:pPr>
            <w:r w:rsidRPr="003E5012">
              <w:t>The Periodic Safety Review shall be used to confirm whether ageing and wear-out mechanisms have been correctly taken into account and to detect unexpected issues.</w:t>
            </w:r>
          </w:p>
        </w:tc>
      </w:tr>
      <w:tr w:rsidR="00E0754E" w:rsidRPr="00A97CE6" w14:paraId="79A3B8A0" w14:textId="77777777" w:rsidTr="00E0754E">
        <w:trPr>
          <w:cantSplit/>
        </w:trPr>
        <w:tc>
          <w:tcPr>
            <w:tcW w:w="9129" w:type="dxa"/>
            <w:gridSpan w:val="2"/>
            <w:shd w:val="clear" w:color="auto" w:fill="auto"/>
          </w:tcPr>
          <w:p w14:paraId="79A3B89F" w14:textId="77777777" w:rsidR="00E0754E" w:rsidRPr="00A97CE6" w:rsidRDefault="00E0754E" w:rsidP="006633C1">
            <w:pPr>
              <w:spacing w:after="0"/>
              <w:jc w:val="center"/>
              <w:rPr>
                <w:b/>
              </w:rPr>
            </w:pPr>
            <w:r w:rsidRPr="00A97CE6">
              <w:rPr>
                <w:b/>
              </w:rPr>
              <w:t>Reactor Harmonisation SRLs - Issue P</w:t>
            </w:r>
          </w:p>
        </w:tc>
      </w:tr>
      <w:tr w:rsidR="00E0754E" w14:paraId="79A3B8A3" w14:textId="77777777" w:rsidTr="00E0754E">
        <w:trPr>
          <w:cantSplit/>
        </w:trPr>
        <w:tc>
          <w:tcPr>
            <w:tcW w:w="901" w:type="dxa"/>
            <w:shd w:val="clear" w:color="auto" w:fill="auto"/>
            <w:vAlign w:val="center"/>
          </w:tcPr>
          <w:p w14:paraId="79A3B8A1" w14:textId="77777777" w:rsidR="00E0754E" w:rsidRDefault="00E0754E" w:rsidP="006633C1">
            <w:pPr>
              <w:spacing w:after="0"/>
            </w:pPr>
            <w:r w:rsidRPr="003E5012">
              <w:t>1</w:t>
            </w:r>
          </w:p>
        </w:tc>
        <w:tc>
          <w:tcPr>
            <w:tcW w:w="8228" w:type="dxa"/>
            <w:shd w:val="clear" w:color="auto" w:fill="auto"/>
            <w:vAlign w:val="center"/>
          </w:tcPr>
          <w:p w14:paraId="79A3B8A2" w14:textId="77777777" w:rsidR="00E0754E" w:rsidRDefault="00E0754E" w:rsidP="006633C1">
            <w:pPr>
              <w:spacing w:after="0"/>
            </w:pPr>
            <w:r w:rsidRPr="003E5012">
              <w:t>Objective of the periodic safety review</w:t>
            </w:r>
          </w:p>
        </w:tc>
      </w:tr>
      <w:tr w:rsidR="00E0754E" w14:paraId="79A3B8A6" w14:textId="77777777" w:rsidTr="00E0754E">
        <w:trPr>
          <w:cantSplit/>
        </w:trPr>
        <w:tc>
          <w:tcPr>
            <w:tcW w:w="901" w:type="dxa"/>
            <w:shd w:val="clear" w:color="auto" w:fill="auto"/>
          </w:tcPr>
          <w:p w14:paraId="79A3B8A4" w14:textId="77777777" w:rsidR="00E0754E" w:rsidRDefault="00E0754E" w:rsidP="006633C1">
            <w:pPr>
              <w:spacing w:after="0"/>
            </w:pPr>
            <w:r w:rsidRPr="003E5012">
              <w:t>1.1</w:t>
            </w:r>
          </w:p>
        </w:tc>
        <w:tc>
          <w:tcPr>
            <w:tcW w:w="8228" w:type="dxa"/>
            <w:shd w:val="clear" w:color="auto" w:fill="auto"/>
            <w:vAlign w:val="center"/>
          </w:tcPr>
          <w:p w14:paraId="79A3B8A5" w14:textId="77777777" w:rsidR="00E0754E" w:rsidRDefault="00E0754E" w:rsidP="006633C1">
            <w:pPr>
              <w:spacing w:after="0"/>
            </w:pPr>
            <w:r w:rsidRPr="003E5012">
              <w:t>The licensee shall have the prime responsibility for performing the Periodic Safety Review.</w:t>
            </w:r>
          </w:p>
        </w:tc>
      </w:tr>
      <w:tr w:rsidR="00E0754E" w14:paraId="79A3B8AA" w14:textId="77777777" w:rsidTr="00E0754E">
        <w:trPr>
          <w:cantSplit/>
        </w:trPr>
        <w:tc>
          <w:tcPr>
            <w:tcW w:w="901" w:type="dxa"/>
            <w:shd w:val="clear" w:color="auto" w:fill="auto"/>
          </w:tcPr>
          <w:p w14:paraId="79A3B8A7" w14:textId="77777777" w:rsidR="00E0754E" w:rsidRDefault="00E0754E" w:rsidP="006633C1">
            <w:pPr>
              <w:spacing w:after="0"/>
            </w:pPr>
            <w:r w:rsidRPr="003E5012">
              <w:t>1.2</w:t>
            </w:r>
          </w:p>
        </w:tc>
        <w:tc>
          <w:tcPr>
            <w:tcW w:w="8228" w:type="dxa"/>
            <w:shd w:val="clear" w:color="auto" w:fill="auto"/>
            <w:vAlign w:val="center"/>
          </w:tcPr>
          <w:p w14:paraId="79A3B8A8" w14:textId="77777777" w:rsidR="00E0754E" w:rsidRPr="003E5012" w:rsidRDefault="00E0754E" w:rsidP="006633C1">
            <w:pPr>
              <w:spacing w:after="0"/>
            </w:pPr>
            <w:r w:rsidRPr="003E5012">
              <w:t>The review shall confirm the compliance of the plant with its</w:t>
            </w:r>
          </w:p>
          <w:p w14:paraId="79A3B8A9" w14:textId="77777777" w:rsidR="00E0754E" w:rsidRDefault="00E0754E" w:rsidP="006633C1">
            <w:pPr>
              <w:spacing w:after="0"/>
            </w:pPr>
            <w:r w:rsidRPr="003E5012">
              <w:t>licensing basis and any deviations shall be resolved.</w:t>
            </w:r>
          </w:p>
        </w:tc>
      </w:tr>
      <w:tr w:rsidR="00E0754E" w:rsidRPr="00CE66C0" w14:paraId="79A3B8AE" w14:textId="77777777" w:rsidTr="00E0754E">
        <w:trPr>
          <w:cantSplit/>
        </w:trPr>
        <w:tc>
          <w:tcPr>
            <w:tcW w:w="901" w:type="dxa"/>
            <w:shd w:val="clear" w:color="auto" w:fill="auto"/>
          </w:tcPr>
          <w:p w14:paraId="79A3B8AB" w14:textId="77777777" w:rsidR="00E0754E" w:rsidRPr="00CE66C0" w:rsidRDefault="00E0754E" w:rsidP="006633C1">
            <w:pPr>
              <w:spacing w:after="0"/>
              <w:rPr>
                <w:lang w:val="en"/>
              </w:rPr>
            </w:pPr>
            <w:r w:rsidRPr="00CE66C0">
              <w:rPr>
                <w:lang w:val="en"/>
              </w:rPr>
              <w:t>1.3</w:t>
            </w:r>
          </w:p>
        </w:tc>
        <w:tc>
          <w:tcPr>
            <w:tcW w:w="8228" w:type="dxa"/>
            <w:shd w:val="clear" w:color="auto" w:fill="auto"/>
            <w:vAlign w:val="center"/>
          </w:tcPr>
          <w:p w14:paraId="79A3B8AC" w14:textId="77777777" w:rsidR="00E0754E" w:rsidRPr="00CE66C0" w:rsidRDefault="00E0754E" w:rsidP="006633C1">
            <w:pPr>
              <w:spacing w:after="0"/>
              <w:rPr>
                <w:lang w:val="en"/>
              </w:rPr>
            </w:pPr>
            <w:r w:rsidRPr="00CE66C0">
              <w:rPr>
                <w:lang w:val="en"/>
              </w:rPr>
              <w:t>The review shall identify and evaluate the safety significance of</w:t>
            </w:r>
          </w:p>
          <w:p w14:paraId="79A3B8AD" w14:textId="77777777" w:rsidR="00E0754E" w:rsidRPr="00CE66C0" w:rsidRDefault="00E0754E" w:rsidP="00E04484">
            <w:pPr>
              <w:spacing w:after="0"/>
              <w:rPr>
                <w:lang w:val="en"/>
              </w:rPr>
            </w:pPr>
            <w:r w:rsidRPr="00CE66C0">
              <w:rPr>
                <w:lang w:val="en"/>
              </w:rPr>
              <w:t xml:space="preserve">deviations from applicable current safety standards and internationally </w:t>
            </w:r>
            <w:proofErr w:type="spellStart"/>
            <w:r w:rsidRPr="00CE66C0">
              <w:rPr>
                <w:lang w:val="en"/>
              </w:rPr>
              <w:t>recognised</w:t>
            </w:r>
            <w:proofErr w:type="spellEnd"/>
            <w:r w:rsidRPr="00CE66C0">
              <w:rPr>
                <w:lang w:val="en"/>
              </w:rPr>
              <w:t xml:space="preserve"> good practices taking into account operating experience, relevant research findings, and the current state of technology.</w:t>
            </w:r>
          </w:p>
        </w:tc>
      </w:tr>
      <w:tr w:rsidR="00E0754E" w14:paraId="79A3B8B1" w14:textId="77777777" w:rsidTr="00E0754E">
        <w:trPr>
          <w:cantSplit/>
        </w:trPr>
        <w:tc>
          <w:tcPr>
            <w:tcW w:w="901" w:type="dxa"/>
            <w:shd w:val="clear" w:color="auto" w:fill="auto"/>
          </w:tcPr>
          <w:p w14:paraId="79A3B8AF" w14:textId="77777777" w:rsidR="00E0754E" w:rsidRDefault="00E0754E" w:rsidP="006633C1">
            <w:pPr>
              <w:spacing w:after="0"/>
            </w:pPr>
            <w:r w:rsidRPr="003E5012">
              <w:t>1.4</w:t>
            </w:r>
          </w:p>
        </w:tc>
        <w:tc>
          <w:tcPr>
            <w:tcW w:w="8228" w:type="dxa"/>
            <w:shd w:val="clear" w:color="auto" w:fill="auto"/>
            <w:vAlign w:val="center"/>
          </w:tcPr>
          <w:p w14:paraId="79A3B8B0" w14:textId="77777777" w:rsidR="00E0754E" w:rsidRDefault="00E0754E" w:rsidP="006633C1">
            <w:pPr>
              <w:spacing w:after="0"/>
            </w:pPr>
            <w:r w:rsidRPr="003E5012">
              <w:t xml:space="preserve">All reasonably practicable improvement measures shall be </w:t>
            </w:r>
            <w:r>
              <w:t>implemented by the licensee as a result of the review, in a timely manner.</w:t>
            </w:r>
          </w:p>
        </w:tc>
      </w:tr>
      <w:tr w:rsidR="00E0754E" w14:paraId="79A3B8B4" w14:textId="77777777" w:rsidTr="00E0754E">
        <w:trPr>
          <w:cantSplit/>
        </w:trPr>
        <w:tc>
          <w:tcPr>
            <w:tcW w:w="901" w:type="dxa"/>
            <w:shd w:val="clear" w:color="auto" w:fill="auto"/>
          </w:tcPr>
          <w:p w14:paraId="79A3B8B2" w14:textId="77777777" w:rsidR="00E0754E" w:rsidRDefault="00E0754E" w:rsidP="006633C1">
            <w:pPr>
              <w:spacing w:after="0"/>
            </w:pPr>
            <w:r w:rsidRPr="003E5012">
              <w:t>1.5</w:t>
            </w:r>
          </w:p>
        </w:tc>
        <w:tc>
          <w:tcPr>
            <w:tcW w:w="8228" w:type="dxa"/>
            <w:shd w:val="clear" w:color="auto" w:fill="auto"/>
            <w:vAlign w:val="center"/>
          </w:tcPr>
          <w:p w14:paraId="79A3B8B3" w14:textId="77777777" w:rsidR="00E0754E" w:rsidRDefault="00E0754E" w:rsidP="006633C1">
            <w:pPr>
              <w:spacing w:after="0"/>
            </w:pPr>
            <w:r>
              <w:t>An overall assessment of the safety of the plant covering the period until the next PSR shall be provided, and adequate confidence in plant safety for continued operation demonstrated, based on the results of the review in each area. This assessment shall highlight any issues that might limit the future safe operation of the plant and explain how they will be managed.</w:t>
            </w:r>
          </w:p>
        </w:tc>
      </w:tr>
      <w:tr w:rsidR="00E0754E" w14:paraId="79A3B8B7" w14:textId="77777777" w:rsidTr="00E0754E">
        <w:trPr>
          <w:cantSplit/>
        </w:trPr>
        <w:tc>
          <w:tcPr>
            <w:tcW w:w="901" w:type="dxa"/>
            <w:shd w:val="clear" w:color="auto" w:fill="auto"/>
            <w:vAlign w:val="center"/>
          </w:tcPr>
          <w:p w14:paraId="79A3B8B5" w14:textId="77777777" w:rsidR="00E0754E" w:rsidRDefault="00E0754E" w:rsidP="006633C1">
            <w:pPr>
              <w:spacing w:after="0"/>
            </w:pPr>
            <w:r w:rsidRPr="003E5012">
              <w:t>2</w:t>
            </w:r>
          </w:p>
        </w:tc>
        <w:tc>
          <w:tcPr>
            <w:tcW w:w="8228" w:type="dxa"/>
            <w:shd w:val="clear" w:color="auto" w:fill="auto"/>
            <w:vAlign w:val="center"/>
          </w:tcPr>
          <w:p w14:paraId="79A3B8B6" w14:textId="77777777" w:rsidR="00E0754E" w:rsidRDefault="00E0754E" w:rsidP="006633C1">
            <w:pPr>
              <w:spacing w:after="0"/>
            </w:pPr>
            <w:r w:rsidRPr="003E5012">
              <w:t>Scope of the periodic safety review</w:t>
            </w:r>
          </w:p>
        </w:tc>
      </w:tr>
      <w:tr w:rsidR="00E0754E" w14:paraId="79A3B8BA" w14:textId="77777777" w:rsidTr="00E0754E">
        <w:trPr>
          <w:cantSplit/>
        </w:trPr>
        <w:tc>
          <w:tcPr>
            <w:tcW w:w="901" w:type="dxa"/>
            <w:shd w:val="clear" w:color="auto" w:fill="auto"/>
            <w:vAlign w:val="center"/>
          </w:tcPr>
          <w:p w14:paraId="79A3B8B8" w14:textId="77777777" w:rsidR="00E0754E" w:rsidRDefault="00E0754E" w:rsidP="006633C1">
            <w:pPr>
              <w:spacing w:after="0"/>
            </w:pPr>
            <w:r w:rsidRPr="003E5012">
              <w:t>2.1</w:t>
            </w:r>
          </w:p>
        </w:tc>
        <w:tc>
          <w:tcPr>
            <w:tcW w:w="8228" w:type="dxa"/>
            <w:shd w:val="clear" w:color="auto" w:fill="auto"/>
            <w:vAlign w:val="center"/>
          </w:tcPr>
          <w:p w14:paraId="79A3B8B9" w14:textId="77777777" w:rsidR="00E0754E" w:rsidRDefault="00E0754E" w:rsidP="006633C1">
            <w:pPr>
              <w:spacing w:after="0"/>
            </w:pPr>
            <w:r w:rsidRPr="003E5012">
              <w:t>The review shall be made periodically, at least every ten years.</w:t>
            </w:r>
          </w:p>
        </w:tc>
      </w:tr>
      <w:tr w:rsidR="00E0754E" w14:paraId="79A3B8CB" w14:textId="77777777" w:rsidTr="00E0754E">
        <w:trPr>
          <w:cantSplit/>
        </w:trPr>
        <w:tc>
          <w:tcPr>
            <w:tcW w:w="901" w:type="dxa"/>
            <w:shd w:val="clear" w:color="auto" w:fill="auto"/>
          </w:tcPr>
          <w:p w14:paraId="79A3B8BB" w14:textId="77777777" w:rsidR="00E0754E" w:rsidRDefault="00E0754E" w:rsidP="006633C1">
            <w:pPr>
              <w:spacing w:after="0"/>
            </w:pPr>
            <w:r w:rsidRPr="003E5012">
              <w:t>2.2</w:t>
            </w:r>
          </w:p>
        </w:tc>
        <w:tc>
          <w:tcPr>
            <w:tcW w:w="8228" w:type="dxa"/>
            <w:shd w:val="clear" w:color="auto" w:fill="auto"/>
            <w:vAlign w:val="center"/>
          </w:tcPr>
          <w:p w14:paraId="79A3B8BC" w14:textId="77777777" w:rsidR="00E0754E" w:rsidRPr="003E5012" w:rsidRDefault="00E0754E" w:rsidP="006633C1">
            <w:pPr>
              <w:spacing w:after="0"/>
            </w:pPr>
            <w:r w:rsidRPr="003E5012">
              <w:t>The scope of the review shall be clearly defined and justified.</w:t>
            </w:r>
            <w:r w:rsidR="00D951C6">
              <w:t xml:space="preserve"> </w:t>
            </w:r>
            <w:r w:rsidRPr="003E5012">
              <w:t xml:space="preserve">The scope shall be as comprehensive as reasonably practical with regard to significant safety aspects of an operating plant and, as a minimum the following </w:t>
            </w:r>
            <w:r>
              <w:t>safety factors shall be covered by the review</w:t>
            </w:r>
            <w:r w:rsidRPr="003E5012">
              <w:t>:</w:t>
            </w:r>
          </w:p>
          <w:p w14:paraId="79A3B8BD" w14:textId="77777777" w:rsidR="00E0754E" w:rsidRPr="00720C4A" w:rsidRDefault="00E0754E" w:rsidP="00720C4A">
            <w:pPr>
              <w:autoSpaceDE w:val="0"/>
              <w:autoSpaceDN w:val="0"/>
              <w:adjustRightInd w:val="0"/>
              <w:spacing w:after="0"/>
              <w:rPr>
                <w:color w:val="000000"/>
                <w:lang w:eastAsia="en-GB"/>
              </w:rPr>
            </w:pPr>
            <w:r w:rsidRPr="00720C4A">
              <w:rPr>
                <w:color w:val="000000"/>
                <w:lang w:eastAsia="en-GB"/>
              </w:rPr>
              <w:t xml:space="preserve">(a) Plant design; </w:t>
            </w:r>
          </w:p>
          <w:p w14:paraId="79A3B8BE" w14:textId="77777777" w:rsidR="00E0754E" w:rsidRPr="00720C4A" w:rsidRDefault="00E0754E" w:rsidP="00720C4A">
            <w:pPr>
              <w:autoSpaceDE w:val="0"/>
              <w:autoSpaceDN w:val="0"/>
              <w:adjustRightInd w:val="0"/>
              <w:spacing w:after="0"/>
              <w:rPr>
                <w:color w:val="000000"/>
                <w:lang w:eastAsia="en-GB"/>
              </w:rPr>
            </w:pPr>
            <w:r w:rsidRPr="00720C4A">
              <w:rPr>
                <w:color w:val="000000"/>
                <w:lang w:eastAsia="en-GB"/>
              </w:rPr>
              <w:t xml:space="preserve">(b) Actual condition of structures, systems and components (SSCs) important to safety; </w:t>
            </w:r>
          </w:p>
          <w:p w14:paraId="79A3B8BF" w14:textId="77777777" w:rsidR="00E0754E" w:rsidRPr="00720C4A" w:rsidRDefault="00E0754E" w:rsidP="00720C4A">
            <w:pPr>
              <w:autoSpaceDE w:val="0"/>
              <w:autoSpaceDN w:val="0"/>
              <w:adjustRightInd w:val="0"/>
              <w:spacing w:after="0"/>
              <w:rPr>
                <w:color w:val="000000"/>
                <w:lang w:eastAsia="en-GB"/>
              </w:rPr>
            </w:pPr>
            <w:r w:rsidRPr="00720C4A">
              <w:rPr>
                <w:color w:val="000000"/>
                <w:lang w:eastAsia="en-GB"/>
              </w:rPr>
              <w:t xml:space="preserve">(c) Equipment qualification; </w:t>
            </w:r>
          </w:p>
          <w:p w14:paraId="79A3B8C0" w14:textId="77777777" w:rsidR="00E0754E" w:rsidRPr="00720C4A" w:rsidRDefault="00E0754E" w:rsidP="00720C4A">
            <w:pPr>
              <w:autoSpaceDE w:val="0"/>
              <w:autoSpaceDN w:val="0"/>
              <w:adjustRightInd w:val="0"/>
              <w:spacing w:after="0"/>
              <w:rPr>
                <w:color w:val="000000"/>
                <w:lang w:eastAsia="en-GB"/>
              </w:rPr>
            </w:pPr>
            <w:r w:rsidRPr="00720C4A">
              <w:rPr>
                <w:color w:val="000000"/>
                <w:lang w:eastAsia="en-GB"/>
              </w:rPr>
              <w:t xml:space="preserve">(d) Ageing; </w:t>
            </w:r>
          </w:p>
          <w:p w14:paraId="79A3B8C1" w14:textId="77777777" w:rsidR="00E0754E" w:rsidRPr="00720C4A" w:rsidRDefault="00E0754E" w:rsidP="00720C4A">
            <w:pPr>
              <w:autoSpaceDE w:val="0"/>
              <w:autoSpaceDN w:val="0"/>
              <w:adjustRightInd w:val="0"/>
              <w:spacing w:after="0"/>
              <w:rPr>
                <w:color w:val="000000"/>
                <w:lang w:eastAsia="en-GB"/>
              </w:rPr>
            </w:pPr>
            <w:r w:rsidRPr="00720C4A">
              <w:rPr>
                <w:color w:val="000000"/>
                <w:lang w:eastAsia="en-GB"/>
              </w:rPr>
              <w:t xml:space="preserve">(e) Deterministic safety analysis; </w:t>
            </w:r>
          </w:p>
          <w:p w14:paraId="79A3B8C2" w14:textId="77777777" w:rsidR="00E0754E" w:rsidRPr="00720C4A" w:rsidRDefault="00E0754E" w:rsidP="00720C4A">
            <w:pPr>
              <w:autoSpaceDE w:val="0"/>
              <w:autoSpaceDN w:val="0"/>
              <w:adjustRightInd w:val="0"/>
              <w:spacing w:after="0"/>
              <w:rPr>
                <w:color w:val="000000"/>
                <w:lang w:eastAsia="en-GB"/>
              </w:rPr>
            </w:pPr>
            <w:r w:rsidRPr="00720C4A">
              <w:rPr>
                <w:color w:val="000000"/>
                <w:lang w:eastAsia="en-GB"/>
              </w:rPr>
              <w:t xml:space="preserve">(f) Probabilistic safety assessment; </w:t>
            </w:r>
          </w:p>
          <w:p w14:paraId="79A3B8C3" w14:textId="77777777" w:rsidR="00E0754E" w:rsidRPr="00720C4A" w:rsidRDefault="00E0754E" w:rsidP="00720C4A">
            <w:pPr>
              <w:autoSpaceDE w:val="0"/>
              <w:autoSpaceDN w:val="0"/>
              <w:adjustRightInd w:val="0"/>
              <w:spacing w:after="0"/>
              <w:rPr>
                <w:sz w:val="24"/>
                <w:szCs w:val="24"/>
                <w:lang w:eastAsia="en-GB"/>
              </w:rPr>
            </w:pPr>
            <w:r w:rsidRPr="00720C4A">
              <w:rPr>
                <w:color w:val="000000"/>
                <w:lang w:eastAsia="en-GB"/>
              </w:rPr>
              <w:t xml:space="preserve">(g) Hazard analysis; </w:t>
            </w:r>
          </w:p>
          <w:p w14:paraId="79A3B8C4" w14:textId="77777777" w:rsidR="00E0754E" w:rsidRPr="00720C4A" w:rsidRDefault="00E0754E" w:rsidP="00720C4A">
            <w:pPr>
              <w:pageBreakBefore/>
              <w:autoSpaceDE w:val="0"/>
              <w:autoSpaceDN w:val="0"/>
              <w:adjustRightInd w:val="0"/>
              <w:spacing w:after="0"/>
              <w:rPr>
                <w:lang w:eastAsia="en-GB"/>
              </w:rPr>
            </w:pPr>
            <w:r w:rsidRPr="00720C4A">
              <w:rPr>
                <w:lang w:eastAsia="en-GB"/>
              </w:rPr>
              <w:t xml:space="preserve">(h) Safety performance; </w:t>
            </w:r>
          </w:p>
          <w:p w14:paraId="79A3B8C5" w14:textId="77777777" w:rsidR="00E0754E" w:rsidRPr="00720C4A" w:rsidRDefault="00E0754E" w:rsidP="00720C4A">
            <w:pPr>
              <w:autoSpaceDE w:val="0"/>
              <w:autoSpaceDN w:val="0"/>
              <w:adjustRightInd w:val="0"/>
              <w:spacing w:after="0"/>
              <w:rPr>
                <w:lang w:eastAsia="en-GB"/>
              </w:rPr>
            </w:pPr>
            <w:r w:rsidRPr="00720C4A">
              <w:rPr>
                <w:lang w:eastAsia="en-GB"/>
              </w:rPr>
              <w:t>(</w:t>
            </w:r>
            <w:proofErr w:type="spellStart"/>
            <w:r w:rsidRPr="00720C4A">
              <w:rPr>
                <w:lang w:eastAsia="en-GB"/>
              </w:rPr>
              <w:t>i</w:t>
            </w:r>
            <w:proofErr w:type="spellEnd"/>
            <w:r w:rsidRPr="00720C4A">
              <w:rPr>
                <w:lang w:eastAsia="en-GB"/>
              </w:rPr>
              <w:t xml:space="preserve">) Use of experience from other plants and research findings; </w:t>
            </w:r>
          </w:p>
          <w:p w14:paraId="79A3B8C6" w14:textId="77777777" w:rsidR="00E0754E" w:rsidRPr="00720C4A" w:rsidRDefault="00E0754E" w:rsidP="00720C4A">
            <w:pPr>
              <w:autoSpaceDE w:val="0"/>
              <w:autoSpaceDN w:val="0"/>
              <w:adjustRightInd w:val="0"/>
              <w:spacing w:after="0"/>
              <w:rPr>
                <w:lang w:eastAsia="en-GB"/>
              </w:rPr>
            </w:pPr>
            <w:r w:rsidRPr="00720C4A">
              <w:rPr>
                <w:lang w:eastAsia="en-GB"/>
              </w:rPr>
              <w:t xml:space="preserve">(j) Organization, the management system and safety culture; </w:t>
            </w:r>
          </w:p>
          <w:p w14:paraId="79A3B8C7" w14:textId="77777777" w:rsidR="00E0754E" w:rsidRPr="00720C4A" w:rsidRDefault="00E0754E" w:rsidP="00720C4A">
            <w:pPr>
              <w:autoSpaceDE w:val="0"/>
              <w:autoSpaceDN w:val="0"/>
              <w:adjustRightInd w:val="0"/>
              <w:spacing w:after="0"/>
              <w:rPr>
                <w:lang w:eastAsia="en-GB"/>
              </w:rPr>
            </w:pPr>
            <w:r w:rsidRPr="00720C4A">
              <w:rPr>
                <w:lang w:eastAsia="en-GB"/>
              </w:rPr>
              <w:t xml:space="preserve">(k) Procedures; </w:t>
            </w:r>
          </w:p>
          <w:p w14:paraId="79A3B8C8" w14:textId="77777777" w:rsidR="00E0754E" w:rsidRPr="00720C4A" w:rsidRDefault="00E0754E" w:rsidP="00720C4A">
            <w:pPr>
              <w:autoSpaceDE w:val="0"/>
              <w:autoSpaceDN w:val="0"/>
              <w:adjustRightInd w:val="0"/>
              <w:spacing w:after="0"/>
              <w:rPr>
                <w:lang w:eastAsia="en-GB"/>
              </w:rPr>
            </w:pPr>
            <w:r w:rsidRPr="00720C4A">
              <w:rPr>
                <w:lang w:eastAsia="en-GB"/>
              </w:rPr>
              <w:t xml:space="preserve">(l) Human factors; </w:t>
            </w:r>
          </w:p>
          <w:p w14:paraId="79A3B8C9" w14:textId="77777777" w:rsidR="00E0754E" w:rsidRPr="00720C4A" w:rsidRDefault="00E0754E" w:rsidP="00720C4A">
            <w:pPr>
              <w:autoSpaceDE w:val="0"/>
              <w:autoSpaceDN w:val="0"/>
              <w:adjustRightInd w:val="0"/>
              <w:spacing w:after="0"/>
              <w:rPr>
                <w:lang w:eastAsia="en-GB"/>
              </w:rPr>
            </w:pPr>
            <w:r w:rsidRPr="00720C4A">
              <w:rPr>
                <w:lang w:eastAsia="en-GB"/>
              </w:rPr>
              <w:t xml:space="preserve">(m) Emergency planning; </w:t>
            </w:r>
          </w:p>
          <w:p w14:paraId="79A3B8CA" w14:textId="77777777" w:rsidR="00E0754E" w:rsidRDefault="00E0754E" w:rsidP="00720C4A">
            <w:pPr>
              <w:spacing w:after="0"/>
            </w:pPr>
            <w:r w:rsidRPr="00720C4A">
              <w:rPr>
                <w:lang w:eastAsia="en-GB"/>
              </w:rPr>
              <w:t>(n) Radiological impact on the environment.</w:t>
            </w:r>
          </w:p>
        </w:tc>
      </w:tr>
      <w:tr w:rsidR="00E0754E" w14:paraId="79A3B8CE" w14:textId="77777777" w:rsidTr="00E0754E">
        <w:trPr>
          <w:cantSplit/>
        </w:trPr>
        <w:tc>
          <w:tcPr>
            <w:tcW w:w="901" w:type="dxa"/>
            <w:shd w:val="clear" w:color="auto" w:fill="auto"/>
            <w:vAlign w:val="center"/>
          </w:tcPr>
          <w:p w14:paraId="79A3B8CC" w14:textId="77777777" w:rsidR="00E0754E" w:rsidRDefault="00E0754E" w:rsidP="006633C1">
            <w:pPr>
              <w:spacing w:after="0"/>
            </w:pPr>
            <w:r w:rsidRPr="003E5012">
              <w:t>3</w:t>
            </w:r>
          </w:p>
        </w:tc>
        <w:tc>
          <w:tcPr>
            <w:tcW w:w="8228" w:type="dxa"/>
            <w:shd w:val="clear" w:color="auto" w:fill="auto"/>
            <w:vAlign w:val="center"/>
          </w:tcPr>
          <w:p w14:paraId="79A3B8CD" w14:textId="77777777" w:rsidR="00E0754E" w:rsidRDefault="00E0754E" w:rsidP="006633C1">
            <w:pPr>
              <w:spacing w:after="0"/>
            </w:pPr>
            <w:r w:rsidRPr="003E5012">
              <w:t>Methodology of the periodic safety review</w:t>
            </w:r>
          </w:p>
        </w:tc>
      </w:tr>
      <w:tr w:rsidR="00E0754E" w14:paraId="79A3B8D1" w14:textId="77777777" w:rsidTr="00E0754E">
        <w:trPr>
          <w:cantSplit/>
        </w:trPr>
        <w:tc>
          <w:tcPr>
            <w:tcW w:w="901" w:type="dxa"/>
            <w:shd w:val="clear" w:color="auto" w:fill="auto"/>
          </w:tcPr>
          <w:p w14:paraId="79A3B8CF" w14:textId="77777777" w:rsidR="00E0754E" w:rsidRDefault="00E0754E" w:rsidP="006633C1">
            <w:pPr>
              <w:spacing w:after="0"/>
            </w:pPr>
            <w:r w:rsidRPr="003E5012">
              <w:t>3.1</w:t>
            </w:r>
          </w:p>
        </w:tc>
        <w:tc>
          <w:tcPr>
            <w:tcW w:w="8228" w:type="dxa"/>
            <w:shd w:val="clear" w:color="auto" w:fill="auto"/>
            <w:vAlign w:val="center"/>
          </w:tcPr>
          <w:p w14:paraId="79A3B8D0" w14:textId="77777777" w:rsidR="00E0754E" w:rsidRDefault="00E0754E" w:rsidP="006633C1">
            <w:pPr>
              <w:spacing w:after="0"/>
            </w:pPr>
            <w:r w:rsidRPr="003E5012">
              <w:t>The review shall use an up to date, systematic, and documented methodology, taking into account deterministic as well as probabilistic assessments.</w:t>
            </w:r>
          </w:p>
        </w:tc>
      </w:tr>
      <w:tr w:rsidR="00E0754E" w14:paraId="79A3B8D4" w14:textId="77777777" w:rsidTr="00E0754E">
        <w:trPr>
          <w:cantSplit/>
        </w:trPr>
        <w:tc>
          <w:tcPr>
            <w:tcW w:w="901" w:type="dxa"/>
            <w:shd w:val="clear" w:color="auto" w:fill="auto"/>
          </w:tcPr>
          <w:p w14:paraId="79A3B8D2" w14:textId="77777777" w:rsidR="00E0754E" w:rsidRDefault="00E0754E" w:rsidP="006633C1">
            <w:pPr>
              <w:spacing w:after="0"/>
            </w:pPr>
            <w:r w:rsidRPr="003E5012">
              <w:t>3.2</w:t>
            </w:r>
          </w:p>
        </w:tc>
        <w:tc>
          <w:tcPr>
            <w:tcW w:w="8228" w:type="dxa"/>
            <w:shd w:val="clear" w:color="auto" w:fill="auto"/>
            <w:vAlign w:val="center"/>
          </w:tcPr>
          <w:p w14:paraId="79A3B8D3" w14:textId="77777777" w:rsidR="00E0754E" w:rsidRDefault="00E0754E" w:rsidP="00E0754E">
            <w:pPr>
              <w:spacing w:after="0"/>
            </w:pPr>
            <w:r w:rsidRPr="003E5012">
              <w:t>Each area shall be reviewed and the findings compared to the licensing requirements as well as to current safety standards and practices.</w:t>
            </w:r>
            <w:r w:rsidR="00D951C6">
              <w:t xml:space="preserve"> </w:t>
            </w:r>
            <w:r>
              <w:t>The safety significance of all findings shall be evaluated using an appropriate approach. A global assessment shall consider all findings (positive and negative) and their cumulative effect on safety, and shall identify what safety improvements are reasonably practicable.</w:t>
            </w:r>
          </w:p>
        </w:tc>
      </w:tr>
      <w:tr w:rsidR="00E0754E" w:rsidRPr="00A97CE6" w14:paraId="79A3B8D6" w14:textId="77777777" w:rsidTr="00E0754E">
        <w:trPr>
          <w:cantSplit/>
        </w:trPr>
        <w:tc>
          <w:tcPr>
            <w:tcW w:w="9129" w:type="dxa"/>
            <w:gridSpan w:val="2"/>
            <w:shd w:val="clear" w:color="auto" w:fill="auto"/>
          </w:tcPr>
          <w:p w14:paraId="79A3B8D5" w14:textId="77777777" w:rsidR="00E0754E" w:rsidRPr="00A97CE6" w:rsidRDefault="00E0754E" w:rsidP="006633C1">
            <w:pPr>
              <w:spacing w:after="0"/>
              <w:jc w:val="center"/>
              <w:rPr>
                <w:b/>
              </w:rPr>
            </w:pPr>
            <w:r w:rsidRPr="00A97CE6">
              <w:rPr>
                <w:b/>
              </w:rPr>
              <w:t>Waste and Spent Fuel Storage SRLs – March 2010</w:t>
            </w:r>
          </w:p>
        </w:tc>
      </w:tr>
      <w:tr w:rsidR="00E0754E" w14:paraId="79A3B8D9" w14:textId="77777777" w:rsidTr="00E0754E">
        <w:trPr>
          <w:cantSplit/>
        </w:trPr>
        <w:tc>
          <w:tcPr>
            <w:tcW w:w="901" w:type="dxa"/>
            <w:shd w:val="clear" w:color="auto" w:fill="auto"/>
          </w:tcPr>
          <w:p w14:paraId="79A3B8D7" w14:textId="77777777" w:rsidR="00E0754E" w:rsidRDefault="00E0754E" w:rsidP="006633C1">
            <w:pPr>
              <w:spacing w:after="0"/>
            </w:pPr>
            <w:r w:rsidRPr="003E5012">
              <w:t>S-59</w:t>
            </w:r>
          </w:p>
        </w:tc>
        <w:tc>
          <w:tcPr>
            <w:tcW w:w="8228" w:type="dxa"/>
            <w:shd w:val="clear" w:color="auto" w:fill="auto"/>
            <w:vAlign w:val="center"/>
          </w:tcPr>
          <w:p w14:paraId="79A3B8D8" w14:textId="77777777" w:rsidR="00E0754E" w:rsidRDefault="00E0754E" w:rsidP="006633C1">
            <w:pPr>
              <w:spacing w:after="0"/>
            </w:pPr>
            <w:r>
              <w:t xml:space="preserve">The licensee shall carry out at regular intervals a review of the safety of the facility (PSR). The review shall be made periodically, at a frequency which shall be established by the national regulatory framework (e. g. every ten years). </w:t>
            </w:r>
          </w:p>
        </w:tc>
      </w:tr>
      <w:tr w:rsidR="00E0754E" w14:paraId="79A3B8DC" w14:textId="77777777" w:rsidTr="00E0754E">
        <w:trPr>
          <w:cantSplit/>
        </w:trPr>
        <w:tc>
          <w:tcPr>
            <w:tcW w:w="901" w:type="dxa"/>
            <w:shd w:val="clear" w:color="auto" w:fill="auto"/>
          </w:tcPr>
          <w:p w14:paraId="79A3B8DA" w14:textId="77777777" w:rsidR="00E0754E" w:rsidRDefault="00E0754E" w:rsidP="006633C1">
            <w:pPr>
              <w:spacing w:after="0"/>
            </w:pPr>
            <w:r w:rsidRPr="003E5012">
              <w:t>S-60</w:t>
            </w:r>
          </w:p>
        </w:tc>
        <w:tc>
          <w:tcPr>
            <w:tcW w:w="8228" w:type="dxa"/>
            <w:shd w:val="clear" w:color="auto" w:fill="auto"/>
            <w:vAlign w:val="center"/>
          </w:tcPr>
          <w:p w14:paraId="79A3B8DB" w14:textId="77777777" w:rsidR="00E0754E" w:rsidRDefault="00E0754E" w:rsidP="006633C1">
            <w:pPr>
              <w:spacing w:after="0"/>
            </w:pPr>
            <w:r>
              <w:t>The scope and methodology of the PSR shall be clearly defined and justified. The PSR shall confirm the compliance with the licensing requirements. It shall also identify and evaluate the safety significance of differences from applicable current safety standards and good practices and take into account the cumulative effects of changes to procedures, modifications to the facility and the operating organization, technical developments, operational experience accumulated and ageing of SSCs. It shall include consideration of the acceptance criteria for waste and spent fuel packages and unpackaged spent fuel elements and any deviation from these criteria during storage.</w:t>
            </w:r>
          </w:p>
        </w:tc>
      </w:tr>
      <w:tr w:rsidR="00E0754E" w14:paraId="79A3B8DF" w14:textId="77777777" w:rsidTr="00E0754E">
        <w:trPr>
          <w:cantSplit/>
        </w:trPr>
        <w:tc>
          <w:tcPr>
            <w:tcW w:w="901" w:type="dxa"/>
            <w:shd w:val="clear" w:color="auto" w:fill="auto"/>
          </w:tcPr>
          <w:p w14:paraId="79A3B8DD" w14:textId="77777777" w:rsidR="00E0754E" w:rsidRDefault="00E0754E" w:rsidP="006633C1">
            <w:pPr>
              <w:spacing w:after="0"/>
            </w:pPr>
            <w:r w:rsidRPr="003E5012">
              <w:t>S-61</w:t>
            </w:r>
          </w:p>
        </w:tc>
        <w:tc>
          <w:tcPr>
            <w:tcW w:w="8228" w:type="dxa"/>
            <w:shd w:val="clear" w:color="auto" w:fill="auto"/>
            <w:vAlign w:val="center"/>
          </w:tcPr>
          <w:p w14:paraId="79A3B8DE" w14:textId="77777777" w:rsidR="00E0754E" w:rsidRDefault="00E0754E" w:rsidP="006633C1">
            <w:pPr>
              <w:spacing w:after="0"/>
            </w:pPr>
            <w:r>
              <w:t>The results of the PSR shall be documented. All reasonably practicable improvement measures shall be subject to an action plan.</w:t>
            </w:r>
          </w:p>
        </w:tc>
      </w:tr>
      <w:tr w:rsidR="00E0754E" w:rsidRPr="00A97CE6" w14:paraId="79A3B8E1" w14:textId="77777777" w:rsidTr="00E0754E">
        <w:trPr>
          <w:cantSplit/>
        </w:trPr>
        <w:tc>
          <w:tcPr>
            <w:tcW w:w="9129" w:type="dxa"/>
            <w:gridSpan w:val="2"/>
            <w:shd w:val="clear" w:color="auto" w:fill="auto"/>
          </w:tcPr>
          <w:p w14:paraId="79A3B8E0" w14:textId="77777777" w:rsidR="00E0754E" w:rsidRPr="00A97CE6" w:rsidRDefault="00E0754E" w:rsidP="006633C1">
            <w:pPr>
              <w:spacing w:after="0"/>
              <w:jc w:val="center"/>
              <w:rPr>
                <w:b/>
              </w:rPr>
            </w:pPr>
            <w:r w:rsidRPr="00A97CE6">
              <w:rPr>
                <w:b/>
              </w:rPr>
              <w:t>Decommissioning SRLs</w:t>
            </w:r>
          </w:p>
        </w:tc>
      </w:tr>
      <w:tr w:rsidR="00E0754E" w14:paraId="79A3B8E4" w14:textId="77777777" w:rsidTr="00E0754E">
        <w:trPr>
          <w:cantSplit/>
        </w:trPr>
        <w:tc>
          <w:tcPr>
            <w:tcW w:w="901" w:type="dxa"/>
            <w:shd w:val="clear" w:color="auto" w:fill="auto"/>
          </w:tcPr>
          <w:p w14:paraId="79A3B8E2" w14:textId="77777777" w:rsidR="00E0754E" w:rsidRDefault="00E0754E" w:rsidP="006633C1">
            <w:pPr>
              <w:spacing w:after="0"/>
            </w:pPr>
            <w:r w:rsidRPr="003E5012">
              <w:t>D71</w:t>
            </w:r>
          </w:p>
        </w:tc>
        <w:tc>
          <w:tcPr>
            <w:tcW w:w="8228" w:type="dxa"/>
            <w:shd w:val="clear" w:color="auto" w:fill="auto"/>
            <w:vAlign w:val="center"/>
          </w:tcPr>
          <w:p w14:paraId="79A3B8E3" w14:textId="77777777" w:rsidR="00E0754E" w:rsidRDefault="00E0754E" w:rsidP="006633C1">
            <w:pPr>
              <w:spacing w:after="0"/>
            </w:pPr>
            <w:r w:rsidRPr="003E5012">
              <w:t>The licensee shall carry out at regular intervals a review of the safety of the facility (a periodic safety review).</w:t>
            </w:r>
          </w:p>
        </w:tc>
      </w:tr>
      <w:tr w:rsidR="00E0754E" w14:paraId="79A3B8E8" w14:textId="77777777" w:rsidTr="00E0754E">
        <w:trPr>
          <w:cantSplit/>
        </w:trPr>
        <w:tc>
          <w:tcPr>
            <w:tcW w:w="901" w:type="dxa"/>
            <w:shd w:val="clear" w:color="auto" w:fill="auto"/>
          </w:tcPr>
          <w:p w14:paraId="79A3B8E5" w14:textId="77777777" w:rsidR="00E0754E" w:rsidRDefault="00E0754E" w:rsidP="006633C1">
            <w:pPr>
              <w:spacing w:after="0"/>
            </w:pPr>
            <w:r w:rsidRPr="003E5012">
              <w:t>D72</w:t>
            </w:r>
          </w:p>
        </w:tc>
        <w:tc>
          <w:tcPr>
            <w:tcW w:w="8228" w:type="dxa"/>
            <w:shd w:val="clear" w:color="auto" w:fill="auto"/>
            <w:vAlign w:val="center"/>
          </w:tcPr>
          <w:p w14:paraId="79A3B8E6" w14:textId="77777777" w:rsidR="00E0754E" w:rsidRPr="003E5012" w:rsidRDefault="00E0754E" w:rsidP="006633C1">
            <w:pPr>
              <w:spacing w:after="0"/>
            </w:pPr>
            <w:r w:rsidRPr="003E5012">
              <w:t>The review shall confirm the compliance of the decommissioning activities and states with its licensing requirements and any deviations shall be resolved. It shall also identify and evaluate the safety significance of deviations from applicable current safety standards and best practices and take into account the cumulative effects of changes to procedures, modifications to the facility and the decommissioning</w:t>
            </w:r>
          </w:p>
          <w:p w14:paraId="79A3B8E7" w14:textId="77777777" w:rsidR="00E0754E" w:rsidRDefault="00E0754E" w:rsidP="006633C1">
            <w:pPr>
              <w:spacing w:after="0"/>
            </w:pPr>
            <w:r w:rsidRPr="003E5012">
              <w:t>organisation, technical developments, decommissioning experience accumulated and ageing of SSCs.</w:t>
            </w:r>
          </w:p>
        </w:tc>
      </w:tr>
      <w:tr w:rsidR="00E0754E" w14:paraId="79A3B8EB" w14:textId="77777777" w:rsidTr="00E0754E">
        <w:trPr>
          <w:cantSplit/>
        </w:trPr>
        <w:tc>
          <w:tcPr>
            <w:tcW w:w="901" w:type="dxa"/>
            <w:shd w:val="clear" w:color="auto" w:fill="auto"/>
          </w:tcPr>
          <w:p w14:paraId="79A3B8E9" w14:textId="77777777" w:rsidR="00E0754E" w:rsidRDefault="00E0754E" w:rsidP="006633C1">
            <w:pPr>
              <w:spacing w:after="0"/>
            </w:pPr>
            <w:r w:rsidRPr="003E5012">
              <w:t>D73</w:t>
            </w:r>
          </w:p>
        </w:tc>
        <w:tc>
          <w:tcPr>
            <w:tcW w:w="8228" w:type="dxa"/>
            <w:shd w:val="clear" w:color="auto" w:fill="auto"/>
            <w:vAlign w:val="center"/>
          </w:tcPr>
          <w:p w14:paraId="79A3B8EA" w14:textId="77777777" w:rsidR="00E0754E" w:rsidRDefault="00E0754E" w:rsidP="006633C1">
            <w:pPr>
              <w:spacing w:after="0"/>
            </w:pPr>
            <w:r w:rsidRPr="003E5012">
              <w:t>All reasonably practicable improvement measures shall be taken by the licensee as a result of the review.</w:t>
            </w:r>
          </w:p>
        </w:tc>
      </w:tr>
      <w:tr w:rsidR="00E0754E" w14:paraId="79A3B8EE" w14:textId="77777777" w:rsidTr="00E0754E">
        <w:trPr>
          <w:cantSplit/>
        </w:trPr>
        <w:tc>
          <w:tcPr>
            <w:tcW w:w="901" w:type="dxa"/>
            <w:shd w:val="clear" w:color="auto" w:fill="auto"/>
          </w:tcPr>
          <w:p w14:paraId="79A3B8EC" w14:textId="77777777" w:rsidR="00E0754E" w:rsidRDefault="00E0754E" w:rsidP="006633C1">
            <w:pPr>
              <w:spacing w:after="0"/>
            </w:pPr>
            <w:r w:rsidRPr="003E5012">
              <w:t>D74</w:t>
            </w:r>
          </w:p>
        </w:tc>
        <w:tc>
          <w:tcPr>
            <w:tcW w:w="8228" w:type="dxa"/>
            <w:shd w:val="clear" w:color="auto" w:fill="auto"/>
            <w:vAlign w:val="center"/>
          </w:tcPr>
          <w:p w14:paraId="79A3B8ED" w14:textId="77777777" w:rsidR="00E0754E" w:rsidRDefault="00E0754E" w:rsidP="006633C1">
            <w:pPr>
              <w:spacing w:after="0"/>
            </w:pPr>
            <w:r w:rsidRPr="003E5012">
              <w:t>A periodic safety review shall be carried out at least every ten years. If the latest consolidated case has been produced in accordance with the general principles of periodic safety review, then the ten year period starts from the date of that case.</w:t>
            </w:r>
          </w:p>
        </w:tc>
      </w:tr>
      <w:tr w:rsidR="00E0754E" w14:paraId="79A3B901" w14:textId="77777777" w:rsidTr="00E0754E">
        <w:trPr>
          <w:cantSplit/>
        </w:trPr>
        <w:tc>
          <w:tcPr>
            <w:tcW w:w="901" w:type="dxa"/>
            <w:shd w:val="clear" w:color="auto" w:fill="auto"/>
          </w:tcPr>
          <w:p w14:paraId="79A3B8EF" w14:textId="77777777" w:rsidR="00E0754E" w:rsidRDefault="00E0754E" w:rsidP="006633C1">
            <w:pPr>
              <w:spacing w:after="0"/>
            </w:pPr>
            <w:r w:rsidRPr="003E5012">
              <w:t>D75</w:t>
            </w:r>
          </w:p>
        </w:tc>
        <w:tc>
          <w:tcPr>
            <w:tcW w:w="8228" w:type="dxa"/>
            <w:shd w:val="clear" w:color="auto" w:fill="auto"/>
            <w:vAlign w:val="center"/>
          </w:tcPr>
          <w:p w14:paraId="79A3B8F0" w14:textId="77777777" w:rsidR="00E0754E" w:rsidRPr="003E5012" w:rsidRDefault="00E0754E" w:rsidP="006633C1">
            <w:pPr>
              <w:spacing w:after="0"/>
            </w:pPr>
            <w:r w:rsidRPr="003E5012">
              <w:t>The scope and methodology of the review shall be clearly defined and justified. As a minimum the following areas shall be covered by the review:</w:t>
            </w:r>
          </w:p>
          <w:p w14:paraId="79A3B8F1" w14:textId="77777777" w:rsidR="00E0754E" w:rsidRPr="003E5012" w:rsidRDefault="00E0754E" w:rsidP="00915527">
            <w:pPr>
              <w:numPr>
                <w:ilvl w:val="0"/>
                <w:numId w:val="47"/>
              </w:numPr>
              <w:spacing w:after="0"/>
            </w:pPr>
            <w:r w:rsidRPr="003E5012">
              <w:t>assessment of the monitoring and surveillance data, and of the operating experience to determine the actual condition of systems, structures and components</w:t>
            </w:r>
          </w:p>
          <w:p w14:paraId="79A3B8F2" w14:textId="77777777" w:rsidR="00E0754E" w:rsidRPr="003E5012" w:rsidRDefault="00E0754E" w:rsidP="00915527">
            <w:pPr>
              <w:numPr>
                <w:ilvl w:val="0"/>
                <w:numId w:val="47"/>
              </w:numPr>
              <w:spacing w:after="0"/>
            </w:pPr>
            <w:r w:rsidRPr="003E5012">
              <w:t>updated radioactive inventory</w:t>
            </w:r>
          </w:p>
          <w:p w14:paraId="79A3B8F3" w14:textId="77777777" w:rsidR="00E0754E" w:rsidRPr="003E5012" w:rsidRDefault="00E0754E" w:rsidP="00915527">
            <w:pPr>
              <w:numPr>
                <w:ilvl w:val="0"/>
                <w:numId w:val="47"/>
              </w:numPr>
              <w:spacing w:after="0"/>
            </w:pPr>
            <w:r w:rsidRPr="003E5012">
              <w:t>current safety analyses and their use</w:t>
            </w:r>
          </w:p>
          <w:p w14:paraId="79A3B8F4" w14:textId="77777777" w:rsidR="00E0754E" w:rsidRPr="003E5012" w:rsidRDefault="00E0754E" w:rsidP="00915527">
            <w:pPr>
              <w:numPr>
                <w:ilvl w:val="0"/>
                <w:numId w:val="47"/>
              </w:numPr>
              <w:spacing w:after="0"/>
            </w:pPr>
            <w:r w:rsidRPr="003E5012">
              <w:t>organisational arrangements</w:t>
            </w:r>
          </w:p>
          <w:p w14:paraId="79A3B8F5" w14:textId="77777777" w:rsidR="00E0754E" w:rsidRPr="003E5012" w:rsidRDefault="00E0754E" w:rsidP="00915527">
            <w:pPr>
              <w:numPr>
                <w:ilvl w:val="0"/>
                <w:numId w:val="47"/>
              </w:numPr>
              <w:spacing w:after="0"/>
            </w:pPr>
            <w:r w:rsidRPr="003E5012">
              <w:t>radiation protection arrangements</w:t>
            </w:r>
          </w:p>
          <w:p w14:paraId="79A3B8F6" w14:textId="77777777" w:rsidR="00E0754E" w:rsidRPr="003E5012" w:rsidRDefault="00E0754E" w:rsidP="00915527">
            <w:pPr>
              <w:numPr>
                <w:ilvl w:val="0"/>
                <w:numId w:val="47"/>
              </w:numPr>
              <w:spacing w:after="0"/>
            </w:pPr>
            <w:r w:rsidRPr="003E5012">
              <w:t>safety performance and the effectiveness of safety and quality management</w:t>
            </w:r>
          </w:p>
          <w:p w14:paraId="79A3B8F7" w14:textId="77777777" w:rsidR="00E0754E" w:rsidRPr="003E5012" w:rsidRDefault="00E0754E" w:rsidP="00915527">
            <w:pPr>
              <w:numPr>
                <w:ilvl w:val="0"/>
                <w:numId w:val="47"/>
              </w:numPr>
              <w:spacing w:after="0"/>
            </w:pPr>
            <w:r w:rsidRPr="003E5012">
              <w:t>staffing and qualification of staff</w:t>
            </w:r>
          </w:p>
          <w:p w14:paraId="79A3B8F8" w14:textId="77777777" w:rsidR="00E0754E" w:rsidRPr="003E5012" w:rsidRDefault="00E0754E" w:rsidP="00915527">
            <w:pPr>
              <w:numPr>
                <w:ilvl w:val="0"/>
                <w:numId w:val="47"/>
              </w:numPr>
              <w:spacing w:after="0"/>
            </w:pPr>
            <w:r w:rsidRPr="003E5012">
              <w:t>emergency preparedness</w:t>
            </w:r>
          </w:p>
          <w:p w14:paraId="79A3B8F9" w14:textId="77777777" w:rsidR="00E0754E" w:rsidRPr="003E5012" w:rsidRDefault="00E0754E" w:rsidP="00915527">
            <w:pPr>
              <w:numPr>
                <w:ilvl w:val="0"/>
                <w:numId w:val="47"/>
              </w:numPr>
              <w:spacing w:after="0"/>
            </w:pPr>
            <w:r w:rsidRPr="003E5012">
              <w:t>radiological impact on the public and on the environment</w:t>
            </w:r>
          </w:p>
          <w:p w14:paraId="79A3B8FA" w14:textId="77777777" w:rsidR="00E0754E" w:rsidRPr="003E5012" w:rsidRDefault="00E0754E" w:rsidP="00915527">
            <w:pPr>
              <w:numPr>
                <w:ilvl w:val="0"/>
                <w:numId w:val="47"/>
              </w:numPr>
              <w:spacing w:after="0"/>
            </w:pPr>
            <w:r w:rsidRPr="003E5012">
              <w:t>waste storage conditions</w:t>
            </w:r>
          </w:p>
          <w:p w14:paraId="79A3B8FB" w14:textId="77777777" w:rsidR="00E0754E" w:rsidRPr="003E5012" w:rsidRDefault="00E0754E" w:rsidP="00915527">
            <w:pPr>
              <w:numPr>
                <w:ilvl w:val="0"/>
                <w:numId w:val="47"/>
              </w:numPr>
              <w:spacing w:after="0"/>
            </w:pPr>
            <w:r w:rsidRPr="003E5012">
              <w:t>ageing of the safety significant structures, systems and components</w:t>
            </w:r>
          </w:p>
          <w:p w14:paraId="79A3B8FC" w14:textId="77777777" w:rsidR="00E0754E" w:rsidRPr="003E5012" w:rsidRDefault="00E0754E" w:rsidP="00915527">
            <w:pPr>
              <w:numPr>
                <w:ilvl w:val="0"/>
                <w:numId w:val="47"/>
              </w:numPr>
              <w:spacing w:after="0"/>
            </w:pPr>
            <w:r w:rsidRPr="003E5012">
              <w:t>advances in science and technology</w:t>
            </w:r>
          </w:p>
          <w:p w14:paraId="79A3B8FD" w14:textId="77777777" w:rsidR="00E0754E" w:rsidRPr="003E5012" w:rsidRDefault="00E0754E" w:rsidP="00915527">
            <w:pPr>
              <w:numPr>
                <w:ilvl w:val="0"/>
                <w:numId w:val="47"/>
              </w:numPr>
              <w:spacing w:after="0"/>
            </w:pPr>
            <w:r w:rsidRPr="003E5012">
              <w:t>changes in the environment of the facility, including external natural and man-made hazards</w:t>
            </w:r>
          </w:p>
          <w:p w14:paraId="79A3B8FE" w14:textId="77777777" w:rsidR="00E0754E" w:rsidRPr="003E5012" w:rsidRDefault="00E0754E" w:rsidP="00915527">
            <w:pPr>
              <w:numPr>
                <w:ilvl w:val="0"/>
                <w:numId w:val="47"/>
              </w:numPr>
              <w:spacing w:after="0"/>
            </w:pPr>
            <w:r w:rsidRPr="003E5012">
              <w:t>changes in regulations</w:t>
            </w:r>
          </w:p>
          <w:p w14:paraId="79A3B8FF" w14:textId="77777777" w:rsidR="00E0754E" w:rsidRPr="003E5012" w:rsidRDefault="00E0754E" w:rsidP="00915527">
            <w:pPr>
              <w:numPr>
                <w:ilvl w:val="0"/>
                <w:numId w:val="47"/>
              </w:numPr>
              <w:spacing w:after="0"/>
            </w:pPr>
            <w:r w:rsidRPr="003E5012">
              <w:t>feedback from past operations</w:t>
            </w:r>
          </w:p>
          <w:p w14:paraId="79A3B900" w14:textId="77777777" w:rsidR="00E0754E" w:rsidRDefault="00E0754E" w:rsidP="00915527">
            <w:pPr>
              <w:numPr>
                <w:ilvl w:val="0"/>
                <w:numId w:val="47"/>
              </w:numPr>
              <w:spacing w:after="0"/>
            </w:pPr>
            <w:r w:rsidRPr="003E5012">
              <w:t>feedback from similar facilities</w:t>
            </w:r>
          </w:p>
        </w:tc>
      </w:tr>
    </w:tbl>
    <w:p w14:paraId="79A3B902" w14:textId="77777777" w:rsidR="0063719B" w:rsidRDefault="0063719B" w:rsidP="0063719B">
      <w:pPr>
        <w:pStyle w:val="ONRNormal"/>
      </w:pPr>
    </w:p>
    <w:p w14:paraId="79A3B903" w14:textId="77777777" w:rsidR="00C803C6" w:rsidRDefault="00C803C6">
      <w:pPr>
        <w:spacing w:after="0"/>
        <w:rPr>
          <w:b/>
          <w:caps/>
          <w:noProof/>
        </w:rPr>
      </w:pPr>
      <w:bookmarkStart w:id="67" w:name="Table1"/>
      <w:bookmarkStart w:id="68" w:name="Table2"/>
      <w:r>
        <w:rPr>
          <w:b/>
        </w:rPr>
        <w:br w:type="page"/>
      </w:r>
    </w:p>
    <w:p w14:paraId="79A3B904" w14:textId="77777777" w:rsidR="0063719B" w:rsidRPr="0084786D" w:rsidRDefault="0063719B" w:rsidP="0084786D">
      <w:pPr>
        <w:pStyle w:val="NumberedHeading"/>
        <w:pageBreakBefore/>
        <w:numPr>
          <w:ilvl w:val="0"/>
          <w:numId w:val="0"/>
        </w:numPr>
      </w:pPr>
      <w:bookmarkStart w:id="69" w:name="_Toc43460824"/>
      <w:r w:rsidRPr="0084786D">
        <w:t xml:space="preserve">Table </w:t>
      </w:r>
      <w:bookmarkEnd w:id="67"/>
      <w:r w:rsidRPr="0084786D">
        <w:t>2: Indicative Programme for a PSR</w:t>
      </w:r>
      <w:bookmarkEnd w:id="69"/>
      <w:r w:rsidRPr="0084786D">
        <w:t xml:space="preserve"> </w:t>
      </w:r>
      <w:bookmarkEnd w:id="68"/>
    </w:p>
    <w:p w14:paraId="79A3B905" w14:textId="77777777" w:rsidR="00BB7AE4" w:rsidRPr="00BB7AE4" w:rsidRDefault="00BB7AE4" w:rsidP="00BB7AE4">
      <w:pPr>
        <w:pStyle w:val="Title"/>
        <w:jc w:val="left"/>
        <w:rPr>
          <w:rFonts w:ascii="Arial" w:hAnsi="Arial" w:cs="Arial"/>
          <w:sz w:val="22"/>
          <w:szCs w:val="22"/>
        </w:rPr>
      </w:pPr>
    </w:p>
    <w:p w14:paraId="79A3B906" w14:textId="77777777" w:rsidR="0063719B" w:rsidRDefault="0063719B" w:rsidP="0063719B">
      <w:pPr>
        <w:pStyle w:val="ONRNormal"/>
      </w:pPr>
      <w:r>
        <w:t>For a multi-plant site this programme should be followed for each PSR separately.</w:t>
      </w:r>
    </w:p>
    <w:tbl>
      <w:tblPr>
        <w:tblStyle w:val="TableGrid"/>
        <w:tblW w:w="5000" w:type="pct"/>
        <w:tblLook w:val="01E0" w:firstRow="1" w:lastRow="1" w:firstColumn="1" w:lastColumn="1" w:noHBand="0" w:noVBand="0"/>
      </w:tblPr>
      <w:tblGrid>
        <w:gridCol w:w="2268"/>
        <w:gridCol w:w="6916"/>
      </w:tblGrid>
      <w:tr w:rsidR="0063719B" w:rsidRPr="00BE330B" w14:paraId="79A3B909" w14:textId="77777777" w:rsidTr="00C929D7">
        <w:trPr>
          <w:trHeight w:val="567"/>
          <w:tblHeader/>
        </w:trPr>
        <w:tc>
          <w:tcPr>
            <w:tcW w:w="2268" w:type="dxa"/>
            <w:shd w:val="clear" w:color="auto" w:fill="auto"/>
            <w:vAlign w:val="center"/>
          </w:tcPr>
          <w:p w14:paraId="79A3B907" w14:textId="77777777" w:rsidR="0063719B" w:rsidRPr="00BE330B" w:rsidRDefault="0063719B" w:rsidP="006633C1">
            <w:pPr>
              <w:spacing w:after="0"/>
              <w:jc w:val="center"/>
              <w:rPr>
                <w:b/>
                <w:sz w:val="20"/>
              </w:rPr>
            </w:pPr>
            <w:r w:rsidRPr="00BE330B">
              <w:rPr>
                <w:b/>
                <w:sz w:val="20"/>
              </w:rPr>
              <w:t>Point in time*</w:t>
            </w:r>
          </w:p>
        </w:tc>
        <w:tc>
          <w:tcPr>
            <w:tcW w:w="0" w:type="auto"/>
            <w:shd w:val="clear" w:color="auto" w:fill="auto"/>
            <w:vAlign w:val="center"/>
          </w:tcPr>
          <w:p w14:paraId="79A3B908" w14:textId="77777777" w:rsidR="0063719B" w:rsidRPr="00BE330B" w:rsidRDefault="0063719B" w:rsidP="006633C1">
            <w:pPr>
              <w:spacing w:after="0"/>
              <w:jc w:val="center"/>
              <w:rPr>
                <w:b/>
                <w:sz w:val="20"/>
              </w:rPr>
            </w:pPr>
            <w:r w:rsidRPr="00BE330B">
              <w:rPr>
                <w:b/>
                <w:sz w:val="20"/>
              </w:rPr>
              <w:t>Activities expected to be done by the relevant point in time</w:t>
            </w:r>
          </w:p>
        </w:tc>
      </w:tr>
      <w:tr w:rsidR="0063719B" w:rsidRPr="00BE330B" w14:paraId="79A3B90D" w14:textId="77777777" w:rsidTr="00C929D7">
        <w:tc>
          <w:tcPr>
            <w:tcW w:w="2268" w:type="dxa"/>
            <w:shd w:val="clear" w:color="auto" w:fill="auto"/>
          </w:tcPr>
          <w:p w14:paraId="79A3B90A" w14:textId="77777777" w:rsidR="0063719B" w:rsidRPr="00C71836" w:rsidRDefault="0063719B" w:rsidP="006633C1">
            <w:pPr>
              <w:spacing w:after="0"/>
              <w:rPr>
                <w:b/>
                <w:sz w:val="20"/>
              </w:rPr>
            </w:pPr>
            <w:r w:rsidRPr="00C71836">
              <w:rPr>
                <w:b/>
                <w:sz w:val="20"/>
              </w:rPr>
              <w:t>SD - 2 years</w:t>
            </w:r>
          </w:p>
        </w:tc>
        <w:tc>
          <w:tcPr>
            <w:tcW w:w="0" w:type="auto"/>
            <w:shd w:val="clear" w:color="auto" w:fill="auto"/>
          </w:tcPr>
          <w:p w14:paraId="79A3B90B" w14:textId="77777777" w:rsidR="0063719B" w:rsidRPr="00BE330B" w:rsidRDefault="0063719B" w:rsidP="0063719B">
            <w:pPr>
              <w:numPr>
                <w:ilvl w:val="0"/>
                <w:numId w:val="38"/>
              </w:numPr>
              <w:spacing w:after="60"/>
              <w:rPr>
                <w:sz w:val="20"/>
              </w:rPr>
            </w:pPr>
            <w:r w:rsidRPr="00BE330B">
              <w:rPr>
                <w:sz w:val="20"/>
              </w:rPr>
              <w:t>Licensee has completed the PSR plan and provides ONR with a timetable of activities.</w:t>
            </w:r>
          </w:p>
          <w:p w14:paraId="79A3B90C" w14:textId="77777777" w:rsidR="0063719B" w:rsidRPr="00BE330B" w:rsidRDefault="0063719B" w:rsidP="0063719B">
            <w:pPr>
              <w:numPr>
                <w:ilvl w:val="0"/>
                <w:numId w:val="38"/>
              </w:numPr>
              <w:spacing w:after="60"/>
              <w:rPr>
                <w:sz w:val="20"/>
              </w:rPr>
            </w:pPr>
            <w:r w:rsidRPr="00BE330B">
              <w:rPr>
                <w:sz w:val="20"/>
              </w:rPr>
              <w:t xml:space="preserve">ONR and licensee </w:t>
            </w:r>
            <w:r>
              <w:rPr>
                <w:sz w:val="20"/>
              </w:rPr>
              <w:t>discuss</w:t>
            </w:r>
            <w:r w:rsidRPr="00BE330B">
              <w:rPr>
                <w:sz w:val="20"/>
              </w:rPr>
              <w:t xml:space="preserve"> scope of work</w:t>
            </w:r>
            <w:r>
              <w:rPr>
                <w:sz w:val="20"/>
              </w:rPr>
              <w:t xml:space="preserve"> and ONR’s expectations</w:t>
            </w:r>
            <w:r w:rsidRPr="00BE330B">
              <w:rPr>
                <w:sz w:val="20"/>
              </w:rPr>
              <w:t>.</w:t>
            </w:r>
          </w:p>
        </w:tc>
      </w:tr>
      <w:tr w:rsidR="0063719B" w:rsidRPr="00BE330B" w14:paraId="79A3B911" w14:textId="77777777" w:rsidTr="00C929D7">
        <w:tc>
          <w:tcPr>
            <w:tcW w:w="2268" w:type="dxa"/>
            <w:shd w:val="clear" w:color="auto" w:fill="auto"/>
          </w:tcPr>
          <w:p w14:paraId="79A3B90E" w14:textId="77777777" w:rsidR="0063719B" w:rsidRPr="00C71836" w:rsidRDefault="0063719B" w:rsidP="006633C1">
            <w:pPr>
              <w:spacing w:after="0"/>
              <w:rPr>
                <w:b/>
                <w:sz w:val="20"/>
              </w:rPr>
            </w:pPr>
            <w:r w:rsidRPr="00C71836">
              <w:rPr>
                <w:b/>
                <w:sz w:val="20"/>
              </w:rPr>
              <w:t>SD - 1 years</w:t>
            </w:r>
          </w:p>
        </w:tc>
        <w:tc>
          <w:tcPr>
            <w:tcW w:w="0" w:type="auto"/>
            <w:shd w:val="clear" w:color="auto" w:fill="auto"/>
          </w:tcPr>
          <w:p w14:paraId="79A3B90F" w14:textId="77777777" w:rsidR="0063719B" w:rsidRPr="00BE330B" w:rsidRDefault="0063719B" w:rsidP="0063719B">
            <w:pPr>
              <w:numPr>
                <w:ilvl w:val="0"/>
                <w:numId w:val="38"/>
              </w:numPr>
              <w:spacing w:after="60"/>
              <w:rPr>
                <w:sz w:val="20"/>
              </w:rPr>
            </w:pPr>
            <w:r w:rsidRPr="00BE330B">
              <w:rPr>
                <w:sz w:val="20"/>
              </w:rPr>
              <w:t>Licensee has identified significant areas for improvement and/or analysis, and demonstrates that associated work has commenced. ONR advised of proposals.</w:t>
            </w:r>
          </w:p>
          <w:p w14:paraId="79A3B910" w14:textId="77777777" w:rsidR="0063719B" w:rsidRPr="00BE330B" w:rsidRDefault="0063719B" w:rsidP="0063719B">
            <w:pPr>
              <w:numPr>
                <w:ilvl w:val="0"/>
                <w:numId w:val="38"/>
              </w:numPr>
              <w:spacing w:after="60"/>
              <w:rPr>
                <w:sz w:val="20"/>
              </w:rPr>
            </w:pPr>
            <w:r w:rsidRPr="00BE330B">
              <w:rPr>
                <w:sz w:val="20"/>
              </w:rPr>
              <w:t>ONR advises licensee of anticipated problems.</w:t>
            </w:r>
          </w:p>
        </w:tc>
      </w:tr>
      <w:tr w:rsidR="0063719B" w:rsidRPr="00BE330B" w14:paraId="79A3B914" w14:textId="77777777" w:rsidTr="00C929D7">
        <w:tc>
          <w:tcPr>
            <w:tcW w:w="2268" w:type="dxa"/>
            <w:shd w:val="clear" w:color="auto" w:fill="auto"/>
          </w:tcPr>
          <w:p w14:paraId="79A3B912" w14:textId="77777777" w:rsidR="0063719B" w:rsidRPr="00C71836" w:rsidRDefault="0063719B" w:rsidP="006633C1">
            <w:pPr>
              <w:spacing w:after="0"/>
              <w:rPr>
                <w:b/>
                <w:sz w:val="20"/>
              </w:rPr>
            </w:pPr>
            <w:r w:rsidRPr="00C71836">
              <w:rPr>
                <w:b/>
                <w:sz w:val="20"/>
              </w:rPr>
              <w:t>SD</w:t>
            </w:r>
          </w:p>
        </w:tc>
        <w:tc>
          <w:tcPr>
            <w:tcW w:w="0" w:type="auto"/>
            <w:shd w:val="clear" w:color="auto" w:fill="auto"/>
          </w:tcPr>
          <w:p w14:paraId="79A3B913" w14:textId="77777777" w:rsidR="0063719B" w:rsidRPr="00BE330B" w:rsidRDefault="0063719B" w:rsidP="0063719B">
            <w:pPr>
              <w:numPr>
                <w:ilvl w:val="0"/>
                <w:numId w:val="38"/>
              </w:numPr>
              <w:spacing w:after="60"/>
              <w:rPr>
                <w:sz w:val="20"/>
              </w:rPr>
            </w:pPr>
            <w:r w:rsidRPr="00BE330B">
              <w:rPr>
                <w:sz w:val="20"/>
              </w:rPr>
              <w:t>Licensee presents the PSR Submission, together with a progress report on improvements that are underway.</w:t>
            </w:r>
          </w:p>
        </w:tc>
      </w:tr>
      <w:tr w:rsidR="0063719B" w:rsidRPr="00BE330B" w14:paraId="79A3B917" w14:textId="77777777" w:rsidTr="00C929D7">
        <w:tc>
          <w:tcPr>
            <w:tcW w:w="2268" w:type="dxa"/>
            <w:shd w:val="clear" w:color="auto" w:fill="auto"/>
          </w:tcPr>
          <w:p w14:paraId="79A3B915" w14:textId="77777777" w:rsidR="0063719B" w:rsidRPr="00C71836" w:rsidRDefault="0063719B" w:rsidP="006633C1">
            <w:pPr>
              <w:spacing w:after="0"/>
              <w:rPr>
                <w:b/>
                <w:sz w:val="20"/>
              </w:rPr>
            </w:pPr>
            <w:r w:rsidRPr="00C71836">
              <w:rPr>
                <w:b/>
                <w:sz w:val="20"/>
              </w:rPr>
              <w:t>SD + 9 months</w:t>
            </w:r>
          </w:p>
        </w:tc>
        <w:tc>
          <w:tcPr>
            <w:tcW w:w="0" w:type="auto"/>
            <w:shd w:val="clear" w:color="auto" w:fill="auto"/>
          </w:tcPr>
          <w:p w14:paraId="79A3B916" w14:textId="77777777" w:rsidR="0063719B" w:rsidRPr="00BE330B" w:rsidRDefault="0063719B" w:rsidP="0063719B">
            <w:pPr>
              <w:numPr>
                <w:ilvl w:val="0"/>
                <w:numId w:val="38"/>
              </w:numPr>
              <w:spacing w:after="60"/>
              <w:rPr>
                <w:sz w:val="20"/>
              </w:rPr>
            </w:pPr>
            <w:r w:rsidRPr="00BE330B">
              <w:rPr>
                <w:sz w:val="20"/>
              </w:rPr>
              <w:t>ONR makes available to the licensee its findings on the PSR Submission.</w:t>
            </w:r>
          </w:p>
        </w:tc>
      </w:tr>
      <w:tr w:rsidR="0063719B" w:rsidRPr="00BE330B" w14:paraId="79A3B91E" w14:textId="77777777" w:rsidTr="00C929D7">
        <w:tc>
          <w:tcPr>
            <w:tcW w:w="2268" w:type="dxa"/>
            <w:shd w:val="clear" w:color="auto" w:fill="auto"/>
          </w:tcPr>
          <w:p w14:paraId="79A3B918" w14:textId="77777777" w:rsidR="0063719B" w:rsidRPr="00C71836" w:rsidRDefault="0063719B" w:rsidP="006633C1">
            <w:pPr>
              <w:spacing w:after="0"/>
              <w:rPr>
                <w:b/>
                <w:sz w:val="20"/>
              </w:rPr>
            </w:pPr>
            <w:r w:rsidRPr="00C71836">
              <w:rPr>
                <w:b/>
                <w:sz w:val="20"/>
              </w:rPr>
              <w:t>SD + 1 year</w:t>
            </w:r>
          </w:p>
        </w:tc>
        <w:tc>
          <w:tcPr>
            <w:tcW w:w="0" w:type="auto"/>
            <w:shd w:val="clear" w:color="auto" w:fill="auto"/>
          </w:tcPr>
          <w:p w14:paraId="79A3B919" w14:textId="77777777" w:rsidR="0063719B" w:rsidRPr="00BE330B" w:rsidRDefault="0063719B" w:rsidP="0063719B">
            <w:pPr>
              <w:numPr>
                <w:ilvl w:val="0"/>
                <w:numId w:val="38"/>
              </w:numPr>
              <w:spacing w:after="60"/>
              <w:rPr>
                <w:sz w:val="20"/>
              </w:rPr>
            </w:pPr>
            <w:r w:rsidRPr="00BE330B">
              <w:rPr>
                <w:sz w:val="20"/>
              </w:rPr>
              <w:t>The 'Decision Date'.</w:t>
            </w:r>
          </w:p>
          <w:p w14:paraId="79A3B91A" w14:textId="00D3661C" w:rsidR="0063719B" w:rsidRPr="00BE330B" w:rsidRDefault="0063719B" w:rsidP="0063719B">
            <w:pPr>
              <w:numPr>
                <w:ilvl w:val="0"/>
                <w:numId w:val="38"/>
              </w:numPr>
              <w:spacing w:after="60"/>
              <w:rPr>
                <w:sz w:val="20"/>
              </w:rPr>
            </w:pPr>
            <w:r w:rsidRPr="00BE330B">
              <w:rPr>
                <w:sz w:val="20"/>
              </w:rPr>
              <w:t>The latest date by which the licensee should complete the improvements it has identified in the PSR (refer to paragraph </w:t>
            </w:r>
            <w:r w:rsidR="00691357">
              <w:rPr>
                <w:sz w:val="20"/>
              </w:rPr>
              <w:fldChar w:fldCharType="begin"/>
            </w:r>
            <w:r w:rsidR="00691357">
              <w:rPr>
                <w:sz w:val="20"/>
              </w:rPr>
              <w:instrText xml:space="preserve"> REF _Ref317257348 \r \h </w:instrText>
            </w:r>
            <w:r w:rsidR="00691357">
              <w:rPr>
                <w:sz w:val="20"/>
              </w:rPr>
            </w:r>
            <w:r w:rsidR="00691357">
              <w:rPr>
                <w:sz w:val="20"/>
              </w:rPr>
              <w:fldChar w:fldCharType="separate"/>
            </w:r>
            <w:r w:rsidR="00274893">
              <w:rPr>
                <w:sz w:val="20"/>
              </w:rPr>
              <w:t>5.60</w:t>
            </w:r>
            <w:r w:rsidR="00691357">
              <w:rPr>
                <w:sz w:val="20"/>
              </w:rPr>
              <w:fldChar w:fldCharType="end"/>
            </w:r>
            <w:r>
              <w:rPr>
                <w:color w:val="0000FF"/>
                <w:sz w:val="20"/>
                <w:u w:val="single"/>
              </w:rPr>
              <w:fldChar w:fldCharType="begin"/>
            </w:r>
            <w:r>
              <w:rPr>
                <w:color w:val="0000FF"/>
                <w:sz w:val="20"/>
                <w:u w:val="single"/>
              </w:rPr>
              <w:instrText xml:space="preserve">  </w:instrText>
            </w:r>
            <w:r>
              <w:rPr>
                <w:color w:val="0000FF"/>
                <w:sz w:val="20"/>
                <w:u w:val="single"/>
              </w:rPr>
              <w:fldChar w:fldCharType="end"/>
            </w:r>
            <w:r w:rsidRPr="00BE330B">
              <w:rPr>
                <w:sz w:val="20"/>
              </w:rPr>
              <w:t>)</w:t>
            </w:r>
            <w:r>
              <w:rPr>
                <w:sz w:val="20"/>
              </w:rPr>
              <w:t>.</w:t>
            </w:r>
          </w:p>
          <w:p w14:paraId="79A3B91B" w14:textId="77777777" w:rsidR="0063719B" w:rsidRPr="00BE330B" w:rsidRDefault="0063719B" w:rsidP="0063719B">
            <w:pPr>
              <w:numPr>
                <w:ilvl w:val="0"/>
                <w:numId w:val="38"/>
              </w:numPr>
              <w:spacing w:after="60"/>
              <w:rPr>
                <w:sz w:val="20"/>
              </w:rPr>
            </w:pPr>
            <w:r w:rsidRPr="00BE330B">
              <w:rPr>
                <w:sz w:val="20"/>
              </w:rPr>
              <w:t>ONR should confirm its decision in writing to the licensee regarding future activities on the facility encompassed by the PSR.</w:t>
            </w:r>
          </w:p>
          <w:p w14:paraId="79A3B91C" w14:textId="77777777" w:rsidR="0063719B" w:rsidRPr="00BE330B" w:rsidRDefault="0063719B" w:rsidP="0063719B">
            <w:pPr>
              <w:numPr>
                <w:ilvl w:val="0"/>
                <w:numId w:val="38"/>
              </w:numPr>
              <w:spacing w:after="60"/>
              <w:rPr>
                <w:sz w:val="20"/>
              </w:rPr>
            </w:pPr>
            <w:r w:rsidRPr="00BE330B">
              <w:rPr>
                <w:sz w:val="20"/>
              </w:rPr>
              <w:t>Licensee confirms the programme for addressing ONR findings.</w:t>
            </w:r>
          </w:p>
          <w:p w14:paraId="79A3B91D" w14:textId="77777777" w:rsidR="0063719B" w:rsidRPr="00BE330B" w:rsidRDefault="0063719B" w:rsidP="0063719B">
            <w:pPr>
              <w:numPr>
                <w:ilvl w:val="0"/>
                <w:numId w:val="38"/>
              </w:numPr>
              <w:spacing w:after="60"/>
              <w:rPr>
                <w:sz w:val="20"/>
              </w:rPr>
            </w:pPr>
            <w:r w:rsidRPr="00BE330B">
              <w:rPr>
                <w:sz w:val="20"/>
              </w:rPr>
              <w:t>ONR may issue a press release on a decision for continued operation.</w:t>
            </w:r>
          </w:p>
        </w:tc>
      </w:tr>
      <w:tr w:rsidR="0063719B" w:rsidRPr="00BE330B" w14:paraId="79A3B921" w14:textId="77777777" w:rsidTr="00C929D7">
        <w:tc>
          <w:tcPr>
            <w:tcW w:w="2268" w:type="dxa"/>
            <w:shd w:val="clear" w:color="auto" w:fill="auto"/>
          </w:tcPr>
          <w:p w14:paraId="79A3B91F" w14:textId="77777777" w:rsidR="0063719B" w:rsidRPr="00C71836" w:rsidRDefault="0063719B" w:rsidP="006633C1">
            <w:pPr>
              <w:spacing w:after="0"/>
              <w:rPr>
                <w:b/>
                <w:sz w:val="20"/>
              </w:rPr>
            </w:pPr>
            <w:r w:rsidRPr="00C71836">
              <w:rPr>
                <w:b/>
                <w:sz w:val="20"/>
              </w:rPr>
              <w:t>SD + 15 to 18 months</w:t>
            </w:r>
          </w:p>
        </w:tc>
        <w:tc>
          <w:tcPr>
            <w:tcW w:w="0" w:type="auto"/>
            <w:shd w:val="clear" w:color="auto" w:fill="auto"/>
          </w:tcPr>
          <w:p w14:paraId="79A3B920" w14:textId="77777777" w:rsidR="0063719B" w:rsidRPr="00BE330B" w:rsidRDefault="0063719B" w:rsidP="0063719B">
            <w:pPr>
              <w:numPr>
                <w:ilvl w:val="0"/>
                <w:numId w:val="38"/>
              </w:numPr>
              <w:spacing w:after="60"/>
              <w:rPr>
                <w:sz w:val="20"/>
              </w:rPr>
            </w:pPr>
            <w:r w:rsidRPr="00BE330B">
              <w:rPr>
                <w:sz w:val="20"/>
              </w:rPr>
              <w:t>Where appropriate ONR may publish a report on the PSR assessment and findings, including the licensee's programme for further work.</w:t>
            </w:r>
            <w:r w:rsidR="00D951C6">
              <w:rPr>
                <w:sz w:val="20"/>
              </w:rPr>
              <w:t xml:space="preserve"> </w:t>
            </w:r>
            <w:r w:rsidRPr="00BE330B">
              <w:rPr>
                <w:sz w:val="20"/>
              </w:rPr>
              <w:t>Where a public report is produced a press release should also be issued via the Press Office.</w:t>
            </w:r>
          </w:p>
        </w:tc>
      </w:tr>
      <w:tr w:rsidR="0063719B" w:rsidRPr="00BE330B" w14:paraId="79A3B925" w14:textId="77777777" w:rsidTr="00C929D7">
        <w:tc>
          <w:tcPr>
            <w:tcW w:w="2268" w:type="dxa"/>
            <w:shd w:val="clear" w:color="auto" w:fill="auto"/>
          </w:tcPr>
          <w:p w14:paraId="79A3B922" w14:textId="77777777" w:rsidR="0063719B" w:rsidRPr="00C71836" w:rsidRDefault="0063719B" w:rsidP="006633C1">
            <w:pPr>
              <w:spacing w:after="0"/>
              <w:rPr>
                <w:b/>
                <w:sz w:val="20"/>
              </w:rPr>
            </w:pPr>
            <w:r w:rsidRPr="00C71836">
              <w:rPr>
                <w:b/>
                <w:sz w:val="20"/>
              </w:rPr>
              <w:t>SD + 3 years</w:t>
            </w:r>
          </w:p>
        </w:tc>
        <w:tc>
          <w:tcPr>
            <w:tcW w:w="0" w:type="auto"/>
            <w:shd w:val="clear" w:color="auto" w:fill="auto"/>
          </w:tcPr>
          <w:p w14:paraId="79A3B923" w14:textId="77777777" w:rsidR="0063719B" w:rsidRPr="00BE330B" w:rsidRDefault="0063719B" w:rsidP="0063719B">
            <w:pPr>
              <w:numPr>
                <w:ilvl w:val="0"/>
                <w:numId w:val="38"/>
              </w:numPr>
              <w:spacing w:after="60"/>
              <w:rPr>
                <w:sz w:val="20"/>
              </w:rPr>
            </w:pPr>
            <w:r w:rsidRPr="00BE330B">
              <w:rPr>
                <w:sz w:val="20"/>
              </w:rPr>
              <w:t>Licensee confirms completion of all outstanding identified work, including ONR findings, except where agreed otherwise.</w:t>
            </w:r>
          </w:p>
          <w:p w14:paraId="79A3B924" w14:textId="77777777" w:rsidR="0063719B" w:rsidRPr="00BE330B" w:rsidRDefault="0063719B" w:rsidP="0063719B">
            <w:pPr>
              <w:numPr>
                <w:ilvl w:val="0"/>
                <w:numId w:val="38"/>
              </w:numPr>
              <w:spacing w:after="60"/>
              <w:rPr>
                <w:sz w:val="20"/>
              </w:rPr>
            </w:pPr>
            <w:r w:rsidRPr="00BE330B">
              <w:rPr>
                <w:sz w:val="20"/>
              </w:rPr>
              <w:t>Where appropriate ONR may produce a close-out report and issue a press release.</w:t>
            </w:r>
          </w:p>
        </w:tc>
      </w:tr>
    </w:tbl>
    <w:p w14:paraId="79A3B926" w14:textId="77777777" w:rsidR="0063719B" w:rsidRDefault="0063719B" w:rsidP="0063719B">
      <w:pPr>
        <w:pStyle w:val="ONRNormal"/>
      </w:pPr>
    </w:p>
    <w:p w14:paraId="79A3B927" w14:textId="77777777" w:rsidR="0063719B" w:rsidRDefault="0063719B" w:rsidP="0063719B">
      <w:pPr>
        <w:rPr>
          <w:sz w:val="20"/>
          <w:szCs w:val="20"/>
        </w:rPr>
      </w:pPr>
      <w:r w:rsidRPr="005604B4">
        <w:rPr>
          <w:sz w:val="20"/>
          <w:szCs w:val="20"/>
        </w:rPr>
        <w:t xml:space="preserve">* </w:t>
      </w:r>
      <w:r w:rsidRPr="005604B4">
        <w:rPr>
          <w:b/>
          <w:sz w:val="20"/>
          <w:szCs w:val="20"/>
        </w:rPr>
        <w:t>SD</w:t>
      </w:r>
      <w:r w:rsidRPr="005604B4">
        <w:rPr>
          <w:sz w:val="20"/>
          <w:szCs w:val="20"/>
        </w:rPr>
        <w:t xml:space="preserve"> denotes PSR </w:t>
      </w:r>
      <w:r w:rsidRPr="005604B4">
        <w:rPr>
          <w:b/>
          <w:sz w:val="20"/>
          <w:szCs w:val="20"/>
          <w:u w:val="single"/>
        </w:rPr>
        <w:t>S</w:t>
      </w:r>
      <w:r w:rsidRPr="005604B4">
        <w:rPr>
          <w:sz w:val="20"/>
          <w:szCs w:val="20"/>
        </w:rPr>
        <w:t xml:space="preserve">ubmission </w:t>
      </w:r>
      <w:r w:rsidRPr="005604B4">
        <w:rPr>
          <w:b/>
          <w:sz w:val="20"/>
          <w:szCs w:val="20"/>
          <w:u w:val="single"/>
        </w:rPr>
        <w:t>D</w:t>
      </w:r>
      <w:r w:rsidRPr="005604B4">
        <w:rPr>
          <w:sz w:val="20"/>
          <w:szCs w:val="20"/>
        </w:rPr>
        <w:t>ate (a change from the previous use of ‘X’ dates).</w:t>
      </w:r>
    </w:p>
    <w:p w14:paraId="79A3B928" w14:textId="77777777" w:rsidR="0063719B" w:rsidRDefault="0063719B" w:rsidP="00EB7487">
      <w:pPr>
        <w:rPr>
          <w:sz w:val="20"/>
          <w:szCs w:val="20"/>
        </w:rPr>
      </w:pPr>
      <w:r w:rsidRPr="00001E87">
        <w:rPr>
          <w:b/>
          <w:sz w:val="20"/>
          <w:szCs w:val="20"/>
        </w:rPr>
        <w:t>NOTE:</w:t>
      </w:r>
      <w:r>
        <w:rPr>
          <w:sz w:val="20"/>
          <w:szCs w:val="20"/>
        </w:rPr>
        <w:t xml:space="preserve"> As stated, these are indicative timescales.</w:t>
      </w:r>
      <w:r w:rsidR="00D951C6">
        <w:rPr>
          <w:sz w:val="20"/>
          <w:szCs w:val="20"/>
        </w:rPr>
        <w:t xml:space="preserve"> </w:t>
      </w:r>
      <w:r>
        <w:rPr>
          <w:sz w:val="20"/>
          <w:szCs w:val="20"/>
        </w:rPr>
        <w:t>If a licensee wants to adopt an alternative approach, this should be discussed with ONR in advance.</w:t>
      </w:r>
    </w:p>
    <w:p w14:paraId="79A3B929" w14:textId="77777777" w:rsidR="00C4144A" w:rsidRPr="00C4144A" w:rsidRDefault="00C4144A" w:rsidP="002C192C">
      <w:pPr>
        <w:rPr>
          <w:b/>
        </w:rPr>
      </w:pPr>
    </w:p>
    <w:sectPr w:rsidR="00C4144A" w:rsidRPr="00C4144A" w:rsidSect="00C929D7">
      <w:headerReference w:type="even" r:id="rId26"/>
      <w:headerReference w:type="default" r:id="rId27"/>
      <w:footerReference w:type="even" r:id="rId28"/>
      <w:footerReference w:type="default" r:id="rId29"/>
      <w:headerReference w:type="first" r:id="rId30"/>
      <w:footerReference w:type="first" r:id="rId31"/>
      <w:type w:val="oddPage"/>
      <w:pgSz w:w="11906" w:h="16838" w:code="9"/>
      <w:pgMar w:top="1134" w:right="1418" w:bottom="1134" w:left="1418" w:header="284" w:footer="284"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074">
      <wne:acd wne:acdName="acd12"/>
    </wne:keymap>
    <wne:keymap wne:kcmPrimary="0075">
      <wne:acd wne:acdName="acd14"/>
    </wne:keymap>
    <wne:keymap wne:kcmPrimary="0450">
      <wne:acd wne:acdName="acd0"/>
    </wne:keymap>
    <wne:keymap wne:kcmPrimary="0454">
      <wne:acd wne:acdName="acd1"/>
    </wne:keymap>
    <wne:keymap wne:kcmPrimary="0631">
      <wne:acd wne:acdName="acd2"/>
    </wne:keymap>
    <wne:keymap wne:kcmPrimary="0632">
      <wne:acd wne:acdName="acd3"/>
    </wne:keymap>
    <wne:keymap wne:kcmPrimary="0633">
      <wne:acd wne:acdName="acd4"/>
    </wne:keymap>
    <wne:keymap wne:kcmPrimary="0634">
      <wne:acd wne:acdName="acd5"/>
    </wne:keymap>
    <wne:keymap wne:kcmPrimary="0635">
      <wne:acd wne:acdName="acd6"/>
    </wne:keymap>
    <wne:keymap wne:kcmPrimary="0636">
      <wne:acd wne:acdName="acd7"/>
    </wne:keymap>
    <wne:keymap wne:kcmPrimary="0637">
      <wne:acd wne:acdName="acd8"/>
    </wne:keymap>
    <wne:keymap wne:kcmPrimary="0638">
      <wne:acd wne:acdName="acd9"/>
    </wne:keymap>
    <wne:keymap wne:kcmPrimary="0639">
      <wne:acd wne:acdName="acd10"/>
    </wne:keymap>
    <wne:keymap wne:kcmPrimary="0642">
      <wne:acd wne:acdName="acd18"/>
    </wne:keymap>
    <wne:keymap wne:kcmPrimary="0645">
      <wne:acd wne:acdName="acd13"/>
    </wne:keymap>
    <wne:keymap wne:kcmPrimary="064E">
      <wne:acd wne:acdName="acd11"/>
    </wne:keymap>
    <wne:keymap wne:kcmPrimary="0650">
      <wne:acd wne:acdName="acd16"/>
    </wne:keymap>
    <wne:keymap wne:kcmPrimary="0652">
      <wne:acd wne:acdName="acd17"/>
    </wne:keymap>
    <wne:keymap wne:kcmPrimary="0654">
      <wne:acd wne:acdName="acd1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BBAFIAIABOAHUAbQBiAGUAcgBlAGQAIABQAGEAcgBhAGcAcgBhAHAAaAA=" wne:acdName="acd0" wne:fciIndexBasedOn="0065"/>
    <wne:acd wne:argValue="AgBBAFIAIABUAGEAYgBsAGUAIABTAHQAeQBsAGU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QAAAAgA" wne:acdName="acd9" wne:fciIndexBasedOn="0065"/>
    <wne:acd wne:argValue="AQAAAAkA" wne:acdName="acd10" wne:fciIndexBasedOn="0065"/>
    <wne:acd wne:argValue="AgBPAE4AUgAgAE4AbwByAG0AYQBsAA==" wne:acdName="acd11" wne:fciIndexBasedOn="0065"/>
    <wne:acd wne:argValue="AgBOAHUAbQBiAGUAcgBlAGQAIABIAGUAYQBkAGkAbgBnAA==" wne:acdName="acd12" wne:fciIndexBasedOn="0065"/>
    <wne:acd wne:argValue="AgBPAE4AUgAgAEUAeABlAGMAdQB0AGkAdgBlACAAUwB1AG0AbQBhAHIAeQA=" wne:acdName="acd13" wne:fciIndexBasedOn="0065"/>
    <wne:acd wne:argValue="AgBOAHUAbQBiAGUAcgBlAGQAIABQAGEAcgBhAGcAcgBhAHAAaAA=" wne:acdName="acd14" wne:fciIndexBasedOn="0065"/>
    <wne:acd wne:argValue="AgBPAE4AUgAgAFQAYQBiAGwAZQAgAFMAdAB5AGwAZQA=" wne:acdName="acd15" wne:fciIndexBasedOn="0065"/>
    <wne:acd wne:argValue="AgBPAE4AUgAgAE4AdQBtAGIAZQByAGUAZAAgAFAAYQByAGEAZwByAGEAcABoACAAMQA=" wne:acdName="acd16" wne:fciIndexBasedOn="0065"/>
    <wne:acd wne:argValue="AgBPAE4AUgAgAFIAbwB1AG4AZAAgAEIAdQBsAGwAZQB0ACAAMQA=" wne:acdName="acd17" wne:fciIndexBasedOn="0065"/>
    <wne:acd wne:argValue="AgBPAE4AUgAgAFMAcQB1AGEAcgBlACAAQgB1AGwAbABlAHQAIAAxA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3AAE" w14:textId="77777777" w:rsidR="00615A95" w:rsidRDefault="00615A95" w:rsidP="00713D89">
      <w:r>
        <w:separator/>
      </w:r>
    </w:p>
  </w:endnote>
  <w:endnote w:type="continuationSeparator" w:id="0">
    <w:p w14:paraId="74F11FD6" w14:textId="77777777" w:rsidR="00615A95" w:rsidRDefault="00615A95" w:rsidP="0071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B939" w14:textId="77777777" w:rsidR="000A5B74" w:rsidRPr="002D5497" w:rsidRDefault="000A5B74" w:rsidP="00EF331C">
    <w:pPr>
      <w:pStyle w:val="Header"/>
      <w:jc w:val="center"/>
      <w:rPr>
        <w:color w:val="006D68"/>
        <w:sz w:val="16"/>
        <w:szCs w:val="16"/>
      </w:rPr>
    </w:pPr>
  </w:p>
  <w:p w14:paraId="79A3B93A" w14:textId="77777777" w:rsidR="000A5B74" w:rsidRPr="00974905" w:rsidRDefault="000A5B74" w:rsidP="002D5497">
    <w:pPr>
      <w:pStyle w:val="Footer"/>
      <w:tabs>
        <w:tab w:val="right" w:pos="9214"/>
      </w:tabs>
      <w:rPr>
        <w:color w:val="006D68"/>
        <w:sz w:val="14"/>
        <w:szCs w:val="14"/>
      </w:rPr>
    </w:pPr>
    <w:r w:rsidRPr="00974905">
      <w:rPr>
        <w:color w:val="006D68"/>
        <w:sz w:val="14"/>
        <w:szCs w:val="14"/>
      </w:rPr>
      <w:t>Report NS-TAST-GD-016 Revision 5</w:t>
    </w:r>
  </w:p>
  <w:p w14:paraId="79A3B93B" w14:textId="77777777" w:rsidR="000A5B74" w:rsidRPr="00487A22" w:rsidRDefault="000A5B74" w:rsidP="002D5497">
    <w:pPr>
      <w:pStyle w:val="Footer"/>
      <w:tabs>
        <w:tab w:val="right" w:pos="9214"/>
      </w:tabs>
      <w:rPr>
        <w:b/>
        <w:color w:val="006D68"/>
        <w:sz w:val="14"/>
        <w:szCs w:val="14"/>
      </w:rPr>
    </w:pPr>
    <w:r>
      <w:rPr>
        <w:color w:val="006D68"/>
        <w:sz w:val="14"/>
        <w:szCs w:val="14"/>
        <w:lang w:val="fr-FR"/>
      </w:rPr>
      <w:t>TRIM 2015</w:t>
    </w:r>
    <w:r w:rsidRPr="00FD170B">
      <w:rPr>
        <w:color w:val="006D68"/>
        <w:sz w:val="14"/>
        <w:szCs w:val="14"/>
        <w:lang w:val="fr-FR"/>
      </w:rPr>
      <w:t>/</w:t>
    </w:r>
    <w:r>
      <w:rPr>
        <w:color w:val="006D68"/>
        <w:sz w:val="14"/>
        <w:szCs w:val="14"/>
        <w:lang w:val="fr-FR"/>
      </w:rPr>
      <w:t>42315</w:t>
    </w:r>
    <w:r w:rsidRPr="00FD170B">
      <w:rPr>
        <w:b/>
        <w:color w:val="006D68"/>
        <w:sz w:val="14"/>
        <w:szCs w:val="14"/>
        <w:lang w:val="fr-FR"/>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Pr>
        <w:b/>
        <w:noProof/>
        <w:color w:val="006D68"/>
        <w:sz w:val="14"/>
        <w:szCs w:val="14"/>
      </w:rPr>
      <w:t>4</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Pr>
        <w:b/>
        <w:noProof/>
        <w:color w:val="006D68"/>
        <w:sz w:val="14"/>
        <w:szCs w:val="14"/>
      </w:rPr>
      <w:t>1</w:t>
    </w:r>
    <w:r w:rsidRPr="00487A22">
      <w:rPr>
        <w:b/>
        <w:color w:val="006D68"/>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B93C" w14:textId="77777777" w:rsidR="000A5B74" w:rsidRPr="002D5497" w:rsidRDefault="000A5B74" w:rsidP="00B35869">
    <w:pPr>
      <w:pStyle w:val="Header"/>
      <w:jc w:val="center"/>
      <w:rPr>
        <w:color w:val="006D68"/>
        <w:sz w:val="16"/>
        <w:szCs w:val="16"/>
      </w:rPr>
    </w:pPr>
  </w:p>
  <w:p w14:paraId="79A3B93D" w14:textId="6D81F3C0" w:rsidR="000A5B74" w:rsidRPr="00974905" w:rsidRDefault="000A5B74" w:rsidP="00FB79A3">
    <w:pPr>
      <w:pStyle w:val="Footer"/>
      <w:tabs>
        <w:tab w:val="right" w:pos="9214"/>
      </w:tabs>
      <w:rPr>
        <w:color w:val="006D68"/>
        <w:sz w:val="14"/>
        <w:szCs w:val="14"/>
      </w:rPr>
    </w:pPr>
    <w:r>
      <w:rPr>
        <w:color w:val="006D68"/>
        <w:sz w:val="14"/>
        <w:szCs w:val="14"/>
      </w:rPr>
      <w:t xml:space="preserve">Report NS-TAST-GD-050 </w:t>
    </w:r>
  </w:p>
  <w:p w14:paraId="79A3B93E" w14:textId="6FD59E33" w:rsidR="000A5B74" w:rsidRPr="00487A22" w:rsidRDefault="000A5B74" w:rsidP="00FB79A3">
    <w:pPr>
      <w:pStyle w:val="Footer"/>
      <w:tabs>
        <w:tab w:val="right" w:pos="9214"/>
      </w:tabs>
      <w:rPr>
        <w:b/>
        <w:color w:val="006D68"/>
        <w:sz w:val="14"/>
        <w:szCs w:val="14"/>
      </w:rPr>
    </w:pPr>
    <w:r>
      <w:rPr>
        <w:color w:val="006D68"/>
        <w:sz w:val="14"/>
        <w:szCs w:val="14"/>
        <w:lang w:val="fr-FR"/>
      </w:rPr>
      <w:t>2019/</w:t>
    </w:r>
    <w:r w:rsidR="00C44B7E">
      <w:rPr>
        <w:color w:val="006D68"/>
        <w:sz w:val="14"/>
        <w:szCs w:val="14"/>
        <w:lang w:val="fr-FR"/>
      </w:rPr>
      <w:t>346666</w:t>
    </w:r>
    <w:r w:rsidRPr="00FD170B">
      <w:rPr>
        <w:b/>
        <w:color w:val="006D68"/>
        <w:sz w:val="14"/>
        <w:szCs w:val="14"/>
        <w:lang w:val="fr-FR"/>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3D4FC5">
      <w:rPr>
        <w:b/>
        <w:noProof/>
        <w:color w:val="006D68"/>
        <w:sz w:val="14"/>
        <w:szCs w:val="14"/>
      </w:rPr>
      <w:t>1</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3D4FC5">
      <w:rPr>
        <w:b/>
        <w:noProof/>
        <w:color w:val="006D68"/>
        <w:sz w:val="14"/>
        <w:szCs w:val="14"/>
      </w:rPr>
      <w:t>37</w:t>
    </w:r>
    <w:r w:rsidRPr="00487A22">
      <w:rPr>
        <w:b/>
        <w:color w:val="006D6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B947" w14:textId="77777777" w:rsidR="000A5B74" w:rsidRPr="005159E1" w:rsidRDefault="000A5B74" w:rsidP="00513B98">
    <w:pPr>
      <w:pStyle w:val="Footer"/>
      <w:tabs>
        <w:tab w:val="right" w:pos="9214"/>
      </w:tabs>
      <w:jc w:val="center"/>
      <w:rPr>
        <w:color w:val="006D68"/>
        <w:sz w:val="16"/>
        <w:szCs w:val="16"/>
      </w:rPr>
    </w:pPr>
  </w:p>
  <w:p w14:paraId="79A3B948" w14:textId="77777777" w:rsidR="000A5B74" w:rsidRPr="00974905" w:rsidRDefault="000A5B74" w:rsidP="00513B98">
    <w:pPr>
      <w:pStyle w:val="Footer"/>
      <w:tabs>
        <w:tab w:val="right" w:pos="9214"/>
      </w:tabs>
      <w:rPr>
        <w:color w:val="006D68"/>
        <w:sz w:val="14"/>
        <w:szCs w:val="14"/>
      </w:rPr>
    </w:pPr>
    <w:r w:rsidRPr="00974905">
      <w:rPr>
        <w:color w:val="006D68"/>
        <w:sz w:val="14"/>
        <w:szCs w:val="14"/>
      </w:rPr>
      <w:t>Report NS-TAST-GD-016 Revision 5</w:t>
    </w:r>
  </w:p>
  <w:p w14:paraId="79A3B949" w14:textId="77777777" w:rsidR="000A5B74" w:rsidRPr="00487A22" w:rsidRDefault="000A5B74" w:rsidP="00513B98">
    <w:pPr>
      <w:pStyle w:val="Footer"/>
      <w:tabs>
        <w:tab w:val="right" w:pos="9214"/>
      </w:tabs>
      <w:rPr>
        <w:b/>
        <w:color w:val="006D68"/>
        <w:sz w:val="14"/>
        <w:szCs w:val="14"/>
      </w:rPr>
    </w:pPr>
    <w:r>
      <w:rPr>
        <w:color w:val="006D68"/>
        <w:sz w:val="14"/>
        <w:szCs w:val="14"/>
        <w:lang w:val="fr-FR"/>
      </w:rPr>
      <w:t>TRIM 2015</w:t>
    </w:r>
    <w:r w:rsidRPr="00FD170B">
      <w:rPr>
        <w:color w:val="006D68"/>
        <w:sz w:val="14"/>
        <w:szCs w:val="14"/>
        <w:lang w:val="fr-FR"/>
      </w:rPr>
      <w:t>/</w:t>
    </w:r>
    <w:r>
      <w:rPr>
        <w:color w:val="006D68"/>
        <w:sz w:val="14"/>
        <w:szCs w:val="14"/>
        <w:lang w:val="fr-FR"/>
      </w:rPr>
      <w:t>42315</w:t>
    </w:r>
    <w:r w:rsidRPr="00FD170B">
      <w:rPr>
        <w:b/>
        <w:color w:val="006D68"/>
        <w:sz w:val="14"/>
        <w:szCs w:val="14"/>
        <w:lang w:val="fr-FR"/>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Pr>
        <w:b/>
        <w:noProof/>
        <w:color w:val="006D68"/>
        <w:sz w:val="14"/>
        <w:szCs w:val="14"/>
      </w:rPr>
      <w:t>1</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Pr>
        <w:b/>
        <w:noProof/>
        <w:color w:val="006D68"/>
        <w:sz w:val="14"/>
        <w:szCs w:val="14"/>
      </w:rPr>
      <w:t>1</w:t>
    </w:r>
    <w:r w:rsidRPr="00487A22">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8F68" w14:textId="77777777" w:rsidR="00615A95" w:rsidRDefault="00615A95" w:rsidP="00713D89">
      <w:r>
        <w:separator/>
      </w:r>
    </w:p>
  </w:footnote>
  <w:footnote w:type="continuationSeparator" w:id="0">
    <w:p w14:paraId="764244A9" w14:textId="77777777" w:rsidR="00615A95" w:rsidRDefault="00615A95" w:rsidP="00713D89">
      <w:r>
        <w:continuationSeparator/>
      </w:r>
    </w:p>
  </w:footnote>
  <w:footnote w:id="1">
    <w:p w14:paraId="79A3B94E" w14:textId="77777777" w:rsidR="000A5B74" w:rsidRDefault="000A5B74" w:rsidP="002A312B">
      <w:pPr>
        <w:pStyle w:val="FootnoteText"/>
        <w:ind w:left="709"/>
      </w:pPr>
      <w:r>
        <w:rPr>
          <w:rStyle w:val="FootnoteReference"/>
        </w:rPr>
        <w:footnoteRef/>
      </w:r>
      <w:r>
        <w:t xml:space="preserve"> </w:t>
      </w:r>
      <w:r w:rsidRPr="00825E1E">
        <w:t>The Safety Directors’ Forum is a voluntary organisation with a vision to promote and maintain a safe,</w:t>
      </w:r>
      <w:r>
        <w:t xml:space="preserve"> </w:t>
      </w:r>
      <w:r w:rsidRPr="00825E1E">
        <w:t>secure, sustainable UK Nuclear Industry. To help achieve this vision, it produces and issues guidance</w:t>
      </w:r>
      <w:r>
        <w:t xml:space="preserve"> </w:t>
      </w:r>
      <w:r w:rsidRPr="00825E1E">
        <w:t>to the nuclear industry. https://www.nuclearinst.com/Safety-Directors-Forum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B92E" w14:textId="77777777" w:rsidR="000A5B74" w:rsidRDefault="000A5B74" w:rsidP="002D5497">
    <w:pPr>
      <w:pStyle w:val="Header"/>
      <w:rPr>
        <w:b/>
        <w:color w:val="006D68"/>
        <w:sz w:val="14"/>
        <w:szCs w:val="14"/>
      </w:rPr>
    </w:pPr>
    <w:r w:rsidRPr="00487A22">
      <w:rPr>
        <w:color w:val="006D68"/>
        <w:sz w:val="14"/>
        <w:szCs w:val="14"/>
      </w:rPr>
      <w:t>Office for Nuclear Regulation</w:t>
    </w:r>
    <w:r w:rsidRPr="00B56CCE">
      <w:rPr>
        <w:b/>
        <w:color w:val="006D68"/>
        <w:sz w:val="14"/>
        <w:szCs w:val="14"/>
      </w:rPr>
      <w:t xml:space="preserve"> </w:t>
    </w:r>
  </w:p>
  <w:p w14:paraId="79A3B92F" w14:textId="77777777" w:rsidR="000A5B74" w:rsidRDefault="000A5B74" w:rsidP="002D5497">
    <w:pPr>
      <w:pStyle w:val="Header"/>
      <w:rPr>
        <w:b/>
        <w:color w:val="006D68"/>
        <w:sz w:val="14"/>
        <w:szCs w:val="14"/>
      </w:rPr>
    </w:pPr>
  </w:p>
  <w:p w14:paraId="79A3B930" w14:textId="77777777" w:rsidR="000A5B74" w:rsidRDefault="000A5B74" w:rsidP="002D5497">
    <w:pPr>
      <w:pStyle w:val="Header"/>
      <w:rPr>
        <w:b/>
        <w:color w:val="006D68"/>
        <w:sz w:val="14"/>
        <w:szCs w:val="14"/>
      </w:rPr>
    </w:pPr>
  </w:p>
  <w:p w14:paraId="79A3B931" w14:textId="77777777" w:rsidR="000A5B74" w:rsidRDefault="000A5B74" w:rsidP="002D5497">
    <w:pPr>
      <w:pStyle w:val="Header"/>
      <w:jc w:val="center"/>
      <w:rPr>
        <w:b/>
        <w:color w:val="006D68"/>
        <w:sz w:val="14"/>
        <w:szCs w:val="14"/>
      </w:rPr>
    </w:pPr>
    <w:r w:rsidRPr="002D5497">
      <w:rPr>
        <w:b/>
        <w:caps/>
        <w:color w:val="006D68"/>
        <w:sz w:val="24"/>
        <w:szCs w:val="14"/>
      </w:rPr>
      <w:t>Not protectively marked</w:t>
    </w:r>
  </w:p>
  <w:p w14:paraId="79A3B932" w14:textId="77777777" w:rsidR="000A5B74" w:rsidRPr="002D5497" w:rsidRDefault="000A5B74" w:rsidP="002D5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B933" w14:textId="77777777" w:rsidR="000A5B74" w:rsidRPr="002D5497" w:rsidRDefault="000A5B74" w:rsidP="00513B98">
    <w:pPr>
      <w:pStyle w:val="Header"/>
      <w:rPr>
        <w:b/>
        <w:color w:val="006D68"/>
        <w:sz w:val="16"/>
        <w:szCs w:val="16"/>
      </w:rPr>
    </w:pPr>
  </w:p>
  <w:p w14:paraId="79A3B934" w14:textId="77777777" w:rsidR="000A5B74" w:rsidRPr="002D5497" w:rsidRDefault="000A5B74" w:rsidP="00513B98">
    <w:pPr>
      <w:pStyle w:val="Header"/>
      <w:rPr>
        <w:b/>
        <w:color w:val="006D68"/>
        <w:sz w:val="16"/>
        <w:szCs w:val="16"/>
      </w:rPr>
    </w:pPr>
  </w:p>
  <w:p w14:paraId="79A3B935" w14:textId="77777777" w:rsidR="000A5B74" w:rsidRPr="002D5497" w:rsidRDefault="000A5B74" w:rsidP="00513B98">
    <w:pPr>
      <w:pStyle w:val="Header"/>
      <w:rPr>
        <w:b/>
        <w:color w:val="006D68"/>
        <w:sz w:val="16"/>
        <w:szCs w:val="16"/>
      </w:rPr>
    </w:pPr>
  </w:p>
  <w:p w14:paraId="79A3B936" w14:textId="77777777" w:rsidR="000A5B74" w:rsidRPr="002D5497" w:rsidRDefault="000A5B74" w:rsidP="00513B98">
    <w:pPr>
      <w:pStyle w:val="Header"/>
      <w:rPr>
        <w:b/>
        <w:color w:val="006D68"/>
        <w:sz w:val="16"/>
        <w:szCs w:val="16"/>
      </w:rPr>
    </w:pPr>
  </w:p>
  <w:p w14:paraId="79A3B937" w14:textId="77777777" w:rsidR="000A5B74" w:rsidRPr="002D5497" w:rsidRDefault="000A5B74" w:rsidP="00513B98">
    <w:pPr>
      <w:pStyle w:val="Header"/>
      <w:rPr>
        <w:b/>
        <w:color w:val="006D68"/>
        <w:sz w:val="16"/>
        <w:szCs w:val="16"/>
      </w:rPr>
    </w:pPr>
  </w:p>
  <w:p w14:paraId="79A3B938" w14:textId="77777777" w:rsidR="000A5B74" w:rsidRPr="002D5497" w:rsidRDefault="000A5B74" w:rsidP="00513B98">
    <w:pPr>
      <w:pStyle w:val="Header"/>
      <w:rPr>
        <w:sz w:val="16"/>
        <w:szCs w:val="16"/>
      </w:rPr>
    </w:pPr>
    <w:r>
      <w:rPr>
        <w:b/>
        <w:caps/>
        <w:noProof/>
        <w:color w:val="006D68"/>
        <w:sz w:val="24"/>
        <w:szCs w:val="14"/>
        <w:lang w:eastAsia="en-GB"/>
      </w:rPr>
      <w:drawing>
        <wp:anchor distT="288290" distB="0" distL="288290" distR="114300" simplePos="0" relativeHeight="251656704" behindDoc="0" locked="0" layoutInCell="1" allowOverlap="0" wp14:anchorId="79A3B94A" wp14:editId="79A3B94B">
          <wp:simplePos x="0" y="0"/>
          <wp:positionH relativeFrom="page">
            <wp:posOffset>288290</wp:posOffset>
          </wp:positionH>
          <wp:positionV relativeFrom="page">
            <wp:posOffset>252095</wp:posOffset>
          </wp:positionV>
          <wp:extent cx="6572250" cy="619125"/>
          <wp:effectExtent l="0" t="0" r="0" b="9525"/>
          <wp:wrapNone/>
          <wp:docPr id="11" name="Picture 1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B93F" w14:textId="77777777" w:rsidR="000A5B74" w:rsidRDefault="000A5B74" w:rsidP="00513B98">
    <w:pPr>
      <w:pStyle w:val="Header"/>
      <w:jc w:val="center"/>
      <w:rPr>
        <w:b/>
        <w:color w:val="006D68"/>
        <w:sz w:val="14"/>
        <w:szCs w:val="14"/>
      </w:rPr>
    </w:pPr>
    <w:r>
      <w:rPr>
        <w:noProof/>
        <w:lang w:eastAsia="en-GB"/>
      </w:rPr>
      <w:drawing>
        <wp:anchor distT="288290" distB="0" distL="288290" distR="114300" simplePos="0" relativeHeight="251657728" behindDoc="0" locked="0" layoutInCell="1" allowOverlap="0" wp14:anchorId="79A3B94C" wp14:editId="79A3B94D">
          <wp:simplePos x="0" y="0"/>
          <wp:positionH relativeFrom="page">
            <wp:posOffset>299085</wp:posOffset>
          </wp:positionH>
          <wp:positionV relativeFrom="page">
            <wp:posOffset>252095</wp:posOffset>
          </wp:positionV>
          <wp:extent cx="6572250" cy="619125"/>
          <wp:effectExtent l="0" t="0" r="0" b="9525"/>
          <wp:wrapNone/>
          <wp:docPr id="15" name="Picture 15"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p>
  <w:p w14:paraId="79A3B940" w14:textId="77777777" w:rsidR="000A5B74" w:rsidRDefault="000A5B74" w:rsidP="00513B98">
    <w:pPr>
      <w:pStyle w:val="Header"/>
      <w:jc w:val="center"/>
      <w:rPr>
        <w:b/>
        <w:color w:val="006D68"/>
        <w:sz w:val="14"/>
        <w:szCs w:val="14"/>
      </w:rPr>
    </w:pPr>
  </w:p>
  <w:p w14:paraId="79A3B941" w14:textId="77777777" w:rsidR="000A5B74" w:rsidRDefault="000A5B74" w:rsidP="00513B98">
    <w:pPr>
      <w:pStyle w:val="Header"/>
      <w:jc w:val="center"/>
      <w:rPr>
        <w:b/>
        <w:color w:val="006D68"/>
        <w:sz w:val="14"/>
        <w:szCs w:val="14"/>
      </w:rPr>
    </w:pPr>
  </w:p>
  <w:p w14:paraId="79A3B942" w14:textId="77777777" w:rsidR="000A5B74" w:rsidRDefault="000A5B74" w:rsidP="00513B98">
    <w:pPr>
      <w:pStyle w:val="Header"/>
      <w:jc w:val="center"/>
      <w:rPr>
        <w:b/>
        <w:color w:val="006D68"/>
        <w:sz w:val="14"/>
        <w:szCs w:val="14"/>
      </w:rPr>
    </w:pPr>
  </w:p>
  <w:p w14:paraId="79A3B943" w14:textId="77777777" w:rsidR="000A5B74" w:rsidRDefault="000A5B74" w:rsidP="00513B98">
    <w:pPr>
      <w:pStyle w:val="Footer"/>
      <w:tabs>
        <w:tab w:val="right" w:pos="9214"/>
      </w:tabs>
      <w:rPr>
        <w:color w:val="006D68"/>
        <w:sz w:val="14"/>
        <w:szCs w:val="14"/>
      </w:rPr>
    </w:pPr>
  </w:p>
  <w:p w14:paraId="79A3B944" w14:textId="77777777" w:rsidR="000A5B74" w:rsidRDefault="000A5B74" w:rsidP="00513B98">
    <w:pPr>
      <w:pStyle w:val="Footer"/>
      <w:tabs>
        <w:tab w:val="right" w:pos="9214"/>
      </w:tabs>
      <w:rPr>
        <w:b/>
        <w:color w:val="006D68"/>
        <w:sz w:val="14"/>
        <w:szCs w:val="14"/>
      </w:rPr>
    </w:pP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Pr>
        <w:b/>
        <w:noProof/>
        <w:color w:val="006D68"/>
        <w:sz w:val="14"/>
        <w:szCs w:val="14"/>
      </w:rPr>
      <w:t>1</w:t>
    </w:r>
    <w:r w:rsidRPr="00B56CCE">
      <w:rPr>
        <w:b/>
        <w:color w:val="006D68"/>
        <w:sz w:val="14"/>
        <w:szCs w:val="14"/>
      </w:rPr>
      <w:fldChar w:fldCharType="end"/>
    </w:r>
  </w:p>
  <w:p w14:paraId="79A3B945" w14:textId="77777777" w:rsidR="000A5B74" w:rsidRDefault="000A5B74" w:rsidP="00513B98">
    <w:pPr>
      <w:pStyle w:val="Footer"/>
      <w:tabs>
        <w:tab w:val="right" w:pos="9214"/>
      </w:tabs>
      <w:rPr>
        <w:b/>
        <w:color w:val="006D68"/>
        <w:sz w:val="14"/>
        <w:szCs w:val="14"/>
      </w:rPr>
    </w:pPr>
  </w:p>
  <w:p w14:paraId="79A3B946" w14:textId="77777777" w:rsidR="000A5B74" w:rsidRPr="00B56CCE" w:rsidRDefault="000A5B74" w:rsidP="00513B98">
    <w:pPr>
      <w:pStyle w:val="Footer"/>
      <w:tabs>
        <w:tab w:val="right" w:pos="9214"/>
      </w:tabs>
      <w:rPr>
        <w:b/>
        <w:color w:val="006D68"/>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3A16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4CCE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02E3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B026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88C6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E2B5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C62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DCE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5257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F446098"/>
    <w:lvl w:ilvl="0">
      <w:start w:val="1"/>
      <w:numFmt w:val="bullet"/>
      <w:pStyle w:val="ListBullet"/>
      <w:lvlText w:val=""/>
      <w:lvlJc w:val="left"/>
      <w:pPr>
        <w:tabs>
          <w:tab w:val="num" w:pos="851"/>
        </w:tabs>
        <w:ind w:left="851" w:hanging="851"/>
      </w:pPr>
      <w:rPr>
        <w:rFonts w:ascii="Symbol" w:hAnsi="Symbol" w:hint="default"/>
      </w:rPr>
    </w:lvl>
  </w:abstractNum>
  <w:abstractNum w:abstractNumId="10" w15:restartNumberingAfterBreak="0">
    <w:nsid w:val="00D2385C"/>
    <w:multiLevelType w:val="hybridMultilevel"/>
    <w:tmpl w:val="B194FA38"/>
    <w:lvl w:ilvl="0" w:tplc="32E6EAC8">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6E78D7"/>
    <w:multiLevelType w:val="multilevel"/>
    <w:tmpl w:val="F4BC67EC"/>
    <w:lvl w:ilvl="0">
      <w:start w:val="1"/>
      <w:numFmt w:val="decimal"/>
      <w:pStyle w:val="TSHeadingNumbered1"/>
      <w:lvlText w:val="%1"/>
      <w:lvlJc w:val="left"/>
      <w:pPr>
        <w:tabs>
          <w:tab w:val="num" w:pos="432"/>
        </w:tabs>
        <w:ind w:left="432" w:hanging="432"/>
      </w:pPr>
      <w:rPr>
        <w:rFonts w:hint="default"/>
      </w:rPr>
    </w:lvl>
    <w:lvl w:ilvl="1">
      <w:start w:val="1"/>
      <w:numFmt w:val="decimal"/>
      <w:pStyle w:val="TSHeadingNumbered11"/>
      <w:lvlText w:val="%1.%2"/>
      <w:lvlJc w:val="left"/>
      <w:pPr>
        <w:tabs>
          <w:tab w:val="num" w:pos="576"/>
        </w:tabs>
        <w:ind w:left="576" w:hanging="576"/>
      </w:pPr>
      <w:rPr>
        <w:rFonts w:hint="default"/>
      </w:rPr>
    </w:lvl>
    <w:lvl w:ilvl="2">
      <w:start w:val="1"/>
      <w:numFmt w:val="decimal"/>
      <w:pStyle w:val="TSHeadingNumbered111"/>
      <w:lvlText w:val="%1.%2.%3"/>
      <w:lvlJc w:val="left"/>
      <w:pPr>
        <w:tabs>
          <w:tab w:val="num" w:pos="720"/>
        </w:tabs>
        <w:ind w:left="720" w:hanging="720"/>
      </w:pPr>
      <w:rPr>
        <w:rFonts w:hint="default"/>
      </w:rPr>
    </w:lvl>
    <w:lvl w:ilvl="3">
      <w:start w:val="1"/>
      <w:numFmt w:val="decimal"/>
      <w:pStyle w:val="TSHeadingNumbered1111"/>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6BB7569"/>
    <w:multiLevelType w:val="multilevel"/>
    <w:tmpl w:val="0809001F"/>
    <w:styleLink w:val="StyleBulletedSymbolsymbolBefore16cmHanging063cm"/>
    <w:lvl w:ilvl="0">
      <w:start w:val="1"/>
      <w:numFmt w:val="decimal"/>
      <w:lvlText w:val="%1."/>
      <w:lvlJc w:val="left"/>
      <w:pPr>
        <w:tabs>
          <w:tab w:val="num" w:pos="720"/>
        </w:tabs>
        <w:ind w:left="720" w:hanging="360"/>
      </w:pPr>
      <w:rPr>
        <w:sz w:val="22"/>
        <w:szCs w:val="22"/>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 w15:restartNumberingAfterBreak="0">
    <w:nsid w:val="08D45EAE"/>
    <w:multiLevelType w:val="hybridMultilevel"/>
    <w:tmpl w:val="0928ABA8"/>
    <w:lvl w:ilvl="0" w:tplc="B9B86368">
      <w:start w:val="1"/>
      <w:numFmt w:val="lowerLetter"/>
      <w:pStyle w:val="Style2"/>
      <w:lvlText w:val="%1."/>
      <w:lvlJc w:val="left"/>
      <w:pPr>
        <w:tabs>
          <w:tab w:val="num" w:pos="757"/>
        </w:tabs>
        <w:ind w:left="680" w:hanging="283"/>
      </w:pPr>
      <w:rPr>
        <w:rFonts w:ascii="Arial" w:hAnsi="Arial" w:hint="default"/>
        <w:b w:val="0"/>
        <w:i w:val="0"/>
        <w:caps w:val="0"/>
        <w:strike w:val="0"/>
        <w:dstrike w:val="0"/>
        <w:shadow w:val="0"/>
        <w:emboss w:val="0"/>
        <w:imprint w:val="0"/>
        <w:vanish w:val="0"/>
        <w:color w:val="auto"/>
        <w:sz w:val="20"/>
        <w:vertAlign w:val="baseline"/>
      </w:rPr>
    </w:lvl>
    <w:lvl w:ilvl="1" w:tplc="25F0C52C">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C37A48"/>
    <w:multiLevelType w:val="multilevel"/>
    <w:tmpl w:val="615EDAC0"/>
    <w:styleLink w:val="StyleOutlinenumberedBefore31cmHanging1cm"/>
    <w:lvl w:ilvl="0">
      <w:start w:val="1"/>
      <w:numFmt w:val="bullet"/>
      <w:lvlText w:val=""/>
      <w:lvlJc w:val="left"/>
      <w:pPr>
        <w:tabs>
          <w:tab w:val="num" w:pos="1627"/>
        </w:tabs>
        <w:ind w:left="1627" w:hanging="720"/>
      </w:pPr>
      <w:rPr>
        <w:rFonts w:ascii="Symbol" w:hAnsi="Symbol" w:cs="Times New Roman" w:hint="default"/>
        <w:sz w:val="22"/>
        <w:szCs w:val="22"/>
      </w:rPr>
    </w:lvl>
    <w:lvl w:ilvl="1">
      <w:start w:val="1"/>
      <w:numFmt w:val="lowerRoman"/>
      <w:lvlText w:val="%2)"/>
      <w:lvlJc w:val="left"/>
      <w:pPr>
        <w:tabs>
          <w:tab w:val="num" w:pos="2155"/>
        </w:tabs>
        <w:ind w:left="2155" w:hanging="511"/>
      </w:pPr>
      <w:rPr>
        <w:rFonts w:hint="default"/>
        <w:sz w:val="22"/>
        <w:szCs w:val="22"/>
      </w:rPr>
    </w:lvl>
    <w:lvl w:ilvl="2">
      <w:start w:val="1"/>
      <w:numFmt w:val="lowerLetter"/>
      <w:lvlText w:val="%3)"/>
      <w:lvlJc w:val="right"/>
      <w:pPr>
        <w:tabs>
          <w:tab w:val="num" w:pos="3572"/>
        </w:tabs>
        <w:ind w:left="3459"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F7D701F"/>
    <w:multiLevelType w:val="hybridMultilevel"/>
    <w:tmpl w:val="B922EBFE"/>
    <w:lvl w:ilvl="0" w:tplc="BA4225D0">
      <w:start w:val="1"/>
      <w:numFmt w:val="decimal"/>
      <w:pStyle w:val="StyleONRNumberedParagraph1Left1"/>
      <w:lvlText w:val="%1"/>
      <w:lvlJc w:val="left"/>
      <w:pPr>
        <w:tabs>
          <w:tab w:val="num" w:pos="907"/>
        </w:tabs>
        <w:ind w:left="907" w:hanging="907"/>
      </w:pPr>
      <w:rPr>
        <w:rFonts w:ascii="Calibri" w:hAnsi="Calibri" w:hint="default"/>
      </w:rPr>
    </w:lvl>
    <w:lvl w:ilvl="1" w:tplc="3774CFE8">
      <w:start w:val="1"/>
      <w:numFmt w:val="bullet"/>
      <w:lvlText w:val=""/>
      <w:lvlJc w:val="left"/>
      <w:pPr>
        <w:tabs>
          <w:tab w:val="num" w:pos="1440"/>
        </w:tabs>
        <w:ind w:left="1440" w:hanging="360"/>
      </w:pPr>
      <w:rPr>
        <w:rFonts w:ascii="Wingdings" w:hAnsi="Wingdings" w:hint="default"/>
        <w:caps w:val="0"/>
        <w:strike w:val="0"/>
        <w:dstrike w:val="0"/>
        <w:outline w:val="0"/>
        <w:shadow w:val="0"/>
        <w:emboss w:val="0"/>
        <w:imprint w:val="0"/>
        <w:vanish w:val="0"/>
        <w:color w:val="333333"/>
        <w:sz w:val="18"/>
        <w:vertAlign w:val="baseli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4676417"/>
    <w:multiLevelType w:val="hybridMultilevel"/>
    <w:tmpl w:val="26B2D82A"/>
    <w:lvl w:ilvl="0" w:tplc="C84C8AB4">
      <w:start w:val="1"/>
      <w:numFmt w:val="decimal"/>
      <w:pStyle w:val="ONRNumberedParagraph1"/>
      <w:lvlText w:val="%1"/>
      <w:lvlJc w:val="left"/>
      <w:pPr>
        <w:tabs>
          <w:tab w:val="num" w:pos="907"/>
        </w:tabs>
        <w:ind w:left="907" w:hanging="907"/>
      </w:pPr>
      <w:rPr>
        <w:rFonts w:ascii="Arial" w:hAnsi="Arial" w:hint="default"/>
        <w:sz w:val="22"/>
      </w:rPr>
    </w:lvl>
    <w:lvl w:ilvl="1" w:tplc="08090003">
      <w:start w:val="1"/>
      <w:numFmt w:val="bullet"/>
      <w:lvlText w:val=""/>
      <w:lvlJc w:val="left"/>
      <w:pPr>
        <w:tabs>
          <w:tab w:val="num" w:pos="2160"/>
        </w:tabs>
        <w:ind w:left="2160" w:hanging="360"/>
      </w:pPr>
      <w:rPr>
        <w:rFonts w:ascii="Wingdings" w:hAnsi="Wingdings" w:hint="default"/>
        <w:caps w:val="0"/>
        <w:strike w:val="0"/>
        <w:dstrike w:val="0"/>
        <w:vanish w:val="0"/>
        <w:color w:val="333333"/>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numFmt w:val="bullet"/>
      <w:lvlText w:val="-"/>
      <w:lvlJc w:val="left"/>
      <w:pPr>
        <w:tabs>
          <w:tab w:val="num" w:pos="3060"/>
        </w:tabs>
        <w:ind w:left="3060" w:hanging="360"/>
      </w:pPr>
      <w:rPr>
        <w:rFonts w:ascii="Calibri" w:eastAsia="Times New Roman" w:hAnsi="Calibri" w:cs="Arial" w:hint="default"/>
      </w:rPr>
    </w:lvl>
    <w:lvl w:ilvl="3" w:tplc="08090001">
      <w:numFmt w:val="bullet"/>
      <w:lvlText w:val="–"/>
      <w:lvlJc w:val="left"/>
      <w:pPr>
        <w:tabs>
          <w:tab w:val="num" w:pos="3600"/>
        </w:tabs>
        <w:ind w:left="3600" w:hanging="360"/>
      </w:pPr>
      <w:rPr>
        <w:rFonts w:ascii="Calibri" w:eastAsia="Times New Roman" w:hAnsi="Calibri" w:cs="Arial" w:hint="default"/>
      </w:rPr>
    </w:lvl>
    <w:lvl w:ilvl="4" w:tplc="08090003" w:tentative="1">
      <w:start w:val="1"/>
      <w:numFmt w:val="lowerLetter"/>
      <w:lvlText w:val="%5."/>
      <w:lvlJc w:val="left"/>
      <w:pPr>
        <w:tabs>
          <w:tab w:val="num" w:pos="4320"/>
        </w:tabs>
        <w:ind w:left="4320" w:hanging="360"/>
      </w:pPr>
    </w:lvl>
    <w:lvl w:ilvl="5" w:tplc="08090005" w:tentative="1">
      <w:start w:val="1"/>
      <w:numFmt w:val="lowerRoman"/>
      <w:lvlText w:val="%6."/>
      <w:lvlJc w:val="right"/>
      <w:pPr>
        <w:tabs>
          <w:tab w:val="num" w:pos="5040"/>
        </w:tabs>
        <w:ind w:left="5040" w:hanging="180"/>
      </w:pPr>
    </w:lvl>
    <w:lvl w:ilvl="6" w:tplc="08090001" w:tentative="1">
      <w:start w:val="1"/>
      <w:numFmt w:val="decimal"/>
      <w:lvlText w:val="%7."/>
      <w:lvlJc w:val="left"/>
      <w:pPr>
        <w:tabs>
          <w:tab w:val="num" w:pos="5760"/>
        </w:tabs>
        <w:ind w:left="5760" w:hanging="360"/>
      </w:pPr>
    </w:lvl>
    <w:lvl w:ilvl="7" w:tplc="08090003" w:tentative="1">
      <w:start w:val="1"/>
      <w:numFmt w:val="lowerLetter"/>
      <w:lvlText w:val="%8."/>
      <w:lvlJc w:val="left"/>
      <w:pPr>
        <w:tabs>
          <w:tab w:val="num" w:pos="6480"/>
        </w:tabs>
        <w:ind w:left="6480" w:hanging="360"/>
      </w:pPr>
    </w:lvl>
    <w:lvl w:ilvl="8" w:tplc="08090005" w:tentative="1">
      <w:start w:val="1"/>
      <w:numFmt w:val="lowerRoman"/>
      <w:lvlText w:val="%9."/>
      <w:lvlJc w:val="right"/>
      <w:pPr>
        <w:tabs>
          <w:tab w:val="num" w:pos="7200"/>
        </w:tabs>
        <w:ind w:left="7200" w:hanging="180"/>
      </w:pPr>
    </w:lvl>
  </w:abstractNum>
  <w:abstractNum w:abstractNumId="17" w15:restartNumberingAfterBreak="0">
    <w:nsid w:val="14D43E8C"/>
    <w:multiLevelType w:val="hybridMultilevel"/>
    <w:tmpl w:val="50C058DE"/>
    <w:lvl w:ilvl="0" w:tplc="FFFFFFFF">
      <w:start w:val="1"/>
      <w:numFmt w:val="bullet"/>
      <w:pStyle w:val="StyleBullet2Left1Firstline0"/>
      <w:lvlText w:val=""/>
      <w:lvlJc w:val="left"/>
      <w:pPr>
        <w:tabs>
          <w:tab w:val="num" w:pos="1174"/>
        </w:tabs>
        <w:ind w:left="117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F44BBD"/>
    <w:multiLevelType w:val="multilevel"/>
    <w:tmpl w:val="8D56C6A0"/>
    <w:styleLink w:val="StyleBulletedSymbolsymbolBefore16cmHanging063cm1"/>
    <w:lvl w:ilvl="0">
      <w:start w:val="1"/>
      <w:numFmt w:val="bullet"/>
      <w:lvlText w:val=""/>
      <w:lvlJc w:val="left"/>
      <w:pPr>
        <w:tabs>
          <w:tab w:val="num" w:pos="1627"/>
        </w:tabs>
        <w:ind w:left="1627" w:hanging="720"/>
      </w:pPr>
      <w:rPr>
        <w:rFonts w:ascii="Symbol" w:hAnsi="Symbol" w:cs="Times New Roman" w:hint="default"/>
        <w:sz w:val="22"/>
        <w:szCs w:val="22"/>
      </w:rPr>
    </w:lvl>
    <w:lvl w:ilvl="1">
      <w:start w:val="1"/>
      <w:numFmt w:val="lowerRoman"/>
      <w:lvlText w:val="%2)"/>
      <w:lvlJc w:val="left"/>
      <w:pPr>
        <w:tabs>
          <w:tab w:val="num" w:pos="1440"/>
        </w:tabs>
        <w:ind w:left="1440" w:hanging="533"/>
      </w:pPr>
      <w:rPr>
        <w:rFonts w:hint="default"/>
        <w:sz w:val="22"/>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BDA1EBA"/>
    <w:multiLevelType w:val="multilevel"/>
    <w:tmpl w:val="1FE4BFDC"/>
    <w:lvl w:ilvl="0">
      <w:start w:val="1"/>
      <w:numFmt w:val="decimal"/>
      <w:pStyle w:val="Heading1"/>
      <w:lvlText w:val="%1"/>
      <w:lvlJc w:val="left"/>
      <w:pPr>
        <w:tabs>
          <w:tab w:val="num" w:pos="907"/>
        </w:tabs>
        <w:ind w:left="907" w:hanging="907"/>
      </w:pPr>
      <w:rPr>
        <w:rFonts w:hint="default"/>
        <w:b/>
        <w:bCs w:val="0"/>
        <w:i w:val="0"/>
        <w:iCs w:val="0"/>
        <w:caps w:val="0"/>
        <w:strike w:val="0"/>
        <w:dstrike w:val="0"/>
        <w:vanish w:val="0"/>
        <w:color w:val="auto"/>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07"/>
        </w:tabs>
        <w:ind w:left="907" w:hanging="907"/>
      </w:pPr>
      <w:rPr>
        <w:rFonts w:ascii="Arial Bold" w:hAnsi="Arial Bold" w:hint="default"/>
        <w:b/>
        <w:i w:val="0"/>
        <w:sz w:val="22"/>
      </w:rPr>
    </w:lvl>
    <w:lvl w:ilvl="2">
      <w:start w:val="1"/>
      <w:numFmt w:val="decimal"/>
      <w:lvlText w:val="%1.%2.%3"/>
      <w:lvlJc w:val="left"/>
      <w:pPr>
        <w:tabs>
          <w:tab w:val="num" w:pos="907"/>
        </w:tabs>
        <w:ind w:left="907" w:hanging="907"/>
      </w:pPr>
      <w:rPr>
        <w:rFonts w:ascii="Arial Bold" w:hAnsi="Arial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907" w:hanging="907"/>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907" w:hanging="907"/>
      </w:pPr>
      <w:rPr>
        <w:rFonts w:hint="default"/>
      </w:rPr>
    </w:lvl>
    <w:lvl w:ilvl="7">
      <w:start w:val="1"/>
      <w:numFmt w:val="decimal"/>
      <w:suff w:val="space"/>
      <w:lvlText w:val="%1.%2.%3.%4.%5.%6.%7.%8"/>
      <w:lvlJc w:val="left"/>
      <w:pPr>
        <w:ind w:left="907" w:hanging="907"/>
      </w:pPr>
      <w:rPr>
        <w:rFonts w:hint="default"/>
      </w:rPr>
    </w:lvl>
    <w:lvl w:ilvl="8">
      <w:start w:val="1"/>
      <w:numFmt w:val="decimal"/>
      <w:suff w:val="space"/>
      <w:lvlText w:val="%1.%2.%3.%4.%5.%6.%7.%8.%9"/>
      <w:lvlJc w:val="left"/>
      <w:pPr>
        <w:ind w:left="907" w:hanging="907"/>
      </w:pPr>
      <w:rPr>
        <w:rFonts w:hint="default"/>
      </w:rPr>
    </w:lvl>
  </w:abstractNum>
  <w:abstractNum w:abstractNumId="20" w15:restartNumberingAfterBreak="0">
    <w:nsid w:val="1C62169E"/>
    <w:multiLevelType w:val="multilevel"/>
    <w:tmpl w:val="C0228C4E"/>
    <w:lvl w:ilvl="0">
      <w:start w:val="1"/>
      <w:numFmt w:val="decimal"/>
      <w:pStyle w:val="StyleONRNumberedParagraph1Left0cmFirstline0cm"/>
      <w:lvlText w:val="%1"/>
      <w:lvlJc w:val="left"/>
      <w:pPr>
        <w:tabs>
          <w:tab w:val="num" w:pos="360"/>
        </w:tabs>
        <w:ind w:left="360" w:hanging="360"/>
      </w:pPr>
      <w:rPr>
        <w:rFonts w:ascii="Arial" w:hAnsi="Arial" w:hint="default"/>
      </w:rPr>
    </w:lvl>
    <w:lvl w:ilvl="1">
      <w:start w:val="2"/>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21" w15:restartNumberingAfterBreak="0">
    <w:nsid w:val="1FB52A2C"/>
    <w:multiLevelType w:val="hybridMultilevel"/>
    <w:tmpl w:val="30B632B6"/>
    <w:lvl w:ilvl="0" w:tplc="33627E42">
      <w:start w:val="1"/>
      <w:numFmt w:val="bullet"/>
      <w:pStyle w:val="StyleBullet2Left1Firstline01"/>
      <w:lvlText w:val=""/>
      <w:lvlJc w:val="left"/>
      <w:pPr>
        <w:tabs>
          <w:tab w:val="num" w:pos="2631"/>
        </w:tabs>
        <w:ind w:left="2631" w:hanging="454"/>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22A41763"/>
    <w:multiLevelType w:val="multilevel"/>
    <w:tmpl w:val="9AF2D6A4"/>
    <w:lvl w:ilvl="0">
      <w:start w:val="1"/>
      <w:numFmt w:val="decimal"/>
      <w:lvlText w:val="A%1."/>
      <w:lvlJc w:val="left"/>
      <w:pPr>
        <w:ind w:left="709" w:hanging="709"/>
      </w:pPr>
      <w:rPr>
        <w:rFonts w:hint="default"/>
      </w:rPr>
    </w:lvl>
    <w:lvl w:ilvl="1">
      <w:start w:val="1"/>
      <w:numFmt w:val="decimal"/>
      <w:pStyle w:val="Appendices"/>
      <w:lvlText w:val="A%1.%2."/>
      <w:lvlJc w:val="left"/>
      <w:pPr>
        <w:ind w:left="5955"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decimal"/>
      <w:lvlText w:val="%1.%2.%3.%4.%5."/>
      <w:lvlJc w:val="left"/>
      <w:pPr>
        <w:ind w:left="3545" w:hanging="709"/>
      </w:pPr>
      <w:rPr>
        <w:rFonts w:hint="default"/>
      </w:rPr>
    </w:lvl>
    <w:lvl w:ilvl="5">
      <w:start w:val="1"/>
      <w:numFmt w:val="decimal"/>
      <w:lvlText w:val="%1.%2.%3.%4.%5.%6."/>
      <w:lvlJc w:val="left"/>
      <w:pPr>
        <w:ind w:left="4254" w:hanging="709"/>
      </w:pPr>
      <w:rPr>
        <w:rFonts w:hint="default"/>
      </w:rPr>
    </w:lvl>
    <w:lvl w:ilvl="6">
      <w:start w:val="1"/>
      <w:numFmt w:val="decimal"/>
      <w:lvlText w:val="%1.%2.%3.%4.%5.%6.%7."/>
      <w:lvlJc w:val="left"/>
      <w:pPr>
        <w:ind w:left="4963" w:hanging="709"/>
      </w:pPr>
      <w:rPr>
        <w:rFonts w:hint="default"/>
      </w:rPr>
    </w:lvl>
    <w:lvl w:ilvl="7">
      <w:start w:val="1"/>
      <w:numFmt w:val="decimal"/>
      <w:lvlText w:val="%1.%2.%3.%4.%5.%6.%7.%8."/>
      <w:lvlJc w:val="left"/>
      <w:pPr>
        <w:ind w:left="5672" w:hanging="709"/>
      </w:pPr>
      <w:rPr>
        <w:rFonts w:hint="default"/>
      </w:rPr>
    </w:lvl>
    <w:lvl w:ilvl="8">
      <w:start w:val="1"/>
      <w:numFmt w:val="decimal"/>
      <w:lvlText w:val="%1.%2.%3.%4.%5.%6.%7.%8.%9."/>
      <w:lvlJc w:val="left"/>
      <w:pPr>
        <w:ind w:left="6381" w:hanging="709"/>
      </w:pPr>
      <w:rPr>
        <w:rFonts w:hint="default"/>
      </w:rPr>
    </w:lvl>
  </w:abstractNum>
  <w:abstractNum w:abstractNumId="23" w15:restartNumberingAfterBreak="0">
    <w:nsid w:val="299020FA"/>
    <w:multiLevelType w:val="singleLevel"/>
    <w:tmpl w:val="2AFA384C"/>
    <w:lvl w:ilvl="0">
      <w:start w:val="1"/>
      <w:numFmt w:val="decimal"/>
      <w:pStyle w:val="Indented"/>
      <w:lvlText w:val="%1"/>
      <w:lvlJc w:val="left"/>
      <w:pPr>
        <w:tabs>
          <w:tab w:val="num" w:pos="360"/>
        </w:tabs>
        <w:ind w:left="360" w:hanging="360"/>
      </w:pPr>
      <w:rPr>
        <w:rFonts w:ascii="Arial" w:hAnsi="Arial" w:hint="default"/>
        <w:sz w:val="20"/>
      </w:rPr>
    </w:lvl>
  </w:abstractNum>
  <w:abstractNum w:abstractNumId="24" w15:restartNumberingAfterBreak="0">
    <w:nsid w:val="2A54220A"/>
    <w:multiLevelType w:val="multilevel"/>
    <w:tmpl w:val="8D56C6A0"/>
    <w:styleLink w:val="StyleOutlinenumberedBefore16cmHanging127cm"/>
    <w:lvl w:ilvl="0">
      <w:start w:val="1"/>
      <w:numFmt w:val="bullet"/>
      <w:lvlText w:val=""/>
      <w:lvlJc w:val="left"/>
      <w:pPr>
        <w:tabs>
          <w:tab w:val="num" w:pos="1627"/>
        </w:tabs>
        <w:ind w:left="1627" w:hanging="720"/>
      </w:pPr>
      <w:rPr>
        <w:rFonts w:ascii="Symbol" w:hAnsi="Symbol" w:cs="Times New Roman" w:hint="default"/>
        <w:sz w:val="22"/>
        <w:szCs w:val="22"/>
      </w:rPr>
    </w:lvl>
    <w:lvl w:ilvl="1">
      <w:start w:val="1"/>
      <w:numFmt w:val="lowerRoman"/>
      <w:lvlText w:val="%2)"/>
      <w:lvlJc w:val="left"/>
      <w:pPr>
        <w:tabs>
          <w:tab w:val="num" w:pos="1440"/>
        </w:tabs>
        <w:ind w:left="1440" w:hanging="533"/>
      </w:pPr>
      <w:rPr>
        <w:rFonts w:hint="default"/>
        <w:sz w:val="22"/>
        <w:szCs w:val="22"/>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68077F4"/>
    <w:multiLevelType w:val="hybridMultilevel"/>
    <w:tmpl w:val="9D844F46"/>
    <w:lvl w:ilvl="0" w:tplc="D5B8A8BA">
      <w:start w:val="1"/>
      <w:numFmt w:val="lowerLetter"/>
      <w:pStyle w:val="Style1"/>
      <w:lvlText w:val="%1"/>
      <w:lvlJc w:val="left"/>
      <w:pPr>
        <w:tabs>
          <w:tab w:val="num" w:pos="680"/>
        </w:tabs>
        <w:ind w:left="680" w:hanging="68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5F666670">
      <w:start w:val="1"/>
      <w:numFmt w:val="none"/>
      <w:lvlText w:val="a)"/>
      <w:lvlJc w:val="left"/>
      <w:pPr>
        <w:tabs>
          <w:tab w:val="num" w:pos="1845"/>
        </w:tabs>
        <w:ind w:left="1845" w:hanging="765"/>
      </w:pPr>
      <w:rPr>
        <w:rFonts w:ascii="Arial" w:hAnsi="Arial" w:hint="default"/>
        <w:b w:val="0"/>
        <w:i w:val="0"/>
        <w:color w:val="auto"/>
        <w:sz w:val="20"/>
      </w:rPr>
    </w:lvl>
    <w:lvl w:ilvl="2" w:tplc="71288328">
      <w:start w:val="1"/>
      <w:numFmt w:val="bullet"/>
      <w:lvlText w:val=""/>
      <w:lvlJc w:val="left"/>
      <w:pPr>
        <w:tabs>
          <w:tab w:val="num" w:pos="2340"/>
        </w:tabs>
        <w:ind w:left="2340" w:hanging="360"/>
      </w:pPr>
      <w:rPr>
        <w:rFonts w:ascii="Symbol" w:hAnsi="Symbol" w:hint="default"/>
        <w:b w:val="0"/>
        <w:i w:val="0"/>
        <w:color w:val="993300"/>
      </w:rPr>
    </w:lvl>
    <w:lvl w:ilvl="3" w:tplc="073E3000">
      <w:numFmt w:val="bullet"/>
      <w:lvlText w:val="-"/>
      <w:lvlJc w:val="left"/>
      <w:pPr>
        <w:tabs>
          <w:tab w:val="num" w:pos="2880"/>
        </w:tabs>
        <w:ind w:left="2880" w:hanging="360"/>
      </w:pPr>
      <w:rPr>
        <w:rFonts w:ascii="Arial" w:eastAsia="Times New Roman" w:hAnsi="Arial" w:cs="Arial" w:hint="default"/>
      </w:rPr>
    </w:lvl>
    <w:lvl w:ilvl="4" w:tplc="DBD28D92">
      <w:start w:val="1"/>
      <w:numFmt w:val="lowerLetter"/>
      <w:lvlText w:val="%5)"/>
      <w:lvlJc w:val="left"/>
      <w:pPr>
        <w:tabs>
          <w:tab w:val="num" w:pos="3780"/>
        </w:tabs>
        <w:ind w:left="3780" w:hanging="540"/>
      </w:pPr>
      <w:rPr>
        <w:rFonts w:ascii="Times New Roman" w:hAnsi="Times New Roman" w:hint="default"/>
      </w:rPr>
    </w:lvl>
    <w:lvl w:ilvl="5" w:tplc="92869656">
      <w:start w:val="1"/>
      <w:numFmt w:val="decimal"/>
      <w:lvlText w:val="%6)"/>
      <w:lvlJc w:val="left"/>
      <w:pPr>
        <w:tabs>
          <w:tab w:val="num" w:pos="4500"/>
        </w:tabs>
        <w:ind w:left="4500" w:hanging="360"/>
      </w:pPr>
      <w:rPr>
        <w:rFonts w:ascii="Arial" w:hAnsi="Arial" w:cs="Arial" w:hint="default"/>
      </w:rPr>
    </w:lvl>
    <w:lvl w:ilvl="6" w:tplc="EC2E36EA">
      <w:start w:val="2"/>
      <w:numFmt w:val="lowerLetter"/>
      <w:lvlText w:val="(%7)"/>
      <w:lvlJc w:val="left"/>
      <w:pPr>
        <w:tabs>
          <w:tab w:val="num" w:pos="5040"/>
        </w:tabs>
        <w:ind w:left="5040" w:hanging="360"/>
      </w:pPr>
      <w:rPr>
        <w:rFonts w:hint="default"/>
      </w:rPr>
    </w:lvl>
    <w:lvl w:ilvl="7" w:tplc="01545A4E" w:tentative="1">
      <w:start w:val="1"/>
      <w:numFmt w:val="lowerLetter"/>
      <w:lvlText w:val="%8."/>
      <w:lvlJc w:val="left"/>
      <w:pPr>
        <w:tabs>
          <w:tab w:val="num" w:pos="5760"/>
        </w:tabs>
        <w:ind w:left="5760" w:hanging="360"/>
      </w:pPr>
    </w:lvl>
    <w:lvl w:ilvl="8" w:tplc="BCAEF6B6" w:tentative="1">
      <w:start w:val="1"/>
      <w:numFmt w:val="lowerRoman"/>
      <w:lvlText w:val="%9."/>
      <w:lvlJc w:val="right"/>
      <w:pPr>
        <w:tabs>
          <w:tab w:val="num" w:pos="6480"/>
        </w:tabs>
        <w:ind w:left="6480" w:hanging="180"/>
      </w:pPr>
    </w:lvl>
  </w:abstractNum>
  <w:abstractNum w:abstractNumId="26" w15:restartNumberingAfterBreak="0">
    <w:nsid w:val="36BF02CC"/>
    <w:multiLevelType w:val="hybridMultilevel"/>
    <w:tmpl w:val="E180A4FE"/>
    <w:lvl w:ilvl="0" w:tplc="26C01AB0">
      <w:start w:val="1"/>
      <w:numFmt w:val="bullet"/>
      <w:pStyle w:val="ONRSquareBullet1"/>
      <w:lvlText w:val=""/>
      <w:lvlJc w:val="left"/>
      <w:pPr>
        <w:tabs>
          <w:tab w:val="num" w:pos="1418"/>
        </w:tabs>
        <w:ind w:left="1418" w:hanging="567"/>
      </w:pPr>
      <w:rPr>
        <w:rFonts w:ascii="Wingdings" w:hAnsi="Wingdings" w:hint="default"/>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247C0D22">
      <w:start w:val="1"/>
      <w:numFmt w:val="bullet"/>
      <w:lvlText w:val="o"/>
      <w:lvlJc w:val="left"/>
      <w:pPr>
        <w:tabs>
          <w:tab w:val="num" w:pos="1440"/>
        </w:tabs>
        <w:ind w:left="1440" w:hanging="360"/>
      </w:pPr>
      <w:rPr>
        <w:rFonts w:ascii="Courier New" w:hAnsi="Courier New" w:cs="Courier New" w:hint="default"/>
      </w:rPr>
    </w:lvl>
    <w:lvl w:ilvl="2" w:tplc="22A473AC" w:tentative="1">
      <w:start w:val="1"/>
      <w:numFmt w:val="bullet"/>
      <w:lvlText w:val=""/>
      <w:lvlJc w:val="left"/>
      <w:pPr>
        <w:tabs>
          <w:tab w:val="num" w:pos="2160"/>
        </w:tabs>
        <w:ind w:left="2160" w:hanging="360"/>
      </w:pPr>
      <w:rPr>
        <w:rFonts w:ascii="Wingdings" w:hAnsi="Wingdings" w:hint="default"/>
      </w:rPr>
    </w:lvl>
    <w:lvl w:ilvl="3" w:tplc="2188E3C8" w:tentative="1">
      <w:start w:val="1"/>
      <w:numFmt w:val="bullet"/>
      <w:lvlText w:val=""/>
      <w:lvlJc w:val="left"/>
      <w:pPr>
        <w:tabs>
          <w:tab w:val="num" w:pos="2880"/>
        </w:tabs>
        <w:ind w:left="2880" w:hanging="360"/>
      </w:pPr>
      <w:rPr>
        <w:rFonts w:ascii="Symbol" w:hAnsi="Symbol" w:hint="default"/>
      </w:rPr>
    </w:lvl>
    <w:lvl w:ilvl="4" w:tplc="0E2864B4" w:tentative="1">
      <w:start w:val="1"/>
      <w:numFmt w:val="bullet"/>
      <w:lvlText w:val="o"/>
      <w:lvlJc w:val="left"/>
      <w:pPr>
        <w:tabs>
          <w:tab w:val="num" w:pos="3600"/>
        </w:tabs>
        <w:ind w:left="3600" w:hanging="360"/>
      </w:pPr>
      <w:rPr>
        <w:rFonts w:ascii="Courier New" w:hAnsi="Courier New" w:cs="Courier New" w:hint="default"/>
      </w:rPr>
    </w:lvl>
    <w:lvl w:ilvl="5" w:tplc="CA86EF68" w:tentative="1">
      <w:start w:val="1"/>
      <w:numFmt w:val="bullet"/>
      <w:lvlText w:val=""/>
      <w:lvlJc w:val="left"/>
      <w:pPr>
        <w:tabs>
          <w:tab w:val="num" w:pos="4320"/>
        </w:tabs>
        <w:ind w:left="4320" w:hanging="360"/>
      </w:pPr>
      <w:rPr>
        <w:rFonts w:ascii="Wingdings" w:hAnsi="Wingdings" w:hint="default"/>
      </w:rPr>
    </w:lvl>
    <w:lvl w:ilvl="6" w:tplc="1128AEA8" w:tentative="1">
      <w:start w:val="1"/>
      <w:numFmt w:val="bullet"/>
      <w:lvlText w:val=""/>
      <w:lvlJc w:val="left"/>
      <w:pPr>
        <w:tabs>
          <w:tab w:val="num" w:pos="5040"/>
        </w:tabs>
        <w:ind w:left="5040" w:hanging="360"/>
      </w:pPr>
      <w:rPr>
        <w:rFonts w:ascii="Symbol" w:hAnsi="Symbol" w:hint="default"/>
      </w:rPr>
    </w:lvl>
    <w:lvl w:ilvl="7" w:tplc="158A969A" w:tentative="1">
      <w:start w:val="1"/>
      <w:numFmt w:val="bullet"/>
      <w:lvlText w:val="o"/>
      <w:lvlJc w:val="left"/>
      <w:pPr>
        <w:tabs>
          <w:tab w:val="num" w:pos="5760"/>
        </w:tabs>
        <w:ind w:left="5760" w:hanging="360"/>
      </w:pPr>
      <w:rPr>
        <w:rFonts w:ascii="Courier New" w:hAnsi="Courier New" w:cs="Courier New" w:hint="default"/>
      </w:rPr>
    </w:lvl>
    <w:lvl w:ilvl="8" w:tplc="1C4272A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AE5F86"/>
    <w:multiLevelType w:val="hybridMultilevel"/>
    <w:tmpl w:val="BE869862"/>
    <w:lvl w:ilvl="0" w:tplc="52D424EE">
      <w:start w:val="1"/>
      <w:numFmt w:val="lowerRoman"/>
      <w:pStyle w:val="Numberi"/>
      <w:lvlText w:val="%1)"/>
      <w:lvlJc w:val="right"/>
      <w:pPr>
        <w:tabs>
          <w:tab w:val="num" w:pos="1656"/>
        </w:tabs>
        <w:ind w:left="1656" w:hanging="360"/>
      </w:pPr>
      <w:rPr>
        <w:rFonts w:ascii="Arial" w:hAnsi="Arial" w:hint="default"/>
        <w:b w:val="0"/>
        <w:i w:val="0"/>
        <w:sz w:val="24"/>
      </w:rPr>
    </w:lvl>
    <w:lvl w:ilvl="1" w:tplc="540CA800" w:tentative="1">
      <w:start w:val="1"/>
      <w:numFmt w:val="lowerLetter"/>
      <w:lvlText w:val="%2."/>
      <w:lvlJc w:val="left"/>
      <w:pPr>
        <w:tabs>
          <w:tab w:val="num" w:pos="1440"/>
        </w:tabs>
        <w:ind w:left="1440" w:hanging="360"/>
      </w:pPr>
    </w:lvl>
    <w:lvl w:ilvl="2" w:tplc="D2A0BC56" w:tentative="1">
      <w:start w:val="1"/>
      <w:numFmt w:val="lowerRoman"/>
      <w:lvlText w:val="%3."/>
      <w:lvlJc w:val="right"/>
      <w:pPr>
        <w:tabs>
          <w:tab w:val="num" w:pos="2160"/>
        </w:tabs>
        <w:ind w:left="2160" w:hanging="180"/>
      </w:pPr>
    </w:lvl>
    <w:lvl w:ilvl="3" w:tplc="4EF21D08" w:tentative="1">
      <w:start w:val="1"/>
      <w:numFmt w:val="decimal"/>
      <w:lvlText w:val="%4."/>
      <w:lvlJc w:val="left"/>
      <w:pPr>
        <w:tabs>
          <w:tab w:val="num" w:pos="2880"/>
        </w:tabs>
        <w:ind w:left="2880" w:hanging="360"/>
      </w:pPr>
    </w:lvl>
    <w:lvl w:ilvl="4" w:tplc="99527B36" w:tentative="1">
      <w:start w:val="1"/>
      <w:numFmt w:val="lowerLetter"/>
      <w:lvlText w:val="%5."/>
      <w:lvlJc w:val="left"/>
      <w:pPr>
        <w:tabs>
          <w:tab w:val="num" w:pos="3600"/>
        </w:tabs>
        <w:ind w:left="3600" w:hanging="360"/>
      </w:pPr>
    </w:lvl>
    <w:lvl w:ilvl="5" w:tplc="71CE672E" w:tentative="1">
      <w:start w:val="1"/>
      <w:numFmt w:val="lowerRoman"/>
      <w:lvlText w:val="%6."/>
      <w:lvlJc w:val="right"/>
      <w:pPr>
        <w:tabs>
          <w:tab w:val="num" w:pos="4320"/>
        </w:tabs>
        <w:ind w:left="4320" w:hanging="180"/>
      </w:pPr>
    </w:lvl>
    <w:lvl w:ilvl="6" w:tplc="1D0A846C"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6D6D1D"/>
    <w:multiLevelType w:val="hybridMultilevel"/>
    <w:tmpl w:val="5044ABF4"/>
    <w:lvl w:ilvl="0" w:tplc="08090001">
      <w:start w:val="1"/>
      <w:numFmt w:val="bullet"/>
      <w:pStyle w:val="StyleListBulletAfter0pt"/>
      <w:lvlText w:val=""/>
      <w:lvlJc w:val="left"/>
      <w:pPr>
        <w:tabs>
          <w:tab w:val="num" w:pos="1440"/>
        </w:tabs>
        <w:ind w:left="1440" w:hanging="360"/>
      </w:pPr>
      <w:rPr>
        <w:rFonts w:ascii="Wingdings" w:hAnsi="Wingdings" w:hint="default"/>
        <w:caps w:val="0"/>
        <w:strike w:val="0"/>
        <w:dstrike w:val="0"/>
        <w:outline w:val="0"/>
        <w:shadow w:val="0"/>
        <w:emboss w:val="0"/>
        <w:imprint w:val="0"/>
        <w:vanish w:val="0"/>
        <w:color w:val="4D4D4D"/>
        <w:sz w:val="20"/>
        <w:vertAlign w:val="baseline"/>
      </w:rPr>
    </w:lvl>
    <w:lvl w:ilvl="1" w:tplc="08090003">
      <w:start w:val="1"/>
      <w:numFmt w:val="bullet"/>
      <w:lvlText w:val=""/>
      <w:lvlJc w:val="left"/>
      <w:pPr>
        <w:tabs>
          <w:tab w:val="num" w:pos="2160"/>
        </w:tabs>
        <w:ind w:left="2160" w:hanging="360"/>
      </w:pPr>
      <w:rPr>
        <w:rFonts w:ascii="Symbol" w:hAnsi="Symbol" w:hint="default"/>
        <w:caps w:val="0"/>
        <w:strike w:val="0"/>
        <w:dstrike w:val="0"/>
        <w:outline w:val="0"/>
        <w:shadow w:val="0"/>
        <w:emboss w:val="0"/>
        <w:imprint w:val="0"/>
        <w:vanish w:val="0"/>
        <w:color w:val="auto"/>
        <w:sz w:val="20"/>
        <w:vertAlign w:val="baseline"/>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A131EFE"/>
    <w:multiLevelType w:val="multilevel"/>
    <w:tmpl w:val="603C673E"/>
    <w:lvl w:ilvl="0">
      <w:start w:val="1"/>
      <w:numFmt w:val="decimal"/>
      <w:pStyle w:val="Numb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30" w15:restartNumberingAfterBreak="0">
    <w:nsid w:val="4199588E"/>
    <w:multiLevelType w:val="multilevel"/>
    <w:tmpl w:val="8D56C6A0"/>
    <w:styleLink w:val="StyleBulletedWingdingssymbolBefore317cmHanging06"/>
    <w:lvl w:ilvl="0">
      <w:start w:val="1"/>
      <w:numFmt w:val="bullet"/>
      <w:lvlText w:val=""/>
      <w:lvlJc w:val="left"/>
      <w:pPr>
        <w:tabs>
          <w:tab w:val="num" w:pos="1080"/>
        </w:tabs>
        <w:ind w:left="1080" w:hanging="720"/>
      </w:pPr>
      <w:rPr>
        <w:rFonts w:ascii="Symbol" w:hAnsi="Symbol" w:cs="Times New Roman" w:hint="default"/>
        <w:color w:val="auto"/>
        <w:sz w:val="22"/>
        <w:szCs w:val="22"/>
      </w:rPr>
    </w:lvl>
    <w:lvl w:ilvl="1">
      <w:start w:val="1"/>
      <w:numFmt w:val="lowerRoman"/>
      <w:lvlText w:val="%2)"/>
      <w:lvlJc w:val="left"/>
      <w:pPr>
        <w:tabs>
          <w:tab w:val="num" w:pos="893"/>
        </w:tabs>
        <w:ind w:left="893" w:hanging="533"/>
      </w:pPr>
      <w:rPr>
        <w:rFonts w:hint="default"/>
        <w:sz w:val="22"/>
      </w:rPr>
    </w:lvl>
    <w:lvl w:ilvl="2">
      <w:start w:val="1"/>
      <w:numFmt w:val="lowerLetter"/>
      <w:lvlText w:val="%3)"/>
      <w:lvlJc w:val="right"/>
      <w:pPr>
        <w:tabs>
          <w:tab w:val="num" w:pos="1613"/>
        </w:tabs>
        <w:ind w:left="1613" w:hanging="180"/>
      </w:pPr>
      <w:rPr>
        <w:rFonts w:hint="default"/>
        <w:sz w:val="22"/>
        <w:szCs w:val="22"/>
      </w:rPr>
    </w:lvl>
    <w:lvl w:ilvl="3">
      <w:start w:val="1"/>
      <w:numFmt w:val="decimal"/>
      <w:lvlText w:val="%4."/>
      <w:lvlJc w:val="left"/>
      <w:pPr>
        <w:tabs>
          <w:tab w:val="num" w:pos="2333"/>
        </w:tabs>
        <w:ind w:left="2333" w:hanging="360"/>
      </w:pPr>
      <w:rPr>
        <w:rFonts w:hint="default"/>
      </w:rPr>
    </w:lvl>
    <w:lvl w:ilvl="4">
      <w:start w:val="1"/>
      <w:numFmt w:val="lowerLetter"/>
      <w:lvlText w:val="%5."/>
      <w:lvlJc w:val="left"/>
      <w:pPr>
        <w:tabs>
          <w:tab w:val="num" w:pos="3053"/>
        </w:tabs>
        <w:ind w:left="3053" w:hanging="360"/>
      </w:pPr>
      <w:rPr>
        <w:rFonts w:hint="default"/>
      </w:rPr>
    </w:lvl>
    <w:lvl w:ilvl="5">
      <w:start w:val="1"/>
      <w:numFmt w:val="lowerRoman"/>
      <w:lvlText w:val="%6."/>
      <w:lvlJc w:val="right"/>
      <w:pPr>
        <w:tabs>
          <w:tab w:val="num" w:pos="3773"/>
        </w:tabs>
        <w:ind w:left="3773" w:hanging="180"/>
      </w:pPr>
      <w:rPr>
        <w:rFonts w:hint="default"/>
      </w:rPr>
    </w:lvl>
    <w:lvl w:ilvl="6">
      <w:start w:val="1"/>
      <w:numFmt w:val="decimal"/>
      <w:lvlText w:val="%7."/>
      <w:lvlJc w:val="left"/>
      <w:pPr>
        <w:tabs>
          <w:tab w:val="num" w:pos="4493"/>
        </w:tabs>
        <w:ind w:left="4493" w:hanging="360"/>
      </w:pPr>
      <w:rPr>
        <w:rFonts w:hint="default"/>
      </w:rPr>
    </w:lvl>
    <w:lvl w:ilvl="7">
      <w:start w:val="1"/>
      <w:numFmt w:val="lowerLetter"/>
      <w:lvlText w:val="%8."/>
      <w:lvlJc w:val="left"/>
      <w:pPr>
        <w:tabs>
          <w:tab w:val="num" w:pos="5213"/>
        </w:tabs>
        <w:ind w:left="5213" w:hanging="360"/>
      </w:pPr>
      <w:rPr>
        <w:rFonts w:hint="default"/>
      </w:rPr>
    </w:lvl>
    <w:lvl w:ilvl="8">
      <w:start w:val="1"/>
      <w:numFmt w:val="lowerRoman"/>
      <w:lvlText w:val="%9."/>
      <w:lvlJc w:val="right"/>
      <w:pPr>
        <w:tabs>
          <w:tab w:val="num" w:pos="5933"/>
        </w:tabs>
        <w:ind w:left="5933" w:hanging="180"/>
      </w:pPr>
      <w:rPr>
        <w:rFonts w:hint="default"/>
      </w:rPr>
    </w:lvl>
  </w:abstractNum>
  <w:abstractNum w:abstractNumId="31" w15:restartNumberingAfterBreak="0">
    <w:nsid w:val="44610F5C"/>
    <w:multiLevelType w:val="hybridMultilevel"/>
    <w:tmpl w:val="01988256"/>
    <w:lvl w:ilvl="0" w:tplc="FFFFFFFF">
      <w:start w:val="1"/>
      <w:numFmt w:val="bullet"/>
      <w:pStyle w:val="ONRRoundBullet1"/>
      <w:lvlText w:val=""/>
      <w:lvlJc w:val="left"/>
      <w:pPr>
        <w:tabs>
          <w:tab w:val="num" w:pos="1418"/>
        </w:tabs>
        <w:ind w:left="1418" w:hanging="567"/>
      </w:pPr>
      <w:rPr>
        <w:rFonts w:ascii="Symbol" w:hAnsi="Symbol" w:hint="default"/>
        <w:color w:val="333333"/>
        <w:sz w:val="28"/>
      </w:rPr>
    </w:lvl>
    <w:lvl w:ilvl="1" w:tplc="8A7C5D52">
      <w:start w:val="1"/>
      <w:numFmt w:val="decimal"/>
      <w:lvlText w:val="%2"/>
      <w:lvlJc w:val="left"/>
      <w:pPr>
        <w:tabs>
          <w:tab w:val="num" w:pos="1931"/>
        </w:tabs>
        <w:ind w:left="1931" w:hanging="851"/>
      </w:pPr>
      <w:rPr>
        <w:rFonts w:ascii="Arial" w:hAnsi="Arial" w:hint="default"/>
        <w:caps w:val="0"/>
        <w:strike w:val="0"/>
        <w:dstrike w:val="0"/>
        <w:vanish w:val="0"/>
        <w:color w:val="333333"/>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DE38A0"/>
    <w:multiLevelType w:val="multilevel"/>
    <w:tmpl w:val="EB606C10"/>
    <w:styleLink w:val="StyleStyleOutlinenumberedBefore31cmHanging1cmOutli"/>
    <w:lvl w:ilvl="0">
      <w:start w:val="1"/>
      <w:numFmt w:val="bullet"/>
      <w:lvlText w:val=""/>
      <w:lvlJc w:val="left"/>
      <w:pPr>
        <w:tabs>
          <w:tab w:val="num" w:pos="1627"/>
        </w:tabs>
        <w:ind w:left="1627" w:hanging="720"/>
      </w:pPr>
      <w:rPr>
        <w:rFonts w:ascii="Symbol" w:hAnsi="Symbol" w:cs="Times New Roman" w:hint="default"/>
        <w:sz w:val="22"/>
        <w:szCs w:val="22"/>
      </w:rPr>
    </w:lvl>
    <w:lvl w:ilvl="1">
      <w:start w:val="1"/>
      <w:numFmt w:val="lowerRoman"/>
      <w:lvlText w:val="%2)"/>
      <w:lvlJc w:val="left"/>
      <w:pPr>
        <w:tabs>
          <w:tab w:val="num" w:pos="2155"/>
        </w:tabs>
        <w:ind w:left="2155" w:hanging="511"/>
      </w:pPr>
      <w:rPr>
        <w:rFonts w:hint="default"/>
        <w:sz w:val="22"/>
        <w:szCs w:val="22"/>
      </w:rPr>
    </w:lvl>
    <w:lvl w:ilvl="2">
      <w:start w:val="1"/>
      <w:numFmt w:val="lowerLetter"/>
      <w:lvlText w:val="%3)"/>
      <w:lvlJc w:val="left"/>
      <w:pPr>
        <w:tabs>
          <w:tab w:val="num" w:pos="2835"/>
        </w:tabs>
        <w:ind w:left="2835" w:hanging="624"/>
      </w:pPr>
      <w:rPr>
        <w:rFonts w:hint="default"/>
        <w:sz w:val="22"/>
        <w:szCs w:val="22"/>
      </w:rPr>
    </w:lvl>
    <w:lvl w:ilvl="3">
      <w:start w:val="1"/>
      <w:numFmt w:val="bullet"/>
      <w:lvlText w:val=""/>
      <w:lvlJc w:val="left"/>
      <w:pPr>
        <w:tabs>
          <w:tab w:val="num" w:pos="2880"/>
        </w:tabs>
        <w:ind w:left="3912" w:hanging="1020"/>
      </w:pPr>
      <w:rPr>
        <w:rFonts w:ascii="Symbol" w:hAnsi="Symbol" w:cs="Times New Roman" w:hint="default"/>
        <w:color w:val="auto"/>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7664516"/>
    <w:multiLevelType w:val="multilevel"/>
    <w:tmpl w:val="D6C27724"/>
    <w:styleLink w:val="StyleOutlinenumberedBefore349cmHanging032cm"/>
    <w:lvl w:ilvl="0">
      <w:start w:val="1"/>
      <w:numFmt w:val="decimal"/>
      <w:lvlText w:val="%1"/>
      <w:lvlJc w:val="left"/>
      <w:pPr>
        <w:tabs>
          <w:tab w:val="num" w:pos="1701"/>
        </w:tabs>
        <w:ind w:left="1701" w:hanging="794"/>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531"/>
        </w:tabs>
        <w:ind w:left="1531" w:hanging="567"/>
      </w:pPr>
      <w:rPr>
        <w:rFonts w:ascii="Symbol" w:hAnsi="Symbol" w:cs="Times New Roman" w:hint="default"/>
        <w:sz w:val="22"/>
        <w:szCs w:val="22"/>
      </w:rPr>
    </w:lvl>
    <w:lvl w:ilvl="2">
      <w:start w:val="1"/>
      <w:numFmt w:val="lowerRoman"/>
      <w:lvlText w:val="%3)"/>
      <w:lvlJc w:val="left"/>
      <w:pPr>
        <w:tabs>
          <w:tab w:val="num" w:pos="1985"/>
        </w:tabs>
        <w:ind w:left="1985" w:hanging="397"/>
      </w:pPr>
      <w:rPr>
        <w:rFonts w:hint="default"/>
        <w:sz w:val="22"/>
        <w:szCs w:val="22"/>
      </w:rPr>
    </w:lvl>
    <w:lvl w:ilvl="3">
      <w:start w:val="1"/>
      <w:numFmt w:val="lowerLetter"/>
      <w:lvlText w:val="%4)"/>
      <w:lvlJc w:val="left"/>
      <w:pPr>
        <w:tabs>
          <w:tab w:val="num" w:pos="2665"/>
        </w:tabs>
        <w:ind w:left="2665" w:hanging="68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13B7A79"/>
    <w:multiLevelType w:val="multilevel"/>
    <w:tmpl w:val="503EBDC0"/>
    <w:lvl w:ilvl="0">
      <w:start w:val="1"/>
      <w:numFmt w:val="decimal"/>
      <w:pStyle w:val="NumberedHeading"/>
      <w:lvlText w:val="%1."/>
      <w:lvlJc w:val="left"/>
      <w:pPr>
        <w:tabs>
          <w:tab w:val="num" w:pos="-31680"/>
        </w:tabs>
        <w:ind w:left="862" w:hanging="720"/>
      </w:pPr>
      <w:rPr>
        <w:rFonts w:hint="default"/>
        <w:b/>
      </w:rPr>
    </w:lvl>
    <w:lvl w:ilvl="1">
      <w:start w:val="1"/>
      <w:numFmt w:val="decimal"/>
      <w:pStyle w:val="NumberedParagraph"/>
      <w:lvlText w:val="%1.%2."/>
      <w:lvlJc w:val="left"/>
      <w:pPr>
        <w:tabs>
          <w:tab w:val="num" w:pos="-29696"/>
        </w:tabs>
        <w:ind w:left="313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2D57FC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785590C"/>
    <w:multiLevelType w:val="multilevel"/>
    <w:tmpl w:val="1B3C2DD2"/>
    <w:lvl w:ilvl="0">
      <w:start w:val="1"/>
      <w:numFmt w:val="decimal"/>
      <w:pStyle w:val="Maintext"/>
      <w:lvlText w:val="%1"/>
      <w:lvlJc w:val="left"/>
      <w:pPr>
        <w:tabs>
          <w:tab w:val="num" w:pos="709"/>
        </w:tabs>
        <w:ind w:left="709" w:hanging="709"/>
      </w:pPr>
    </w:lvl>
    <w:lvl w:ilvl="1">
      <w:start w:val="1"/>
      <w:numFmt w:val="decimal"/>
      <w:pStyle w:val="subtext2"/>
      <w:lvlText w:val="%1.%2"/>
      <w:lvlJc w:val="left"/>
      <w:pPr>
        <w:tabs>
          <w:tab w:val="num" w:pos="720"/>
        </w:tabs>
        <w:ind w:left="0" w:firstLine="0"/>
      </w:pPr>
    </w:lvl>
    <w:lvl w:ilvl="2">
      <w:start w:val="1"/>
      <w:numFmt w:val="decimal"/>
      <w:pStyle w:val="subsubtext"/>
      <w:lvlText w:val="%1.%2.%3"/>
      <w:lvlJc w:val="left"/>
      <w:pPr>
        <w:tabs>
          <w:tab w:val="num" w:pos="72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lowerLetter"/>
      <w:pStyle w:val="subtext"/>
      <w:lvlText w:val="%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A121B7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5C630479"/>
    <w:multiLevelType w:val="hybridMultilevel"/>
    <w:tmpl w:val="1D9074CA"/>
    <w:lvl w:ilvl="0" w:tplc="F93050FC">
      <w:start w:val="1"/>
      <w:numFmt w:val="bullet"/>
      <w:pStyle w:val="TSBullet2Circ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B17CA"/>
    <w:multiLevelType w:val="multilevel"/>
    <w:tmpl w:val="AFA85E52"/>
    <w:styleLink w:val="StyleBulletedSymbolsymbolBefore19cmHanging063cm"/>
    <w:lvl w:ilvl="0">
      <w:start w:val="1"/>
      <w:numFmt w:val="decimal"/>
      <w:lvlText w:val="%1"/>
      <w:lvlJc w:val="left"/>
      <w:pPr>
        <w:tabs>
          <w:tab w:val="num" w:pos="1627"/>
        </w:tabs>
        <w:ind w:left="1627" w:hanging="720"/>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533"/>
      </w:pPr>
      <w:rPr>
        <w:rFonts w:ascii="Symbol" w:hAnsi="Symbol"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4112BFF"/>
    <w:multiLevelType w:val="hybridMultilevel"/>
    <w:tmpl w:val="B78E6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CB65D8"/>
    <w:multiLevelType w:val="multilevel"/>
    <w:tmpl w:val="A60CC41E"/>
    <w:lvl w:ilvl="0">
      <w:start w:val="1"/>
      <w:numFmt w:val="decimal"/>
      <w:lvlText w:val="%1"/>
      <w:lvlJc w:val="left"/>
      <w:pPr>
        <w:tabs>
          <w:tab w:val="num" w:pos="360"/>
        </w:tabs>
        <w:ind w:left="360" w:hanging="360"/>
      </w:pPr>
      <w:rPr>
        <w:rFonts w:hint="default"/>
      </w:rPr>
    </w:lvl>
    <w:lvl w:ilvl="1">
      <w:start w:val="2"/>
      <w:numFmt w:val="decimal"/>
      <w:pStyle w:val="StyleHeading2ArialAfter6pt"/>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D7E58AF"/>
    <w:multiLevelType w:val="hybridMultilevel"/>
    <w:tmpl w:val="1278FE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0C2195C"/>
    <w:multiLevelType w:val="hybridMultilevel"/>
    <w:tmpl w:val="BBEE450A"/>
    <w:lvl w:ilvl="0" w:tplc="EBEA34CA">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4FBA1DE2">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D033FE"/>
    <w:multiLevelType w:val="multilevel"/>
    <w:tmpl w:val="9EEEB0A4"/>
    <w:styleLink w:val="StyleOutlinenumberedBefore16cmHanging094cm"/>
    <w:lvl w:ilvl="0">
      <w:start w:val="1"/>
      <w:numFmt w:val="bullet"/>
      <w:lvlText w:val=""/>
      <w:lvlJc w:val="left"/>
      <w:pPr>
        <w:tabs>
          <w:tab w:val="num" w:pos="1627"/>
        </w:tabs>
        <w:ind w:left="1627" w:hanging="720"/>
      </w:pPr>
      <w:rPr>
        <w:rFonts w:ascii="Symbol" w:hAnsi="Symbol" w:cs="Times New Roman" w:hint="default"/>
        <w:sz w:val="22"/>
        <w:szCs w:val="22"/>
      </w:rPr>
    </w:lvl>
    <w:lvl w:ilvl="1">
      <w:start w:val="1"/>
      <w:numFmt w:val="lowerRoman"/>
      <w:lvlText w:val="%2)"/>
      <w:lvlJc w:val="left"/>
      <w:pPr>
        <w:tabs>
          <w:tab w:val="num" w:pos="2155"/>
        </w:tabs>
        <w:ind w:left="2325" w:hanging="567"/>
      </w:pPr>
      <w:rPr>
        <w:rFonts w:hint="default"/>
        <w:sz w:val="22"/>
        <w:szCs w:val="22"/>
      </w:rPr>
    </w:lvl>
    <w:lvl w:ilvl="2">
      <w:start w:val="1"/>
      <w:numFmt w:val="lowerLetter"/>
      <w:lvlText w:val="%3)"/>
      <w:lvlJc w:val="right"/>
      <w:pPr>
        <w:tabs>
          <w:tab w:val="num" w:pos="3572"/>
        </w:tabs>
        <w:ind w:left="3459"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BD14B83"/>
    <w:multiLevelType w:val="hybridMultilevel"/>
    <w:tmpl w:val="6358A856"/>
    <w:lvl w:ilvl="0" w:tplc="FFFFFFFF">
      <w:start w:val="1"/>
      <w:numFmt w:val="bullet"/>
      <w:pStyle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DC6614"/>
    <w:multiLevelType w:val="hybridMultilevel"/>
    <w:tmpl w:val="35E28304"/>
    <w:lvl w:ilvl="0" w:tplc="918E8D2E">
      <w:start w:val="1"/>
      <w:numFmt w:val="decimal"/>
      <w:pStyle w:val="Style3"/>
      <w:lvlText w:val="%1"/>
      <w:lvlJc w:val="left"/>
      <w:pPr>
        <w:tabs>
          <w:tab w:val="num" w:pos="360"/>
        </w:tabs>
        <w:ind w:left="227" w:hanging="227"/>
      </w:pPr>
      <w:rPr>
        <w:rFonts w:ascii="Arial" w:hAnsi="Arial" w:hint="default"/>
        <w:b w:val="0"/>
        <w:i w:val="0"/>
        <w:caps w:val="0"/>
        <w:strike w:val="0"/>
        <w:dstrike w:val="0"/>
        <w:shadow w:val="0"/>
        <w:emboss w:val="0"/>
        <w:imprint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35"/>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7"/>
  </w:num>
  <w:num w:numId="16">
    <w:abstractNumId w:val="16"/>
  </w:num>
  <w:num w:numId="17">
    <w:abstractNumId w:val="31"/>
  </w:num>
  <w:num w:numId="18">
    <w:abstractNumId w:val="26"/>
  </w:num>
  <w:num w:numId="19">
    <w:abstractNumId w:val="17"/>
  </w:num>
  <w:num w:numId="20">
    <w:abstractNumId w:val="21"/>
  </w:num>
  <w:num w:numId="21">
    <w:abstractNumId w:val="12"/>
  </w:num>
  <w:num w:numId="22">
    <w:abstractNumId w:val="18"/>
  </w:num>
  <w:num w:numId="23">
    <w:abstractNumId w:val="39"/>
  </w:num>
  <w:num w:numId="24">
    <w:abstractNumId w:val="30"/>
  </w:num>
  <w:num w:numId="25">
    <w:abstractNumId w:val="44"/>
  </w:num>
  <w:num w:numId="26">
    <w:abstractNumId w:val="24"/>
  </w:num>
  <w:num w:numId="27">
    <w:abstractNumId w:val="14"/>
  </w:num>
  <w:num w:numId="28">
    <w:abstractNumId w:val="33"/>
  </w:num>
  <w:num w:numId="29">
    <w:abstractNumId w:val="32"/>
  </w:num>
  <w:num w:numId="30">
    <w:abstractNumId w:val="34"/>
  </w:num>
  <w:num w:numId="31">
    <w:abstractNumId w:val="25"/>
  </w:num>
  <w:num w:numId="32">
    <w:abstractNumId w:val="11"/>
  </w:num>
  <w:num w:numId="33">
    <w:abstractNumId w:val="43"/>
  </w:num>
  <w:num w:numId="34">
    <w:abstractNumId w:val="38"/>
  </w:num>
  <w:num w:numId="35">
    <w:abstractNumId w:val="22"/>
  </w:num>
  <w:num w:numId="36">
    <w:abstractNumId w:val="41"/>
  </w:num>
  <w:num w:numId="37">
    <w:abstractNumId w:val="20"/>
  </w:num>
  <w:num w:numId="38">
    <w:abstractNumId w:val="10"/>
  </w:num>
  <w:num w:numId="39">
    <w:abstractNumId w:val="13"/>
  </w:num>
  <w:num w:numId="40">
    <w:abstractNumId w:val="46"/>
  </w:num>
  <w:num w:numId="41">
    <w:abstractNumId w:val="28"/>
  </w:num>
  <w:num w:numId="42">
    <w:abstractNumId w:val="45"/>
  </w:num>
  <w:num w:numId="43">
    <w:abstractNumId w:val="36"/>
  </w:num>
  <w:num w:numId="44">
    <w:abstractNumId w:val="15"/>
  </w:num>
  <w:num w:numId="45">
    <w:abstractNumId w:val="23"/>
  </w:num>
  <w:num w:numId="46">
    <w:abstractNumId w:val="16"/>
    <w:lvlOverride w:ilvl="0">
      <w:startOverride w:val="1"/>
    </w:lvlOverride>
  </w:num>
  <w:num w:numId="47">
    <w:abstractNumId w:val="42"/>
  </w:num>
  <w:num w:numId="48">
    <w:abstractNumId w:val="16"/>
    <w:lvlOverride w:ilvl="0">
      <w:startOverride w:val="1"/>
    </w:lvlOverride>
  </w:num>
  <w:num w:numId="49">
    <w:abstractNumId w:val="16"/>
    <w:lvlOverride w:ilvl="0">
      <w:startOverride w:val="1"/>
    </w:lvlOverride>
  </w:num>
  <w:num w:numId="50">
    <w:abstractNumId w:val="40"/>
  </w:num>
  <w:num w:numId="51">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lickAndTypeStyle w:val="ONRNormal"/>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colormru v:ext="edit" colors="#cc0"/>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F2E"/>
    <w:rsid w:val="000002B4"/>
    <w:rsid w:val="00000766"/>
    <w:rsid w:val="000018AA"/>
    <w:rsid w:val="00001FBE"/>
    <w:rsid w:val="00001FD0"/>
    <w:rsid w:val="0000249C"/>
    <w:rsid w:val="00002E22"/>
    <w:rsid w:val="000036ED"/>
    <w:rsid w:val="00003C33"/>
    <w:rsid w:val="00003CD3"/>
    <w:rsid w:val="000043CD"/>
    <w:rsid w:val="000043E8"/>
    <w:rsid w:val="00004A80"/>
    <w:rsid w:val="00004C7B"/>
    <w:rsid w:val="00004D59"/>
    <w:rsid w:val="000054B5"/>
    <w:rsid w:val="00006040"/>
    <w:rsid w:val="00007712"/>
    <w:rsid w:val="0000779D"/>
    <w:rsid w:val="00007E98"/>
    <w:rsid w:val="00010384"/>
    <w:rsid w:val="00010456"/>
    <w:rsid w:val="00010BF3"/>
    <w:rsid w:val="000117C5"/>
    <w:rsid w:val="00011C98"/>
    <w:rsid w:val="00012B16"/>
    <w:rsid w:val="000139D9"/>
    <w:rsid w:val="00013BAB"/>
    <w:rsid w:val="00014172"/>
    <w:rsid w:val="00014835"/>
    <w:rsid w:val="000148DF"/>
    <w:rsid w:val="00014E35"/>
    <w:rsid w:val="00014EF4"/>
    <w:rsid w:val="00016434"/>
    <w:rsid w:val="00016544"/>
    <w:rsid w:val="000169BD"/>
    <w:rsid w:val="00017164"/>
    <w:rsid w:val="00017C65"/>
    <w:rsid w:val="00017DAC"/>
    <w:rsid w:val="00020569"/>
    <w:rsid w:val="00020F48"/>
    <w:rsid w:val="00020FDC"/>
    <w:rsid w:val="00021100"/>
    <w:rsid w:val="000219B9"/>
    <w:rsid w:val="00021B09"/>
    <w:rsid w:val="000223B1"/>
    <w:rsid w:val="00022A41"/>
    <w:rsid w:val="00022F60"/>
    <w:rsid w:val="000230D4"/>
    <w:rsid w:val="00023299"/>
    <w:rsid w:val="00023446"/>
    <w:rsid w:val="000239C2"/>
    <w:rsid w:val="00023CB4"/>
    <w:rsid w:val="000242A8"/>
    <w:rsid w:val="0002491D"/>
    <w:rsid w:val="00025769"/>
    <w:rsid w:val="000257C2"/>
    <w:rsid w:val="00025BE6"/>
    <w:rsid w:val="000263D0"/>
    <w:rsid w:val="00027276"/>
    <w:rsid w:val="00027984"/>
    <w:rsid w:val="00030200"/>
    <w:rsid w:val="000317F9"/>
    <w:rsid w:val="00031A00"/>
    <w:rsid w:val="00032372"/>
    <w:rsid w:val="000325A2"/>
    <w:rsid w:val="000331B4"/>
    <w:rsid w:val="000334EF"/>
    <w:rsid w:val="0003426E"/>
    <w:rsid w:val="000347B3"/>
    <w:rsid w:val="00034DAB"/>
    <w:rsid w:val="00035BAD"/>
    <w:rsid w:val="000360D1"/>
    <w:rsid w:val="0003642A"/>
    <w:rsid w:val="0003666B"/>
    <w:rsid w:val="000366AF"/>
    <w:rsid w:val="0003675B"/>
    <w:rsid w:val="000368D6"/>
    <w:rsid w:val="000369ED"/>
    <w:rsid w:val="00037085"/>
    <w:rsid w:val="00037AF3"/>
    <w:rsid w:val="00040134"/>
    <w:rsid w:val="00040161"/>
    <w:rsid w:val="00040405"/>
    <w:rsid w:val="00040B49"/>
    <w:rsid w:val="00040FEA"/>
    <w:rsid w:val="0004180E"/>
    <w:rsid w:val="0004223A"/>
    <w:rsid w:val="000424A7"/>
    <w:rsid w:val="00042768"/>
    <w:rsid w:val="00042907"/>
    <w:rsid w:val="00042BCE"/>
    <w:rsid w:val="00043553"/>
    <w:rsid w:val="00043D35"/>
    <w:rsid w:val="00044B46"/>
    <w:rsid w:val="000450EA"/>
    <w:rsid w:val="000453AF"/>
    <w:rsid w:val="00046130"/>
    <w:rsid w:val="000462A8"/>
    <w:rsid w:val="00046379"/>
    <w:rsid w:val="0004676D"/>
    <w:rsid w:val="00046DEF"/>
    <w:rsid w:val="00046FA3"/>
    <w:rsid w:val="00047243"/>
    <w:rsid w:val="0004743C"/>
    <w:rsid w:val="000475B8"/>
    <w:rsid w:val="00047AC6"/>
    <w:rsid w:val="00047D64"/>
    <w:rsid w:val="00050190"/>
    <w:rsid w:val="00050760"/>
    <w:rsid w:val="00050A53"/>
    <w:rsid w:val="00050BC1"/>
    <w:rsid w:val="00050C2E"/>
    <w:rsid w:val="00050E3F"/>
    <w:rsid w:val="00051387"/>
    <w:rsid w:val="00051B4C"/>
    <w:rsid w:val="00051DF5"/>
    <w:rsid w:val="0005232E"/>
    <w:rsid w:val="000531A2"/>
    <w:rsid w:val="000538BA"/>
    <w:rsid w:val="0005395B"/>
    <w:rsid w:val="00053E1B"/>
    <w:rsid w:val="00053EC9"/>
    <w:rsid w:val="00054189"/>
    <w:rsid w:val="000541DF"/>
    <w:rsid w:val="00054779"/>
    <w:rsid w:val="00055153"/>
    <w:rsid w:val="0005589D"/>
    <w:rsid w:val="00056040"/>
    <w:rsid w:val="0005634E"/>
    <w:rsid w:val="00056981"/>
    <w:rsid w:val="00056CFE"/>
    <w:rsid w:val="00057356"/>
    <w:rsid w:val="0005735C"/>
    <w:rsid w:val="00060891"/>
    <w:rsid w:val="00060FFE"/>
    <w:rsid w:val="0006119B"/>
    <w:rsid w:val="000615C5"/>
    <w:rsid w:val="000619C8"/>
    <w:rsid w:val="00061A06"/>
    <w:rsid w:val="0006217A"/>
    <w:rsid w:val="00062799"/>
    <w:rsid w:val="00062E5B"/>
    <w:rsid w:val="000632B9"/>
    <w:rsid w:val="00063D07"/>
    <w:rsid w:val="00063DA5"/>
    <w:rsid w:val="0006440B"/>
    <w:rsid w:val="00064908"/>
    <w:rsid w:val="00064EA8"/>
    <w:rsid w:val="000650C8"/>
    <w:rsid w:val="00065955"/>
    <w:rsid w:val="00065C27"/>
    <w:rsid w:val="00065D96"/>
    <w:rsid w:val="000660B8"/>
    <w:rsid w:val="00066F0F"/>
    <w:rsid w:val="000670BF"/>
    <w:rsid w:val="0006750F"/>
    <w:rsid w:val="00067554"/>
    <w:rsid w:val="0007149E"/>
    <w:rsid w:val="00071AF9"/>
    <w:rsid w:val="00072303"/>
    <w:rsid w:val="0007245B"/>
    <w:rsid w:val="00072617"/>
    <w:rsid w:val="0007265B"/>
    <w:rsid w:val="00072902"/>
    <w:rsid w:val="00072F16"/>
    <w:rsid w:val="00073EC3"/>
    <w:rsid w:val="000742F2"/>
    <w:rsid w:val="000743E3"/>
    <w:rsid w:val="00074541"/>
    <w:rsid w:val="00074C2D"/>
    <w:rsid w:val="0007521A"/>
    <w:rsid w:val="0007550F"/>
    <w:rsid w:val="000757FB"/>
    <w:rsid w:val="000759E9"/>
    <w:rsid w:val="00076130"/>
    <w:rsid w:val="0007641A"/>
    <w:rsid w:val="00076AF7"/>
    <w:rsid w:val="00076E0D"/>
    <w:rsid w:val="0007768B"/>
    <w:rsid w:val="00077D38"/>
    <w:rsid w:val="00080413"/>
    <w:rsid w:val="00081229"/>
    <w:rsid w:val="00081807"/>
    <w:rsid w:val="00082E92"/>
    <w:rsid w:val="00082FEB"/>
    <w:rsid w:val="00083138"/>
    <w:rsid w:val="000831F4"/>
    <w:rsid w:val="000836B7"/>
    <w:rsid w:val="000836C5"/>
    <w:rsid w:val="00083F28"/>
    <w:rsid w:val="00084490"/>
    <w:rsid w:val="00084EE0"/>
    <w:rsid w:val="000850C0"/>
    <w:rsid w:val="00085278"/>
    <w:rsid w:val="000852F7"/>
    <w:rsid w:val="00085C9A"/>
    <w:rsid w:val="0008648F"/>
    <w:rsid w:val="0008696E"/>
    <w:rsid w:val="00086EE3"/>
    <w:rsid w:val="000872D7"/>
    <w:rsid w:val="00087423"/>
    <w:rsid w:val="0008790B"/>
    <w:rsid w:val="000879C9"/>
    <w:rsid w:val="00087A3B"/>
    <w:rsid w:val="00087F60"/>
    <w:rsid w:val="0009075E"/>
    <w:rsid w:val="00090F44"/>
    <w:rsid w:val="00091E96"/>
    <w:rsid w:val="0009248F"/>
    <w:rsid w:val="00092BA1"/>
    <w:rsid w:val="000932D1"/>
    <w:rsid w:val="00093BF6"/>
    <w:rsid w:val="00093C7D"/>
    <w:rsid w:val="00093FD6"/>
    <w:rsid w:val="00094F05"/>
    <w:rsid w:val="00095FD3"/>
    <w:rsid w:val="00096987"/>
    <w:rsid w:val="00096AD3"/>
    <w:rsid w:val="00096EE8"/>
    <w:rsid w:val="000970E7"/>
    <w:rsid w:val="00097AB2"/>
    <w:rsid w:val="000A07AC"/>
    <w:rsid w:val="000A0F22"/>
    <w:rsid w:val="000A11E6"/>
    <w:rsid w:val="000A1822"/>
    <w:rsid w:val="000A19E3"/>
    <w:rsid w:val="000A1E56"/>
    <w:rsid w:val="000A250D"/>
    <w:rsid w:val="000A2A30"/>
    <w:rsid w:val="000A3416"/>
    <w:rsid w:val="000A41D3"/>
    <w:rsid w:val="000A47AE"/>
    <w:rsid w:val="000A4D37"/>
    <w:rsid w:val="000A4E4D"/>
    <w:rsid w:val="000A55D8"/>
    <w:rsid w:val="000A5B74"/>
    <w:rsid w:val="000A6874"/>
    <w:rsid w:val="000A6C95"/>
    <w:rsid w:val="000A7994"/>
    <w:rsid w:val="000A7A45"/>
    <w:rsid w:val="000A7D07"/>
    <w:rsid w:val="000B0526"/>
    <w:rsid w:val="000B13B9"/>
    <w:rsid w:val="000B17F4"/>
    <w:rsid w:val="000B189D"/>
    <w:rsid w:val="000B1D85"/>
    <w:rsid w:val="000B1EF7"/>
    <w:rsid w:val="000B240A"/>
    <w:rsid w:val="000B2E50"/>
    <w:rsid w:val="000B3196"/>
    <w:rsid w:val="000B33AB"/>
    <w:rsid w:val="000B344E"/>
    <w:rsid w:val="000B3E59"/>
    <w:rsid w:val="000B47F0"/>
    <w:rsid w:val="000B53B8"/>
    <w:rsid w:val="000B5C01"/>
    <w:rsid w:val="000B617F"/>
    <w:rsid w:val="000B6D22"/>
    <w:rsid w:val="000B7044"/>
    <w:rsid w:val="000B772B"/>
    <w:rsid w:val="000C0722"/>
    <w:rsid w:val="000C094A"/>
    <w:rsid w:val="000C0C81"/>
    <w:rsid w:val="000C1622"/>
    <w:rsid w:val="000C1E38"/>
    <w:rsid w:val="000C213A"/>
    <w:rsid w:val="000C2978"/>
    <w:rsid w:val="000C29E7"/>
    <w:rsid w:val="000C2F97"/>
    <w:rsid w:val="000C3F76"/>
    <w:rsid w:val="000C5913"/>
    <w:rsid w:val="000C5F03"/>
    <w:rsid w:val="000C6E26"/>
    <w:rsid w:val="000D02B8"/>
    <w:rsid w:val="000D06C0"/>
    <w:rsid w:val="000D0C7A"/>
    <w:rsid w:val="000D1799"/>
    <w:rsid w:val="000D1B66"/>
    <w:rsid w:val="000D2414"/>
    <w:rsid w:val="000D26C8"/>
    <w:rsid w:val="000D28E0"/>
    <w:rsid w:val="000D2B3B"/>
    <w:rsid w:val="000D2F43"/>
    <w:rsid w:val="000D2F55"/>
    <w:rsid w:val="000D35C6"/>
    <w:rsid w:val="000D3D0C"/>
    <w:rsid w:val="000D3E99"/>
    <w:rsid w:val="000D509D"/>
    <w:rsid w:val="000D5861"/>
    <w:rsid w:val="000D63F8"/>
    <w:rsid w:val="000D65C3"/>
    <w:rsid w:val="000D6CF2"/>
    <w:rsid w:val="000D74FC"/>
    <w:rsid w:val="000E069A"/>
    <w:rsid w:val="000E0B6E"/>
    <w:rsid w:val="000E0CC4"/>
    <w:rsid w:val="000E0E0B"/>
    <w:rsid w:val="000E13C3"/>
    <w:rsid w:val="000E205D"/>
    <w:rsid w:val="000E2170"/>
    <w:rsid w:val="000E27F5"/>
    <w:rsid w:val="000E28E9"/>
    <w:rsid w:val="000E30B2"/>
    <w:rsid w:val="000E3AE3"/>
    <w:rsid w:val="000E3CA1"/>
    <w:rsid w:val="000E4064"/>
    <w:rsid w:val="000E4568"/>
    <w:rsid w:val="000E4BA8"/>
    <w:rsid w:val="000E4FC6"/>
    <w:rsid w:val="000E5166"/>
    <w:rsid w:val="000E51E4"/>
    <w:rsid w:val="000E53D5"/>
    <w:rsid w:val="000E5B24"/>
    <w:rsid w:val="000E6531"/>
    <w:rsid w:val="000E739C"/>
    <w:rsid w:val="000E7AEB"/>
    <w:rsid w:val="000E7EBC"/>
    <w:rsid w:val="000F066C"/>
    <w:rsid w:val="000F23C3"/>
    <w:rsid w:val="000F2510"/>
    <w:rsid w:val="000F3393"/>
    <w:rsid w:val="000F45DE"/>
    <w:rsid w:val="000F4868"/>
    <w:rsid w:val="000F5A96"/>
    <w:rsid w:val="000F5F78"/>
    <w:rsid w:val="000F631B"/>
    <w:rsid w:val="000F6C8F"/>
    <w:rsid w:val="000F6D1D"/>
    <w:rsid w:val="0010233E"/>
    <w:rsid w:val="001034B5"/>
    <w:rsid w:val="001040A0"/>
    <w:rsid w:val="0010457D"/>
    <w:rsid w:val="00104A40"/>
    <w:rsid w:val="00104B02"/>
    <w:rsid w:val="0010552B"/>
    <w:rsid w:val="001056D7"/>
    <w:rsid w:val="00105D33"/>
    <w:rsid w:val="00105E9D"/>
    <w:rsid w:val="0010751B"/>
    <w:rsid w:val="00111EFF"/>
    <w:rsid w:val="00112009"/>
    <w:rsid w:val="0011256C"/>
    <w:rsid w:val="00112594"/>
    <w:rsid w:val="00112EC1"/>
    <w:rsid w:val="00112FFE"/>
    <w:rsid w:val="0011373A"/>
    <w:rsid w:val="001139E4"/>
    <w:rsid w:val="00113E46"/>
    <w:rsid w:val="00114A55"/>
    <w:rsid w:val="0011526C"/>
    <w:rsid w:val="00115C46"/>
    <w:rsid w:val="00115E28"/>
    <w:rsid w:val="00116E0C"/>
    <w:rsid w:val="0011719C"/>
    <w:rsid w:val="0011791B"/>
    <w:rsid w:val="00117A51"/>
    <w:rsid w:val="00117ADC"/>
    <w:rsid w:val="00120A93"/>
    <w:rsid w:val="0012172C"/>
    <w:rsid w:val="00121B4E"/>
    <w:rsid w:val="00121E1D"/>
    <w:rsid w:val="00122588"/>
    <w:rsid w:val="001228EC"/>
    <w:rsid w:val="00123C2C"/>
    <w:rsid w:val="00124134"/>
    <w:rsid w:val="00124845"/>
    <w:rsid w:val="00124DB3"/>
    <w:rsid w:val="00125CCD"/>
    <w:rsid w:val="00125E3E"/>
    <w:rsid w:val="00125F67"/>
    <w:rsid w:val="00126ADC"/>
    <w:rsid w:val="00126E03"/>
    <w:rsid w:val="0013013A"/>
    <w:rsid w:val="0013079D"/>
    <w:rsid w:val="00131B66"/>
    <w:rsid w:val="001324CD"/>
    <w:rsid w:val="0013282B"/>
    <w:rsid w:val="00132D62"/>
    <w:rsid w:val="0013367F"/>
    <w:rsid w:val="00133DFF"/>
    <w:rsid w:val="0013455B"/>
    <w:rsid w:val="0013495B"/>
    <w:rsid w:val="00134E03"/>
    <w:rsid w:val="00135E75"/>
    <w:rsid w:val="0013608C"/>
    <w:rsid w:val="00136570"/>
    <w:rsid w:val="0013712E"/>
    <w:rsid w:val="00137541"/>
    <w:rsid w:val="0013768C"/>
    <w:rsid w:val="001405B3"/>
    <w:rsid w:val="00141291"/>
    <w:rsid w:val="00141864"/>
    <w:rsid w:val="00141978"/>
    <w:rsid w:val="00141C22"/>
    <w:rsid w:val="00141CCD"/>
    <w:rsid w:val="001432F5"/>
    <w:rsid w:val="001439EE"/>
    <w:rsid w:val="00143F2F"/>
    <w:rsid w:val="001441B2"/>
    <w:rsid w:val="00144396"/>
    <w:rsid w:val="00144759"/>
    <w:rsid w:val="00144EA1"/>
    <w:rsid w:val="00145273"/>
    <w:rsid w:val="00145C52"/>
    <w:rsid w:val="0014622E"/>
    <w:rsid w:val="00146394"/>
    <w:rsid w:val="001472A4"/>
    <w:rsid w:val="0014776B"/>
    <w:rsid w:val="00147F22"/>
    <w:rsid w:val="00147F67"/>
    <w:rsid w:val="00150668"/>
    <w:rsid w:val="00150F33"/>
    <w:rsid w:val="001522D6"/>
    <w:rsid w:val="001524B9"/>
    <w:rsid w:val="001529CD"/>
    <w:rsid w:val="00153550"/>
    <w:rsid w:val="00153C15"/>
    <w:rsid w:val="001549F9"/>
    <w:rsid w:val="001558FB"/>
    <w:rsid w:val="00155B3A"/>
    <w:rsid w:val="00155BB0"/>
    <w:rsid w:val="00156016"/>
    <w:rsid w:val="001560EA"/>
    <w:rsid w:val="001561DF"/>
    <w:rsid w:val="001567C7"/>
    <w:rsid w:val="001568CE"/>
    <w:rsid w:val="00157756"/>
    <w:rsid w:val="00157D56"/>
    <w:rsid w:val="00160E30"/>
    <w:rsid w:val="0016164F"/>
    <w:rsid w:val="001625F3"/>
    <w:rsid w:val="00162B25"/>
    <w:rsid w:val="00162F33"/>
    <w:rsid w:val="00163266"/>
    <w:rsid w:val="00163B6F"/>
    <w:rsid w:val="0016416B"/>
    <w:rsid w:val="001646AA"/>
    <w:rsid w:val="001666D3"/>
    <w:rsid w:val="001667B3"/>
    <w:rsid w:val="00166FAA"/>
    <w:rsid w:val="0016774B"/>
    <w:rsid w:val="00171968"/>
    <w:rsid w:val="00171A09"/>
    <w:rsid w:val="00171AA5"/>
    <w:rsid w:val="00171EB5"/>
    <w:rsid w:val="0017206A"/>
    <w:rsid w:val="00172147"/>
    <w:rsid w:val="001724CA"/>
    <w:rsid w:val="0017285A"/>
    <w:rsid w:val="00173A41"/>
    <w:rsid w:val="00173DB8"/>
    <w:rsid w:val="00174E2E"/>
    <w:rsid w:val="0017557A"/>
    <w:rsid w:val="00175A68"/>
    <w:rsid w:val="00175AEB"/>
    <w:rsid w:val="00175E92"/>
    <w:rsid w:val="00176F06"/>
    <w:rsid w:val="0017724A"/>
    <w:rsid w:val="00177269"/>
    <w:rsid w:val="001778AD"/>
    <w:rsid w:val="0018078B"/>
    <w:rsid w:val="00180BCC"/>
    <w:rsid w:val="0018202C"/>
    <w:rsid w:val="00182302"/>
    <w:rsid w:val="001827DD"/>
    <w:rsid w:val="00182E37"/>
    <w:rsid w:val="00182FFA"/>
    <w:rsid w:val="001833D4"/>
    <w:rsid w:val="00183571"/>
    <w:rsid w:val="0018381B"/>
    <w:rsid w:val="0018397D"/>
    <w:rsid w:val="001846EB"/>
    <w:rsid w:val="001850C8"/>
    <w:rsid w:val="0018563F"/>
    <w:rsid w:val="00185F6D"/>
    <w:rsid w:val="001860A2"/>
    <w:rsid w:val="00186827"/>
    <w:rsid w:val="00187AAC"/>
    <w:rsid w:val="00190A97"/>
    <w:rsid w:val="001915F2"/>
    <w:rsid w:val="00191EBB"/>
    <w:rsid w:val="001921E6"/>
    <w:rsid w:val="001922C2"/>
    <w:rsid w:val="0019243A"/>
    <w:rsid w:val="00192702"/>
    <w:rsid w:val="00193F87"/>
    <w:rsid w:val="00193FB3"/>
    <w:rsid w:val="00194222"/>
    <w:rsid w:val="00195FB8"/>
    <w:rsid w:val="00197311"/>
    <w:rsid w:val="001977BC"/>
    <w:rsid w:val="00197D46"/>
    <w:rsid w:val="00197D9F"/>
    <w:rsid w:val="00197E4D"/>
    <w:rsid w:val="001A03BF"/>
    <w:rsid w:val="001A1489"/>
    <w:rsid w:val="001A1E13"/>
    <w:rsid w:val="001A22B7"/>
    <w:rsid w:val="001A2A18"/>
    <w:rsid w:val="001A2BE8"/>
    <w:rsid w:val="001A3458"/>
    <w:rsid w:val="001A39EE"/>
    <w:rsid w:val="001A4592"/>
    <w:rsid w:val="001A4D53"/>
    <w:rsid w:val="001A5318"/>
    <w:rsid w:val="001A5DF7"/>
    <w:rsid w:val="001A606F"/>
    <w:rsid w:val="001A63C6"/>
    <w:rsid w:val="001A65E6"/>
    <w:rsid w:val="001A74E0"/>
    <w:rsid w:val="001A7DA5"/>
    <w:rsid w:val="001B09D9"/>
    <w:rsid w:val="001B0E9C"/>
    <w:rsid w:val="001B1A85"/>
    <w:rsid w:val="001B231D"/>
    <w:rsid w:val="001B23AE"/>
    <w:rsid w:val="001B23B8"/>
    <w:rsid w:val="001B2904"/>
    <w:rsid w:val="001B3664"/>
    <w:rsid w:val="001B3B21"/>
    <w:rsid w:val="001B40FE"/>
    <w:rsid w:val="001B5538"/>
    <w:rsid w:val="001B650C"/>
    <w:rsid w:val="001B6652"/>
    <w:rsid w:val="001B73BF"/>
    <w:rsid w:val="001B76DD"/>
    <w:rsid w:val="001B76DF"/>
    <w:rsid w:val="001C07DF"/>
    <w:rsid w:val="001C0A22"/>
    <w:rsid w:val="001C0A51"/>
    <w:rsid w:val="001C102A"/>
    <w:rsid w:val="001C193A"/>
    <w:rsid w:val="001C1AE2"/>
    <w:rsid w:val="001C1BB3"/>
    <w:rsid w:val="001C1EDF"/>
    <w:rsid w:val="001C1F32"/>
    <w:rsid w:val="001C291E"/>
    <w:rsid w:val="001C32AD"/>
    <w:rsid w:val="001C36B7"/>
    <w:rsid w:val="001C3F2C"/>
    <w:rsid w:val="001C4610"/>
    <w:rsid w:val="001C4686"/>
    <w:rsid w:val="001C4E3C"/>
    <w:rsid w:val="001C5CDC"/>
    <w:rsid w:val="001C5EED"/>
    <w:rsid w:val="001C644B"/>
    <w:rsid w:val="001C66E7"/>
    <w:rsid w:val="001C715C"/>
    <w:rsid w:val="001C7DA8"/>
    <w:rsid w:val="001D02D9"/>
    <w:rsid w:val="001D03B4"/>
    <w:rsid w:val="001D03E3"/>
    <w:rsid w:val="001D0522"/>
    <w:rsid w:val="001D0834"/>
    <w:rsid w:val="001D09BB"/>
    <w:rsid w:val="001D0EFA"/>
    <w:rsid w:val="001D0F4E"/>
    <w:rsid w:val="001D1AEF"/>
    <w:rsid w:val="001D21DB"/>
    <w:rsid w:val="001D2270"/>
    <w:rsid w:val="001D28D6"/>
    <w:rsid w:val="001D2A02"/>
    <w:rsid w:val="001D422F"/>
    <w:rsid w:val="001D4279"/>
    <w:rsid w:val="001D51DC"/>
    <w:rsid w:val="001D58B9"/>
    <w:rsid w:val="001D61B6"/>
    <w:rsid w:val="001D6FF5"/>
    <w:rsid w:val="001E0255"/>
    <w:rsid w:val="001E0417"/>
    <w:rsid w:val="001E0AA5"/>
    <w:rsid w:val="001E0AD6"/>
    <w:rsid w:val="001E161B"/>
    <w:rsid w:val="001E16C5"/>
    <w:rsid w:val="001E1E05"/>
    <w:rsid w:val="001E1FB5"/>
    <w:rsid w:val="001E38AA"/>
    <w:rsid w:val="001E3B4F"/>
    <w:rsid w:val="001E434F"/>
    <w:rsid w:val="001E47B0"/>
    <w:rsid w:val="001E4B09"/>
    <w:rsid w:val="001E5424"/>
    <w:rsid w:val="001E544F"/>
    <w:rsid w:val="001E5AAE"/>
    <w:rsid w:val="001E5C3D"/>
    <w:rsid w:val="001E64A2"/>
    <w:rsid w:val="001E6FB2"/>
    <w:rsid w:val="001E7E9F"/>
    <w:rsid w:val="001F1070"/>
    <w:rsid w:val="001F158C"/>
    <w:rsid w:val="001F19F1"/>
    <w:rsid w:val="001F1B3C"/>
    <w:rsid w:val="001F1DB1"/>
    <w:rsid w:val="001F2657"/>
    <w:rsid w:val="001F28D8"/>
    <w:rsid w:val="001F2C49"/>
    <w:rsid w:val="001F419F"/>
    <w:rsid w:val="001F4BDC"/>
    <w:rsid w:val="001F514D"/>
    <w:rsid w:val="001F73B4"/>
    <w:rsid w:val="001F78F7"/>
    <w:rsid w:val="0020007A"/>
    <w:rsid w:val="002006A6"/>
    <w:rsid w:val="00200FEA"/>
    <w:rsid w:val="002027E2"/>
    <w:rsid w:val="00202D58"/>
    <w:rsid w:val="00203AA5"/>
    <w:rsid w:val="002044BF"/>
    <w:rsid w:val="00205FE7"/>
    <w:rsid w:val="00206122"/>
    <w:rsid w:val="00206B4B"/>
    <w:rsid w:val="00206D26"/>
    <w:rsid w:val="00207592"/>
    <w:rsid w:val="002075EB"/>
    <w:rsid w:val="00207995"/>
    <w:rsid w:val="002107FF"/>
    <w:rsid w:val="00210B8A"/>
    <w:rsid w:val="00211285"/>
    <w:rsid w:val="00211574"/>
    <w:rsid w:val="00211677"/>
    <w:rsid w:val="002116FA"/>
    <w:rsid w:val="002118EF"/>
    <w:rsid w:val="0021228F"/>
    <w:rsid w:val="0021272B"/>
    <w:rsid w:val="002139FA"/>
    <w:rsid w:val="00214325"/>
    <w:rsid w:val="002164E7"/>
    <w:rsid w:val="00216795"/>
    <w:rsid w:val="00216F0E"/>
    <w:rsid w:val="002176C2"/>
    <w:rsid w:val="00220A82"/>
    <w:rsid w:val="00220F1C"/>
    <w:rsid w:val="0022186E"/>
    <w:rsid w:val="00221FAF"/>
    <w:rsid w:val="00222464"/>
    <w:rsid w:val="00222E5A"/>
    <w:rsid w:val="00222EA5"/>
    <w:rsid w:val="00223101"/>
    <w:rsid w:val="002239C1"/>
    <w:rsid w:val="002239CD"/>
    <w:rsid w:val="0022417C"/>
    <w:rsid w:val="00225576"/>
    <w:rsid w:val="002255D6"/>
    <w:rsid w:val="00225803"/>
    <w:rsid w:val="00225981"/>
    <w:rsid w:val="002265A2"/>
    <w:rsid w:val="00226A24"/>
    <w:rsid w:val="00226B1E"/>
    <w:rsid w:val="00227604"/>
    <w:rsid w:val="00230AAB"/>
    <w:rsid w:val="00231C83"/>
    <w:rsid w:val="00232571"/>
    <w:rsid w:val="00233760"/>
    <w:rsid w:val="002339A0"/>
    <w:rsid w:val="00233AC9"/>
    <w:rsid w:val="002341DE"/>
    <w:rsid w:val="002348F3"/>
    <w:rsid w:val="00234AA8"/>
    <w:rsid w:val="00234C81"/>
    <w:rsid w:val="002352FE"/>
    <w:rsid w:val="0023572A"/>
    <w:rsid w:val="0023626D"/>
    <w:rsid w:val="002362F4"/>
    <w:rsid w:val="0023692B"/>
    <w:rsid w:val="00240348"/>
    <w:rsid w:val="0024056E"/>
    <w:rsid w:val="0024097E"/>
    <w:rsid w:val="00240F9A"/>
    <w:rsid w:val="00241D1B"/>
    <w:rsid w:val="00241DEB"/>
    <w:rsid w:val="00241F87"/>
    <w:rsid w:val="00243479"/>
    <w:rsid w:val="00244EF9"/>
    <w:rsid w:val="0024568E"/>
    <w:rsid w:val="00245A14"/>
    <w:rsid w:val="00245F52"/>
    <w:rsid w:val="00246669"/>
    <w:rsid w:val="0024695E"/>
    <w:rsid w:val="00246B59"/>
    <w:rsid w:val="00247B2D"/>
    <w:rsid w:val="00247ECC"/>
    <w:rsid w:val="00247F99"/>
    <w:rsid w:val="00247FF6"/>
    <w:rsid w:val="00250460"/>
    <w:rsid w:val="00250CA0"/>
    <w:rsid w:val="00251DDD"/>
    <w:rsid w:val="00253052"/>
    <w:rsid w:val="00254677"/>
    <w:rsid w:val="0025536A"/>
    <w:rsid w:val="002553CB"/>
    <w:rsid w:val="0025557F"/>
    <w:rsid w:val="00255977"/>
    <w:rsid w:val="00257484"/>
    <w:rsid w:val="002575AB"/>
    <w:rsid w:val="00260110"/>
    <w:rsid w:val="002604D8"/>
    <w:rsid w:val="0026094D"/>
    <w:rsid w:val="00260A41"/>
    <w:rsid w:val="00260AF3"/>
    <w:rsid w:val="00261041"/>
    <w:rsid w:val="0026139F"/>
    <w:rsid w:val="00261A3A"/>
    <w:rsid w:val="00261B60"/>
    <w:rsid w:val="00262B04"/>
    <w:rsid w:val="00262CD1"/>
    <w:rsid w:val="002630AF"/>
    <w:rsid w:val="00265C16"/>
    <w:rsid w:val="00266739"/>
    <w:rsid w:val="002675FC"/>
    <w:rsid w:val="00267611"/>
    <w:rsid w:val="002676A3"/>
    <w:rsid w:val="00267B25"/>
    <w:rsid w:val="00267F94"/>
    <w:rsid w:val="00270ACD"/>
    <w:rsid w:val="00271097"/>
    <w:rsid w:val="002718B7"/>
    <w:rsid w:val="00271D1C"/>
    <w:rsid w:val="00271FA7"/>
    <w:rsid w:val="00273CB1"/>
    <w:rsid w:val="00273D85"/>
    <w:rsid w:val="00274678"/>
    <w:rsid w:val="00274893"/>
    <w:rsid w:val="00274FFD"/>
    <w:rsid w:val="00275D7A"/>
    <w:rsid w:val="00276A0E"/>
    <w:rsid w:val="00276AAB"/>
    <w:rsid w:val="002772B3"/>
    <w:rsid w:val="002776F0"/>
    <w:rsid w:val="00277961"/>
    <w:rsid w:val="002779EC"/>
    <w:rsid w:val="00280329"/>
    <w:rsid w:val="00280478"/>
    <w:rsid w:val="00280530"/>
    <w:rsid w:val="00281291"/>
    <w:rsid w:val="00281B7D"/>
    <w:rsid w:val="0028377B"/>
    <w:rsid w:val="0028383E"/>
    <w:rsid w:val="00283958"/>
    <w:rsid w:val="00283CF5"/>
    <w:rsid w:val="00283F1C"/>
    <w:rsid w:val="00284057"/>
    <w:rsid w:val="0028495F"/>
    <w:rsid w:val="0028557C"/>
    <w:rsid w:val="00285A7F"/>
    <w:rsid w:val="00285CB3"/>
    <w:rsid w:val="00286369"/>
    <w:rsid w:val="00287CA9"/>
    <w:rsid w:val="00287ED1"/>
    <w:rsid w:val="002902A1"/>
    <w:rsid w:val="00291058"/>
    <w:rsid w:val="00291B6A"/>
    <w:rsid w:val="00291BF1"/>
    <w:rsid w:val="00291F74"/>
    <w:rsid w:val="0029273E"/>
    <w:rsid w:val="0029454A"/>
    <w:rsid w:val="00294E57"/>
    <w:rsid w:val="00295819"/>
    <w:rsid w:val="00295EF0"/>
    <w:rsid w:val="0029651B"/>
    <w:rsid w:val="00296AB1"/>
    <w:rsid w:val="00296AFA"/>
    <w:rsid w:val="0029708A"/>
    <w:rsid w:val="002976EB"/>
    <w:rsid w:val="002979AD"/>
    <w:rsid w:val="00297E40"/>
    <w:rsid w:val="002A011C"/>
    <w:rsid w:val="002A068D"/>
    <w:rsid w:val="002A071E"/>
    <w:rsid w:val="002A07E0"/>
    <w:rsid w:val="002A109A"/>
    <w:rsid w:val="002A1BD9"/>
    <w:rsid w:val="002A1D1E"/>
    <w:rsid w:val="002A240A"/>
    <w:rsid w:val="002A282A"/>
    <w:rsid w:val="002A2892"/>
    <w:rsid w:val="002A2B26"/>
    <w:rsid w:val="002A2C26"/>
    <w:rsid w:val="002A2C56"/>
    <w:rsid w:val="002A312B"/>
    <w:rsid w:val="002A35AF"/>
    <w:rsid w:val="002A3A29"/>
    <w:rsid w:val="002A3B92"/>
    <w:rsid w:val="002A3C31"/>
    <w:rsid w:val="002A3D74"/>
    <w:rsid w:val="002A3DD7"/>
    <w:rsid w:val="002A3E5B"/>
    <w:rsid w:val="002A3F16"/>
    <w:rsid w:val="002A47DA"/>
    <w:rsid w:val="002A4A95"/>
    <w:rsid w:val="002A5EF7"/>
    <w:rsid w:val="002A6029"/>
    <w:rsid w:val="002A6230"/>
    <w:rsid w:val="002A6679"/>
    <w:rsid w:val="002B0C55"/>
    <w:rsid w:val="002B1BF6"/>
    <w:rsid w:val="002B2E54"/>
    <w:rsid w:val="002B34F0"/>
    <w:rsid w:val="002B3686"/>
    <w:rsid w:val="002B4609"/>
    <w:rsid w:val="002B4DDE"/>
    <w:rsid w:val="002B5397"/>
    <w:rsid w:val="002B5DCE"/>
    <w:rsid w:val="002B5FDB"/>
    <w:rsid w:val="002B6469"/>
    <w:rsid w:val="002B769C"/>
    <w:rsid w:val="002B7EA4"/>
    <w:rsid w:val="002C011B"/>
    <w:rsid w:val="002C01B6"/>
    <w:rsid w:val="002C0854"/>
    <w:rsid w:val="002C0E4B"/>
    <w:rsid w:val="002C1654"/>
    <w:rsid w:val="002C192C"/>
    <w:rsid w:val="002C1B66"/>
    <w:rsid w:val="002C1D73"/>
    <w:rsid w:val="002C2A8C"/>
    <w:rsid w:val="002C2B6E"/>
    <w:rsid w:val="002C2C4C"/>
    <w:rsid w:val="002C30D5"/>
    <w:rsid w:val="002C33FC"/>
    <w:rsid w:val="002C37A3"/>
    <w:rsid w:val="002C3BC0"/>
    <w:rsid w:val="002C3D52"/>
    <w:rsid w:val="002C5F34"/>
    <w:rsid w:val="002C6447"/>
    <w:rsid w:val="002C6580"/>
    <w:rsid w:val="002C6815"/>
    <w:rsid w:val="002C6869"/>
    <w:rsid w:val="002C6C63"/>
    <w:rsid w:val="002D118C"/>
    <w:rsid w:val="002D11CD"/>
    <w:rsid w:val="002D12E4"/>
    <w:rsid w:val="002D164F"/>
    <w:rsid w:val="002D3080"/>
    <w:rsid w:val="002D3296"/>
    <w:rsid w:val="002D40DB"/>
    <w:rsid w:val="002D4442"/>
    <w:rsid w:val="002D48D5"/>
    <w:rsid w:val="002D4BBB"/>
    <w:rsid w:val="002D4F62"/>
    <w:rsid w:val="002D5497"/>
    <w:rsid w:val="002D587E"/>
    <w:rsid w:val="002D5C7A"/>
    <w:rsid w:val="002D68CA"/>
    <w:rsid w:val="002D6C04"/>
    <w:rsid w:val="002D78A8"/>
    <w:rsid w:val="002D793D"/>
    <w:rsid w:val="002D7CB5"/>
    <w:rsid w:val="002E00C6"/>
    <w:rsid w:val="002E0256"/>
    <w:rsid w:val="002E02B5"/>
    <w:rsid w:val="002E03D5"/>
    <w:rsid w:val="002E0421"/>
    <w:rsid w:val="002E06E6"/>
    <w:rsid w:val="002E06FD"/>
    <w:rsid w:val="002E0A52"/>
    <w:rsid w:val="002E0B0C"/>
    <w:rsid w:val="002E1185"/>
    <w:rsid w:val="002E120F"/>
    <w:rsid w:val="002E1283"/>
    <w:rsid w:val="002E147E"/>
    <w:rsid w:val="002E1C00"/>
    <w:rsid w:val="002E2A5C"/>
    <w:rsid w:val="002E3216"/>
    <w:rsid w:val="002E3708"/>
    <w:rsid w:val="002E37E6"/>
    <w:rsid w:val="002E44A0"/>
    <w:rsid w:val="002E4E05"/>
    <w:rsid w:val="002E513B"/>
    <w:rsid w:val="002E5BF4"/>
    <w:rsid w:val="002E5D5E"/>
    <w:rsid w:val="002E68B5"/>
    <w:rsid w:val="002E692D"/>
    <w:rsid w:val="002E69C3"/>
    <w:rsid w:val="002E6AE8"/>
    <w:rsid w:val="002E6B69"/>
    <w:rsid w:val="002E7B60"/>
    <w:rsid w:val="002E7F38"/>
    <w:rsid w:val="002F014C"/>
    <w:rsid w:val="002F01F6"/>
    <w:rsid w:val="002F1C2D"/>
    <w:rsid w:val="002F27C2"/>
    <w:rsid w:val="002F27C6"/>
    <w:rsid w:val="002F2F4E"/>
    <w:rsid w:val="002F3009"/>
    <w:rsid w:val="002F3765"/>
    <w:rsid w:val="002F3AD0"/>
    <w:rsid w:val="002F3BC8"/>
    <w:rsid w:val="002F3FB4"/>
    <w:rsid w:val="002F4A2D"/>
    <w:rsid w:val="002F4FFE"/>
    <w:rsid w:val="002F5337"/>
    <w:rsid w:val="002F5AEE"/>
    <w:rsid w:val="002F6410"/>
    <w:rsid w:val="002F6A56"/>
    <w:rsid w:val="002F7B4B"/>
    <w:rsid w:val="002F7C30"/>
    <w:rsid w:val="003002C4"/>
    <w:rsid w:val="00300558"/>
    <w:rsid w:val="003025A2"/>
    <w:rsid w:val="00302DB2"/>
    <w:rsid w:val="003037F8"/>
    <w:rsid w:val="0030385C"/>
    <w:rsid w:val="00304ADD"/>
    <w:rsid w:val="003053D5"/>
    <w:rsid w:val="0030542A"/>
    <w:rsid w:val="003054C3"/>
    <w:rsid w:val="00305715"/>
    <w:rsid w:val="00305EFE"/>
    <w:rsid w:val="00305FD4"/>
    <w:rsid w:val="00306752"/>
    <w:rsid w:val="003072AF"/>
    <w:rsid w:val="003072EA"/>
    <w:rsid w:val="003108CB"/>
    <w:rsid w:val="003108E7"/>
    <w:rsid w:val="00310D6C"/>
    <w:rsid w:val="003112AA"/>
    <w:rsid w:val="00311988"/>
    <w:rsid w:val="00311B0F"/>
    <w:rsid w:val="003120E2"/>
    <w:rsid w:val="003120FA"/>
    <w:rsid w:val="003121AC"/>
    <w:rsid w:val="0031222A"/>
    <w:rsid w:val="00312820"/>
    <w:rsid w:val="0031296F"/>
    <w:rsid w:val="00312E09"/>
    <w:rsid w:val="00313103"/>
    <w:rsid w:val="00313250"/>
    <w:rsid w:val="003136E3"/>
    <w:rsid w:val="00313770"/>
    <w:rsid w:val="003141B6"/>
    <w:rsid w:val="0031501E"/>
    <w:rsid w:val="003152F8"/>
    <w:rsid w:val="003163C5"/>
    <w:rsid w:val="003170B2"/>
    <w:rsid w:val="00317882"/>
    <w:rsid w:val="003203AD"/>
    <w:rsid w:val="0032202A"/>
    <w:rsid w:val="003229A3"/>
    <w:rsid w:val="003229CA"/>
    <w:rsid w:val="0032317B"/>
    <w:rsid w:val="00323710"/>
    <w:rsid w:val="003238DD"/>
    <w:rsid w:val="00323FA6"/>
    <w:rsid w:val="0032417A"/>
    <w:rsid w:val="003246C5"/>
    <w:rsid w:val="003249DA"/>
    <w:rsid w:val="00325B22"/>
    <w:rsid w:val="00325C4E"/>
    <w:rsid w:val="003263C5"/>
    <w:rsid w:val="003271AD"/>
    <w:rsid w:val="003274D1"/>
    <w:rsid w:val="00327570"/>
    <w:rsid w:val="00327BBE"/>
    <w:rsid w:val="00330782"/>
    <w:rsid w:val="00330877"/>
    <w:rsid w:val="00330B21"/>
    <w:rsid w:val="00330C98"/>
    <w:rsid w:val="00330F34"/>
    <w:rsid w:val="003317F3"/>
    <w:rsid w:val="00331875"/>
    <w:rsid w:val="00332455"/>
    <w:rsid w:val="003326CF"/>
    <w:rsid w:val="003327C7"/>
    <w:rsid w:val="00332A98"/>
    <w:rsid w:val="00332B92"/>
    <w:rsid w:val="00332BCB"/>
    <w:rsid w:val="00334213"/>
    <w:rsid w:val="00334239"/>
    <w:rsid w:val="003344AE"/>
    <w:rsid w:val="0033485E"/>
    <w:rsid w:val="00334AC1"/>
    <w:rsid w:val="00335A98"/>
    <w:rsid w:val="003360D3"/>
    <w:rsid w:val="003361D7"/>
    <w:rsid w:val="003374A9"/>
    <w:rsid w:val="0033787C"/>
    <w:rsid w:val="00337925"/>
    <w:rsid w:val="00341713"/>
    <w:rsid w:val="003426BC"/>
    <w:rsid w:val="00342982"/>
    <w:rsid w:val="00342C12"/>
    <w:rsid w:val="0034316D"/>
    <w:rsid w:val="00343383"/>
    <w:rsid w:val="003434E8"/>
    <w:rsid w:val="00343631"/>
    <w:rsid w:val="003437FC"/>
    <w:rsid w:val="0034396D"/>
    <w:rsid w:val="00344179"/>
    <w:rsid w:val="00344DB7"/>
    <w:rsid w:val="00344F09"/>
    <w:rsid w:val="00345368"/>
    <w:rsid w:val="0034571C"/>
    <w:rsid w:val="00345C66"/>
    <w:rsid w:val="00346366"/>
    <w:rsid w:val="00346AE6"/>
    <w:rsid w:val="00347A41"/>
    <w:rsid w:val="00347A4E"/>
    <w:rsid w:val="00350A3B"/>
    <w:rsid w:val="0035134D"/>
    <w:rsid w:val="00351932"/>
    <w:rsid w:val="00351A0E"/>
    <w:rsid w:val="00352942"/>
    <w:rsid w:val="00353387"/>
    <w:rsid w:val="0035367C"/>
    <w:rsid w:val="003545EC"/>
    <w:rsid w:val="0035487A"/>
    <w:rsid w:val="0035604A"/>
    <w:rsid w:val="00356050"/>
    <w:rsid w:val="0035605D"/>
    <w:rsid w:val="00356569"/>
    <w:rsid w:val="003565E8"/>
    <w:rsid w:val="0035703D"/>
    <w:rsid w:val="003603E6"/>
    <w:rsid w:val="003612FD"/>
    <w:rsid w:val="00361A55"/>
    <w:rsid w:val="00361A66"/>
    <w:rsid w:val="00361E6D"/>
    <w:rsid w:val="00362DB1"/>
    <w:rsid w:val="003631F1"/>
    <w:rsid w:val="00363561"/>
    <w:rsid w:val="00363709"/>
    <w:rsid w:val="00363760"/>
    <w:rsid w:val="00363823"/>
    <w:rsid w:val="003643BB"/>
    <w:rsid w:val="003649F0"/>
    <w:rsid w:val="00365071"/>
    <w:rsid w:val="00365898"/>
    <w:rsid w:val="00365FD6"/>
    <w:rsid w:val="00366CA7"/>
    <w:rsid w:val="00367619"/>
    <w:rsid w:val="003701A8"/>
    <w:rsid w:val="00370BE3"/>
    <w:rsid w:val="003713CF"/>
    <w:rsid w:val="0037181B"/>
    <w:rsid w:val="0037214D"/>
    <w:rsid w:val="00372417"/>
    <w:rsid w:val="00372469"/>
    <w:rsid w:val="0037266C"/>
    <w:rsid w:val="003727B4"/>
    <w:rsid w:val="00374F75"/>
    <w:rsid w:val="00375877"/>
    <w:rsid w:val="00375B25"/>
    <w:rsid w:val="00376E2D"/>
    <w:rsid w:val="003771BD"/>
    <w:rsid w:val="00380A31"/>
    <w:rsid w:val="00381840"/>
    <w:rsid w:val="00381BFD"/>
    <w:rsid w:val="0038233B"/>
    <w:rsid w:val="0038236E"/>
    <w:rsid w:val="003826F4"/>
    <w:rsid w:val="00382F14"/>
    <w:rsid w:val="00383041"/>
    <w:rsid w:val="00383974"/>
    <w:rsid w:val="00383AA5"/>
    <w:rsid w:val="00383FF6"/>
    <w:rsid w:val="0038410B"/>
    <w:rsid w:val="0038454F"/>
    <w:rsid w:val="00384E28"/>
    <w:rsid w:val="00384E6B"/>
    <w:rsid w:val="0038555F"/>
    <w:rsid w:val="00385596"/>
    <w:rsid w:val="00385F4D"/>
    <w:rsid w:val="00386719"/>
    <w:rsid w:val="00386938"/>
    <w:rsid w:val="00386E0B"/>
    <w:rsid w:val="0038791F"/>
    <w:rsid w:val="00387C1E"/>
    <w:rsid w:val="00387EA3"/>
    <w:rsid w:val="00387F3E"/>
    <w:rsid w:val="00387F96"/>
    <w:rsid w:val="00390410"/>
    <w:rsid w:val="0039076B"/>
    <w:rsid w:val="0039092D"/>
    <w:rsid w:val="003916E4"/>
    <w:rsid w:val="00391A37"/>
    <w:rsid w:val="003927B7"/>
    <w:rsid w:val="0039282B"/>
    <w:rsid w:val="00392A3C"/>
    <w:rsid w:val="00392B22"/>
    <w:rsid w:val="00392FED"/>
    <w:rsid w:val="00394A16"/>
    <w:rsid w:val="00394A1D"/>
    <w:rsid w:val="00394A23"/>
    <w:rsid w:val="00394F57"/>
    <w:rsid w:val="003952EC"/>
    <w:rsid w:val="00396263"/>
    <w:rsid w:val="00396909"/>
    <w:rsid w:val="00397000"/>
    <w:rsid w:val="00397AD0"/>
    <w:rsid w:val="003A079F"/>
    <w:rsid w:val="003A0BFF"/>
    <w:rsid w:val="003A0DC1"/>
    <w:rsid w:val="003A0F1F"/>
    <w:rsid w:val="003A1B71"/>
    <w:rsid w:val="003A1C17"/>
    <w:rsid w:val="003A1DA5"/>
    <w:rsid w:val="003A200E"/>
    <w:rsid w:val="003A22D8"/>
    <w:rsid w:val="003A2B82"/>
    <w:rsid w:val="003A30BC"/>
    <w:rsid w:val="003A363E"/>
    <w:rsid w:val="003A3B0E"/>
    <w:rsid w:val="003A50C3"/>
    <w:rsid w:val="003A5299"/>
    <w:rsid w:val="003A5931"/>
    <w:rsid w:val="003A5956"/>
    <w:rsid w:val="003A677C"/>
    <w:rsid w:val="003A6A1B"/>
    <w:rsid w:val="003A7738"/>
    <w:rsid w:val="003A7FB4"/>
    <w:rsid w:val="003B07B9"/>
    <w:rsid w:val="003B1258"/>
    <w:rsid w:val="003B17BC"/>
    <w:rsid w:val="003B1806"/>
    <w:rsid w:val="003B2B4C"/>
    <w:rsid w:val="003B3A8A"/>
    <w:rsid w:val="003B3F07"/>
    <w:rsid w:val="003B54EF"/>
    <w:rsid w:val="003B5D24"/>
    <w:rsid w:val="003B5D44"/>
    <w:rsid w:val="003B67BF"/>
    <w:rsid w:val="003B68B2"/>
    <w:rsid w:val="003B6BD1"/>
    <w:rsid w:val="003B7000"/>
    <w:rsid w:val="003B7492"/>
    <w:rsid w:val="003B7D9C"/>
    <w:rsid w:val="003B7F43"/>
    <w:rsid w:val="003C00FA"/>
    <w:rsid w:val="003C0850"/>
    <w:rsid w:val="003C1C03"/>
    <w:rsid w:val="003C230D"/>
    <w:rsid w:val="003C2D4E"/>
    <w:rsid w:val="003C2E22"/>
    <w:rsid w:val="003C3454"/>
    <w:rsid w:val="003C4C4B"/>
    <w:rsid w:val="003C574F"/>
    <w:rsid w:val="003C79D8"/>
    <w:rsid w:val="003C7A95"/>
    <w:rsid w:val="003C7AE7"/>
    <w:rsid w:val="003C7ED6"/>
    <w:rsid w:val="003D0DE6"/>
    <w:rsid w:val="003D1E37"/>
    <w:rsid w:val="003D2237"/>
    <w:rsid w:val="003D2517"/>
    <w:rsid w:val="003D365C"/>
    <w:rsid w:val="003D37C6"/>
    <w:rsid w:val="003D3A10"/>
    <w:rsid w:val="003D3DEC"/>
    <w:rsid w:val="003D442A"/>
    <w:rsid w:val="003D4FC5"/>
    <w:rsid w:val="003D59A7"/>
    <w:rsid w:val="003D5E76"/>
    <w:rsid w:val="003D60EF"/>
    <w:rsid w:val="003D7165"/>
    <w:rsid w:val="003D7303"/>
    <w:rsid w:val="003D7643"/>
    <w:rsid w:val="003D7D47"/>
    <w:rsid w:val="003D7ECA"/>
    <w:rsid w:val="003D7EE7"/>
    <w:rsid w:val="003E026C"/>
    <w:rsid w:val="003E07B2"/>
    <w:rsid w:val="003E0AEE"/>
    <w:rsid w:val="003E176D"/>
    <w:rsid w:val="003E1E63"/>
    <w:rsid w:val="003E340F"/>
    <w:rsid w:val="003E39F4"/>
    <w:rsid w:val="003E3AB6"/>
    <w:rsid w:val="003E4BB9"/>
    <w:rsid w:val="003E5039"/>
    <w:rsid w:val="003E5BD3"/>
    <w:rsid w:val="003E5CFD"/>
    <w:rsid w:val="003E61C1"/>
    <w:rsid w:val="003E768F"/>
    <w:rsid w:val="003E769A"/>
    <w:rsid w:val="003E7B09"/>
    <w:rsid w:val="003E7E33"/>
    <w:rsid w:val="003F0010"/>
    <w:rsid w:val="003F0276"/>
    <w:rsid w:val="003F0AE2"/>
    <w:rsid w:val="003F0DC5"/>
    <w:rsid w:val="003F15D9"/>
    <w:rsid w:val="003F162B"/>
    <w:rsid w:val="003F1700"/>
    <w:rsid w:val="003F180D"/>
    <w:rsid w:val="003F2558"/>
    <w:rsid w:val="003F308F"/>
    <w:rsid w:val="003F3629"/>
    <w:rsid w:val="003F3ADE"/>
    <w:rsid w:val="003F453F"/>
    <w:rsid w:val="003F4599"/>
    <w:rsid w:val="003F463B"/>
    <w:rsid w:val="003F5104"/>
    <w:rsid w:val="003F69BB"/>
    <w:rsid w:val="003F6E85"/>
    <w:rsid w:val="003F6F26"/>
    <w:rsid w:val="003F70F9"/>
    <w:rsid w:val="003F77D8"/>
    <w:rsid w:val="004001AB"/>
    <w:rsid w:val="004005F1"/>
    <w:rsid w:val="00400A50"/>
    <w:rsid w:val="00401802"/>
    <w:rsid w:val="00401ACD"/>
    <w:rsid w:val="004027EF"/>
    <w:rsid w:val="00404208"/>
    <w:rsid w:val="00404527"/>
    <w:rsid w:val="00404CE4"/>
    <w:rsid w:val="00405927"/>
    <w:rsid w:val="00406F94"/>
    <w:rsid w:val="004078AC"/>
    <w:rsid w:val="00410215"/>
    <w:rsid w:val="004103AD"/>
    <w:rsid w:val="0041072A"/>
    <w:rsid w:val="00411933"/>
    <w:rsid w:val="00412030"/>
    <w:rsid w:val="004128F1"/>
    <w:rsid w:val="00412A23"/>
    <w:rsid w:val="0041374B"/>
    <w:rsid w:val="00413C60"/>
    <w:rsid w:val="00413DAE"/>
    <w:rsid w:val="00414649"/>
    <w:rsid w:val="00414957"/>
    <w:rsid w:val="00415449"/>
    <w:rsid w:val="0041548D"/>
    <w:rsid w:val="0041698A"/>
    <w:rsid w:val="00416A91"/>
    <w:rsid w:val="00417827"/>
    <w:rsid w:val="00417840"/>
    <w:rsid w:val="0041792E"/>
    <w:rsid w:val="004179F1"/>
    <w:rsid w:val="00417DB2"/>
    <w:rsid w:val="00420362"/>
    <w:rsid w:val="004205B0"/>
    <w:rsid w:val="00420BCB"/>
    <w:rsid w:val="00420CAC"/>
    <w:rsid w:val="00420EDE"/>
    <w:rsid w:val="004210E7"/>
    <w:rsid w:val="0042177B"/>
    <w:rsid w:val="004218A7"/>
    <w:rsid w:val="0042271F"/>
    <w:rsid w:val="00422CB0"/>
    <w:rsid w:val="00423542"/>
    <w:rsid w:val="00423A8B"/>
    <w:rsid w:val="00423FF8"/>
    <w:rsid w:val="0042453B"/>
    <w:rsid w:val="00424DB7"/>
    <w:rsid w:val="004250E9"/>
    <w:rsid w:val="004254F5"/>
    <w:rsid w:val="00425866"/>
    <w:rsid w:val="00426467"/>
    <w:rsid w:val="004265AC"/>
    <w:rsid w:val="004266D0"/>
    <w:rsid w:val="00426982"/>
    <w:rsid w:val="00426AA7"/>
    <w:rsid w:val="0042710B"/>
    <w:rsid w:val="00427C90"/>
    <w:rsid w:val="00427E9F"/>
    <w:rsid w:val="00430431"/>
    <w:rsid w:val="004304C7"/>
    <w:rsid w:val="0043063B"/>
    <w:rsid w:val="00430AD4"/>
    <w:rsid w:val="00431022"/>
    <w:rsid w:val="0043223E"/>
    <w:rsid w:val="00433263"/>
    <w:rsid w:val="00433FA0"/>
    <w:rsid w:val="00433FDB"/>
    <w:rsid w:val="00434BCF"/>
    <w:rsid w:val="0043501C"/>
    <w:rsid w:val="00435103"/>
    <w:rsid w:val="00435E84"/>
    <w:rsid w:val="0043624D"/>
    <w:rsid w:val="00437301"/>
    <w:rsid w:val="00437C2B"/>
    <w:rsid w:val="0044011A"/>
    <w:rsid w:val="0044143F"/>
    <w:rsid w:val="00441808"/>
    <w:rsid w:val="00441C2F"/>
    <w:rsid w:val="00441CAC"/>
    <w:rsid w:val="004421CF"/>
    <w:rsid w:val="0044239F"/>
    <w:rsid w:val="0044263F"/>
    <w:rsid w:val="00442857"/>
    <w:rsid w:val="00442A30"/>
    <w:rsid w:val="00442BED"/>
    <w:rsid w:val="00442C89"/>
    <w:rsid w:val="0044309A"/>
    <w:rsid w:val="004435E5"/>
    <w:rsid w:val="00443778"/>
    <w:rsid w:val="004441D6"/>
    <w:rsid w:val="00444517"/>
    <w:rsid w:val="00444D22"/>
    <w:rsid w:val="0044505D"/>
    <w:rsid w:val="00445577"/>
    <w:rsid w:val="00446B88"/>
    <w:rsid w:val="00447034"/>
    <w:rsid w:val="004471A5"/>
    <w:rsid w:val="00447278"/>
    <w:rsid w:val="0044752E"/>
    <w:rsid w:val="004476C2"/>
    <w:rsid w:val="00447AE5"/>
    <w:rsid w:val="00447C67"/>
    <w:rsid w:val="00447CB3"/>
    <w:rsid w:val="00447F2B"/>
    <w:rsid w:val="004502A6"/>
    <w:rsid w:val="00450469"/>
    <w:rsid w:val="0045056C"/>
    <w:rsid w:val="00450BA1"/>
    <w:rsid w:val="0045105B"/>
    <w:rsid w:val="00451122"/>
    <w:rsid w:val="0045125D"/>
    <w:rsid w:val="00452019"/>
    <w:rsid w:val="004524FB"/>
    <w:rsid w:val="00452B99"/>
    <w:rsid w:val="00452C7A"/>
    <w:rsid w:val="00452FCA"/>
    <w:rsid w:val="00453E0D"/>
    <w:rsid w:val="00454A50"/>
    <w:rsid w:val="00454E82"/>
    <w:rsid w:val="0045519D"/>
    <w:rsid w:val="00455303"/>
    <w:rsid w:val="004557CA"/>
    <w:rsid w:val="00456676"/>
    <w:rsid w:val="00456DA7"/>
    <w:rsid w:val="00456DD4"/>
    <w:rsid w:val="0045792D"/>
    <w:rsid w:val="00457A5A"/>
    <w:rsid w:val="00457BE1"/>
    <w:rsid w:val="00457C30"/>
    <w:rsid w:val="00460282"/>
    <w:rsid w:val="004602E9"/>
    <w:rsid w:val="004607ED"/>
    <w:rsid w:val="00460A18"/>
    <w:rsid w:val="00460C0A"/>
    <w:rsid w:val="00461716"/>
    <w:rsid w:val="004620EC"/>
    <w:rsid w:val="004634EB"/>
    <w:rsid w:val="004636E7"/>
    <w:rsid w:val="00463AD7"/>
    <w:rsid w:val="00464949"/>
    <w:rsid w:val="00465305"/>
    <w:rsid w:val="00465555"/>
    <w:rsid w:val="0046572F"/>
    <w:rsid w:val="0046594F"/>
    <w:rsid w:val="00465ACD"/>
    <w:rsid w:val="00465D5C"/>
    <w:rsid w:val="004660E2"/>
    <w:rsid w:val="00466B26"/>
    <w:rsid w:val="00466C9A"/>
    <w:rsid w:val="00466D32"/>
    <w:rsid w:val="00470529"/>
    <w:rsid w:val="00470817"/>
    <w:rsid w:val="004713C9"/>
    <w:rsid w:val="00471997"/>
    <w:rsid w:val="00471D1C"/>
    <w:rsid w:val="00471DA5"/>
    <w:rsid w:val="00471EE0"/>
    <w:rsid w:val="00471F35"/>
    <w:rsid w:val="0047331D"/>
    <w:rsid w:val="0047364C"/>
    <w:rsid w:val="004736E7"/>
    <w:rsid w:val="00473CE0"/>
    <w:rsid w:val="00475EFE"/>
    <w:rsid w:val="00475F73"/>
    <w:rsid w:val="00475F8B"/>
    <w:rsid w:val="00476060"/>
    <w:rsid w:val="004763D3"/>
    <w:rsid w:val="004768D0"/>
    <w:rsid w:val="00476C24"/>
    <w:rsid w:val="00476E76"/>
    <w:rsid w:val="00477AFD"/>
    <w:rsid w:val="0048009F"/>
    <w:rsid w:val="0048066C"/>
    <w:rsid w:val="00480FAA"/>
    <w:rsid w:val="00481B34"/>
    <w:rsid w:val="00481BB9"/>
    <w:rsid w:val="004838E6"/>
    <w:rsid w:val="004845AF"/>
    <w:rsid w:val="004856F5"/>
    <w:rsid w:val="00485711"/>
    <w:rsid w:val="0048679E"/>
    <w:rsid w:val="00486C3B"/>
    <w:rsid w:val="00487221"/>
    <w:rsid w:val="004872DC"/>
    <w:rsid w:val="004879C7"/>
    <w:rsid w:val="00487C40"/>
    <w:rsid w:val="00487F36"/>
    <w:rsid w:val="00487F3F"/>
    <w:rsid w:val="00490982"/>
    <w:rsid w:val="00490A1F"/>
    <w:rsid w:val="00491A7E"/>
    <w:rsid w:val="004927F3"/>
    <w:rsid w:val="00493095"/>
    <w:rsid w:val="0049376E"/>
    <w:rsid w:val="00493895"/>
    <w:rsid w:val="00494A42"/>
    <w:rsid w:val="00495795"/>
    <w:rsid w:val="00495A13"/>
    <w:rsid w:val="00496010"/>
    <w:rsid w:val="00496853"/>
    <w:rsid w:val="0049685C"/>
    <w:rsid w:val="00496955"/>
    <w:rsid w:val="00496B46"/>
    <w:rsid w:val="00496C6B"/>
    <w:rsid w:val="00496FF6"/>
    <w:rsid w:val="004970FA"/>
    <w:rsid w:val="004971FB"/>
    <w:rsid w:val="004978DB"/>
    <w:rsid w:val="00497E6E"/>
    <w:rsid w:val="00497FC5"/>
    <w:rsid w:val="004A0940"/>
    <w:rsid w:val="004A121D"/>
    <w:rsid w:val="004A15DA"/>
    <w:rsid w:val="004A1799"/>
    <w:rsid w:val="004A19FF"/>
    <w:rsid w:val="004A1B99"/>
    <w:rsid w:val="004A1BCB"/>
    <w:rsid w:val="004A1E1F"/>
    <w:rsid w:val="004A1F12"/>
    <w:rsid w:val="004A2340"/>
    <w:rsid w:val="004A269A"/>
    <w:rsid w:val="004A3039"/>
    <w:rsid w:val="004A428B"/>
    <w:rsid w:val="004A4571"/>
    <w:rsid w:val="004A459C"/>
    <w:rsid w:val="004A49AD"/>
    <w:rsid w:val="004A52DE"/>
    <w:rsid w:val="004A61D1"/>
    <w:rsid w:val="004A6637"/>
    <w:rsid w:val="004A6D62"/>
    <w:rsid w:val="004A6D6C"/>
    <w:rsid w:val="004A700A"/>
    <w:rsid w:val="004A7A32"/>
    <w:rsid w:val="004A7C3A"/>
    <w:rsid w:val="004B04AD"/>
    <w:rsid w:val="004B05C4"/>
    <w:rsid w:val="004B070C"/>
    <w:rsid w:val="004B091D"/>
    <w:rsid w:val="004B0A58"/>
    <w:rsid w:val="004B0C25"/>
    <w:rsid w:val="004B261B"/>
    <w:rsid w:val="004B38D8"/>
    <w:rsid w:val="004B3D8E"/>
    <w:rsid w:val="004B45A2"/>
    <w:rsid w:val="004B46F6"/>
    <w:rsid w:val="004B4F5D"/>
    <w:rsid w:val="004B57FA"/>
    <w:rsid w:val="004B6D6A"/>
    <w:rsid w:val="004B7CC1"/>
    <w:rsid w:val="004C000C"/>
    <w:rsid w:val="004C094B"/>
    <w:rsid w:val="004C0D5A"/>
    <w:rsid w:val="004C0D9F"/>
    <w:rsid w:val="004C109A"/>
    <w:rsid w:val="004C1154"/>
    <w:rsid w:val="004C13DE"/>
    <w:rsid w:val="004C147B"/>
    <w:rsid w:val="004C15FF"/>
    <w:rsid w:val="004C1655"/>
    <w:rsid w:val="004C1ADE"/>
    <w:rsid w:val="004C259A"/>
    <w:rsid w:val="004C3522"/>
    <w:rsid w:val="004C3566"/>
    <w:rsid w:val="004C40FD"/>
    <w:rsid w:val="004C488B"/>
    <w:rsid w:val="004C6160"/>
    <w:rsid w:val="004C6251"/>
    <w:rsid w:val="004C62E5"/>
    <w:rsid w:val="004C6D70"/>
    <w:rsid w:val="004C7677"/>
    <w:rsid w:val="004C79BF"/>
    <w:rsid w:val="004D0279"/>
    <w:rsid w:val="004D066F"/>
    <w:rsid w:val="004D0BB4"/>
    <w:rsid w:val="004D1302"/>
    <w:rsid w:val="004D1FBD"/>
    <w:rsid w:val="004D20FB"/>
    <w:rsid w:val="004D28FB"/>
    <w:rsid w:val="004D2F95"/>
    <w:rsid w:val="004D3684"/>
    <w:rsid w:val="004D4074"/>
    <w:rsid w:val="004D41D5"/>
    <w:rsid w:val="004D43C4"/>
    <w:rsid w:val="004D44CF"/>
    <w:rsid w:val="004D46A0"/>
    <w:rsid w:val="004D5EEE"/>
    <w:rsid w:val="004D624E"/>
    <w:rsid w:val="004D6630"/>
    <w:rsid w:val="004D6C71"/>
    <w:rsid w:val="004D6FE0"/>
    <w:rsid w:val="004D7425"/>
    <w:rsid w:val="004D7977"/>
    <w:rsid w:val="004E07A2"/>
    <w:rsid w:val="004E0EDA"/>
    <w:rsid w:val="004E1111"/>
    <w:rsid w:val="004E11E5"/>
    <w:rsid w:val="004E149E"/>
    <w:rsid w:val="004E18D0"/>
    <w:rsid w:val="004E2580"/>
    <w:rsid w:val="004E28FA"/>
    <w:rsid w:val="004E2D2D"/>
    <w:rsid w:val="004E2D53"/>
    <w:rsid w:val="004E366D"/>
    <w:rsid w:val="004E390F"/>
    <w:rsid w:val="004E3C4E"/>
    <w:rsid w:val="004E3EE2"/>
    <w:rsid w:val="004E4407"/>
    <w:rsid w:val="004E442E"/>
    <w:rsid w:val="004E4A82"/>
    <w:rsid w:val="004E4AED"/>
    <w:rsid w:val="004E5C6F"/>
    <w:rsid w:val="004E5C91"/>
    <w:rsid w:val="004E65FE"/>
    <w:rsid w:val="004E684F"/>
    <w:rsid w:val="004E69CF"/>
    <w:rsid w:val="004E70DE"/>
    <w:rsid w:val="004E74E0"/>
    <w:rsid w:val="004E7ACB"/>
    <w:rsid w:val="004E7EF5"/>
    <w:rsid w:val="004F035B"/>
    <w:rsid w:val="004F160A"/>
    <w:rsid w:val="004F1C21"/>
    <w:rsid w:val="004F27B1"/>
    <w:rsid w:val="004F2866"/>
    <w:rsid w:val="004F29CD"/>
    <w:rsid w:val="004F30BF"/>
    <w:rsid w:val="004F30D8"/>
    <w:rsid w:val="004F3204"/>
    <w:rsid w:val="004F3F52"/>
    <w:rsid w:val="004F5A6A"/>
    <w:rsid w:val="004F5C78"/>
    <w:rsid w:val="004F6168"/>
    <w:rsid w:val="004F6A05"/>
    <w:rsid w:val="004F6AFF"/>
    <w:rsid w:val="004F7DB1"/>
    <w:rsid w:val="004F7E4D"/>
    <w:rsid w:val="005006B2"/>
    <w:rsid w:val="005007E3"/>
    <w:rsid w:val="00500AB8"/>
    <w:rsid w:val="00500BD6"/>
    <w:rsid w:val="005019C2"/>
    <w:rsid w:val="00501A88"/>
    <w:rsid w:val="00501B54"/>
    <w:rsid w:val="00501BA9"/>
    <w:rsid w:val="00501C25"/>
    <w:rsid w:val="0050229B"/>
    <w:rsid w:val="0050235C"/>
    <w:rsid w:val="00502410"/>
    <w:rsid w:val="0050298E"/>
    <w:rsid w:val="005030CF"/>
    <w:rsid w:val="005033A5"/>
    <w:rsid w:val="005035DB"/>
    <w:rsid w:val="005039FB"/>
    <w:rsid w:val="00505232"/>
    <w:rsid w:val="00505272"/>
    <w:rsid w:val="00505325"/>
    <w:rsid w:val="00505387"/>
    <w:rsid w:val="0050673B"/>
    <w:rsid w:val="005069F9"/>
    <w:rsid w:val="00506AC3"/>
    <w:rsid w:val="0051014C"/>
    <w:rsid w:val="005108A4"/>
    <w:rsid w:val="00510B11"/>
    <w:rsid w:val="00510CAD"/>
    <w:rsid w:val="005117DD"/>
    <w:rsid w:val="00511CA8"/>
    <w:rsid w:val="005121B2"/>
    <w:rsid w:val="00512679"/>
    <w:rsid w:val="00512F0C"/>
    <w:rsid w:val="00512F45"/>
    <w:rsid w:val="00513046"/>
    <w:rsid w:val="00513049"/>
    <w:rsid w:val="005135AD"/>
    <w:rsid w:val="00513B98"/>
    <w:rsid w:val="00513F1E"/>
    <w:rsid w:val="005140B9"/>
    <w:rsid w:val="00514131"/>
    <w:rsid w:val="0051515D"/>
    <w:rsid w:val="0051531C"/>
    <w:rsid w:val="005159DD"/>
    <w:rsid w:val="005159E1"/>
    <w:rsid w:val="00515C12"/>
    <w:rsid w:val="00515EE2"/>
    <w:rsid w:val="005164C5"/>
    <w:rsid w:val="005166E2"/>
    <w:rsid w:val="005168F3"/>
    <w:rsid w:val="00516F5A"/>
    <w:rsid w:val="005178EC"/>
    <w:rsid w:val="00517C95"/>
    <w:rsid w:val="00517E39"/>
    <w:rsid w:val="00520FB7"/>
    <w:rsid w:val="005217E3"/>
    <w:rsid w:val="00521DF9"/>
    <w:rsid w:val="0052281B"/>
    <w:rsid w:val="005229D5"/>
    <w:rsid w:val="00522D01"/>
    <w:rsid w:val="00522F30"/>
    <w:rsid w:val="00523CF9"/>
    <w:rsid w:val="00523D55"/>
    <w:rsid w:val="00523D72"/>
    <w:rsid w:val="00524A48"/>
    <w:rsid w:val="00524DD8"/>
    <w:rsid w:val="005255A5"/>
    <w:rsid w:val="0052618C"/>
    <w:rsid w:val="00527137"/>
    <w:rsid w:val="005275E4"/>
    <w:rsid w:val="00527803"/>
    <w:rsid w:val="00527D1B"/>
    <w:rsid w:val="0053004E"/>
    <w:rsid w:val="0053037F"/>
    <w:rsid w:val="00530721"/>
    <w:rsid w:val="005313CD"/>
    <w:rsid w:val="00531E9B"/>
    <w:rsid w:val="005321CB"/>
    <w:rsid w:val="00532A14"/>
    <w:rsid w:val="00532FBC"/>
    <w:rsid w:val="00533DC1"/>
    <w:rsid w:val="00533F7E"/>
    <w:rsid w:val="00535058"/>
    <w:rsid w:val="0053535D"/>
    <w:rsid w:val="00535767"/>
    <w:rsid w:val="00536609"/>
    <w:rsid w:val="00536D05"/>
    <w:rsid w:val="00537D8A"/>
    <w:rsid w:val="00537F67"/>
    <w:rsid w:val="005416CB"/>
    <w:rsid w:val="00541973"/>
    <w:rsid w:val="00541C84"/>
    <w:rsid w:val="00542024"/>
    <w:rsid w:val="0054295F"/>
    <w:rsid w:val="00543CA6"/>
    <w:rsid w:val="005440A4"/>
    <w:rsid w:val="0054479F"/>
    <w:rsid w:val="00544A2C"/>
    <w:rsid w:val="00544AE2"/>
    <w:rsid w:val="00544BD0"/>
    <w:rsid w:val="00544DB3"/>
    <w:rsid w:val="00545487"/>
    <w:rsid w:val="00545863"/>
    <w:rsid w:val="00546662"/>
    <w:rsid w:val="0054672B"/>
    <w:rsid w:val="00546B3A"/>
    <w:rsid w:val="0054784B"/>
    <w:rsid w:val="0054788C"/>
    <w:rsid w:val="00547E34"/>
    <w:rsid w:val="00547E47"/>
    <w:rsid w:val="00550B8C"/>
    <w:rsid w:val="005516C3"/>
    <w:rsid w:val="0055216A"/>
    <w:rsid w:val="00552ACE"/>
    <w:rsid w:val="00552BC5"/>
    <w:rsid w:val="00554582"/>
    <w:rsid w:val="005548D4"/>
    <w:rsid w:val="00554FAE"/>
    <w:rsid w:val="00555570"/>
    <w:rsid w:val="0055558A"/>
    <w:rsid w:val="00556C4B"/>
    <w:rsid w:val="00556EFB"/>
    <w:rsid w:val="00557718"/>
    <w:rsid w:val="0055796F"/>
    <w:rsid w:val="00557D8D"/>
    <w:rsid w:val="00560025"/>
    <w:rsid w:val="0056010B"/>
    <w:rsid w:val="0056111D"/>
    <w:rsid w:val="00561FA0"/>
    <w:rsid w:val="00562315"/>
    <w:rsid w:val="00562B0B"/>
    <w:rsid w:val="0056304E"/>
    <w:rsid w:val="0056324B"/>
    <w:rsid w:val="00563537"/>
    <w:rsid w:val="005637CE"/>
    <w:rsid w:val="00563F86"/>
    <w:rsid w:val="00564003"/>
    <w:rsid w:val="00564182"/>
    <w:rsid w:val="00564215"/>
    <w:rsid w:val="0056438B"/>
    <w:rsid w:val="005645D3"/>
    <w:rsid w:val="00564AD9"/>
    <w:rsid w:val="00565232"/>
    <w:rsid w:val="00566D50"/>
    <w:rsid w:val="00567F8F"/>
    <w:rsid w:val="00571CAC"/>
    <w:rsid w:val="00572AF6"/>
    <w:rsid w:val="0057339F"/>
    <w:rsid w:val="005736F2"/>
    <w:rsid w:val="00573776"/>
    <w:rsid w:val="005738BF"/>
    <w:rsid w:val="00573C58"/>
    <w:rsid w:val="0057453F"/>
    <w:rsid w:val="005752BA"/>
    <w:rsid w:val="00575442"/>
    <w:rsid w:val="00575C76"/>
    <w:rsid w:val="0057674E"/>
    <w:rsid w:val="005768B2"/>
    <w:rsid w:val="00577BD5"/>
    <w:rsid w:val="00577F91"/>
    <w:rsid w:val="0058069F"/>
    <w:rsid w:val="00580713"/>
    <w:rsid w:val="00580C33"/>
    <w:rsid w:val="005815FD"/>
    <w:rsid w:val="00581740"/>
    <w:rsid w:val="005821BE"/>
    <w:rsid w:val="00582282"/>
    <w:rsid w:val="00583170"/>
    <w:rsid w:val="00583A7A"/>
    <w:rsid w:val="00583AC6"/>
    <w:rsid w:val="00584396"/>
    <w:rsid w:val="005848CA"/>
    <w:rsid w:val="00584B2F"/>
    <w:rsid w:val="00585115"/>
    <w:rsid w:val="0058529E"/>
    <w:rsid w:val="0058662E"/>
    <w:rsid w:val="005872E1"/>
    <w:rsid w:val="00587396"/>
    <w:rsid w:val="00587B7E"/>
    <w:rsid w:val="00587DBE"/>
    <w:rsid w:val="00591180"/>
    <w:rsid w:val="00591618"/>
    <w:rsid w:val="00591CDB"/>
    <w:rsid w:val="00592D49"/>
    <w:rsid w:val="0059362A"/>
    <w:rsid w:val="005937B9"/>
    <w:rsid w:val="0059433F"/>
    <w:rsid w:val="0059529A"/>
    <w:rsid w:val="00595465"/>
    <w:rsid w:val="00595951"/>
    <w:rsid w:val="0059612F"/>
    <w:rsid w:val="00596A3E"/>
    <w:rsid w:val="00596B0B"/>
    <w:rsid w:val="00596D03"/>
    <w:rsid w:val="00596F8D"/>
    <w:rsid w:val="005976CA"/>
    <w:rsid w:val="0059774F"/>
    <w:rsid w:val="00597792"/>
    <w:rsid w:val="00597BA3"/>
    <w:rsid w:val="00597BBB"/>
    <w:rsid w:val="00597CBC"/>
    <w:rsid w:val="005A0AF2"/>
    <w:rsid w:val="005A0F19"/>
    <w:rsid w:val="005A11C4"/>
    <w:rsid w:val="005A12FA"/>
    <w:rsid w:val="005A1AC5"/>
    <w:rsid w:val="005A2B8D"/>
    <w:rsid w:val="005A2E79"/>
    <w:rsid w:val="005A32C7"/>
    <w:rsid w:val="005A33E2"/>
    <w:rsid w:val="005A39CC"/>
    <w:rsid w:val="005A3BE5"/>
    <w:rsid w:val="005A41BB"/>
    <w:rsid w:val="005A53EC"/>
    <w:rsid w:val="005A5462"/>
    <w:rsid w:val="005A55FC"/>
    <w:rsid w:val="005A579B"/>
    <w:rsid w:val="005A60C3"/>
    <w:rsid w:val="005A69E7"/>
    <w:rsid w:val="005A6A17"/>
    <w:rsid w:val="005A6E18"/>
    <w:rsid w:val="005A72E4"/>
    <w:rsid w:val="005A77D0"/>
    <w:rsid w:val="005A7A82"/>
    <w:rsid w:val="005B01A5"/>
    <w:rsid w:val="005B09CF"/>
    <w:rsid w:val="005B0F27"/>
    <w:rsid w:val="005B1386"/>
    <w:rsid w:val="005B14B7"/>
    <w:rsid w:val="005B158E"/>
    <w:rsid w:val="005B165E"/>
    <w:rsid w:val="005B168F"/>
    <w:rsid w:val="005B23D8"/>
    <w:rsid w:val="005B2485"/>
    <w:rsid w:val="005B265C"/>
    <w:rsid w:val="005B284E"/>
    <w:rsid w:val="005B2F2F"/>
    <w:rsid w:val="005B33D6"/>
    <w:rsid w:val="005B3E12"/>
    <w:rsid w:val="005B4186"/>
    <w:rsid w:val="005B44A3"/>
    <w:rsid w:val="005B4A94"/>
    <w:rsid w:val="005B4DBD"/>
    <w:rsid w:val="005B50D0"/>
    <w:rsid w:val="005B530C"/>
    <w:rsid w:val="005B59AE"/>
    <w:rsid w:val="005B59B2"/>
    <w:rsid w:val="005B5F4A"/>
    <w:rsid w:val="005B69A2"/>
    <w:rsid w:val="005C05A4"/>
    <w:rsid w:val="005C0CC7"/>
    <w:rsid w:val="005C145D"/>
    <w:rsid w:val="005C1943"/>
    <w:rsid w:val="005C20B9"/>
    <w:rsid w:val="005C2147"/>
    <w:rsid w:val="005C2F6E"/>
    <w:rsid w:val="005C330A"/>
    <w:rsid w:val="005C361B"/>
    <w:rsid w:val="005C4CB6"/>
    <w:rsid w:val="005C54B2"/>
    <w:rsid w:val="005C6324"/>
    <w:rsid w:val="005C66F2"/>
    <w:rsid w:val="005D0F52"/>
    <w:rsid w:val="005D1ACE"/>
    <w:rsid w:val="005D21E2"/>
    <w:rsid w:val="005D2955"/>
    <w:rsid w:val="005D296A"/>
    <w:rsid w:val="005D3520"/>
    <w:rsid w:val="005D3A9C"/>
    <w:rsid w:val="005D3E2E"/>
    <w:rsid w:val="005D3F0A"/>
    <w:rsid w:val="005D5113"/>
    <w:rsid w:val="005D5680"/>
    <w:rsid w:val="005D56C8"/>
    <w:rsid w:val="005D609C"/>
    <w:rsid w:val="005D6181"/>
    <w:rsid w:val="005D6ADC"/>
    <w:rsid w:val="005D6D39"/>
    <w:rsid w:val="005D79EF"/>
    <w:rsid w:val="005E01C2"/>
    <w:rsid w:val="005E0473"/>
    <w:rsid w:val="005E0C3D"/>
    <w:rsid w:val="005E1658"/>
    <w:rsid w:val="005E1C35"/>
    <w:rsid w:val="005E1F88"/>
    <w:rsid w:val="005E22B0"/>
    <w:rsid w:val="005E22FF"/>
    <w:rsid w:val="005E2478"/>
    <w:rsid w:val="005E3746"/>
    <w:rsid w:val="005E39C6"/>
    <w:rsid w:val="005E3D57"/>
    <w:rsid w:val="005E3F69"/>
    <w:rsid w:val="005E4ABD"/>
    <w:rsid w:val="005E4FCB"/>
    <w:rsid w:val="005E5264"/>
    <w:rsid w:val="005E59F3"/>
    <w:rsid w:val="005E59FB"/>
    <w:rsid w:val="005E5A6A"/>
    <w:rsid w:val="005E69AD"/>
    <w:rsid w:val="005E6A48"/>
    <w:rsid w:val="005E6BA2"/>
    <w:rsid w:val="005E6C19"/>
    <w:rsid w:val="005E6D57"/>
    <w:rsid w:val="005E70EE"/>
    <w:rsid w:val="005E70EF"/>
    <w:rsid w:val="005E757C"/>
    <w:rsid w:val="005E75C4"/>
    <w:rsid w:val="005E75F2"/>
    <w:rsid w:val="005E7D18"/>
    <w:rsid w:val="005F0371"/>
    <w:rsid w:val="005F10EA"/>
    <w:rsid w:val="005F1550"/>
    <w:rsid w:val="005F1B70"/>
    <w:rsid w:val="005F1D93"/>
    <w:rsid w:val="005F1F9F"/>
    <w:rsid w:val="005F2876"/>
    <w:rsid w:val="005F2B2F"/>
    <w:rsid w:val="005F30C0"/>
    <w:rsid w:val="005F58C9"/>
    <w:rsid w:val="005F5DEB"/>
    <w:rsid w:val="005F65F3"/>
    <w:rsid w:val="006000DC"/>
    <w:rsid w:val="00600128"/>
    <w:rsid w:val="0060034E"/>
    <w:rsid w:val="006004E5"/>
    <w:rsid w:val="006007CB"/>
    <w:rsid w:val="006011A4"/>
    <w:rsid w:val="006011BA"/>
    <w:rsid w:val="00601399"/>
    <w:rsid w:val="00601DA3"/>
    <w:rsid w:val="0060278C"/>
    <w:rsid w:val="00603322"/>
    <w:rsid w:val="00603709"/>
    <w:rsid w:val="00603A74"/>
    <w:rsid w:val="006042F3"/>
    <w:rsid w:val="00604936"/>
    <w:rsid w:val="00605A6A"/>
    <w:rsid w:val="006065F8"/>
    <w:rsid w:val="00606645"/>
    <w:rsid w:val="0060771A"/>
    <w:rsid w:val="00607F84"/>
    <w:rsid w:val="0061032A"/>
    <w:rsid w:val="006103B2"/>
    <w:rsid w:val="006107AF"/>
    <w:rsid w:val="006107C5"/>
    <w:rsid w:val="006109B4"/>
    <w:rsid w:val="00610A1A"/>
    <w:rsid w:val="00610E0B"/>
    <w:rsid w:val="00611773"/>
    <w:rsid w:val="006119CF"/>
    <w:rsid w:val="00611B96"/>
    <w:rsid w:val="006125C5"/>
    <w:rsid w:val="00612A0B"/>
    <w:rsid w:val="00613258"/>
    <w:rsid w:val="00613401"/>
    <w:rsid w:val="00613584"/>
    <w:rsid w:val="006149CD"/>
    <w:rsid w:val="00614D30"/>
    <w:rsid w:val="006152DF"/>
    <w:rsid w:val="00615486"/>
    <w:rsid w:val="00615A95"/>
    <w:rsid w:val="00615F05"/>
    <w:rsid w:val="006162A9"/>
    <w:rsid w:val="006162B1"/>
    <w:rsid w:val="006167A1"/>
    <w:rsid w:val="00616AE4"/>
    <w:rsid w:val="00616E6B"/>
    <w:rsid w:val="006173B8"/>
    <w:rsid w:val="00620208"/>
    <w:rsid w:val="006203C8"/>
    <w:rsid w:val="00620600"/>
    <w:rsid w:val="0062169A"/>
    <w:rsid w:val="00621DE2"/>
    <w:rsid w:val="00621F80"/>
    <w:rsid w:val="00622169"/>
    <w:rsid w:val="006228CF"/>
    <w:rsid w:val="00622AC8"/>
    <w:rsid w:val="00623B03"/>
    <w:rsid w:val="00624A14"/>
    <w:rsid w:val="00624C0F"/>
    <w:rsid w:val="006269B5"/>
    <w:rsid w:val="00630CD2"/>
    <w:rsid w:val="0063136A"/>
    <w:rsid w:val="00631A39"/>
    <w:rsid w:val="00631D28"/>
    <w:rsid w:val="006325C7"/>
    <w:rsid w:val="00634FEF"/>
    <w:rsid w:val="00635B60"/>
    <w:rsid w:val="006360DD"/>
    <w:rsid w:val="00636396"/>
    <w:rsid w:val="00636959"/>
    <w:rsid w:val="00637190"/>
    <w:rsid w:val="0063719B"/>
    <w:rsid w:val="00637BCA"/>
    <w:rsid w:val="00637F60"/>
    <w:rsid w:val="006404FE"/>
    <w:rsid w:val="0064063D"/>
    <w:rsid w:val="00640E39"/>
    <w:rsid w:val="00640F47"/>
    <w:rsid w:val="0064107E"/>
    <w:rsid w:val="006411FA"/>
    <w:rsid w:val="00641234"/>
    <w:rsid w:val="00642AAF"/>
    <w:rsid w:val="00642B36"/>
    <w:rsid w:val="00642E14"/>
    <w:rsid w:val="00642E6E"/>
    <w:rsid w:val="00643554"/>
    <w:rsid w:val="00643C2A"/>
    <w:rsid w:val="00644D2F"/>
    <w:rsid w:val="00645F21"/>
    <w:rsid w:val="00646274"/>
    <w:rsid w:val="00646292"/>
    <w:rsid w:val="00646345"/>
    <w:rsid w:val="0064648D"/>
    <w:rsid w:val="00646739"/>
    <w:rsid w:val="006469E7"/>
    <w:rsid w:val="00647457"/>
    <w:rsid w:val="0064761A"/>
    <w:rsid w:val="0065072A"/>
    <w:rsid w:val="006515B9"/>
    <w:rsid w:val="00651967"/>
    <w:rsid w:val="00651BE3"/>
    <w:rsid w:val="00651D38"/>
    <w:rsid w:val="00652518"/>
    <w:rsid w:val="00652855"/>
    <w:rsid w:val="00652A2B"/>
    <w:rsid w:val="00652E6D"/>
    <w:rsid w:val="00652F0D"/>
    <w:rsid w:val="006534BF"/>
    <w:rsid w:val="0065352B"/>
    <w:rsid w:val="00653CDC"/>
    <w:rsid w:val="006541C4"/>
    <w:rsid w:val="00654217"/>
    <w:rsid w:val="0065447E"/>
    <w:rsid w:val="0065489E"/>
    <w:rsid w:val="006557AC"/>
    <w:rsid w:val="00655CA9"/>
    <w:rsid w:val="00656326"/>
    <w:rsid w:val="00656373"/>
    <w:rsid w:val="00656636"/>
    <w:rsid w:val="006566E0"/>
    <w:rsid w:val="00656A0A"/>
    <w:rsid w:val="00656ED2"/>
    <w:rsid w:val="006576BA"/>
    <w:rsid w:val="00657832"/>
    <w:rsid w:val="00660650"/>
    <w:rsid w:val="006616C3"/>
    <w:rsid w:val="00662DEB"/>
    <w:rsid w:val="006633C1"/>
    <w:rsid w:val="006643FB"/>
    <w:rsid w:val="00664851"/>
    <w:rsid w:val="006648D3"/>
    <w:rsid w:val="00664969"/>
    <w:rsid w:val="00664C68"/>
    <w:rsid w:val="00664E0B"/>
    <w:rsid w:val="00664FF5"/>
    <w:rsid w:val="00665090"/>
    <w:rsid w:val="00665BEF"/>
    <w:rsid w:val="00666330"/>
    <w:rsid w:val="006667A3"/>
    <w:rsid w:val="00666A14"/>
    <w:rsid w:val="00666AE0"/>
    <w:rsid w:val="00666C52"/>
    <w:rsid w:val="00666C5D"/>
    <w:rsid w:val="00666E9F"/>
    <w:rsid w:val="006674BC"/>
    <w:rsid w:val="00667C26"/>
    <w:rsid w:val="006704A7"/>
    <w:rsid w:val="00670F97"/>
    <w:rsid w:val="00671462"/>
    <w:rsid w:val="00672340"/>
    <w:rsid w:val="0067256E"/>
    <w:rsid w:val="00672D15"/>
    <w:rsid w:val="006732FC"/>
    <w:rsid w:val="00673865"/>
    <w:rsid w:val="006745BE"/>
    <w:rsid w:val="006747C0"/>
    <w:rsid w:val="00674C7D"/>
    <w:rsid w:val="00674FC8"/>
    <w:rsid w:val="00674FFC"/>
    <w:rsid w:val="006757B0"/>
    <w:rsid w:val="00675E19"/>
    <w:rsid w:val="006764AA"/>
    <w:rsid w:val="006774C8"/>
    <w:rsid w:val="006776CA"/>
    <w:rsid w:val="00677F81"/>
    <w:rsid w:val="00680230"/>
    <w:rsid w:val="0068145A"/>
    <w:rsid w:val="00682098"/>
    <w:rsid w:val="00682573"/>
    <w:rsid w:val="00682CB4"/>
    <w:rsid w:val="006831D6"/>
    <w:rsid w:val="00683324"/>
    <w:rsid w:val="00683328"/>
    <w:rsid w:val="0068364C"/>
    <w:rsid w:val="00683BB3"/>
    <w:rsid w:val="0068433E"/>
    <w:rsid w:val="00684B37"/>
    <w:rsid w:val="00685025"/>
    <w:rsid w:val="00685455"/>
    <w:rsid w:val="00685B20"/>
    <w:rsid w:val="00685C2E"/>
    <w:rsid w:val="0068620F"/>
    <w:rsid w:val="00686741"/>
    <w:rsid w:val="00686CF4"/>
    <w:rsid w:val="00686F22"/>
    <w:rsid w:val="006876BC"/>
    <w:rsid w:val="00687AD9"/>
    <w:rsid w:val="00690446"/>
    <w:rsid w:val="006904D7"/>
    <w:rsid w:val="00690BF5"/>
    <w:rsid w:val="00690D69"/>
    <w:rsid w:val="00690EEE"/>
    <w:rsid w:val="00691357"/>
    <w:rsid w:val="00691DA8"/>
    <w:rsid w:val="00691E97"/>
    <w:rsid w:val="006924C3"/>
    <w:rsid w:val="00693352"/>
    <w:rsid w:val="006935C6"/>
    <w:rsid w:val="00693A2B"/>
    <w:rsid w:val="006941E7"/>
    <w:rsid w:val="00694849"/>
    <w:rsid w:val="00694E1F"/>
    <w:rsid w:val="0069537B"/>
    <w:rsid w:val="00696733"/>
    <w:rsid w:val="00696B45"/>
    <w:rsid w:val="006979EA"/>
    <w:rsid w:val="006A095A"/>
    <w:rsid w:val="006A09F5"/>
    <w:rsid w:val="006A0B66"/>
    <w:rsid w:val="006A1A16"/>
    <w:rsid w:val="006A21AD"/>
    <w:rsid w:val="006A28FB"/>
    <w:rsid w:val="006A32FB"/>
    <w:rsid w:val="006A455B"/>
    <w:rsid w:val="006A488D"/>
    <w:rsid w:val="006A5279"/>
    <w:rsid w:val="006A541D"/>
    <w:rsid w:val="006A640B"/>
    <w:rsid w:val="006A697E"/>
    <w:rsid w:val="006A70D7"/>
    <w:rsid w:val="006A7680"/>
    <w:rsid w:val="006B08A3"/>
    <w:rsid w:val="006B19A2"/>
    <w:rsid w:val="006B2CFC"/>
    <w:rsid w:val="006B316D"/>
    <w:rsid w:val="006B36A0"/>
    <w:rsid w:val="006B47DB"/>
    <w:rsid w:val="006B4817"/>
    <w:rsid w:val="006B48B9"/>
    <w:rsid w:val="006B4C0E"/>
    <w:rsid w:val="006B4CDD"/>
    <w:rsid w:val="006B51B1"/>
    <w:rsid w:val="006B5DB6"/>
    <w:rsid w:val="006B5DDC"/>
    <w:rsid w:val="006B5E30"/>
    <w:rsid w:val="006B5FD0"/>
    <w:rsid w:val="006B6D80"/>
    <w:rsid w:val="006B6DDF"/>
    <w:rsid w:val="006B7CCA"/>
    <w:rsid w:val="006C0054"/>
    <w:rsid w:val="006C11E8"/>
    <w:rsid w:val="006C13BF"/>
    <w:rsid w:val="006C1B07"/>
    <w:rsid w:val="006C24B3"/>
    <w:rsid w:val="006C25A3"/>
    <w:rsid w:val="006C270B"/>
    <w:rsid w:val="006C2EFE"/>
    <w:rsid w:val="006C334A"/>
    <w:rsid w:val="006C3C28"/>
    <w:rsid w:val="006C4251"/>
    <w:rsid w:val="006C4834"/>
    <w:rsid w:val="006C4A32"/>
    <w:rsid w:val="006C6552"/>
    <w:rsid w:val="006C671B"/>
    <w:rsid w:val="006C6F41"/>
    <w:rsid w:val="006C6F75"/>
    <w:rsid w:val="006C6FF4"/>
    <w:rsid w:val="006C7860"/>
    <w:rsid w:val="006D035C"/>
    <w:rsid w:val="006D0A7B"/>
    <w:rsid w:val="006D28CC"/>
    <w:rsid w:val="006D36A1"/>
    <w:rsid w:val="006D411C"/>
    <w:rsid w:val="006D49CC"/>
    <w:rsid w:val="006D4A30"/>
    <w:rsid w:val="006D54E6"/>
    <w:rsid w:val="006D5612"/>
    <w:rsid w:val="006D57CF"/>
    <w:rsid w:val="006D5ED3"/>
    <w:rsid w:val="006D5F00"/>
    <w:rsid w:val="006D69C3"/>
    <w:rsid w:val="006D6DF4"/>
    <w:rsid w:val="006D6EFB"/>
    <w:rsid w:val="006D6F75"/>
    <w:rsid w:val="006D709C"/>
    <w:rsid w:val="006D742D"/>
    <w:rsid w:val="006D786C"/>
    <w:rsid w:val="006E019C"/>
    <w:rsid w:val="006E0557"/>
    <w:rsid w:val="006E056D"/>
    <w:rsid w:val="006E0F1E"/>
    <w:rsid w:val="006E1640"/>
    <w:rsid w:val="006E1BB6"/>
    <w:rsid w:val="006E2AEB"/>
    <w:rsid w:val="006E345A"/>
    <w:rsid w:val="006E48BB"/>
    <w:rsid w:val="006E5237"/>
    <w:rsid w:val="006E5FC5"/>
    <w:rsid w:val="006E64C8"/>
    <w:rsid w:val="006E7388"/>
    <w:rsid w:val="006E748F"/>
    <w:rsid w:val="006E7AB7"/>
    <w:rsid w:val="006F0957"/>
    <w:rsid w:val="006F1229"/>
    <w:rsid w:val="006F129D"/>
    <w:rsid w:val="006F1770"/>
    <w:rsid w:val="006F26F1"/>
    <w:rsid w:val="006F2716"/>
    <w:rsid w:val="006F2818"/>
    <w:rsid w:val="006F2A10"/>
    <w:rsid w:val="006F2A3E"/>
    <w:rsid w:val="006F35F9"/>
    <w:rsid w:val="006F4018"/>
    <w:rsid w:val="006F413D"/>
    <w:rsid w:val="006F428E"/>
    <w:rsid w:val="006F456E"/>
    <w:rsid w:val="006F4E2A"/>
    <w:rsid w:val="006F5DBA"/>
    <w:rsid w:val="006F690D"/>
    <w:rsid w:val="006F6E60"/>
    <w:rsid w:val="006F7254"/>
    <w:rsid w:val="006F76ED"/>
    <w:rsid w:val="006F76FF"/>
    <w:rsid w:val="006F7889"/>
    <w:rsid w:val="006F7DBC"/>
    <w:rsid w:val="006F7DE1"/>
    <w:rsid w:val="006F7FE4"/>
    <w:rsid w:val="00700408"/>
    <w:rsid w:val="00700CFF"/>
    <w:rsid w:val="007013AF"/>
    <w:rsid w:val="0070184D"/>
    <w:rsid w:val="007019E3"/>
    <w:rsid w:val="00701C73"/>
    <w:rsid w:val="007022E6"/>
    <w:rsid w:val="007023D3"/>
    <w:rsid w:val="007023EE"/>
    <w:rsid w:val="00703656"/>
    <w:rsid w:val="00703E46"/>
    <w:rsid w:val="00705B35"/>
    <w:rsid w:val="00705B7D"/>
    <w:rsid w:val="007063AA"/>
    <w:rsid w:val="00706629"/>
    <w:rsid w:val="007067EC"/>
    <w:rsid w:val="00706C2A"/>
    <w:rsid w:val="00707AE3"/>
    <w:rsid w:val="007106F8"/>
    <w:rsid w:val="00710817"/>
    <w:rsid w:val="007109A4"/>
    <w:rsid w:val="00710B96"/>
    <w:rsid w:val="00710E79"/>
    <w:rsid w:val="0071138C"/>
    <w:rsid w:val="00711544"/>
    <w:rsid w:val="00711AD3"/>
    <w:rsid w:val="007126C1"/>
    <w:rsid w:val="007128D8"/>
    <w:rsid w:val="007134A4"/>
    <w:rsid w:val="007139EE"/>
    <w:rsid w:val="00713D61"/>
    <w:rsid w:val="00713D89"/>
    <w:rsid w:val="0071451E"/>
    <w:rsid w:val="007154A5"/>
    <w:rsid w:val="007154EE"/>
    <w:rsid w:val="00715813"/>
    <w:rsid w:val="00716563"/>
    <w:rsid w:val="0071658F"/>
    <w:rsid w:val="00716740"/>
    <w:rsid w:val="00717414"/>
    <w:rsid w:val="00717E53"/>
    <w:rsid w:val="00720083"/>
    <w:rsid w:val="007204BA"/>
    <w:rsid w:val="00720532"/>
    <w:rsid w:val="00720C4A"/>
    <w:rsid w:val="00721506"/>
    <w:rsid w:val="00721ABF"/>
    <w:rsid w:val="00721BBC"/>
    <w:rsid w:val="00722245"/>
    <w:rsid w:val="0072239A"/>
    <w:rsid w:val="0072289B"/>
    <w:rsid w:val="0072362C"/>
    <w:rsid w:val="00723A50"/>
    <w:rsid w:val="0072438A"/>
    <w:rsid w:val="007246BF"/>
    <w:rsid w:val="00725FDD"/>
    <w:rsid w:val="007268E7"/>
    <w:rsid w:val="007273B1"/>
    <w:rsid w:val="00727A58"/>
    <w:rsid w:val="00730BC3"/>
    <w:rsid w:val="00730F33"/>
    <w:rsid w:val="00732943"/>
    <w:rsid w:val="00732D4C"/>
    <w:rsid w:val="00733155"/>
    <w:rsid w:val="007331DF"/>
    <w:rsid w:val="00733735"/>
    <w:rsid w:val="007338F4"/>
    <w:rsid w:val="00733F78"/>
    <w:rsid w:val="0073401E"/>
    <w:rsid w:val="007340FB"/>
    <w:rsid w:val="007346E9"/>
    <w:rsid w:val="00734DE8"/>
    <w:rsid w:val="00736978"/>
    <w:rsid w:val="00736D9D"/>
    <w:rsid w:val="0073788C"/>
    <w:rsid w:val="00737D1A"/>
    <w:rsid w:val="00741076"/>
    <w:rsid w:val="00741156"/>
    <w:rsid w:val="0074163C"/>
    <w:rsid w:val="00741836"/>
    <w:rsid w:val="00741998"/>
    <w:rsid w:val="00741AED"/>
    <w:rsid w:val="00742669"/>
    <w:rsid w:val="00742697"/>
    <w:rsid w:val="007430C0"/>
    <w:rsid w:val="007444F1"/>
    <w:rsid w:val="00744840"/>
    <w:rsid w:val="00745B67"/>
    <w:rsid w:val="00746145"/>
    <w:rsid w:val="00746349"/>
    <w:rsid w:val="0074694D"/>
    <w:rsid w:val="007473D5"/>
    <w:rsid w:val="00747560"/>
    <w:rsid w:val="00747AAE"/>
    <w:rsid w:val="0075011C"/>
    <w:rsid w:val="00750955"/>
    <w:rsid w:val="007509E2"/>
    <w:rsid w:val="00750A6E"/>
    <w:rsid w:val="00750BD2"/>
    <w:rsid w:val="00750D8A"/>
    <w:rsid w:val="00751609"/>
    <w:rsid w:val="007517A0"/>
    <w:rsid w:val="00751892"/>
    <w:rsid w:val="00752126"/>
    <w:rsid w:val="007523E3"/>
    <w:rsid w:val="00752C01"/>
    <w:rsid w:val="0075343F"/>
    <w:rsid w:val="00753F10"/>
    <w:rsid w:val="0075417A"/>
    <w:rsid w:val="00754382"/>
    <w:rsid w:val="00754573"/>
    <w:rsid w:val="0075469B"/>
    <w:rsid w:val="00754760"/>
    <w:rsid w:val="00755525"/>
    <w:rsid w:val="00755D9A"/>
    <w:rsid w:val="00755E49"/>
    <w:rsid w:val="00756CE4"/>
    <w:rsid w:val="007575A5"/>
    <w:rsid w:val="007577CE"/>
    <w:rsid w:val="00757D2F"/>
    <w:rsid w:val="00757DFF"/>
    <w:rsid w:val="00761109"/>
    <w:rsid w:val="00761DBD"/>
    <w:rsid w:val="00761E18"/>
    <w:rsid w:val="00761FB5"/>
    <w:rsid w:val="00762505"/>
    <w:rsid w:val="00762DBB"/>
    <w:rsid w:val="00763257"/>
    <w:rsid w:val="00763736"/>
    <w:rsid w:val="00764986"/>
    <w:rsid w:val="00765A42"/>
    <w:rsid w:val="00765EFC"/>
    <w:rsid w:val="00766301"/>
    <w:rsid w:val="007666D5"/>
    <w:rsid w:val="00766C86"/>
    <w:rsid w:val="00767231"/>
    <w:rsid w:val="00767C0D"/>
    <w:rsid w:val="00770477"/>
    <w:rsid w:val="0077086C"/>
    <w:rsid w:val="00770A85"/>
    <w:rsid w:val="00771AA3"/>
    <w:rsid w:val="00771D3E"/>
    <w:rsid w:val="007721DC"/>
    <w:rsid w:val="00772450"/>
    <w:rsid w:val="00772564"/>
    <w:rsid w:val="00773E82"/>
    <w:rsid w:val="00774605"/>
    <w:rsid w:val="007746A5"/>
    <w:rsid w:val="00774823"/>
    <w:rsid w:val="0077488C"/>
    <w:rsid w:val="0077505C"/>
    <w:rsid w:val="00775CF5"/>
    <w:rsid w:val="00776041"/>
    <w:rsid w:val="0077693C"/>
    <w:rsid w:val="00776BEA"/>
    <w:rsid w:val="00776FE5"/>
    <w:rsid w:val="00777089"/>
    <w:rsid w:val="00777FA7"/>
    <w:rsid w:val="0078053C"/>
    <w:rsid w:val="00780975"/>
    <w:rsid w:val="00780FA6"/>
    <w:rsid w:val="00780FB0"/>
    <w:rsid w:val="00781170"/>
    <w:rsid w:val="00781790"/>
    <w:rsid w:val="0078179E"/>
    <w:rsid w:val="007823AE"/>
    <w:rsid w:val="00782416"/>
    <w:rsid w:val="0078270E"/>
    <w:rsid w:val="007834FF"/>
    <w:rsid w:val="00783E7E"/>
    <w:rsid w:val="00783EC8"/>
    <w:rsid w:val="007844B1"/>
    <w:rsid w:val="007845B8"/>
    <w:rsid w:val="00784B3B"/>
    <w:rsid w:val="00784CEF"/>
    <w:rsid w:val="00785442"/>
    <w:rsid w:val="0078592C"/>
    <w:rsid w:val="007878B9"/>
    <w:rsid w:val="00787B10"/>
    <w:rsid w:val="00787D04"/>
    <w:rsid w:val="007900A3"/>
    <w:rsid w:val="007909F0"/>
    <w:rsid w:val="00790E07"/>
    <w:rsid w:val="007921A3"/>
    <w:rsid w:val="00793790"/>
    <w:rsid w:val="0079388E"/>
    <w:rsid w:val="00793FA3"/>
    <w:rsid w:val="00794048"/>
    <w:rsid w:val="0079484A"/>
    <w:rsid w:val="00794DF9"/>
    <w:rsid w:val="007950B3"/>
    <w:rsid w:val="00795C06"/>
    <w:rsid w:val="007963EE"/>
    <w:rsid w:val="0079788E"/>
    <w:rsid w:val="007978D7"/>
    <w:rsid w:val="007A01FF"/>
    <w:rsid w:val="007A07BD"/>
    <w:rsid w:val="007A12FF"/>
    <w:rsid w:val="007A1505"/>
    <w:rsid w:val="007A1B6A"/>
    <w:rsid w:val="007A2269"/>
    <w:rsid w:val="007A2435"/>
    <w:rsid w:val="007A2FBC"/>
    <w:rsid w:val="007A31FF"/>
    <w:rsid w:val="007A3C6E"/>
    <w:rsid w:val="007A3FBE"/>
    <w:rsid w:val="007A42B2"/>
    <w:rsid w:val="007A4867"/>
    <w:rsid w:val="007A48AE"/>
    <w:rsid w:val="007A51B8"/>
    <w:rsid w:val="007A56BB"/>
    <w:rsid w:val="007A6578"/>
    <w:rsid w:val="007A692A"/>
    <w:rsid w:val="007A7108"/>
    <w:rsid w:val="007A75E5"/>
    <w:rsid w:val="007A7640"/>
    <w:rsid w:val="007A774F"/>
    <w:rsid w:val="007B040A"/>
    <w:rsid w:val="007B0FD0"/>
    <w:rsid w:val="007B1E42"/>
    <w:rsid w:val="007B22CD"/>
    <w:rsid w:val="007B2858"/>
    <w:rsid w:val="007B319C"/>
    <w:rsid w:val="007B3B41"/>
    <w:rsid w:val="007B5107"/>
    <w:rsid w:val="007B56E4"/>
    <w:rsid w:val="007B5997"/>
    <w:rsid w:val="007B699B"/>
    <w:rsid w:val="007B6A4E"/>
    <w:rsid w:val="007B70E9"/>
    <w:rsid w:val="007B7331"/>
    <w:rsid w:val="007C0152"/>
    <w:rsid w:val="007C13C2"/>
    <w:rsid w:val="007C15B4"/>
    <w:rsid w:val="007C184E"/>
    <w:rsid w:val="007C1A4E"/>
    <w:rsid w:val="007C22D3"/>
    <w:rsid w:val="007C3920"/>
    <w:rsid w:val="007C3B86"/>
    <w:rsid w:val="007C4318"/>
    <w:rsid w:val="007C59C8"/>
    <w:rsid w:val="007C5FF9"/>
    <w:rsid w:val="007C60EB"/>
    <w:rsid w:val="007C628A"/>
    <w:rsid w:val="007C630B"/>
    <w:rsid w:val="007C65D4"/>
    <w:rsid w:val="007C6FF9"/>
    <w:rsid w:val="007C7318"/>
    <w:rsid w:val="007D0376"/>
    <w:rsid w:val="007D1466"/>
    <w:rsid w:val="007D1CD7"/>
    <w:rsid w:val="007D1DDF"/>
    <w:rsid w:val="007D1FDE"/>
    <w:rsid w:val="007D3160"/>
    <w:rsid w:val="007D3370"/>
    <w:rsid w:val="007D384A"/>
    <w:rsid w:val="007D3CEC"/>
    <w:rsid w:val="007D4646"/>
    <w:rsid w:val="007D480A"/>
    <w:rsid w:val="007D5436"/>
    <w:rsid w:val="007D5D24"/>
    <w:rsid w:val="007D5D58"/>
    <w:rsid w:val="007D5EFE"/>
    <w:rsid w:val="007D5F7F"/>
    <w:rsid w:val="007E065B"/>
    <w:rsid w:val="007E0ED9"/>
    <w:rsid w:val="007E1104"/>
    <w:rsid w:val="007E124D"/>
    <w:rsid w:val="007E1363"/>
    <w:rsid w:val="007E15DC"/>
    <w:rsid w:val="007E1BBF"/>
    <w:rsid w:val="007E1CCC"/>
    <w:rsid w:val="007E2C32"/>
    <w:rsid w:val="007E2CB4"/>
    <w:rsid w:val="007E3935"/>
    <w:rsid w:val="007E40C5"/>
    <w:rsid w:val="007E496C"/>
    <w:rsid w:val="007E4BEA"/>
    <w:rsid w:val="007E4EAE"/>
    <w:rsid w:val="007E5F1B"/>
    <w:rsid w:val="007E616F"/>
    <w:rsid w:val="007E6697"/>
    <w:rsid w:val="007E69E8"/>
    <w:rsid w:val="007E70C6"/>
    <w:rsid w:val="007E75AA"/>
    <w:rsid w:val="007F010B"/>
    <w:rsid w:val="007F0348"/>
    <w:rsid w:val="007F0ECD"/>
    <w:rsid w:val="007F139D"/>
    <w:rsid w:val="007F15D2"/>
    <w:rsid w:val="007F19CD"/>
    <w:rsid w:val="007F207A"/>
    <w:rsid w:val="007F3A5C"/>
    <w:rsid w:val="007F51DD"/>
    <w:rsid w:val="007F6ABF"/>
    <w:rsid w:val="007F6B21"/>
    <w:rsid w:val="007F779E"/>
    <w:rsid w:val="007F7973"/>
    <w:rsid w:val="007F7E9F"/>
    <w:rsid w:val="00801182"/>
    <w:rsid w:val="008013EA"/>
    <w:rsid w:val="00801526"/>
    <w:rsid w:val="00801D1A"/>
    <w:rsid w:val="00802615"/>
    <w:rsid w:val="00802AAE"/>
    <w:rsid w:val="00803A2B"/>
    <w:rsid w:val="00803B82"/>
    <w:rsid w:val="00804699"/>
    <w:rsid w:val="00804BD5"/>
    <w:rsid w:val="00804FB7"/>
    <w:rsid w:val="00806459"/>
    <w:rsid w:val="008070D1"/>
    <w:rsid w:val="00807416"/>
    <w:rsid w:val="00810693"/>
    <w:rsid w:val="00810C18"/>
    <w:rsid w:val="00810EF1"/>
    <w:rsid w:val="00811235"/>
    <w:rsid w:val="00811D53"/>
    <w:rsid w:val="00811F1C"/>
    <w:rsid w:val="008120ED"/>
    <w:rsid w:val="00812E53"/>
    <w:rsid w:val="00812F88"/>
    <w:rsid w:val="008131A8"/>
    <w:rsid w:val="00813240"/>
    <w:rsid w:val="008138CF"/>
    <w:rsid w:val="00813BA6"/>
    <w:rsid w:val="00814C72"/>
    <w:rsid w:val="00814EDF"/>
    <w:rsid w:val="00815D04"/>
    <w:rsid w:val="00815EDB"/>
    <w:rsid w:val="008162D5"/>
    <w:rsid w:val="00816AE1"/>
    <w:rsid w:val="00816C29"/>
    <w:rsid w:val="0081717D"/>
    <w:rsid w:val="00817229"/>
    <w:rsid w:val="00817F60"/>
    <w:rsid w:val="008204AB"/>
    <w:rsid w:val="00821078"/>
    <w:rsid w:val="008213F6"/>
    <w:rsid w:val="0082251C"/>
    <w:rsid w:val="00822B10"/>
    <w:rsid w:val="00822E45"/>
    <w:rsid w:val="008233A5"/>
    <w:rsid w:val="008233DE"/>
    <w:rsid w:val="0082362B"/>
    <w:rsid w:val="00823D0E"/>
    <w:rsid w:val="00823F95"/>
    <w:rsid w:val="00823FA8"/>
    <w:rsid w:val="00824288"/>
    <w:rsid w:val="00824686"/>
    <w:rsid w:val="00824DA4"/>
    <w:rsid w:val="00825311"/>
    <w:rsid w:val="008257B1"/>
    <w:rsid w:val="0082584E"/>
    <w:rsid w:val="00825E1E"/>
    <w:rsid w:val="008260B0"/>
    <w:rsid w:val="008261F0"/>
    <w:rsid w:val="0082646F"/>
    <w:rsid w:val="00826AE2"/>
    <w:rsid w:val="0082716A"/>
    <w:rsid w:val="0082756E"/>
    <w:rsid w:val="00827EE0"/>
    <w:rsid w:val="00827F7C"/>
    <w:rsid w:val="00830348"/>
    <w:rsid w:val="00830706"/>
    <w:rsid w:val="00830732"/>
    <w:rsid w:val="00830804"/>
    <w:rsid w:val="00832213"/>
    <w:rsid w:val="00832E9A"/>
    <w:rsid w:val="0083317D"/>
    <w:rsid w:val="008332BF"/>
    <w:rsid w:val="00834976"/>
    <w:rsid w:val="00834DEE"/>
    <w:rsid w:val="00835225"/>
    <w:rsid w:val="00836099"/>
    <w:rsid w:val="0083648F"/>
    <w:rsid w:val="008374A9"/>
    <w:rsid w:val="0083797B"/>
    <w:rsid w:val="008379EE"/>
    <w:rsid w:val="00837B31"/>
    <w:rsid w:val="00837DF3"/>
    <w:rsid w:val="008411B7"/>
    <w:rsid w:val="0084141E"/>
    <w:rsid w:val="008427CE"/>
    <w:rsid w:val="008427E4"/>
    <w:rsid w:val="008429D6"/>
    <w:rsid w:val="00842E13"/>
    <w:rsid w:val="008434DC"/>
    <w:rsid w:val="00843A81"/>
    <w:rsid w:val="00843BD9"/>
    <w:rsid w:val="00844225"/>
    <w:rsid w:val="00844437"/>
    <w:rsid w:val="00845024"/>
    <w:rsid w:val="008453FD"/>
    <w:rsid w:val="008463A4"/>
    <w:rsid w:val="008463E0"/>
    <w:rsid w:val="008471AA"/>
    <w:rsid w:val="0084786D"/>
    <w:rsid w:val="00847C9F"/>
    <w:rsid w:val="008505E8"/>
    <w:rsid w:val="0085116C"/>
    <w:rsid w:val="0085157E"/>
    <w:rsid w:val="008524D4"/>
    <w:rsid w:val="008526B9"/>
    <w:rsid w:val="008528FF"/>
    <w:rsid w:val="00853037"/>
    <w:rsid w:val="00853C14"/>
    <w:rsid w:val="00854605"/>
    <w:rsid w:val="00855548"/>
    <w:rsid w:val="00855A20"/>
    <w:rsid w:val="00856397"/>
    <w:rsid w:val="008565EE"/>
    <w:rsid w:val="008567C4"/>
    <w:rsid w:val="00856F14"/>
    <w:rsid w:val="008578A8"/>
    <w:rsid w:val="00857F51"/>
    <w:rsid w:val="008606AA"/>
    <w:rsid w:val="00861196"/>
    <w:rsid w:val="0086197F"/>
    <w:rsid w:val="00861ED0"/>
    <w:rsid w:val="00862886"/>
    <w:rsid w:val="00863279"/>
    <w:rsid w:val="008636AF"/>
    <w:rsid w:val="008639A2"/>
    <w:rsid w:val="00863B28"/>
    <w:rsid w:val="00864235"/>
    <w:rsid w:val="00864758"/>
    <w:rsid w:val="00864A44"/>
    <w:rsid w:val="00864BAF"/>
    <w:rsid w:val="00864D61"/>
    <w:rsid w:val="00865C13"/>
    <w:rsid w:val="00865D78"/>
    <w:rsid w:val="00866087"/>
    <w:rsid w:val="008667A0"/>
    <w:rsid w:val="008669C0"/>
    <w:rsid w:val="00866F57"/>
    <w:rsid w:val="0086764F"/>
    <w:rsid w:val="00867F0B"/>
    <w:rsid w:val="008713C5"/>
    <w:rsid w:val="00871E2E"/>
    <w:rsid w:val="008723EE"/>
    <w:rsid w:val="00872630"/>
    <w:rsid w:val="00872F3E"/>
    <w:rsid w:val="00873511"/>
    <w:rsid w:val="008744C9"/>
    <w:rsid w:val="008745D8"/>
    <w:rsid w:val="0087470F"/>
    <w:rsid w:val="00874C4A"/>
    <w:rsid w:val="00874F35"/>
    <w:rsid w:val="00874FDD"/>
    <w:rsid w:val="008751F4"/>
    <w:rsid w:val="00876747"/>
    <w:rsid w:val="00876FFC"/>
    <w:rsid w:val="008773E5"/>
    <w:rsid w:val="00877CC8"/>
    <w:rsid w:val="00880227"/>
    <w:rsid w:val="0088034B"/>
    <w:rsid w:val="00880823"/>
    <w:rsid w:val="008809E3"/>
    <w:rsid w:val="00880C2B"/>
    <w:rsid w:val="00881697"/>
    <w:rsid w:val="00881E7B"/>
    <w:rsid w:val="0088212D"/>
    <w:rsid w:val="008828D6"/>
    <w:rsid w:val="00883813"/>
    <w:rsid w:val="00883B6C"/>
    <w:rsid w:val="00884052"/>
    <w:rsid w:val="00884D15"/>
    <w:rsid w:val="00884F38"/>
    <w:rsid w:val="0088522B"/>
    <w:rsid w:val="008852EF"/>
    <w:rsid w:val="008856FE"/>
    <w:rsid w:val="0088582B"/>
    <w:rsid w:val="008858D5"/>
    <w:rsid w:val="0088617B"/>
    <w:rsid w:val="0088688D"/>
    <w:rsid w:val="00886E7B"/>
    <w:rsid w:val="00887180"/>
    <w:rsid w:val="00887210"/>
    <w:rsid w:val="00887820"/>
    <w:rsid w:val="008901EC"/>
    <w:rsid w:val="00890446"/>
    <w:rsid w:val="00890BEC"/>
    <w:rsid w:val="008924D5"/>
    <w:rsid w:val="00893DED"/>
    <w:rsid w:val="008942FA"/>
    <w:rsid w:val="0089556B"/>
    <w:rsid w:val="008955A0"/>
    <w:rsid w:val="008958CC"/>
    <w:rsid w:val="00895B23"/>
    <w:rsid w:val="00895BF7"/>
    <w:rsid w:val="00895EF6"/>
    <w:rsid w:val="0089798F"/>
    <w:rsid w:val="00897A67"/>
    <w:rsid w:val="00897DC0"/>
    <w:rsid w:val="008A01B9"/>
    <w:rsid w:val="008A063B"/>
    <w:rsid w:val="008A0733"/>
    <w:rsid w:val="008A0863"/>
    <w:rsid w:val="008A133E"/>
    <w:rsid w:val="008A1618"/>
    <w:rsid w:val="008A1788"/>
    <w:rsid w:val="008A18C2"/>
    <w:rsid w:val="008A2583"/>
    <w:rsid w:val="008A2A49"/>
    <w:rsid w:val="008A2E20"/>
    <w:rsid w:val="008A3571"/>
    <w:rsid w:val="008A38B6"/>
    <w:rsid w:val="008A3BE6"/>
    <w:rsid w:val="008A3C82"/>
    <w:rsid w:val="008A3D82"/>
    <w:rsid w:val="008A4853"/>
    <w:rsid w:val="008A4CAC"/>
    <w:rsid w:val="008A5413"/>
    <w:rsid w:val="008A572E"/>
    <w:rsid w:val="008A7AAF"/>
    <w:rsid w:val="008B0E3D"/>
    <w:rsid w:val="008B0E77"/>
    <w:rsid w:val="008B1D5C"/>
    <w:rsid w:val="008B23FA"/>
    <w:rsid w:val="008B28FB"/>
    <w:rsid w:val="008B3243"/>
    <w:rsid w:val="008B35B1"/>
    <w:rsid w:val="008B38ED"/>
    <w:rsid w:val="008B3F83"/>
    <w:rsid w:val="008B41A2"/>
    <w:rsid w:val="008B42F3"/>
    <w:rsid w:val="008B43F1"/>
    <w:rsid w:val="008B4D67"/>
    <w:rsid w:val="008B594C"/>
    <w:rsid w:val="008B617E"/>
    <w:rsid w:val="008B6330"/>
    <w:rsid w:val="008B66A4"/>
    <w:rsid w:val="008B74A7"/>
    <w:rsid w:val="008B7905"/>
    <w:rsid w:val="008C1739"/>
    <w:rsid w:val="008C32B9"/>
    <w:rsid w:val="008C3500"/>
    <w:rsid w:val="008C387B"/>
    <w:rsid w:val="008C3B23"/>
    <w:rsid w:val="008C3F4F"/>
    <w:rsid w:val="008C44A3"/>
    <w:rsid w:val="008C4CAA"/>
    <w:rsid w:val="008C55E6"/>
    <w:rsid w:val="008C70D2"/>
    <w:rsid w:val="008C7BC6"/>
    <w:rsid w:val="008D01F4"/>
    <w:rsid w:val="008D0292"/>
    <w:rsid w:val="008D1969"/>
    <w:rsid w:val="008D20B8"/>
    <w:rsid w:val="008D2A37"/>
    <w:rsid w:val="008D3841"/>
    <w:rsid w:val="008D389C"/>
    <w:rsid w:val="008D4CF2"/>
    <w:rsid w:val="008D4F34"/>
    <w:rsid w:val="008D54F6"/>
    <w:rsid w:val="008D57F0"/>
    <w:rsid w:val="008D6129"/>
    <w:rsid w:val="008D628A"/>
    <w:rsid w:val="008D63EB"/>
    <w:rsid w:val="008D6DD2"/>
    <w:rsid w:val="008D7452"/>
    <w:rsid w:val="008E0317"/>
    <w:rsid w:val="008E04BF"/>
    <w:rsid w:val="008E05DF"/>
    <w:rsid w:val="008E11FF"/>
    <w:rsid w:val="008E250E"/>
    <w:rsid w:val="008E260C"/>
    <w:rsid w:val="008E2B82"/>
    <w:rsid w:val="008E302B"/>
    <w:rsid w:val="008E32F6"/>
    <w:rsid w:val="008E366D"/>
    <w:rsid w:val="008E3DCD"/>
    <w:rsid w:val="008E55D7"/>
    <w:rsid w:val="008E573B"/>
    <w:rsid w:val="008E5EFB"/>
    <w:rsid w:val="008E62F7"/>
    <w:rsid w:val="008E673E"/>
    <w:rsid w:val="008E6A86"/>
    <w:rsid w:val="008E6C19"/>
    <w:rsid w:val="008E6D5C"/>
    <w:rsid w:val="008E7277"/>
    <w:rsid w:val="008E7BBA"/>
    <w:rsid w:val="008F0661"/>
    <w:rsid w:val="008F1440"/>
    <w:rsid w:val="008F2240"/>
    <w:rsid w:val="008F2494"/>
    <w:rsid w:val="008F2BD0"/>
    <w:rsid w:val="008F2D1F"/>
    <w:rsid w:val="008F2F02"/>
    <w:rsid w:val="008F307E"/>
    <w:rsid w:val="008F3436"/>
    <w:rsid w:val="008F3EC7"/>
    <w:rsid w:val="008F489C"/>
    <w:rsid w:val="008F48FC"/>
    <w:rsid w:val="008F4A2A"/>
    <w:rsid w:val="008F4DFF"/>
    <w:rsid w:val="008F619A"/>
    <w:rsid w:val="008F6F78"/>
    <w:rsid w:val="008F7152"/>
    <w:rsid w:val="008F7463"/>
    <w:rsid w:val="008F7673"/>
    <w:rsid w:val="008F7B20"/>
    <w:rsid w:val="008F7F92"/>
    <w:rsid w:val="0090053F"/>
    <w:rsid w:val="00900ADD"/>
    <w:rsid w:val="009014D7"/>
    <w:rsid w:val="0090197D"/>
    <w:rsid w:val="00901D05"/>
    <w:rsid w:val="00902895"/>
    <w:rsid w:val="00902AF5"/>
    <w:rsid w:val="00903219"/>
    <w:rsid w:val="00903717"/>
    <w:rsid w:val="0090381D"/>
    <w:rsid w:val="00903905"/>
    <w:rsid w:val="00903A98"/>
    <w:rsid w:val="00903F7A"/>
    <w:rsid w:val="00904A60"/>
    <w:rsid w:val="00904B6B"/>
    <w:rsid w:val="00905818"/>
    <w:rsid w:val="0090599E"/>
    <w:rsid w:val="00905C37"/>
    <w:rsid w:val="00905D13"/>
    <w:rsid w:val="00905FDB"/>
    <w:rsid w:val="00906EEA"/>
    <w:rsid w:val="00907200"/>
    <w:rsid w:val="00907F9D"/>
    <w:rsid w:val="00910475"/>
    <w:rsid w:val="00912A9F"/>
    <w:rsid w:val="00912ACF"/>
    <w:rsid w:val="00912D2F"/>
    <w:rsid w:val="00912E0E"/>
    <w:rsid w:val="009142CE"/>
    <w:rsid w:val="009150C9"/>
    <w:rsid w:val="00915527"/>
    <w:rsid w:val="0091624C"/>
    <w:rsid w:val="0091684F"/>
    <w:rsid w:val="00917B08"/>
    <w:rsid w:val="00917D6D"/>
    <w:rsid w:val="00917DB0"/>
    <w:rsid w:val="00917F1E"/>
    <w:rsid w:val="0092048D"/>
    <w:rsid w:val="009205A8"/>
    <w:rsid w:val="00920DF4"/>
    <w:rsid w:val="00921320"/>
    <w:rsid w:val="009218B3"/>
    <w:rsid w:val="00922100"/>
    <w:rsid w:val="00922D17"/>
    <w:rsid w:val="00923441"/>
    <w:rsid w:val="0092379C"/>
    <w:rsid w:val="009245A3"/>
    <w:rsid w:val="009248FB"/>
    <w:rsid w:val="0092497F"/>
    <w:rsid w:val="00924C65"/>
    <w:rsid w:val="0092515C"/>
    <w:rsid w:val="00925428"/>
    <w:rsid w:val="0092552C"/>
    <w:rsid w:val="00925A4A"/>
    <w:rsid w:val="00925C52"/>
    <w:rsid w:val="0092665D"/>
    <w:rsid w:val="00926953"/>
    <w:rsid w:val="00927B74"/>
    <w:rsid w:val="00927F71"/>
    <w:rsid w:val="00930A13"/>
    <w:rsid w:val="00930B90"/>
    <w:rsid w:val="00930C72"/>
    <w:rsid w:val="00931710"/>
    <w:rsid w:val="00931A22"/>
    <w:rsid w:val="00931B73"/>
    <w:rsid w:val="009323CE"/>
    <w:rsid w:val="00932DF5"/>
    <w:rsid w:val="009330FA"/>
    <w:rsid w:val="00933196"/>
    <w:rsid w:val="0093342D"/>
    <w:rsid w:val="0093354B"/>
    <w:rsid w:val="00934034"/>
    <w:rsid w:val="009341C3"/>
    <w:rsid w:val="009341DD"/>
    <w:rsid w:val="00934554"/>
    <w:rsid w:val="00934F27"/>
    <w:rsid w:val="009358D4"/>
    <w:rsid w:val="00935A50"/>
    <w:rsid w:val="00935E0B"/>
    <w:rsid w:val="009364F0"/>
    <w:rsid w:val="00936507"/>
    <w:rsid w:val="00936CB9"/>
    <w:rsid w:val="009371DA"/>
    <w:rsid w:val="00937380"/>
    <w:rsid w:val="0093777A"/>
    <w:rsid w:val="009403CD"/>
    <w:rsid w:val="00940C58"/>
    <w:rsid w:val="00941536"/>
    <w:rsid w:val="0094207E"/>
    <w:rsid w:val="0094282D"/>
    <w:rsid w:val="00942C10"/>
    <w:rsid w:val="00943C9D"/>
    <w:rsid w:val="00943D95"/>
    <w:rsid w:val="00943DA0"/>
    <w:rsid w:val="009442BF"/>
    <w:rsid w:val="00944780"/>
    <w:rsid w:val="00944854"/>
    <w:rsid w:val="00944A1A"/>
    <w:rsid w:val="00944E9C"/>
    <w:rsid w:val="009452F8"/>
    <w:rsid w:val="0094539A"/>
    <w:rsid w:val="00945FAC"/>
    <w:rsid w:val="00947615"/>
    <w:rsid w:val="00947865"/>
    <w:rsid w:val="009509A5"/>
    <w:rsid w:val="0095109B"/>
    <w:rsid w:val="0095137B"/>
    <w:rsid w:val="009518CD"/>
    <w:rsid w:val="00951E5D"/>
    <w:rsid w:val="00952A26"/>
    <w:rsid w:val="00952D6F"/>
    <w:rsid w:val="00952F4A"/>
    <w:rsid w:val="009532EF"/>
    <w:rsid w:val="009534C0"/>
    <w:rsid w:val="0095395E"/>
    <w:rsid w:val="0095421B"/>
    <w:rsid w:val="0095496A"/>
    <w:rsid w:val="00954C50"/>
    <w:rsid w:val="00955BCB"/>
    <w:rsid w:val="00956D63"/>
    <w:rsid w:val="00957154"/>
    <w:rsid w:val="00957F91"/>
    <w:rsid w:val="00960250"/>
    <w:rsid w:val="0096027C"/>
    <w:rsid w:val="00960BE9"/>
    <w:rsid w:val="00960F11"/>
    <w:rsid w:val="00961167"/>
    <w:rsid w:val="009614CC"/>
    <w:rsid w:val="00961744"/>
    <w:rsid w:val="009630F8"/>
    <w:rsid w:val="009634F9"/>
    <w:rsid w:val="00964160"/>
    <w:rsid w:val="00965606"/>
    <w:rsid w:val="009669C5"/>
    <w:rsid w:val="00966AAC"/>
    <w:rsid w:val="009702BA"/>
    <w:rsid w:val="00970417"/>
    <w:rsid w:val="00970909"/>
    <w:rsid w:val="00971C37"/>
    <w:rsid w:val="00971DB2"/>
    <w:rsid w:val="00971FE7"/>
    <w:rsid w:val="009721E0"/>
    <w:rsid w:val="00972907"/>
    <w:rsid w:val="00973035"/>
    <w:rsid w:val="009730CA"/>
    <w:rsid w:val="00973A5F"/>
    <w:rsid w:val="00973BB4"/>
    <w:rsid w:val="0097408A"/>
    <w:rsid w:val="00974905"/>
    <w:rsid w:val="00975382"/>
    <w:rsid w:val="009758DE"/>
    <w:rsid w:val="00975F44"/>
    <w:rsid w:val="00976EE2"/>
    <w:rsid w:val="0098053D"/>
    <w:rsid w:val="00980D51"/>
    <w:rsid w:val="00980DF7"/>
    <w:rsid w:val="00980E90"/>
    <w:rsid w:val="00981535"/>
    <w:rsid w:val="00981C97"/>
    <w:rsid w:val="009823DC"/>
    <w:rsid w:val="009828E8"/>
    <w:rsid w:val="00982937"/>
    <w:rsid w:val="00983081"/>
    <w:rsid w:val="009835DD"/>
    <w:rsid w:val="00983A8F"/>
    <w:rsid w:val="00984A81"/>
    <w:rsid w:val="009855EC"/>
    <w:rsid w:val="00986034"/>
    <w:rsid w:val="00986EF4"/>
    <w:rsid w:val="00987495"/>
    <w:rsid w:val="0098787C"/>
    <w:rsid w:val="00987B7D"/>
    <w:rsid w:val="00990105"/>
    <w:rsid w:val="00990439"/>
    <w:rsid w:val="009912D5"/>
    <w:rsid w:val="009929C3"/>
    <w:rsid w:val="00992C5B"/>
    <w:rsid w:val="0099300F"/>
    <w:rsid w:val="009932E5"/>
    <w:rsid w:val="00993535"/>
    <w:rsid w:val="00993AFA"/>
    <w:rsid w:val="00993F05"/>
    <w:rsid w:val="00993FC3"/>
    <w:rsid w:val="00994D46"/>
    <w:rsid w:val="009951C4"/>
    <w:rsid w:val="009958B0"/>
    <w:rsid w:val="00995CEE"/>
    <w:rsid w:val="00996257"/>
    <w:rsid w:val="00996562"/>
    <w:rsid w:val="00996A1A"/>
    <w:rsid w:val="00996D09"/>
    <w:rsid w:val="00997346"/>
    <w:rsid w:val="00997831"/>
    <w:rsid w:val="009A07B5"/>
    <w:rsid w:val="009A0C6B"/>
    <w:rsid w:val="009A1B6B"/>
    <w:rsid w:val="009A1C6B"/>
    <w:rsid w:val="009A1E79"/>
    <w:rsid w:val="009A1FD4"/>
    <w:rsid w:val="009A2578"/>
    <w:rsid w:val="009A2609"/>
    <w:rsid w:val="009A2F4C"/>
    <w:rsid w:val="009A3607"/>
    <w:rsid w:val="009A3711"/>
    <w:rsid w:val="009A3A81"/>
    <w:rsid w:val="009A3CA3"/>
    <w:rsid w:val="009A3E47"/>
    <w:rsid w:val="009A3F8B"/>
    <w:rsid w:val="009A4D96"/>
    <w:rsid w:val="009A5360"/>
    <w:rsid w:val="009A5F19"/>
    <w:rsid w:val="009A62FD"/>
    <w:rsid w:val="009B0133"/>
    <w:rsid w:val="009B0168"/>
    <w:rsid w:val="009B20C5"/>
    <w:rsid w:val="009B2BF8"/>
    <w:rsid w:val="009B300B"/>
    <w:rsid w:val="009B3476"/>
    <w:rsid w:val="009B3CBC"/>
    <w:rsid w:val="009B433C"/>
    <w:rsid w:val="009B48C3"/>
    <w:rsid w:val="009B4E07"/>
    <w:rsid w:val="009B5248"/>
    <w:rsid w:val="009B5ACD"/>
    <w:rsid w:val="009B5E65"/>
    <w:rsid w:val="009B6978"/>
    <w:rsid w:val="009B7005"/>
    <w:rsid w:val="009B72DF"/>
    <w:rsid w:val="009B7B57"/>
    <w:rsid w:val="009C0136"/>
    <w:rsid w:val="009C03E8"/>
    <w:rsid w:val="009C0429"/>
    <w:rsid w:val="009C04D7"/>
    <w:rsid w:val="009C120D"/>
    <w:rsid w:val="009C15BC"/>
    <w:rsid w:val="009C1765"/>
    <w:rsid w:val="009C1A24"/>
    <w:rsid w:val="009C24B0"/>
    <w:rsid w:val="009C24FB"/>
    <w:rsid w:val="009C29A3"/>
    <w:rsid w:val="009C2AF4"/>
    <w:rsid w:val="009C2CB5"/>
    <w:rsid w:val="009C2F3C"/>
    <w:rsid w:val="009C332F"/>
    <w:rsid w:val="009C33FE"/>
    <w:rsid w:val="009C434A"/>
    <w:rsid w:val="009C4839"/>
    <w:rsid w:val="009C5799"/>
    <w:rsid w:val="009C5C16"/>
    <w:rsid w:val="009C5C7B"/>
    <w:rsid w:val="009C5DA1"/>
    <w:rsid w:val="009C6839"/>
    <w:rsid w:val="009C6AAC"/>
    <w:rsid w:val="009C6E6F"/>
    <w:rsid w:val="009C77ED"/>
    <w:rsid w:val="009D03B0"/>
    <w:rsid w:val="009D03C4"/>
    <w:rsid w:val="009D0E74"/>
    <w:rsid w:val="009D1684"/>
    <w:rsid w:val="009D43B4"/>
    <w:rsid w:val="009D4C02"/>
    <w:rsid w:val="009D5AEB"/>
    <w:rsid w:val="009D60F2"/>
    <w:rsid w:val="009D635C"/>
    <w:rsid w:val="009D70A2"/>
    <w:rsid w:val="009D7AB3"/>
    <w:rsid w:val="009D7BAD"/>
    <w:rsid w:val="009D7C7F"/>
    <w:rsid w:val="009E00EA"/>
    <w:rsid w:val="009E12E2"/>
    <w:rsid w:val="009E1384"/>
    <w:rsid w:val="009E1F83"/>
    <w:rsid w:val="009E25A6"/>
    <w:rsid w:val="009E33B2"/>
    <w:rsid w:val="009E36B0"/>
    <w:rsid w:val="009E3790"/>
    <w:rsid w:val="009E44E6"/>
    <w:rsid w:val="009E46D0"/>
    <w:rsid w:val="009E4AF2"/>
    <w:rsid w:val="009E4BDD"/>
    <w:rsid w:val="009E504C"/>
    <w:rsid w:val="009E5073"/>
    <w:rsid w:val="009E5D06"/>
    <w:rsid w:val="009E5EB3"/>
    <w:rsid w:val="009E65EF"/>
    <w:rsid w:val="009E7106"/>
    <w:rsid w:val="009E72F3"/>
    <w:rsid w:val="009F01FC"/>
    <w:rsid w:val="009F039F"/>
    <w:rsid w:val="009F06FB"/>
    <w:rsid w:val="009F087A"/>
    <w:rsid w:val="009F1805"/>
    <w:rsid w:val="009F2021"/>
    <w:rsid w:val="009F324E"/>
    <w:rsid w:val="009F3AAE"/>
    <w:rsid w:val="009F3E81"/>
    <w:rsid w:val="009F479D"/>
    <w:rsid w:val="009F4849"/>
    <w:rsid w:val="009F4D57"/>
    <w:rsid w:val="009F4E0E"/>
    <w:rsid w:val="009F4F3F"/>
    <w:rsid w:val="009F4FD1"/>
    <w:rsid w:val="009F5AD6"/>
    <w:rsid w:val="009F669D"/>
    <w:rsid w:val="009F6A75"/>
    <w:rsid w:val="009F6E94"/>
    <w:rsid w:val="009F72DF"/>
    <w:rsid w:val="009F7482"/>
    <w:rsid w:val="009F7570"/>
    <w:rsid w:val="009F7A35"/>
    <w:rsid w:val="00A00C3A"/>
    <w:rsid w:val="00A010AF"/>
    <w:rsid w:val="00A010EB"/>
    <w:rsid w:val="00A01651"/>
    <w:rsid w:val="00A01844"/>
    <w:rsid w:val="00A01B4A"/>
    <w:rsid w:val="00A01EF4"/>
    <w:rsid w:val="00A021B2"/>
    <w:rsid w:val="00A02316"/>
    <w:rsid w:val="00A0287A"/>
    <w:rsid w:val="00A03921"/>
    <w:rsid w:val="00A0433A"/>
    <w:rsid w:val="00A04DFA"/>
    <w:rsid w:val="00A05AD5"/>
    <w:rsid w:val="00A05F55"/>
    <w:rsid w:val="00A05FC5"/>
    <w:rsid w:val="00A0665F"/>
    <w:rsid w:val="00A06AB3"/>
    <w:rsid w:val="00A07725"/>
    <w:rsid w:val="00A07E54"/>
    <w:rsid w:val="00A105C5"/>
    <w:rsid w:val="00A11632"/>
    <w:rsid w:val="00A117C6"/>
    <w:rsid w:val="00A118D6"/>
    <w:rsid w:val="00A11970"/>
    <w:rsid w:val="00A11A84"/>
    <w:rsid w:val="00A120E4"/>
    <w:rsid w:val="00A13575"/>
    <w:rsid w:val="00A13F85"/>
    <w:rsid w:val="00A14706"/>
    <w:rsid w:val="00A1483B"/>
    <w:rsid w:val="00A152ED"/>
    <w:rsid w:val="00A160F8"/>
    <w:rsid w:val="00A16C9F"/>
    <w:rsid w:val="00A16DBE"/>
    <w:rsid w:val="00A16EE2"/>
    <w:rsid w:val="00A17573"/>
    <w:rsid w:val="00A200D5"/>
    <w:rsid w:val="00A20218"/>
    <w:rsid w:val="00A2032C"/>
    <w:rsid w:val="00A20822"/>
    <w:rsid w:val="00A208E3"/>
    <w:rsid w:val="00A20AF7"/>
    <w:rsid w:val="00A21172"/>
    <w:rsid w:val="00A214E8"/>
    <w:rsid w:val="00A22920"/>
    <w:rsid w:val="00A22E02"/>
    <w:rsid w:val="00A23787"/>
    <w:rsid w:val="00A2419B"/>
    <w:rsid w:val="00A24601"/>
    <w:rsid w:val="00A24CE4"/>
    <w:rsid w:val="00A24DBA"/>
    <w:rsid w:val="00A2526B"/>
    <w:rsid w:val="00A2542B"/>
    <w:rsid w:val="00A25749"/>
    <w:rsid w:val="00A259BA"/>
    <w:rsid w:val="00A260A6"/>
    <w:rsid w:val="00A26D62"/>
    <w:rsid w:val="00A27669"/>
    <w:rsid w:val="00A277BD"/>
    <w:rsid w:val="00A311FF"/>
    <w:rsid w:val="00A31FA7"/>
    <w:rsid w:val="00A33802"/>
    <w:rsid w:val="00A33C30"/>
    <w:rsid w:val="00A33F5D"/>
    <w:rsid w:val="00A344D2"/>
    <w:rsid w:val="00A345A2"/>
    <w:rsid w:val="00A349DA"/>
    <w:rsid w:val="00A35136"/>
    <w:rsid w:val="00A363C8"/>
    <w:rsid w:val="00A36876"/>
    <w:rsid w:val="00A370E0"/>
    <w:rsid w:val="00A37B59"/>
    <w:rsid w:val="00A400E4"/>
    <w:rsid w:val="00A406F3"/>
    <w:rsid w:val="00A41009"/>
    <w:rsid w:val="00A41416"/>
    <w:rsid w:val="00A416E3"/>
    <w:rsid w:val="00A41B37"/>
    <w:rsid w:val="00A420D8"/>
    <w:rsid w:val="00A421A9"/>
    <w:rsid w:val="00A42A0A"/>
    <w:rsid w:val="00A42E23"/>
    <w:rsid w:val="00A42E8C"/>
    <w:rsid w:val="00A43111"/>
    <w:rsid w:val="00A437CA"/>
    <w:rsid w:val="00A4411A"/>
    <w:rsid w:val="00A44459"/>
    <w:rsid w:val="00A44888"/>
    <w:rsid w:val="00A44B72"/>
    <w:rsid w:val="00A451BD"/>
    <w:rsid w:val="00A454DC"/>
    <w:rsid w:val="00A4716A"/>
    <w:rsid w:val="00A47438"/>
    <w:rsid w:val="00A4752C"/>
    <w:rsid w:val="00A508FF"/>
    <w:rsid w:val="00A50CC0"/>
    <w:rsid w:val="00A51C03"/>
    <w:rsid w:val="00A51C93"/>
    <w:rsid w:val="00A51FC4"/>
    <w:rsid w:val="00A52140"/>
    <w:rsid w:val="00A5419E"/>
    <w:rsid w:val="00A5444C"/>
    <w:rsid w:val="00A5515F"/>
    <w:rsid w:val="00A55774"/>
    <w:rsid w:val="00A5607F"/>
    <w:rsid w:val="00A56ADC"/>
    <w:rsid w:val="00A56AFD"/>
    <w:rsid w:val="00A5703F"/>
    <w:rsid w:val="00A572F8"/>
    <w:rsid w:val="00A5781F"/>
    <w:rsid w:val="00A601DE"/>
    <w:rsid w:val="00A60EF2"/>
    <w:rsid w:val="00A6125D"/>
    <w:rsid w:val="00A61713"/>
    <w:rsid w:val="00A61928"/>
    <w:rsid w:val="00A61A92"/>
    <w:rsid w:val="00A61E49"/>
    <w:rsid w:val="00A621B1"/>
    <w:rsid w:val="00A62986"/>
    <w:rsid w:val="00A629C9"/>
    <w:rsid w:val="00A62D84"/>
    <w:rsid w:val="00A63508"/>
    <w:rsid w:val="00A63ECC"/>
    <w:rsid w:val="00A64342"/>
    <w:rsid w:val="00A64EB5"/>
    <w:rsid w:val="00A650F0"/>
    <w:rsid w:val="00A65DB3"/>
    <w:rsid w:val="00A65FA7"/>
    <w:rsid w:val="00A676AF"/>
    <w:rsid w:val="00A67709"/>
    <w:rsid w:val="00A67F07"/>
    <w:rsid w:val="00A70BA4"/>
    <w:rsid w:val="00A71631"/>
    <w:rsid w:val="00A719F5"/>
    <w:rsid w:val="00A723BC"/>
    <w:rsid w:val="00A7282A"/>
    <w:rsid w:val="00A72E5B"/>
    <w:rsid w:val="00A7422B"/>
    <w:rsid w:val="00A744AA"/>
    <w:rsid w:val="00A744D2"/>
    <w:rsid w:val="00A74587"/>
    <w:rsid w:val="00A74D57"/>
    <w:rsid w:val="00A754B4"/>
    <w:rsid w:val="00A755F8"/>
    <w:rsid w:val="00A75AC8"/>
    <w:rsid w:val="00A75B84"/>
    <w:rsid w:val="00A76C81"/>
    <w:rsid w:val="00A7763F"/>
    <w:rsid w:val="00A77DF5"/>
    <w:rsid w:val="00A81039"/>
    <w:rsid w:val="00A8195C"/>
    <w:rsid w:val="00A81BDF"/>
    <w:rsid w:val="00A8288C"/>
    <w:rsid w:val="00A83354"/>
    <w:rsid w:val="00A83B5C"/>
    <w:rsid w:val="00A842B8"/>
    <w:rsid w:val="00A843D8"/>
    <w:rsid w:val="00A84907"/>
    <w:rsid w:val="00A84C04"/>
    <w:rsid w:val="00A84F56"/>
    <w:rsid w:val="00A853CB"/>
    <w:rsid w:val="00A85404"/>
    <w:rsid w:val="00A85A8E"/>
    <w:rsid w:val="00A862DE"/>
    <w:rsid w:val="00A864B1"/>
    <w:rsid w:val="00A876CA"/>
    <w:rsid w:val="00A879F7"/>
    <w:rsid w:val="00A87B78"/>
    <w:rsid w:val="00A90110"/>
    <w:rsid w:val="00A90658"/>
    <w:rsid w:val="00A90AFF"/>
    <w:rsid w:val="00A910CE"/>
    <w:rsid w:val="00A91B05"/>
    <w:rsid w:val="00A91EA2"/>
    <w:rsid w:val="00A929F8"/>
    <w:rsid w:val="00A92B76"/>
    <w:rsid w:val="00A92E0A"/>
    <w:rsid w:val="00A9342F"/>
    <w:rsid w:val="00A94086"/>
    <w:rsid w:val="00A94686"/>
    <w:rsid w:val="00A94A82"/>
    <w:rsid w:val="00A95352"/>
    <w:rsid w:val="00A954EB"/>
    <w:rsid w:val="00A95DA2"/>
    <w:rsid w:val="00A96D3C"/>
    <w:rsid w:val="00A96DB4"/>
    <w:rsid w:val="00A97D6C"/>
    <w:rsid w:val="00AA01C6"/>
    <w:rsid w:val="00AA0E27"/>
    <w:rsid w:val="00AA0FFC"/>
    <w:rsid w:val="00AA1DC9"/>
    <w:rsid w:val="00AA22F8"/>
    <w:rsid w:val="00AA2B58"/>
    <w:rsid w:val="00AA41BC"/>
    <w:rsid w:val="00AA43B5"/>
    <w:rsid w:val="00AA4E25"/>
    <w:rsid w:val="00AA58E9"/>
    <w:rsid w:val="00AA6264"/>
    <w:rsid w:val="00AA6425"/>
    <w:rsid w:val="00AA6817"/>
    <w:rsid w:val="00AA6A65"/>
    <w:rsid w:val="00AA6F40"/>
    <w:rsid w:val="00AA7100"/>
    <w:rsid w:val="00AA7D89"/>
    <w:rsid w:val="00AB0B71"/>
    <w:rsid w:val="00AB0D62"/>
    <w:rsid w:val="00AB0F38"/>
    <w:rsid w:val="00AB1025"/>
    <w:rsid w:val="00AB130E"/>
    <w:rsid w:val="00AB22F9"/>
    <w:rsid w:val="00AB2507"/>
    <w:rsid w:val="00AB25AC"/>
    <w:rsid w:val="00AB38E0"/>
    <w:rsid w:val="00AB4662"/>
    <w:rsid w:val="00AB4D3F"/>
    <w:rsid w:val="00AB540C"/>
    <w:rsid w:val="00AB5EDB"/>
    <w:rsid w:val="00AB606C"/>
    <w:rsid w:val="00AB63D0"/>
    <w:rsid w:val="00AB6CB6"/>
    <w:rsid w:val="00AB76D3"/>
    <w:rsid w:val="00AB773A"/>
    <w:rsid w:val="00AB77B0"/>
    <w:rsid w:val="00AB7C90"/>
    <w:rsid w:val="00AB7FEA"/>
    <w:rsid w:val="00AC0AB5"/>
    <w:rsid w:val="00AC12C0"/>
    <w:rsid w:val="00AC1B2E"/>
    <w:rsid w:val="00AC1CC6"/>
    <w:rsid w:val="00AC23C5"/>
    <w:rsid w:val="00AC254C"/>
    <w:rsid w:val="00AC2A8B"/>
    <w:rsid w:val="00AC2F92"/>
    <w:rsid w:val="00AC2FC0"/>
    <w:rsid w:val="00AC36BD"/>
    <w:rsid w:val="00AC3925"/>
    <w:rsid w:val="00AC42A2"/>
    <w:rsid w:val="00AC5271"/>
    <w:rsid w:val="00AC5C73"/>
    <w:rsid w:val="00AC5E47"/>
    <w:rsid w:val="00AC615A"/>
    <w:rsid w:val="00AC69A7"/>
    <w:rsid w:val="00AC6CC3"/>
    <w:rsid w:val="00AC7502"/>
    <w:rsid w:val="00AC7C94"/>
    <w:rsid w:val="00AD0E1F"/>
    <w:rsid w:val="00AD0E89"/>
    <w:rsid w:val="00AD1022"/>
    <w:rsid w:val="00AD1602"/>
    <w:rsid w:val="00AD1B37"/>
    <w:rsid w:val="00AD1CFE"/>
    <w:rsid w:val="00AD22AE"/>
    <w:rsid w:val="00AD2375"/>
    <w:rsid w:val="00AD2FF9"/>
    <w:rsid w:val="00AD4202"/>
    <w:rsid w:val="00AD495F"/>
    <w:rsid w:val="00AD49EC"/>
    <w:rsid w:val="00AD56E3"/>
    <w:rsid w:val="00AD5F10"/>
    <w:rsid w:val="00AD67B9"/>
    <w:rsid w:val="00AD67BA"/>
    <w:rsid w:val="00AD75EA"/>
    <w:rsid w:val="00AD770D"/>
    <w:rsid w:val="00AD783A"/>
    <w:rsid w:val="00AD798F"/>
    <w:rsid w:val="00AE005C"/>
    <w:rsid w:val="00AE04F0"/>
    <w:rsid w:val="00AE0E00"/>
    <w:rsid w:val="00AE14EE"/>
    <w:rsid w:val="00AE2C31"/>
    <w:rsid w:val="00AE2DF7"/>
    <w:rsid w:val="00AE310B"/>
    <w:rsid w:val="00AE3261"/>
    <w:rsid w:val="00AE3D10"/>
    <w:rsid w:val="00AE4C54"/>
    <w:rsid w:val="00AE5009"/>
    <w:rsid w:val="00AE535E"/>
    <w:rsid w:val="00AE53C4"/>
    <w:rsid w:val="00AE53FC"/>
    <w:rsid w:val="00AE552C"/>
    <w:rsid w:val="00AE57AB"/>
    <w:rsid w:val="00AE6003"/>
    <w:rsid w:val="00AE6167"/>
    <w:rsid w:val="00AE67FB"/>
    <w:rsid w:val="00AE6D14"/>
    <w:rsid w:val="00AE6E8D"/>
    <w:rsid w:val="00AE7496"/>
    <w:rsid w:val="00AE7C2F"/>
    <w:rsid w:val="00AF009D"/>
    <w:rsid w:val="00AF122B"/>
    <w:rsid w:val="00AF126F"/>
    <w:rsid w:val="00AF13E1"/>
    <w:rsid w:val="00AF1430"/>
    <w:rsid w:val="00AF22FB"/>
    <w:rsid w:val="00AF2B60"/>
    <w:rsid w:val="00AF2E66"/>
    <w:rsid w:val="00AF322E"/>
    <w:rsid w:val="00AF3D8F"/>
    <w:rsid w:val="00AF3D9E"/>
    <w:rsid w:val="00AF3E94"/>
    <w:rsid w:val="00AF44C7"/>
    <w:rsid w:val="00AF4CCE"/>
    <w:rsid w:val="00AF63D8"/>
    <w:rsid w:val="00AF6616"/>
    <w:rsid w:val="00AF6962"/>
    <w:rsid w:val="00B0006D"/>
    <w:rsid w:val="00B000C4"/>
    <w:rsid w:val="00B026E1"/>
    <w:rsid w:val="00B02E37"/>
    <w:rsid w:val="00B0396A"/>
    <w:rsid w:val="00B039E2"/>
    <w:rsid w:val="00B044AE"/>
    <w:rsid w:val="00B04EF8"/>
    <w:rsid w:val="00B05554"/>
    <w:rsid w:val="00B058F5"/>
    <w:rsid w:val="00B05E9F"/>
    <w:rsid w:val="00B05EDA"/>
    <w:rsid w:val="00B07115"/>
    <w:rsid w:val="00B07E72"/>
    <w:rsid w:val="00B101D5"/>
    <w:rsid w:val="00B10499"/>
    <w:rsid w:val="00B10C7A"/>
    <w:rsid w:val="00B111CB"/>
    <w:rsid w:val="00B11532"/>
    <w:rsid w:val="00B11F56"/>
    <w:rsid w:val="00B1204C"/>
    <w:rsid w:val="00B12286"/>
    <w:rsid w:val="00B142B5"/>
    <w:rsid w:val="00B147CE"/>
    <w:rsid w:val="00B14A5C"/>
    <w:rsid w:val="00B1711C"/>
    <w:rsid w:val="00B171B2"/>
    <w:rsid w:val="00B1792F"/>
    <w:rsid w:val="00B21287"/>
    <w:rsid w:val="00B2296B"/>
    <w:rsid w:val="00B229AC"/>
    <w:rsid w:val="00B22EDA"/>
    <w:rsid w:val="00B233ED"/>
    <w:rsid w:val="00B24A12"/>
    <w:rsid w:val="00B253C3"/>
    <w:rsid w:val="00B2565B"/>
    <w:rsid w:val="00B257FC"/>
    <w:rsid w:val="00B2581A"/>
    <w:rsid w:val="00B258D5"/>
    <w:rsid w:val="00B25F65"/>
    <w:rsid w:val="00B26EA2"/>
    <w:rsid w:val="00B3042F"/>
    <w:rsid w:val="00B30917"/>
    <w:rsid w:val="00B30AC0"/>
    <w:rsid w:val="00B315FA"/>
    <w:rsid w:val="00B32D84"/>
    <w:rsid w:val="00B331E5"/>
    <w:rsid w:val="00B33930"/>
    <w:rsid w:val="00B356B6"/>
    <w:rsid w:val="00B35869"/>
    <w:rsid w:val="00B35A85"/>
    <w:rsid w:val="00B35D2F"/>
    <w:rsid w:val="00B35E23"/>
    <w:rsid w:val="00B36311"/>
    <w:rsid w:val="00B36523"/>
    <w:rsid w:val="00B368A7"/>
    <w:rsid w:val="00B3750B"/>
    <w:rsid w:val="00B3769E"/>
    <w:rsid w:val="00B37803"/>
    <w:rsid w:val="00B37E41"/>
    <w:rsid w:val="00B37FEC"/>
    <w:rsid w:val="00B40246"/>
    <w:rsid w:val="00B4050B"/>
    <w:rsid w:val="00B40D0F"/>
    <w:rsid w:val="00B412FC"/>
    <w:rsid w:val="00B413B6"/>
    <w:rsid w:val="00B41954"/>
    <w:rsid w:val="00B41CFF"/>
    <w:rsid w:val="00B425AE"/>
    <w:rsid w:val="00B42928"/>
    <w:rsid w:val="00B43CC9"/>
    <w:rsid w:val="00B43FBE"/>
    <w:rsid w:val="00B4464D"/>
    <w:rsid w:val="00B4480C"/>
    <w:rsid w:val="00B45801"/>
    <w:rsid w:val="00B4580F"/>
    <w:rsid w:val="00B45945"/>
    <w:rsid w:val="00B45CE6"/>
    <w:rsid w:val="00B46272"/>
    <w:rsid w:val="00B469D7"/>
    <w:rsid w:val="00B471F0"/>
    <w:rsid w:val="00B4752D"/>
    <w:rsid w:val="00B47DF3"/>
    <w:rsid w:val="00B501A6"/>
    <w:rsid w:val="00B50753"/>
    <w:rsid w:val="00B509C5"/>
    <w:rsid w:val="00B50A33"/>
    <w:rsid w:val="00B50EE6"/>
    <w:rsid w:val="00B51167"/>
    <w:rsid w:val="00B51723"/>
    <w:rsid w:val="00B51D55"/>
    <w:rsid w:val="00B52D22"/>
    <w:rsid w:val="00B52FBF"/>
    <w:rsid w:val="00B5310E"/>
    <w:rsid w:val="00B53596"/>
    <w:rsid w:val="00B53A04"/>
    <w:rsid w:val="00B53C81"/>
    <w:rsid w:val="00B543B4"/>
    <w:rsid w:val="00B54412"/>
    <w:rsid w:val="00B54893"/>
    <w:rsid w:val="00B54EB8"/>
    <w:rsid w:val="00B559DC"/>
    <w:rsid w:val="00B566C4"/>
    <w:rsid w:val="00B56EE1"/>
    <w:rsid w:val="00B579C0"/>
    <w:rsid w:val="00B57BF6"/>
    <w:rsid w:val="00B57C3A"/>
    <w:rsid w:val="00B57EAF"/>
    <w:rsid w:val="00B60684"/>
    <w:rsid w:val="00B613BE"/>
    <w:rsid w:val="00B61631"/>
    <w:rsid w:val="00B61E41"/>
    <w:rsid w:val="00B63363"/>
    <w:rsid w:val="00B642D0"/>
    <w:rsid w:val="00B643F4"/>
    <w:rsid w:val="00B6443F"/>
    <w:rsid w:val="00B64890"/>
    <w:rsid w:val="00B6505F"/>
    <w:rsid w:val="00B65322"/>
    <w:rsid w:val="00B653D1"/>
    <w:rsid w:val="00B65F47"/>
    <w:rsid w:val="00B661C6"/>
    <w:rsid w:val="00B666DE"/>
    <w:rsid w:val="00B669EF"/>
    <w:rsid w:val="00B67350"/>
    <w:rsid w:val="00B7035B"/>
    <w:rsid w:val="00B707A0"/>
    <w:rsid w:val="00B70A77"/>
    <w:rsid w:val="00B70E87"/>
    <w:rsid w:val="00B710AE"/>
    <w:rsid w:val="00B711CF"/>
    <w:rsid w:val="00B7162D"/>
    <w:rsid w:val="00B72A46"/>
    <w:rsid w:val="00B72D28"/>
    <w:rsid w:val="00B72DC3"/>
    <w:rsid w:val="00B73AD0"/>
    <w:rsid w:val="00B73D22"/>
    <w:rsid w:val="00B7412C"/>
    <w:rsid w:val="00B74BAC"/>
    <w:rsid w:val="00B75048"/>
    <w:rsid w:val="00B75155"/>
    <w:rsid w:val="00B75790"/>
    <w:rsid w:val="00B7611F"/>
    <w:rsid w:val="00B77913"/>
    <w:rsid w:val="00B80556"/>
    <w:rsid w:val="00B809BD"/>
    <w:rsid w:val="00B8182A"/>
    <w:rsid w:val="00B81B18"/>
    <w:rsid w:val="00B81DA9"/>
    <w:rsid w:val="00B8275D"/>
    <w:rsid w:val="00B83A60"/>
    <w:rsid w:val="00B83DC1"/>
    <w:rsid w:val="00B84B24"/>
    <w:rsid w:val="00B86E82"/>
    <w:rsid w:val="00B874EA"/>
    <w:rsid w:val="00B876C1"/>
    <w:rsid w:val="00B87751"/>
    <w:rsid w:val="00B87DE8"/>
    <w:rsid w:val="00B9005E"/>
    <w:rsid w:val="00B90749"/>
    <w:rsid w:val="00B90A48"/>
    <w:rsid w:val="00B90FAD"/>
    <w:rsid w:val="00B91D06"/>
    <w:rsid w:val="00B926FB"/>
    <w:rsid w:val="00B93507"/>
    <w:rsid w:val="00B93826"/>
    <w:rsid w:val="00B93C28"/>
    <w:rsid w:val="00B93ECA"/>
    <w:rsid w:val="00B93FD0"/>
    <w:rsid w:val="00B94286"/>
    <w:rsid w:val="00B947EC"/>
    <w:rsid w:val="00B949A6"/>
    <w:rsid w:val="00B949E9"/>
    <w:rsid w:val="00B94EFD"/>
    <w:rsid w:val="00B94FE3"/>
    <w:rsid w:val="00B95975"/>
    <w:rsid w:val="00B96A60"/>
    <w:rsid w:val="00B96CA7"/>
    <w:rsid w:val="00B9773B"/>
    <w:rsid w:val="00B97789"/>
    <w:rsid w:val="00BA03CE"/>
    <w:rsid w:val="00BA059B"/>
    <w:rsid w:val="00BA0CB1"/>
    <w:rsid w:val="00BA1735"/>
    <w:rsid w:val="00BA19D2"/>
    <w:rsid w:val="00BA1C3D"/>
    <w:rsid w:val="00BA1D3C"/>
    <w:rsid w:val="00BA26EF"/>
    <w:rsid w:val="00BA2B4C"/>
    <w:rsid w:val="00BA2BA3"/>
    <w:rsid w:val="00BA3361"/>
    <w:rsid w:val="00BA347B"/>
    <w:rsid w:val="00BA38E0"/>
    <w:rsid w:val="00BA433D"/>
    <w:rsid w:val="00BA44FA"/>
    <w:rsid w:val="00BA4FFD"/>
    <w:rsid w:val="00BA5505"/>
    <w:rsid w:val="00BA56F2"/>
    <w:rsid w:val="00BA6231"/>
    <w:rsid w:val="00BA6CC9"/>
    <w:rsid w:val="00BA6FE8"/>
    <w:rsid w:val="00BA7565"/>
    <w:rsid w:val="00BB024A"/>
    <w:rsid w:val="00BB0331"/>
    <w:rsid w:val="00BB03F5"/>
    <w:rsid w:val="00BB079B"/>
    <w:rsid w:val="00BB0E7D"/>
    <w:rsid w:val="00BB0F6D"/>
    <w:rsid w:val="00BB16D2"/>
    <w:rsid w:val="00BB1862"/>
    <w:rsid w:val="00BB1DD5"/>
    <w:rsid w:val="00BB207D"/>
    <w:rsid w:val="00BB3900"/>
    <w:rsid w:val="00BB46BA"/>
    <w:rsid w:val="00BB4A3C"/>
    <w:rsid w:val="00BB4B31"/>
    <w:rsid w:val="00BB4DA6"/>
    <w:rsid w:val="00BB4E4E"/>
    <w:rsid w:val="00BB4FDD"/>
    <w:rsid w:val="00BB5B29"/>
    <w:rsid w:val="00BB6512"/>
    <w:rsid w:val="00BB684F"/>
    <w:rsid w:val="00BB6970"/>
    <w:rsid w:val="00BB6C2C"/>
    <w:rsid w:val="00BB763F"/>
    <w:rsid w:val="00BB79C6"/>
    <w:rsid w:val="00BB7AE4"/>
    <w:rsid w:val="00BC0F7F"/>
    <w:rsid w:val="00BC1E5B"/>
    <w:rsid w:val="00BC20B6"/>
    <w:rsid w:val="00BC24B2"/>
    <w:rsid w:val="00BC2ABF"/>
    <w:rsid w:val="00BC3387"/>
    <w:rsid w:val="00BC3EB9"/>
    <w:rsid w:val="00BC514A"/>
    <w:rsid w:val="00BC524C"/>
    <w:rsid w:val="00BC5366"/>
    <w:rsid w:val="00BC574B"/>
    <w:rsid w:val="00BC5752"/>
    <w:rsid w:val="00BC60BF"/>
    <w:rsid w:val="00BC6939"/>
    <w:rsid w:val="00BC6B9D"/>
    <w:rsid w:val="00BC7ABF"/>
    <w:rsid w:val="00BC7BF0"/>
    <w:rsid w:val="00BC7DF1"/>
    <w:rsid w:val="00BD0F92"/>
    <w:rsid w:val="00BD1E90"/>
    <w:rsid w:val="00BD2266"/>
    <w:rsid w:val="00BD3773"/>
    <w:rsid w:val="00BD3E69"/>
    <w:rsid w:val="00BD434F"/>
    <w:rsid w:val="00BD58AE"/>
    <w:rsid w:val="00BD5CBE"/>
    <w:rsid w:val="00BD5F13"/>
    <w:rsid w:val="00BD5F45"/>
    <w:rsid w:val="00BD6495"/>
    <w:rsid w:val="00BD66BE"/>
    <w:rsid w:val="00BD777F"/>
    <w:rsid w:val="00BE0464"/>
    <w:rsid w:val="00BE11E7"/>
    <w:rsid w:val="00BE17E1"/>
    <w:rsid w:val="00BE18B8"/>
    <w:rsid w:val="00BE1F1A"/>
    <w:rsid w:val="00BE1FB4"/>
    <w:rsid w:val="00BE2979"/>
    <w:rsid w:val="00BE2AFB"/>
    <w:rsid w:val="00BE2D24"/>
    <w:rsid w:val="00BE3367"/>
    <w:rsid w:val="00BE3602"/>
    <w:rsid w:val="00BE39AE"/>
    <w:rsid w:val="00BE3F78"/>
    <w:rsid w:val="00BE42A1"/>
    <w:rsid w:val="00BE4BAD"/>
    <w:rsid w:val="00BE4DD2"/>
    <w:rsid w:val="00BE5967"/>
    <w:rsid w:val="00BE5A15"/>
    <w:rsid w:val="00BE5B74"/>
    <w:rsid w:val="00BE61C1"/>
    <w:rsid w:val="00BE61F6"/>
    <w:rsid w:val="00BE6976"/>
    <w:rsid w:val="00BE6B92"/>
    <w:rsid w:val="00BE756C"/>
    <w:rsid w:val="00BE7BA7"/>
    <w:rsid w:val="00BF01B8"/>
    <w:rsid w:val="00BF0349"/>
    <w:rsid w:val="00BF065D"/>
    <w:rsid w:val="00BF0ED2"/>
    <w:rsid w:val="00BF0F32"/>
    <w:rsid w:val="00BF0F72"/>
    <w:rsid w:val="00BF11E6"/>
    <w:rsid w:val="00BF29B4"/>
    <w:rsid w:val="00BF2A66"/>
    <w:rsid w:val="00BF2C2F"/>
    <w:rsid w:val="00BF3099"/>
    <w:rsid w:val="00BF34BF"/>
    <w:rsid w:val="00BF4CEC"/>
    <w:rsid w:val="00BF4E76"/>
    <w:rsid w:val="00BF565E"/>
    <w:rsid w:val="00BF5B8A"/>
    <w:rsid w:val="00BF5CFB"/>
    <w:rsid w:val="00BF60EE"/>
    <w:rsid w:val="00BF663A"/>
    <w:rsid w:val="00C0030A"/>
    <w:rsid w:val="00C00C59"/>
    <w:rsid w:val="00C011C6"/>
    <w:rsid w:val="00C01806"/>
    <w:rsid w:val="00C01BD7"/>
    <w:rsid w:val="00C01D66"/>
    <w:rsid w:val="00C025AC"/>
    <w:rsid w:val="00C026D3"/>
    <w:rsid w:val="00C0282F"/>
    <w:rsid w:val="00C02B79"/>
    <w:rsid w:val="00C03331"/>
    <w:rsid w:val="00C033EF"/>
    <w:rsid w:val="00C0358D"/>
    <w:rsid w:val="00C0369E"/>
    <w:rsid w:val="00C03990"/>
    <w:rsid w:val="00C043F1"/>
    <w:rsid w:val="00C04BA5"/>
    <w:rsid w:val="00C0504A"/>
    <w:rsid w:val="00C05609"/>
    <w:rsid w:val="00C05D8D"/>
    <w:rsid w:val="00C05F24"/>
    <w:rsid w:val="00C065CB"/>
    <w:rsid w:val="00C069B9"/>
    <w:rsid w:val="00C06C29"/>
    <w:rsid w:val="00C07786"/>
    <w:rsid w:val="00C07B42"/>
    <w:rsid w:val="00C11547"/>
    <w:rsid w:val="00C1264E"/>
    <w:rsid w:val="00C1310B"/>
    <w:rsid w:val="00C13257"/>
    <w:rsid w:val="00C1369F"/>
    <w:rsid w:val="00C13A7D"/>
    <w:rsid w:val="00C13BE1"/>
    <w:rsid w:val="00C148CA"/>
    <w:rsid w:val="00C14910"/>
    <w:rsid w:val="00C15188"/>
    <w:rsid w:val="00C160B3"/>
    <w:rsid w:val="00C1643A"/>
    <w:rsid w:val="00C21A48"/>
    <w:rsid w:val="00C21C8D"/>
    <w:rsid w:val="00C221D8"/>
    <w:rsid w:val="00C22469"/>
    <w:rsid w:val="00C233EF"/>
    <w:rsid w:val="00C23D3E"/>
    <w:rsid w:val="00C24132"/>
    <w:rsid w:val="00C24D06"/>
    <w:rsid w:val="00C24F8B"/>
    <w:rsid w:val="00C2532E"/>
    <w:rsid w:val="00C25506"/>
    <w:rsid w:val="00C25737"/>
    <w:rsid w:val="00C258F5"/>
    <w:rsid w:val="00C25DE9"/>
    <w:rsid w:val="00C267BD"/>
    <w:rsid w:val="00C274FB"/>
    <w:rsid w:val="00C27C3A"/>
    <w:rsid w:val="00C3049D"/>
    <w:rsid w:val="00C3072A"/>
    <w:rsid w:val="00C308DD"/>
    <w:rsid w:val="00C319F6"/>
    <w:rsid w:val="00C321AE"/>
    <w:rsid w:val="00C32B80"/>
    <w:rsid w:val="00C32CDE"/>
    <w:rsid w:val="00C336A9"/>
    <w:rsid w:val="00C338CC"/>
    <w:rsid w:val="00C33FF9"/>
    <w:rsid w:val="00C34BB1"/>
    <w:rsid w:val="00C352FD"/>
    <w:rsid w:val="00C35A9A"/>
    <w:rsid w:val="00C35E11"/>
    <w:rsid w:val="00C35FEA"/>
    <w:rsid w:val="00C36268"/>
    <w:rsid w:val="00C36DE2"/>
    <w:rsid w:val="00C36EDB"/>
    <w:rsid w:val="00C37188"/>
    <w:rsid w:val="00C4021A"/>
    <w:rsid w:val="00C40F01"/>
    <w:rsid w:val="00C410F0"/>
    <w:rsid w:val="00C41183"/>
    <w:rsid w:val="00C4144A"/>
    <w:rsid w:val="00C4235D"/>
    <w:rsid w:val="00C42530"/>
    <w:rsid w:val="00C426FE"/>
    <w:rsid w:val="00C44453"/>
    <w:rsid w:val="00C44902"/>
    <w:rsid w:val="00C44B7E"/>
    <w:rsid w:val="00C45357"/>
    <w:rsid w:val="00C46F39"/>
    <w:rsid w:val="00C477E0"/>
    <w:rsid w:val="00C4792D"/>
    <w:rsid w:val="00C47E29"/>
    <w:rsid w:val="00C5019D"/>
    <w:rsid w:val="00C50B88"/>
    <w:rsid w:val="00C50B9D"/>
    <w:rsid w:val="00C50D70"/>
    <w:rsid w:val="00C50DB3"/>
    <w:rsid w:val="00C513B3"/>
    <w:rsid w:val="00C515FD"/>
    <w:rsid w:val="00C51B39"/>
    <w:rsid w:val="00C5202D"/>
    <w:rsid w:val="00C523F8"/>
    <w:rsid w:val="00C524A2"/>
    <w:rsid w:val="00C52661"/>
    <w:rsid w:val="00C537DD"/>
    <w:rsid w:val="00C53A94"/>
    <w:rsid w:val="00C53F2C"/>
    <w:rsid w:val="00C5415C"/>
    <w:rsid w:val="00C54927"/>
    <w:rsid w:val="00C549BB"/>
    <w:rsid w:val="00C54C33"/>
    <w:rsid w:val="00C54F74"/>
    <w:rsid w:val="00C56E49"/>
    <w:rsid w:val="00C5729C"/>
    <w:rsid w:val="00C57302"/>
    <w:rsid w:val="00C60480"/>
    <w:rsid w:val="00C60D6E"/>
    <w:rsid w:val="00C61271"/>
    <w:rsid w:val="00C61F1D"/>
    <w:rsid w:val="00C62409"/>
    <w:rsid w:val="00C6247D"/>
    <w:rsid w:val="00C63037"/>
    <w:rsid w:val="00C630C1"/>
    <w:rsid w:val="00C6329A"/>
    <w:rsid w:val="00C636FD"/>
    <w:rsid w:val="00C64BA6"/>
    <w:rsid w:val="00C64D60"/>
    <w:rsid w:val="00C652FC"/>
    <w:rsid w:val="00C65D7B"/>
    <w:rsid w:val="00C668CC"/>
    <w:rsid w:val="00C670AB"/>
    <w:rsid w:val="00C675C0"/>
    <w:rsid w:val="00C678B7"/>
    <w:rsid w:val="00C67C56"/>
    <w:rsid w:val="00C70C6F"/>
    <w:rsid w:val="00C712FA"/>
    <w:rsid w:val="00C7185E"/>
    <w:rsid w:val="00C72706"/>
    <w:rsid w:val="00C727DA"/>
    <w:rsid w:val="00C72FB2"/>
    <w:rsid w:val="00C738C1"/>
    <w:rsid w:val="00C73ABC"/>
    <w:rsid w:val="00C745C9"/>
    <w:rsid w:val="00C74AB0"/>
    <w:rsid w:val="00C7512B"/>
    <w:rsid w:val="00C77101"/>
    <w:rsid w:val="00C771E3"/>
    <w:rsid w:val="00C7754A"/>
    <w:rsid w:val="00C778D1"/>
    <w:rsid w:val="00C803C6"/>
    <w:rsid w:val="00C80BF9"/>
    <w:rsid w:val="00C810C5"/>
    <w:rsid w:val="00C8253C"/>
    <w:rsid w:val="00C82DDE"/>
    <w:rsid w:val="00C83490"/>
    <w:rsid w:val="00C83B0C"/>
    <w:rsid w:val="00C83B7A"/>
    <w:rsid w:val="00C83E8A"/>
    <w:rsid w:val="00C845A4"/>
    <w:rsid w:val="00C84932"/>
    <w:rsid w:val="00C85714"/>
    <w:rsid w:val="00C859B2"/>
    <w:rsid w:val="00C862F6"/>
    <w:rsid w:val="00C86741"/>
    <w:rsid w:val="00C872F1"/>
    <w:rsid w:val="00C87366"/>
    <w:rsid w:val="00C874F3"/>
    <w:rsid w:val="00C87636"/>
    <w:rsid w:val="00C87A69"/>
    <w:rsid w:val="00C87AC5"/>
    <w:rsid w:val="00C9043E"/>
    <w:rsid w:val="00C90850"/>
    <w:rsid w:val="00C90EAA"/>
    <w:rsid w:val="00C90EBD"/>
    <w:rsid w:val="00C913E4"/>
    <w:rsid w:val="00C923EC"/>
    <w:rsid w:val="00C929D7"/>
    <w:rsid w:val="00C93CD5"/>
    <w:rsid w:val="00C93EFF"/>
    <w:rsid w:val="00C94358"/>
    <w:rsid w:val="00C949C0"/>
    <w:rsid w:val="00C94C0E"/>
    <w:rsid w:val="00C951FE"/>
    <w:rsid w:val="00C95FC2"/>
    <w:rsid w:val="00C964F8"/>
    <w:rsid w:val="00C96969"/>
    <w:rsid w:val="00C96A94"/>
    <w:rsid w:val="00C96E36"/>
    <w:rsid w:val="00C973C8"/>
    <w:rsid w:val="00CA0163"/>
    <w:rsid w:val="00CA0557"/>
    <w:rsid w:val="00CA07D5"/>
    <w:rsid w:val="00CA188F"/>
    <w:rsid w:val="00CA1B85"/>
    <w:rsid w:val="00CA1CE1"/>
    <w:rsid w:val="00CA3132"/>
    <w:rsid w:val="00CA3344"/>
    <w:rsid w:val="00CA4548"/>
    <w:rsid w:val="00CA5513"/>
    <w:rsid w:val="00CA5DB4"/>
    <w:rsid w:val="00CA6903"/>
    <w:rsid w:val="00CA6CAF"/>
    <w:rsid w:val="00CA7801"/>
    <w:rsid w:val="00CA7F1C"/>
    <w:rsid w:val="00CB0238"/>
    <w:rsid w:val="00CB0939"/>
    <w:rsid w:val="00CB0C61"/>
    <w:rsid w:val="00CB10DA"/>
    <w:rsid w:val="00CB1767"/>
    <w:rsid w:val="00CB17A3"/>
    <w:rsid w:val="00CB386C"/>
    <w:rsid w:val="00CB3BEA"/>
    <w:rsid w:val="00CB4BE4"/>
    <w:rsid w:val="00CB577E"/>
    <w:rsid w:val="00CB5B59"/>
    <w:rsid w:val="00CB5ED9"/>
    <w:rsid w:val="00CB6130"/>
    <w:rsid w:val="00CB63C8"/>
    <w:rsid w:val="00CB6840"/>
    <w:rsid w:val="00CB68C9"/>
    <w:rsid w:val="00CB68F9"/>
    <w:rsid w:val="00CB6A83"/>
    <w:rsid w:val="00CB6AD1"/>
    <w:rsid w:val="00CC00C9"/>
    <w:rsid w:val="00CC02AF"/>
    <w:rsid w:val="00CC0790"/>
    <w:rsid w:val="00CC15EB"/>
    <w:rsid w:val="00CC1BAE"/>
    <w:rsid w:val="00CC2206"/>
    <w:rsid w:val="00CC2FBE"/>
    <w:rsid w:val="00CC3004"/>
    <w:rsid w:val="00CC35B7"/>
    <w:rsid w:val="00CC386F"/>
    <w:rsid w:val="00CC38F5"/>
    <w:rsid w:val="00CC3984"/>
    <w:rsid w:val="00CC3F35"/>
    <w:rsid w:val="00CC4613"/>
    <w:rsid w:val="00CC5377"/>
    <w:rsid w:val="00CC5A62"/>
    <w:rsid w:val="00CC5BCD"/>
    <w:rsid w:val="00CC5F04"/>
    <w:rsid w:val="00CC753A"/>
    <w:rsid w:val="00CC7AE9"/>
    <w:rsid w:val="00CC7B4D"/>
    <w:rsid w:val="00CD1AD1"/>
    <w:rsid w:val="00CD1DB7"/>
    <w:rsid w:val="00CD2109"/>
    <w:rsid w:val="00CD25B3"/>
    <w:rsid w:val="00CD2ABA"/>
    <w:rsid w:val="00CD3438"/>
    <w:rsid w:val="00CD34E1"/>
    <w:rsid w:val="00CD3D18"/>
    <w:rsid w:val="00CD46B4"/>
    <w:rsid w:val="00CD4AFD"/>
    <w:rsid w:val="00CD4FF9"/>
    <w:rsid w:val="00CD57D4"/>
    <w:rsid w:val="00CD5EB0"/>
    <w:rsid w:val="00CD6577"/>
    <w:rsid w:val="00CD67FC"/>
    <w:rsid w:val="00CD6D44"/>
    <w:rsid w:val="00CD7CFA"/>
    <w:rsid w:val="00CE0745"/>
    <w:rsid w:val="00CE0C67"/>
    <w:rsid w:val="00CE0E98"/>
    <w:rsid w:val="00CE1056"/>
    <w:rsid w:val="00CE1864"/>
    <w:rsid w:val="00CE1B75"/>
    <w:rsid w:val="00CE1BAF"/>
    <w:rsid w:val="00CE1E67"/>
    <w:rsid w:val="00CE1F0A"/>
    <w:rsid w:val="00CE1F6D"/>
    <w:rsid w:val="00CE33B7"/>
    <w:rsid w:val="00CE33FE"/>
    <w:rsid w:val="00CE3E7D"/>
    <w:rsid w:val="00CE4B20"/>
    <w:rsid w:val="00CE511E"/>
    <w:rsid w:val="00CE54E4"/>
    <w:rsid w:val="00CE5846"/>
    <w:rsid w:val="00CE66AC"/>
    <w:rsid w:val="00CE66C0"/>
    <w:rsid w:val="00CE6B30"/>
    <w:rsid w:val="00CE76BB"/>
    <w:rsid w:val="00CE7CFA"/>
    <w:rsid w:val="00CE7DB6"/>
    <w:rsid w:val="00CE7F07"/>
    <w:rsid w:val="00CF1666"/>
    <w:rsid w:val="00CF1B6B"/>
    <w:rsid w:val="00CF1ED6"/>
    <w:rsid w:val="00CF1F8A"/>
    <w:rsid w:val="00CF249B"/>
    <w:rsid w:val="00CF265C"/>
    <w:rsid w:val="00CF26CA"/>
    <w:rsid w:val="00CF2C06"/>
    <w:rsid w:val="00CF31E6"/>
    <w:rsid w:val="00CF48DD"/>
    <w:rsid w:val="00CF4A4C"/>
    <w:rsid w:val="00CF4D7A"/>
    <w:rsid w:val="00CF5109"/>
    <w:rsid w:val="00CF5132"/>
    <w:rsid w:val="00CF58E4"/>
    <w:rsid w:val="00CF5BEA"/>
    <w:rsid w:val="00CF618E"/>
    <w:rsid w:val="00CF73D3"/>
    <w:rsid w:val="00CF78AE"/>
    <w:rsid w:val="00D001F2"/>
    <w:rsid w:val="00D0026F"/>
    <w:rsid w:val="00D00DDD"/>
    <w:rsid w:val="00D013F0"/>
    <w:rsid w:val="00D0190C"/>
    <w:rsid w:val="00D023A2"/>
    <w:rsid w:val="00D030EA"/>
    <w:rsid w:val="00D03723"/>
    <w:rsid w:val="00D03E2A"/>
    <w:rsid w:val="00D0470C"/>
    <w:rsid w:val="00D05827"/>
    <w:rsid w:val="00D05EDE"/>
    <w:rsid w:val="00D069B2"/>
    <w:rsid w:val="00D0784B"/>
    <w:rsid w:val="00D07BFE"/>
    <w:rsid w:val="00D1104D"/>
    <w:rsid w:val="00D11471"/>
    <w:rsid w:val="00D11D5B"/>
    <w:rsid w:val="00D120B1"/>
    <w:rsid w:val="00D124E3"/>
    <w:rsid w:val="00D12638"/>
    <w:rsid w:val="00D1329B"/>
    <w:rsid w:val="00D13989"/>
    <w:rsid w:val="00D13A7E"/>
    <w:rsid w:val="00D13BE3"/>
    <w:rsid w:val="00D14371"/>
    <w:rsid w:val="00D143D7"/>
    <w:rsid w:val="00D14434"/>
    <w:rsid w:val="00D1505E"/>
    <w:rsid w:val="00D1550A"/>
    <w:rsid w:val="00D15713"/>
    <w:rsid w:val="00D1582D"/>
    <w:rsid w:val="00D15B72"/>
    <w:rsid w:val="00D15F02"/>
    <w:rsid w:val="00D16AE2"/>
    <w:rsid w:val="00D176A7"/>
    <w:rsid w:val="00D17E3A"/>
    <w:rsid w:val="00D2012D"/>
    <w:rsid w:val="00D205F3"/>
    <w:rsid w:val="00D206C7"/>
    <w:rsid w:val="00D20ECE"/>
    <w:rsid w:val="00D22496"/>
    <w:rsid w:val="00D2252E"/>
    <w:rsid w:val="00D22951"/>
    <w:rsid w:val="00D22AED"/>
    <w:rsid w:val="00D22C00"/>
    <w:rsid w:val="00D2334D"/>
    <w:rsid w:val="00D233EC"/>
    <w:rsid w:val="00D23DDA"/>
    <w:rsid w:val="00D24A88"/>
    <w:rsid w:val="00D25167"/>
    <w:rsid w:val="00D2525D"/>
    <w:rsid w:val="00D2526E"/>
    <w:rsid w:val="00D252D4"/>
    <w:rsid w:val="00D25BC0"/>
    <w:rsid w:val="00D25EAF"/>
    <w:rsid w:val="00D26E2B"/>
    <w:rsid w:val="00D27F5E"/>
    <w:rsid w:val="00D3135F"/>
    <w:rsid w:val="00D325D1"/>
    <w:rsid w:val="00D32F78"/>
    <w:rsid w:val="00D33233"/>
    <w:rsid w:val="00D349DA"/>
    <w:rsid w:val="00D34A56"/>
    <w:rsid w:val="00D34F04"/>
    <w:rsid w:val="00D357A4"/>
    <w:rsid w:val="00D35CD5"/>
    <w:rsid w:val="00D35F8E"/>
    <w:rsid w:val="00D36C46"/>
    <w:rsid w:val="00D36D7F"/>
    <w:rsid w:val="00D37622"/>
    <w:rsid w:val="00D3770D"/>
    <w:rsid w:val="00D37956"/>
    <w:rsid w:val="00D40291"/>
    <w:rsid w:val="00D40B43"/>
    <w:rsid w:val="00D41103"/>
    <w:rsid w:val="00D4181C"/>
    <w:rsid w:val="00D41B00"/>
    <w:rsid w:val="00D41BAC"/>
    <w:rsid w:val="00D41D98"/>
    <w:rsid w:val="00D41F42"/>
    <w:rsid w:val="00D42972"/>
    <w:rsid w:val="00D42C27"/>
    <w:rsid w:val="00D42DF6"/>
    <w:rsid w:val="00D43142"/>
    <w:rsid w:val="00D44130"/>
    <w:rsid w:val="00D44603"/>
    <w:rsid w:val="00D44E5F"/>
    <w:rsid w:val="00D45AE0"/>
    <w:rsid w:val="00D45FDA"/>
    <w:rsid w:val="00D46044"/>
    <w:rsid w:val="00D46907"/>
    <w:rsid w:val="00D46D42"/>
    <w:rsid w:val="00D471A3"/>
    <w:rsid w:val="00D47238"/>
    <w:rsid w:val="00D47691"/>
    <w:rsid w:val="00D47B1D"/>
    <w:rsid w:val="00D500B2"/>
    <w:rsid w:val="00D500E0"/>
    <w:rsid w:val="00D50B29"/>
    <w:rsid w:val="00D50C5C"/>
    <w:rsid w:val="00D51C00"/>
    <w:rsid w:val="00D51D84"/>
    <w:rsid w:val="00D51DF2"/>
    <w:rsid w:val="00D520FD"/>
    <w:rsid w:val="00D5222D"/>
    <w:rsid w:val="00D52733"/>
    <w:rsid w:val="00D52EAD"/>
    <w:rsid w:val="00D5365A"/>
    <w:rsid w:val="00D5386F"/>
    <w:rsid w:val="00D53B92"/>
    <w:rsid w:val="00D54425"/>
    <w:rsid w:val="00D54649"/>
    <w:rsid w:val="00D548C5"/>
    <w:rsid w:val="00D550FE"/>
    <w:rsid w:val="00D55626"/>
    <w:rsid w:val="00D56082"/>
    <w:rsid w:val="00D56373"/>
    <w:rsid w:val="00D57A99"/>
    <w:rsid w:val="00D57D29"/>
    <w:rsid w:val="00D57D95"/>
    <w:rsid w:val="00D60052"/>
    <w:rsid w:val="00D60B5B"/>
    <w:rsid w:val="00D619B4"/>
    <w:rsid w:val="00D61AA5"/>
    <w:rsid w:val="00D61CB9"/>
    <w:rsid w:val="00D62196"/>
    <w:rsid w:val="00D6235F"/>
    <w:rsid w:val="00D624B9"/>
    <w:rsid w:val="00D62E6F"/>
    <w:rsid w:val="00D639CF"/>
    <w:rsid w:val="00D63C16"/>
    <w:rsid w:val="00D64345"/>
    <w:rsid w:val="00D6434A"/>
    <w:rsid w:val="00D64611"/>
    <w:rsid w:val="00D6477F"/>
    <w:rsid w:val="00D64F5F"/>
    <w:rsid w:val="00D651D4"/>
    <w:rsid w:val="00D65B7D"/>
    <w:rsid w:val="00D65BDB"/>
    <w:rsid w:val="00D66098"/>
    <w:rsid w:val="00D66EAC"/>
    <w:rsid w:val="00D6797B"/>
    <w:rsid w:val="00D67AE5"/>
    <w:rsid w:val="00D67F28"/>
    <w:rsid w:val="00D70075"/>
    <w:rsid w:val="00D70371"/>
    <w:rsid w:val="00D70E90"/>
    <w:rsid w:val="00D70FB0"/>
    <w:rsid w:val="00D71105"/>
    <w:rsid w:val="00D726FF"/>
    <w:rsid w:val="00D72DD3"/>
    <w:rsid w:val="00D7366A"/>
    <w:rsid w:val="00D73778"/>
    <w:rsid w:val="00D737F7"/>
    <w:rsid w:val="00D73B94"/>
    <w:rsid w:val="00D746ED"/>
    <w:rsid w:val="00D74AA6"/>
    <w:rsid w:val="00D74FF3"/>
    <w:rsid w:val="00D75809"/>
    <w:rsid w:val="00D758C9"/>
    <w:rsid w:val="00D76311"/>
    <w:rsid w:val="00D766D6"/>
    <w:rsid w:val="00D766FB"/>
    <w:rsid w:val="00D76A24"/>
    <w:rsid w:val="00D773EA"/>
    <w:rsid w:val="00D77B20"/>
    <w:rsid w:val="00D77B51"/>
    <w:rsid w:val="00D77DD1"/>
    <w:rsid w:val="00D808DC"/>
    <w:rsid w:val="00D817AA"/>
    <w:rsid w:val="00D819C7"/>
    <w:rsid w:val="00D81CDB"/>
    <w:rsid w:val="00D82950"/>
    <w:rsid w:val="00D82C34"/>
    <w:rsid w:val="00D82F78"/>
    <w:rsid w:val="00D83376"/>
    <w:rsid w:val="00D8350B"/>
    <w:rsid w:val="00D836ED"/>
    <w:rsid w:val="00D83D3D"/>
    <w:rsid w:val="00D84C0F"/>
    <w:rsid w:val="00D8544C"/>
    <w:rsid w:val="00D85C16"/>
    <w:rsid w:val="00D85E31"/>
    <w:rsid w:val="00D85FDC"/>
    <w:rsid w:val="00D860BE"/>
    <w:rsid w:val="00D866B7"/>
    <w:rsid w:val="00D86858"/>
    <w:rsid w:val="00D86C39"/>
    <w:rsid w:val="00D86E5F"/>
    <w:rsid w:val="00D86F61"/>
    <w:rsid w:val="00D87032"/>
    <w:rsid w:val="00D874AA"/>
    <w:rsid w:val="00D87FF9"/>
    <w:rsid w:val="00D9033B"/>
    <w:rsid w:val="00D9096A"/>
    <w:rsid w:val="00D90D72"/>
    <w:rsid w:val="00D91BDB"/>
    <w:rsid w:val="00D93615"/>
    <w:rsid w:val="00D93831"/>
    <w:rsid w:val="00D93915"/>
    <w:rsid w:val="00D939A7"/>
    <w:rsid w:val="00D9400A"/>
    <w:rsid w:val="00D944B4"/>
    <w:rsid w:val="00D94B16"/>
    <w:rsid w:val="00D951C6"/>
    <w:rsid w:val="00D9595E"/>
    <w:rsid w:val="00D95E78"/>
    <w:rsid w:val="00D96186"/>
    <w:rsid w:val="00D96521"/>
    <w:rsid w:val="00D96600"/>
    <w:rsid w:val="00D97C30"/>
    <w:rsid w:val="00D97CF1"/>
    <w:rsid w:val="00D97D78"/>
    <w:rsid w:val="00D97DFD"/>
    <w:rsid w:val="00DA0074"/>
    <w:rsid w:val="00DA0D87"/>
    <w:rsid w:val="00DA13B9"/>
    <w:rsid w:val="00DA1B7D"/>
    <w:rsid w:val="00DA26DD"/>
    <w:rsid w:val="00DA270E"/>
    <w:rsid w:val="00DA2DDC"/>
    <w:rsid w:val="00DA2E21"/>
    <w:rsid w:val="00DA3317"/>
    <w:rsid w:val="00DA4022"/>
    <w:rsid w:val="00DA4E82"/>
    <w:rsid w:val="00DA54B2"/>
    <w:rsid w:val="00DA590D"/>
    <w:rsid w:val="00DA5BC0"/>
    <w:rsid w:val="00DA7771"/>
    <w:rsid w:val="00DA7E0E"/>
    <w:rsid w:val="00DB0E06"/>
    <w:rsid w:val="00DB1391"/>
    <w:rsid w:val="00DB15D8"/>
    <w:rsid w:val="00DB18E6"/>
    <w:rsid w:val="00DB214B"/>
    <w:rsid w:val="00DB21A8"/>
    <w:rsid w:val="00DB21F5"/>
    <w:rsid w:val="00DB293D"/>
    <w:rsid w:val="00DB2B41"/>
    <w:rsid w:val="00DB3355"/>
    <w:rsid w:val="00DB44FE"/>
    <w:rsid w:val="00DB4671"/>
    <w:rsid w:val="00DB4AA8"/>
    <w:rsid w:val="00DB500B"/>
    <w:rsid w:val="00DB54EA"/>
    <w:rsid w:val="00DB6288"/>
    <w:rsid w:val="00DB6804"/>
    <w:rsid w:val="00DB6E7B"/>
    <w:rsid w:val="00DB7181"/>
    <w:rsid w:val="00DB76FD"/>
    <w:rsid w:val="00DC018E"/>
    <w:rsid w:val="00DC01C5"/>
    <w:rsid w:val="00DC0D69"/>
    <w:rsid w:val="00DC0F2E"/>
    <w:rsid w:val="00DC0F42"/>
    <w:rsid w:val="00DC13FD"/>
    <w:rsid w:val="00DC1E6C"/>
    <w:rsid w:val="00DC236F"/>
    <w:rsid w:val="00DC285A"/>
    <w:rsid w:val="00DC2AD8"/>
    <w:rsid w:val="00DC3122"/>
    <w:rsid w:val="00DC35FF"/>
    <w:rsid w:val="00DC36DE"/>
    <w:rsid w:val="00DC3763"/>
    <w:rsid w:val="00DC3781"/>
    <w:rsid w:val="00DC3914"/>
    <w:rsid w:val="00DC3B9F"/>
    <w:rsid w:val="00DC3F7F"/>
    <w:rsid w:val="00DC452F"/>
    <w:rsid w:val="00DC4610"/>
    <w:rsid w:val="00DC5043"/>
    <w:rsid w:val="00DC550A"/>
    <w:rsid w:val="00DC61B2"/>
    <w:rsid w:val="00DC671C"/>
    <w:rsid w:val="00DC68C9"/>
    <w:rsid w:val="00DC6AEA"/>
    <w:rsid w:val="00DC6C06"/>
    <w:rsid w:val="00DC6C44"/>
    <w:rsid w:val="00DC6F4A"/>
    <w:rsid w:val="00DC7800"/>
    <w:rsid w:val="00DC7953"/>
    <w:rsid w:val="00DD006A"/>
    <w:rsid w:val="00DD01C0"/>
    <w:rsid w:val="00DD022C"/>
    <w:rsid w:val="00DD0633"/>
    <w:rsid w:val="00DD0976"/>
    <w:rsid w:val="00DD0AEA"/>
    <w:rsid w:val="00DD11CD"/>
    <w:rsid w:val="00DD2166"/>
    <w:rsid w:val="00DD24C5"/>
    <w:rsid w:val="00DD2949"/>
    <w:rsid w:val="00DD2B85"/>
    <w:rsid w:val="00DD2ED5"/>
    <w:rsid w:val="00DD31D3"/>
    <w:rsid w:val="00DD3370"/>
    <w:rsid w:val="00DD350D"/>
    <w:rsid w:val="00DD3560"/>
    <w:rsid w:val="00DD3AC7"/>
    <w:rsid w:val="00DD3B17"/>
    <w:rsid w:val="00DD3EA4"/>
    <w:rsid w:val="00DD4986"/>
    <w:rsid w:val="00DD4C71"/>
    <w:rsid w:val="00DD5A1D"/>
    <w:rsid w:val="00DD6E0C"/>
    <w:rsid w:val="00DE0660"/>
    <w:rsid w:val="00DE1A25"/>
    <w:rsid w:val="00DE25CD"/>
    <w:rsid w:val="00DE3530"/>
    <w:rsid w:val="00DE3BAC"/>
    <w:rsid w:val="00DE46A7"/>
    <w:rsid w:val="00DE4756"/>
    <w:rsid w:val="00DE4892"/>
    <w:rsid w:val="00DE4E04"/>
    <w:rsid w:val="00DE52F1"/>
    <w:rsid w:val="00DE53BF"/>
    <w:rsid w:val="00DE5A23"/>
    <w:rsid w:val="00DE6782"/>
    <w:rsid w:val="00DE70BE"/>
    <w:rsid w:val="00DE75EC"/>
    <w:rsid w:val="00DF053C"/>
    <w:rsid w:val="00DF16D3"/>
    <w:rsid w:val="00DF21CF"/>
    <w:rsid w:val="00DF251F"/>
    <w:rsid w:val="00DF3455"/>
    <w:rsid w:val="00DF3B9F"/>
    <w:rsid w:val="00DF44DD"/>
    <w:rsid w:val="00DF5CF7"/>
    <w:rsid w:val="00DF68CA"/>
    <w:rsid w:val="00DF6AC1"/>
    <w:rsid w:val="00DF6B0C"/>
    <w:rsid w:val="00DF7658"/>
    <w:rsid w:val="00DF77DA"/>
    <w:rsid w:val="00DF7C5E"/>
    <w:rsid w:val="00E0030E"/>
    <w:rsid w:val="00E00707"/>
    <w:rsid w:val="00E00988"/>
    <w:rsid w:val="00E00E10"/>
    <w:rsid w:val="00E00EB1"/>
    <w:rsid w:val="00E0133F"/>
    <w:rsid w:val="00E0251B"/>
    <w:rsid w:val="00E03073"/>
    <w:rsid w:val="00E033E2"/>
    <w:rsid w:val="00E03872"/>
    <w:rsid w:val="00E03ACB"/>
    <w:rsid w:val="00E03B56"/>
    <w:rsid w:val="00E04484"/>
    <w:rsid w:val="00E047D8"/>
    <w:rsid w:val="00E049E1"/>
    <w:rsid w:val="00E04AF0"/>
    <w:rsid w:val="00E04F21"/>
    <w:rsid w:val="00E05130"/>
    <w:rsid w:val="00E05379"/>
    <w:rsid w:val="00E05BC7"/>
    <w:rsid w:val="00E05D6C"/>
    <w:rsid w:val="00E05DFD"/>
    <w:rsid w:val="00E06BED"/>
    <w:rsid w:val="00E07456"/>
    <w:rsid w:val="00E0754E"/>
    <w:rsid w:val="00E07B3B"/>
    <w:rsid w:val="00E1098F"/>
    <w:rsid w:val="00E114D0"/>
    <w:rsid w:val="00E1155A"/>
    <w:rsid w:val="00E130B5"/>
    <w:rsid w:val="00E131C0"/>
    <w:rsid w:val="00E131E4"/>
    <w:rsid w:val="00E133D2"/>
    <w:rsid w:val="00E13B5A"/>
    <w:rsid w:val="00E13CC4"/>
    <w:rsid w:val="00E13E16"/>
    <w:rsid w:val="00E13FDC"/>
    <w:rsid w:val="00E14122"/>
    <w:rsid w:val="00E146F9"/>
    <w:rsid w:val="00E1588E"/>
    <w:rsid w:val="00E15C50"/>
    <w:rsid w:val="00E1618F"/>
    <w:rsid w:val="00E16204"/>
    <w:rsid w:val="00E163A5"/>
    <w:rsid w:val="00E16C09"/>
    <w:rsid w:val="00E16EDA"/>
    <w:rsid w:val="00E16EFE"/>
    <w:rsid w:val="00E1712F"/>
    <w:rsid w:val="00E1749B"/>
    <w:rsid w:val="00E20FEC"/>
    <w:rsid w:val="00E2146A"/>
    <w:rsid w:val="00E21784"/>
    <w:rsid w:val="00E221E3"/>
    <w:rsid w:val="00E22310"/>
    <w:rsid w:val="00E223A5"/>
    <w:rsid w:val="00E23549"/>
    <w:rsid w:val="00E23D93"/>
    <w:rsid w:val="00E243E0"/>
    <w:rsid w:val="00E26909"/>
    <w:rsid w:val="00E30448"/>
    <w:rsid w:val="00E30AA2"/>
    <w:rsid w:val="00E31401"/>
    <w:rsid w:val="00E322A8"/>
    <w:rsid w:val="00E32BFB"/>
    <w:rsid w:val="00E33DAF"/>
    <w:rsid w:val="00E33ED5"/>
    <w:rsid w:val="00E343CE"/>
    <w:rsid w:val="00E34A0F"/>
    <w:rsid w:val="00E353B0"/>
    <w:rsid w:val="00E3579E"/>
    <w:rsid w:val="00E35FA8"/>
    <w:rsid w:val="00E36466"/>
    <w:rsid w:val="00E3654D"/>
    <w:rsid w:val="00E3686A"/>
    <w:rsid w:val="00E37912"/>
    <w:rsid w:val="00E37FD7"/>
    <w:rsid w:val="00E40074"/>
    <w:rsid w:val="00E401EC"/>
    <w:rsid w:val="00E40410"/>
    <w:rsid w:val="00E4065B"/>
    <w:rsid w:val="00E40880"/>
    <w:rsid w:val="00E41C01"/>
    <w:rsid w:val="00E42050"/>
    <w:rsid w:val="00E422DC"/>
    <w:rsid w:val="00E42FA4"/>
    <w:rsid w:val="00E439AB"/>
    <w:rsid w:val="00E44543"/>
    <w:rsid w:val="00E44604"/>
    <w:rsid w:val="00E44A39"/>
    <w:rsid w:val="00E44C36"/>
    <w:rsid w:val="00E44D2E"/>
    <w:rsid w:val="00E4588F"/>
    <w:rsid w:val="00E47F0B"/>
    <w:rsid w:val="00E5051D"/>
    <w:rsid w:val="00E5062A"/>
    <w:rsid w:val="00E50704"/>
    <w:rsid w:val="00E518A3"/>
    <w:rsid w:val="00E51C60"/>
    <w:rsid w:val="00E51D0D"/>
    <w:rsid w:val="00E523CB"/>
    <w:rsid w:val="00E526CC"/>
    <w:rsid w:val="00E527E0"/>
    <w:rsid w:val="00E52DA7"/>
    <w:rsid w:val="00E536D8"/>
    <w:rsid w:val="00E53E2D"/>
    <w:rsid w:val="00E53EA4"/>
    <w:rsid w:val="00E5467A"/>
    <w:rsid w:val="00E54D8C"/>
    <w:rsid w:val="00E55079"/>
    <w:rsid w:val="00E55284"/>
    <w:rsid w:val="00E554B5"/>
    <w:rsid w:val="00E55990"/>
    <w:rsid w:val="00E57214"/>
    <w:rsid w:val="00E57362"/>
    <w:rsid w:val="00E57701"/>
    <w:rsid w:val="00E57810"/>
    <w:rsid w:val="00E57900"/>
    <w:rsid w:val="00E57E2D"/>
    <w:rsid w:val="00E60100"/>
    <w:rsid w:val="00E6081D"/>
    <w:rsid w:val="00E60A2A"/>
    <w:rsid w:val="00E60B5C"/>
    <w:rsid w:val="00E61310"/>
    <w:rsid w:val="00E613C4"/>
    <w:rsid w:val="00E61466"/>
    <w:rsid w:val="00E61661"/>
    <w:rsid w:val="00E61ADB"/>
    <w:rsid w:val="00E61D19"/>
    <w:rsid w:val="00E62D72"/>
    <w:rsid w:val="00E63AB1"/>
    <w:rsid w:val="00E63C99"/>
    <w:rsid w:val="00E6415B"/>
    <w:rsid w:val="00E64221"/>
    <w:rsid w:val="00E64756"/>
    <w:rsid w:val="00E648BE"/>
    <w:rsid w:val="00E6492B"/>
    <w:rsid w:val="00E64935"/>
    <w:rsid w:val="00E64A68"/>
    <w:rsid w:val="00E65338"/>
    <w:rsid w:val="00E655F2"/>
    <w:rsid w:val="00E657C7"/>
    <w:rsid w:val="00E65C05"/>
    <w:rsid w:val="00E660F7"/>
    <w:rsid w:val="00E66D3D"/>
    <w:rsid w:val="00E673ED"/>
    <w:rsid w:val="00E70487"/>
    <w:rsid w:val="00E70702"/>
    <w:rsid w:val="00E70713"/>
    <w:rsid w:val="00E71309"/>
    <w:rsid w:val="00E718C3"/>
    <w:rsid w:val="00E72D21"/>
    <w:rsid w:val="00E7311D"/>
    <w:rsid w:val="00E73C37"/>
    <w:rsid w:val="00E74DF1"/>
    <w:rsid w:val="00E769F6"/>
    <w:rsid w:val="00E76E46"/>
    <w:rsid w:val="00E77290"/>
    <w:rsid w:val="00E77900"/>
    <w:rsid w:val="00E77A04"/>
    <w:rsid w:val="00E77A8E"/>
    <w:rsid w:val="00E80161"/>
    <w:rsid w:val="00E8032A"/>
    <w:rsid w:val="00E80333"/>
    <w:rsid w:val="00E815F6"/>
    <w:rsid w:val="00E8174F"/>
    <w:rsid w:val="00E81AC1"/>
    <w:rsid w:val="00E81FD5"/>
    <w:rsid w:val="00E82193"/>
    <w:rsid w:val="00E8226E"/>
    <w:rsid w:val="00E82285"/>
    <w:rsid w:val="00E829E6"/>
    <w:rsid w:val="00E82F64"/>
    <w:rsid w:val="00E83BC1"/>
    <w:rsid w:val="00E84007"/>
    <w:rsid w:val="00E849F4"/>
    <w:rsid w:val="00E8582B"/>
    <w:rsid w:val="00E86645"/>
    <w:rsid w:val="00E901E4"/>
    <w:rsid w:val="00E9096D"/>
    <w:rsid w:val="00E90E23"/>
    <w:rsid w:val="00E90F55"/>
    <w:rsid w:val="00E9206D"/>
    <w:rsid w:val="00E93949"/>
    <w:rsid w:val="00E93A96"/>
    <w:rsid w:val="00E94648"/>
    <w:rsid w:val="00E946D0"/>
    <w:rsid w:val="00E95868"/>
    <w:rsid w:val="00E95D5D"/>
    <w:rsid w:val="00E97464"/>
    <w:rsid w:val="00E97E2F"/>
    <w:rsid w:val="00EA02EB"/>
    <w:rsid w:val="00EA20E7"/>
    <w:rsid w:val="00EA2B98"/>
    <w:rsid w:val="00EA2F9B"/>
    <w:rsid w:val="00EA3319"/>
    <w:rsid w:val="00EA3321"/>
    <w:rsid w:val="00EA4B18"/>
    <w:rsid w:val="00EA63F9"/>
    <w:rsid w:val="00EA691D"/>
    <w:rsid w:val="00EA72AD"/>
    <w:rsid w:val="00EA752F"/>
    <w:rsid w:val="00EB0033"/>
    <w:rsid w:val="00EB030A"/>
    <w:rsid w:val="00EB0A22"/>
    <w:rsid w:val="00EB0A78"/>
    <w:rsid w:val="00EB0DB3"/>
    <w:rsid w:val="00EB0E7E"/>
    <w:rsid w:val="00EB0FF0"/>
    <w:rsid w:val="00EB2276"/>
    <w:rsid w:val="00EB27AF"/>
    <w:rsid w:val="00EB3052"/>
    <w:rsid w:val="00EB3EF9"/>
    <w:rsid w:val="00EB48F8"/>
    <w:rsid w:val="00EB491E"/>
    <w:rsid w:val="00EB5644"/>
    <w:rsid w:val="00EB61A3"/>
    <w:rsid w:val="00EB672E"/>
    <w:rsid w:val="00EB6F61"/>
    <w:rsid w:val="00EB7487"/>
    <w:rsid w:val="00EB7CA8"/>
    <w:rsid w:val="00EB7E73"/>
    <w:rsid w:val="00EB7E85"/>
    <w:rsid w:val="00EC0023"/>
    <w:rsid w:val="00EC03D0"/>
    <w:rsid w:val="00EC055F"/>
    <w:rsid w:val="00EC07FC"/>
    <w:rsid w:val="00EC17FA"/>
    <w:rsid w:val="00EC2171"/>
    <w:rsid w:val="00EC376F"/>
    <w:rsid w:val="00EC4B26"/>
    <w:rsid w:val="00EC5156"/>
    <w:rsid w:val="00EC57C1"/>
    <w:rsid w:val="00EC5A10"/>
    <w:rsid w:val="00EC6FD1"/>
    <w:rsid w:val="00EC70CC"/>
    <w:rsid w:val="00EC7442"/>
    <w:rsid w:val="00EC7A5E"/>
    <w:rsid w:val="00EC7BBF"/>
    <w:rsid w:val="00EC7D5B"/>
    <w:rsid w:val="00ED00BE"/>
    <w:rsid w:val="00ED05FE"/>
    <w:rsid w:val="00ED0AAE"/>
    <w:rsid w:val="00ED0C2A"/>
    <w:rsid w:val="00ED19C6"/>
    <w:rsid w:val="00ED2131"/>
    <w:rsid w:val="00ED2594"/>
    <w:rsid w:val="00ED28CE"/>
    <w:rsid w:val="00ED2933"/>
    <w:rsid w:val="00ED2A14"/>
    <w:rsid w:val="00ED2F80"/>
    <w:rsid w:val="00ED38D3"/>
    <w:rsid w:val="00ED3EAA"/>
    <w:rsid w:val="00ED43D7"/>
    <w:rsid w:val="00ED4F8D"/>
    <w:rsid w:val="00ED508F"/>
    <w:rsid w:val="00ED542B"/>
    <w:rsid w:val="00ED5A09"/>
    <w:rsid w:val="00ED64AF"/>
    <w:rsid w:val="00ED680B"/>
    <w:rsid w:val="00ED689D"/>
    <w:rsid w:val="00ED7B87"/>
    <w:rsid w:val="00ED7C46"/>
    <w:rsid w:val="00ED7C7D"/>
    <w:rsid w:val="00EE03A6"/>
    <w:rsid w:val="00EE0F22"/>
    <w:rsid w:val="00EE0FF7"/>
    <w:rsid w:val="00EE12B3"/>
    <w:rsid w:val="00EE1336"/>
    <w:rsid w:val="00EE171F"/>
    <w:rsid w:val="00EE174C"/>
    <w:rsid w:val="00EE1880"/>
    <w:rsid w:val="00EE193D"/>
    <w:rsid w:val="00EE1D18"/>
    <w:rsid w:val="00EE1DE4"/>
    <w:rsid w:val="00EE1FC4"/>
    <w:rsid w:val="00EE22F1"/>
    <w:rsid w:val="00EE2A41"/>
    <w:rsid w:val="00EE3287"/>
    <w:rsid w:val="00EE34A3"/>
    <w:rsid w:val="00EE38E3"/>
    <w:rsid w:val="00EE3AF5"/>
    <w:rsid w:val="00EE4084"/>
    <w:rsid w:val="00EE47C4"/>
    <w:rsid w:val="00EE497B"/>
    <w:rsid w:val="00EE49DF"/>
    <w:rsid w:val="00EE52D2"/>
    <w:rsid w:val="00EE53D8"/>
    <w:rsid w:val="00EE62A1"/>
    <w:rsid w:val="00EE6D8E"/>
    <w:rsid w:val="00EE6F59"/>
    <w:rsid w:val="00EF045C"/>
    <w:rsid w:val="00EF18BA"/>
    <w:rsid w:val="00EF1B4C"/>
    <w:rsid w:val="00EF1D69"/>
    <w:rsid w:val="00EF24ED"/>
    <w:rsid w:val="00EF27D5"/>
    <w:rsid w:val="00EF28FD"/>
    <w:rsid w:val="00EF2DAD"/>
    <w:rsid w:val="00EF2E6A"/>
    <w:rsid w:val="00EF331C"/>
    <w:rsid w:val="00EF35B5"/>
    <w:rsid w:val="00EF3AEF"/>
    <w:rsid w:val="00EF400C"/>
    <w:rsid w:val="00EF4808"/>
    <w:rsid w:val="00EF4876"/>
    <w:rsid w:val="00EF562A"/>
    <w:rsid w:val="00EF6B2F"/>
    <w:rsid w:val="00EF6CEC"/>
    <w:rsid w:val="00EF7B20"/>
    <w:rsid w:val="00F0012F"/>
    <w:rsid w:val="00F0016E"/>
    <w:rsid w:val="00F00FAD"/>
    <w:rsid w:val="00F010F8"/>
    <w:rsid w:val="00F0171C"/>
    <w:rsid w:val="00F01CFD"/>
    <w:rsid w:val="00F02053"/>
    <w:rsid w:val="00F021D2"/>
    <w:rsid w:val="00F02212"/>
    <w:rsid w:val="00F0290F"/>
    <w:rsid w:val="00F02FCA"/>
    <w:rsid w:val="00F0332D"/>
    <w:rsid w:val="00F04611"/>
    <w:rsid w:val="00F048C7"/>
    <w:rsid w:val="00F04A58"/>
    <w:rsid w:val="00F050CD"/>
    <w:rsid w:val="00F05900"/>
    <w:rsid w:val="00F05EDA"/>
    <w:rsid w:val="00F06759"/>
    <w:rsid w:val="00F07091"/>
    <w:rsid w:val="00F075F5"/>
    <w:rsid w:val="00F07B5D"/>
    <w:rsid w:val="00F07F59"/>
    <w:rsid w:val="00F107A4"/>
    <w:rsid w:val="00F107AD"/>
    <w:rsid w:val="00F10AA1"/>
    <w:rsid w:val="00F10CBC"/>
    <w:rsid w:val="00F12394"/>
    <w:rsid w:val="00F12849"/>
    <w:rsid w:val="00F13584"/>
    <w:rsid w:val="00F136FD"/>
    <w:rsid w:val="00F1399B"/>
    <w:rsid w:val="00F14019"/>
    <w:rsid w:val="00F1441E"/>
    <w:rsid w:val="00F146CD"/>
    <w:rsid w:val="00F15A9E"/>
    <w:rsid w:val="00F162AD"/>
    <w:rsid w:val="00F166D3"/>
    <w:rsid w:val="00F172F0"/>
    <w:rsid w:val="00F17435"/>
    <w:rsid w:val="00F17688"/>
    <w:rsid w:val="00F20E12"/>
    <w:rsid w:val="00F210B3"/>
    <w:rsid w:val="00F21A27"/>
    <w:rsid w:val="00F21CC2"/>
    <w:rsid w:val="00F22474"/>
    <w:rsid w:val="00F22DFA"/>
    <w:rsid w:val="00F23240"/>
    <w:rsid w:val="00F23C3D"/>
    <w:rsid w:val="00F24598"/>
    <w:rsid w:val="00F24B75"/>
    <w:rsid w:val="00F25121"/>
    <w:rsid w:val="00F252E2"/>
    <w:rsid w:val="00F25343"/>
    <w:rsid w:val="00F26420"/>
    <w:rsid w:val="00F26C23"/>
    <w:rsid w:val="00F26CBD"/>
    <w:rsid w:val="00F2700F"/>
    <w:rsid w:val="00F270F5"/>
    <w:rsid w:val="00F2774E"/>
    <w:rsid w:val="00F30310"/>
    <w:rsid w:val="00F3031B"/>
    <w:rsid w:val="00F3082B"/>
    <w:rsid w:val="00F30C83"/>
    <w:rsid w:val="00F3180C"/>
    <w:rsid w:val="00F32268"/>
    <w:rsid w:val="00F33252"/>
    <w:rsid w:val="00F33E7A"/>
    <w:rsid w:val="00F34E4E"/>
    <w:rsid w:val="00F34F08"/>
    <w:rsid w:val="00F350D4"/>
    <w:rsid w:val="00F3514F"/>
    <w:rsid w:val="00F35B42"/>
    <w:rsid w:val="00F3634B"/>
    <w:rsid w:val="00F363E7"/>
    <w:rsid w:val="00F36CAB"/>
    <w:rsid w:val="00F36E0F"/>
    <w:rsid w:val="00F36F07"/>
    <w:rsid w:val="00F37ADD"/>
    <w:rsid w:val="00F40712"/>
    <w:rsid w:val="00F41539"/>
    <w:rsid w:val="00F41728"/>
    <w:rsid w:val="00F419B6"/>
    <w:rsid w:val="00F41C96"/>
    <w:rsid w:val="00F426D5"/>
    <w:rsid w:val="00F42AEB"/>
    <w:rsid w:val="00F437A8"/>
    <w:rsid w:val="00F43B79"/>
    <w:rsid w:val="00F4430F"/>
    <w:rsid w:val="00F44663"/>
    <w:rsid w:val="00F448FA"/>
    <w:rsid w:val="00F44EF0"/>
    <w:rsid w:val="00F4542A"/>
    <w:rsid w:val="00F45F5B"/>
    <w:rsid w:val="00F45F5F"/>
    <w:rsid w:val="00F46126"/>
    <w:rsid w:val="00F46CCC"/>
    <w:rsid w:val="00F47992"/>
    <w:rsid w:val="00F510A8"/>
    <w:rsid w:val="00F512C8"/>
    <w:rsid w:val="00F5160F"/>
    <w:rsid w:val="00F51E99"/>
    <w:rsid w:val="00F52613"/>
    <w:rsid w:val="00F5301C"/>
    <w:rsid w:val="00F532D1"/>
    <w:rsid w:val="00F5338F"/>
    <w:rsid w:val="00F533B2"/>
    <w:rsid w:val="00F534FF"/>
    <w:rsid w:val="00F53A4E"/>
    <w:rsid w:val="00F53BF9"/>
    <w:rsid w:val="00F543F2"/>
    <w:rsid w:val="00F54830"/>
    <w:rsid w:val="00F54B3C"/>
    <w:rsid w:val="00F55317"/>
    <w:rsid w:val="00F5577A"/>
    <w:rsid w:val="00F55A0E"/>
    <w:rsid w:val="00F55DB4"/>
    <w:rsid w:val="00F56AFC"/>
    <w:rsid w:val="00F56E4F"/>
    <w:rsid w:val="00F575A6"/>
    <w:rsid w:val="00F57F5D"/>
    <w:rsid w:val="00F6017C"/>
    <w:rsid w:val="00F61210"/>
    <w:rsid w:val="00F61D65"/>
    <w:rsid w:val="00F61F35"/>
    <w:rsid w:val="00F62228"/>
    <w:rsid w:val="00F62B48"/>
    <w:rsid w:val="00F635BE"/>
    <w:rsid w:val="00F6371D"/>
    <w:rsid w:val="00F639A7"/>
    <w:rsid w:val="00F64024"/>
    <w:rsid w:val="00F640BB"/>
    <w:rsid w:val="00F648CD"/>
    <w:rsid w:val="00F64999"/>
    <w:rsid w:val="00F64CCA"/>
    <w:rsid w:val="00F651FE"/>
    <w:rsid w:val="00F66610"/>
    <w:rsid w:val="00F66B7D"/>
    <w:rsid w:val="00F70547"/>
    <w:rsid w:val="00F70B63"/>
    <w:rsid w:val="00F70E5C"/>
    <w:rsid w:val="00F714D1"/>
    <w:rsid w:val="00F715FD"/>
    <w:rsid w:val="00F72272"/>
    <w:rsid w:val="00F72BE2"/>
    <w:rsid w:val="00F72CF2"/>
    <w:rsid w:val="00F72E4E"/>
    <w:rsid w:val="00F73F33"/>
    <w:rsid w:val="00F73F48"/>
    <w:rsid w:val="00F74856"/>
    <w:rsid w:val="00F748B9"/>
    <w:rsid w:val="00F74F7D"/>
    <w:rsid w:val="00F775F9"/>
    <w:rsid w:val="00F77827"/>
    <w:rsid w:val="00F8054B"/>
    <w:rsid w:val="00F805C4"/>
    <w:rsid w:val="00F80740"/>
    <w:rsid w:val="00F81F79"/>
    <w:rsid w:val="00F824B0"/>
    <w:rsid w:val="00F8308C"/>
    <w:rsid w:val="00F8410B"/>
    <w:rsid w:val="00F84F23"/>
    <w:rsid w:val="00F8506B"/>
    <w:rsid w:val="00F85302"/>
    <w:rsid w:val="00F854D8"/>
    <w:rsid w:val="00F857D5"/>
    <w:rsid w:val="00F857DE"/>
    <w:rsid w:val="00F85A5F"/>
    <w:rsid w:val="00F85DA0"/>
    <w:rsid w:val="00F86619"/>
    <w:rsid w:val="00F8721A"/>
    <w:rsid w:val="00F876E4"/>
    <w:rsid w:val="00F87B4A"/>
    <w:rsid w:val="00F87E7D"/>
    <w:rsid w:val="00F87FA9"/>
    <w:rsid w:val="00F90B95"/>
    <w:rsid w:val="00F914AE"/>
    <w:rsid w:val="00F91A43"/>
    <w:rsid w:val="00F91E84"/>
    <w:rsid w:val="00F92396"/>
    <w:rsid w:val="00F9239C"/>
    <w:rsid w:val="00F9317A"/>
    <w:rsid w:val="00F93483"/>
    <w:rsid w:val="00F93A80"/>
    <w:rsid w:val="00F94620"/>
    <w:rsid w:val="00F94A4F"/>
    <w:rsid w:val="00F94AC0"/>
    <w:rsid w:val="00F94B1A"/>
    <w:rsid w:val="00F95115"/>
    <w:rsid w:val="00F95214"/>
    <w:rsid w:val="00F9588D"/>
    <w:rsid w:val="00F95A56"/>
    <w:rsid w:val="00F9647B"/>
    <w:rsid w:val="00F96914"/>
    <w:rsid w:val="00F9748C"/>
    <w:rsid w:val="00F97636"/>
    <w:rsid w:val="00F97680"/>
    <w:rsid w:val="00FA063A"/>
    <w:rsid w:val="00FA0882"/>
    <w:rsid w:val="00FA10D4"/>
    <w:rsid w:val="00FA24BD"/>
    <w:rsid w:val="00FA3230"/>
    <w:rsid w:val="00FA3C09"/>
    <w:rsid w:val="00FA57F2"/>
    <w:rsid w:val="00FA5DE6"/>
    <w:rsid w:val="00FA5DFE"/>
    <w:rsid w:val="00FA63F8"/>
    <w:rsid w:val="00FA65A1"/>
    <w:rsid w:val="00FA6832"/>
    <w:rsid w:val="00FA6B82"/>
    <w:rsid w:val="00FA6E47"/>
    <w:rsid w:val="00FA7B17"/>
    <w:rsid w:val="00FB013F"/>
    <w:rsid w:val="00FB038A"/>
    <w:rsid w:val="00FB0CE1"/>
    <w:rsid w:val="00FB0DAD"/>
    <w:rsid w:val="00FB10AB"/>
    <w:rsid w:val="00FB1C4D"/>
    <w:rsid w:val="00FB1EEB"/>
    <w:rsid w:val="00FB20B3"/>
    <w:rsid w:val="00FB26DE"/>
    <w:rsid w:val="00FB2824"/>
    <w:rsid w:val="00FB3325"/>
    <w:rsid w:val="00FB3C76"/>
    <w:rsid w:val="00FB47CB"/>
    <w:rsid w:val="00FB4C35"/>
    <w:rsid w:val="00FB4DD5"/>
    <w:rsid w:val="00FB4FBA"/>
    <w:rsid w:val="00FB53FF"/>
    <w:rsid w:val="00FB5E67"/>
    <w:rsid w:val="00FB638D"/>
    <w:rsid w:val="00FB6414"/>
    <w:rsid w:val="00FB6857"/>
    <w:rsid w:val="00FB7185"/>
    <w:rsid w:val="00FB749E"/>
    <w:rsid w:val="00FB79A3"/>
    <w:rsid w:val="00FB7E00"/>
    <w:rsid w:val="00FC0A40"/>
    <w:rsid w:val="00FC0B64"/>
    <w:rsid w:val="00FC1222"/>
    <w:rsid w:val="00FC1CE7"/>
    <w:rsid w:val="00FC1E09"/>
    <w:rsid w:val="00FC1FF1"/>
    <w:rsid w:val="00FC2E7F"/>
    <w:rsid w:val="00FC3032"/>
    <w:rsid w:val="00FC3439"/>
    <w:rsid w:val="00FC36DC"/>
    <w:rsid w:val="00FC40D2"/>
    <w:rsid w:val="00FC4996"/>
    <w:rsid w:val="00FC4B7B"/>
    <w:rsid w:val="00FC4D79"/>
    <w:rsid w:val="00FC550A"/>
    <w:rsid w:val="00FC5A18"/>
    <w:rsid w:val="00FC6170"/>
    <w:rsid w:val="00FC652D"/>
    <w:rsid w:val="00FC6858"/>
    <w:rsid w:val="00FC6F99"/>
    <w:rsid w:val="00FC71B0"/>
    <w:rsid w:val="00FC73EF"/>
    <w:rsid w:val="00FC7D4F"/>
    <w:rsid w:val="00FD11F0"/>
    <w:rsid w:val="00FD23D8"/>
    <w:rsid w:val="00FD2693"/>
    <w:rsid w:val="00FD2A7A"/>
    <w:rsid w:val="00FD3C70"/>
    <w:rsid w:val="00FD4F4F"/>
    <w:rsid w:val="00FD572F"/>
    <w:rsid w:val="00FD66ED"/>
    <w:rsid w:val="00FD6E57"/>
    <w:rsid w:val="00FD741F"/>
    <w:rsid w:val="00FE079D"/>
    <w:rsid w:val="00FE0B25"/>
    <w:rsid w:val="00FE0B2C"/>
    <w:rsid w:val="00FE1670"/>
    <w:rsid w:val="00FE1774"/>
    <w:rsid w:val="00FE1913"/>
    <w:rsid w:val="00FE248B"/>
    <w:rsid w:val="00FE2BC3"/>
    <w:rsid w:val="00FE2BFB"/>
    <w:rsid w:val="00FE4059"/>
    <w:rsid w:val="00FE44D2"/>
    <w:rsid w:val="00FE4576"/>
    <w:rsid w:val="00FE5983"/>
    <w:rsid w:val="00FE5AC4"/>
    <w:rsid w:val="00FE5CD1"/>
    <w:rsid w:val="00FE63A7"/>
    <w:rsid w:val="00FF060B"/>
    <w:rsid w:val="00FF0E19"/>
    <w:rsid w:val="00FF2C24"/>
    <w:rsid w:val="00FF3860"/>
    <w:rsid w:val="00FF3904"/>
    <w:rsid w:val="00FF3DCC"/>
    <w:rsid w:val="00FF4150"/>
    <w:rsid w:val="00FF484D"/>
    <w:rsid w:val="00FF48F8"/>
    <w:rsid w:val="00FF52CA"/>
    <w:rsid w:val="00FF579B"/>
    <w:rsid w:val="00FF5F73"/>
    <w:rsid w:val="00FF6513"/>
    <w:rsid w:val="00FF665F"/>
    <w:rsid w:val="00FF67FD"/>
    <w:rsid w:val="00FF74AD"/>
    <w:rsid w:val="00FF7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0"/>
    </o:shapedefaults>
    <o:shapelayout v:ext="edit">
      <o:idmap v:ext="edit" data="2"/>
    </o:shapelayout>
  </w:shapeDefaults>
  <w:decimalSymbol w:val="."/>
  <w:listSeparator w:val=","/>
  <w14:docId w14:val="79A3B688"/>
  <w15:docId w15:val="{B63DB77C-52E4-4976-9E89-FCCD5795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D89"/>
    <w:pPr>
      <w:spacing w:after="120"/>
    </w:pPr>
    <w:rPr>
      <w:rFonts w:ascii="Arial" w:hAnsi="Arial" w:cs="Arial"/>
      <w:sz w:val="22"/>
      <w:szCs w:val="22"/>
      <w:lang w:eastAsia="en-US"/>
    </w:rPr>
  </w:style>
  <w:style w:type="paragraph" w:styleId="Heading1">
    <w:name w:val="heading 1"/>
    <w:aliases w:val="Centre,VM1"/>
    <w:basedOn w:val="ONRNormal"/>
    <w:next w:val="ONRNumberedParagraph1"/>
    <w:link w:val="Heading1Char"/>
    <w:qFormat/>
    <w:rsid w:val="002F3BC8"/>
    <w:pPr>
      <w:keepNext/>
      <w:numPr>
        <w:numId w:val="3"/>
      </w:numPr>
      <w:spacing w:after="60"/>
      <w:outlineLvl w:val="0"/>
    </w:pPr>
    <w:rPr>
      <w:rFonts w:ascii="Arial Bold" w:hAnsi="Arial Bold"/>
      <w:b/>
      <w:bCs/>
      <w:caps/>
      <w:kern w:val="32"/>
    </w:rPr>
  </w:style>
  <w:style w:type="paragraph" w:styleId="Heading2">
    <w:name w:val="heading 2"/>
    <w:aliases w:val="Left"/>
    <w:basedOn w:val="Heading1"/>
    <w:next w:val="ONRNumberedParagraph1"/>
    <w:link w:val="Heading2Char"/>
    <w:qFormat/>
    <w:rsid w:val="002F3BC8"/>
    <w:pPr>
      <w:numPr>
        <w:ilvl w:val="1"/>
      </w:numPr>
      <w:spacing w:before="240"/>
      <w:outlineLvl w:val="1"/>
    </w:pPr>
    <w:rPr>
      <w:iCs/>
      <w:caps w:val="0"/>
      <w:szCs w:val="28"/>
    </w:rPr>
  </w:style>
  <w:style w:type="paragraph" w:styleId="Heading3">
    <w:name w:val="heading 3"/>
    <w:aliases w:val="Sub"/>
    <w:basedOn w:val="Heading2"/>
    <w:next w:val="ONRNumberedParagraph1"/>
    <w:link w:val="Heading3Char"/>
    <w:qFormat/>
    <w:rsid w:val="007A07BD"/>
    <w:pPr>
      <w:numPr>
        <w:ilvl w:val="0"/>
        <w:numId w:val="0"/>
      </w:numPr>
      <w:spacing w:before="120" w:after="240"/>
      <w:ind w:firstLine="709"/>
      <w:outlineLvl w:val="2"/>
    </w:pPr>
  </w:style>
  <w:style w:type="paragraph" w:styleId="Heading4">
    <w:name w:val="heading 4"/>
    <w:basedOn w:val="Heading3"/>
    <w:next w:val="ONRNumberedParagraph1"/>
    <w:link w:val="Heading4Char"/>
    <w:qFormat/>
    <w:rsid w:val="00765A42"/>
    <w:pPr>
      <w:numPr>
        <w:ilvl w:val="3"/>
      </w:numPr>
      <w:ind w:firstLine="709"/>
      <w:outlineLvl w:val="3"/>
    </w:pPr>
  </w:style>
  <w:style w:type="paragraph" w:styleId="Heading5">
    <w:name w:val="heading 5"/>
    <w:basedOn w:val="Heading4"/>
    <w:next w:val="ONRNumberedParagraph1"/>
    <w:link w:val="Heading5Char"/>
    <w:qFormat/>
    <w:rsid w:val="00765A42"/>
    <w:pPr>
      <w:numPr>
        <w:ilvl w:val="4"/>
      </w:numPr>
      <w:ind w:firstLine="709"/>
      <w:outlineLvl w:val="4"/>
    </w:pPr>
    <w:rPr>
      <w:rFonts w:ascii="Arial" w:hAnsi="Arial"/>
    </w:rPr>
  </w:style>
  <w:style w:type="paragraph" w:styleId="Heading6">
    <w:name w:val="heading 6"/>
    <w:basedOn w:val="Heading5"/>
    <w:next w:val="ONRNumberedParagraph1"/>
    <w:link w:val="Heading6Char"/>
    <w:qFormat/>
    <w:rsid w:val="00765A42"/>
    <w:pPr>
      <w:numPr>
        <w:ilvl w:val="5"/>
      </w:numPr>
      <w:ind w:firstLine="709"/>
      <w:outlineLvl w:val="5"/>
    </w:pPr>
    <w:rPr>
      <w:i/>
    </w:rPr>
  </w:style>
  <w:style w:type="paragraph" w:styleId="Heading7">
    <w:name w:val="heading 7"/>
    <w:basedOn w:val="Heading6"/>
    <w:next w:val="ONRNumberedParagraph1"/>
    <w:qFormat/>
    <w:rsid w:val="00765A42"/>
    <w:pPr>
      <w:numPr>
        <w:ilvl w:val="6"/>
      </w:numPr>
      <w:ind w:firstLine="709"/>
      <w:outlineLvl w:val="6"/>
    </w:pPr>
    <w:rPr>
      <w:b w:val="0"/>
      <w:bCs w:val="0"/>
      <w:caps/>
      <w:sz w:val="20"/>
    </w:rPr>
  </w:style>
  <w:style w:type="paragraph" w:styleId="Heading8">
    <w:name w:val="heading 8"/>
    <w:basedOn w:val="Heading7"/>
    <w:next w:val="ONRNumberedParagraph1"/>
    <w:qFormat/>
    <w:rsid w:val="00765A42"/>
    <w:pPr>
      <w:numPr>
        <w:ilvl w:val="7"/>
      </w:numPr>
      <w:ind w:firstLine="709"/>
      <w:outlineLvl w:val="7"/>
    </w:pPr>
    <w:rPr>
      <w:iCs w:val="0"/>
    </w:rPr>
  </w:style>
  <w:style w:type="paragraph" w:styleId="Heading9">
    <w:name w:val="heading 9"/>
    <w:basedOn w:val="Heading8"/>
    <w:next w:val="ONRNumberedParagraph1"/>
    <w:qFormat/>
    <w:rsid w:val="00765A42"/>
    <w:pPr>
      <w:numPr>
        <w:ilvl w:val="8"/>
      </w:numPr>
      <w:ind w:firstLine="70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ONRNormal"/>
    <w:link w:val="HeaderChar"/>
    <w:rsid w:val="00765A42"/>
    <w:rPr>
      <w:rFonts w:ascii="Tahoma" w:hAnsi="Tahoma"/>
      <w:sz w:val="20"/>
    </w:rPr>
  </w:style>
  <w:style w:type="paragraph" w:styleId="Title">
    <w:name w:val="Title"/>
    <w:basedOn w:val="Normal"/>
    <w:link w:val="TitleChar"/>
    <w:qFormat/>
    <w:rsid w:val="00765A42"/>
    <w:pPr>
      <w:keepLines/>
      <w:spacing w:after="0"/>
      <w:jc w:val="center"/>
    </w:pPr>
    <w:rPr>
      <w:rFonts w:ascii="Times New Roman" w:hAnsi="Times New Roman" w:cs="Times New Roman"/>
      <w:b/>
      <w:bCs/>
      <w:sz w:val="24"/>
      <w:szCs w:val="24"/>
    </w:rPr>
  </w:style>
  <w:style w:type="paragraph" w:customStyle="1" w:styleId="DefaultText">
    <w:name w:val="Default Text"/>
    <w:basedOn w:val="Normal"/>
    <w:rsid w:val="00765A42"/>
    <w:pPr>
      <w:spacing w:after="0"/>
    </w:pPr>
  </w:style>
  <w:style w:type="paragraph" w:customStyle="1" w:styleId="NumberedHeading">
    <w:name w:val="Numbered Heading"/>
    <w:basedOn w:val="DefaultText0"/>
    <w:qFormat/>
    <w:rsid w:val="002F6410"/>
    <w:pPr>
      <w:keepNext/>
      <w:numPr>
        <w:numId w:val="30"/>
      </w:numPr>
      <w:spacing w:after="240"/>
    </w:pPr>
    <w:rPr>
      <w:rFonts w:ascii="Arial Bold" w:hAnsi="Arial Bold"/>
      <w:b/>
      <w:bCs/>
      <w:caps/>
      <w:color w:val="000000"/>
    </w:rPr>
  </w:style>
  <w:style w:type="paragraph" w:customStyle="1" w:styleId="NumberedParagraph">
    <w:name w:val="Numbered Paragraph"/>
    <w:basedOn w:val="Normal"/>
    <w:rsid w:val="001D03B4"/>
    <w:pPr>
      <w:numPr>
        <w:ilvl w:val="1"/>
        <w:numId w:val="30"/>
      </w:numPr>
      <w:spacing w:after="240"/>
    </w:pPr>
  </w:style>
  <w:style w:type="paragraph" w:styleId="EndnoteText">
    <w:name w:val="endnote text"/>
    <w:basedOn w:val="Normal"/>
    <w:semiHidden/>
    <w:rsid w:val="0023626D"/>
    <w:pPr>
      <w:tabs>
        <w:tab w:val="left" w:pos="720"/>
      </w:tabs>
    </w:pPr>
    <w:rPr>
      <w:sz w:val="20"/>
      <w:szCs w:val="20"/>
    </w:rPr>
  </w:style>
  <w:style w:type="paragraph" w:customStyle="1" w:styleId="ONRUnnumberedHeading1Style">
    <w:name w:val="ONR Unnumbered Heading 1 Style"/>
    <w:basedOn w:val="Heading1"/>
    <w:next w:val="ONRNormal"/>
    <w:rsid w:val="0023626D"/>
    <w:pPr>
      <w:numPr>
        <w:numId w:val="0"/>
      </w:numPr>
    </w:pPr>
    <w:rPr>
      <w:b w:val="0"/>
    </w:rPr>
  </w:style>
  <w:style w:type="paragraph" w:styleId="DocumentMap">
    <w:name w:val="Document Map"/>
    <w:basedOn w:val="Normal"/>
    <w:semiHidden/>
    <w:rsid w:val="00C5415C"/>
    <w:pPr>
      <w:shd w:val="clear" w:color="auto" w:fill="000080"/>
    </w:pPr>
    <w:rPr>
      <w:rFonts w:ascii="Tahoma" w:hAnsi="Tahoma" w:cs="Tahoma"/>
      <w:sz w:val="20"/>
      <w:szCs w:val="20"/>
    </w:rPr>
  </w:style>
  <w:style w:type="paragraph" w:customStyle="1" w:styleId="Style11">
    <w:name w:val="Style1+1"/>
    <w:basedOn w:val="Default"/>
    <w:next w:val="Default"/>
    <w:rsid w:val="004D20FB"/>
    <w:rPr>
      <w:rFonts w:cs="Times New Roman"/>
      <w:color w:val="auto"/>
    </w:rPr>
  </w:style>
  <w:style w:type="paragraph" w:customStyle="1" w:styleId="normal1">
    <w:name w:val="normal+1"/>
    <w:basedOn w:val="Default"/>
    <w:next w:val="Default"/>
    <w:rsid w:val="004D20FB"/>
    <w:rPr>
      <w:rFonts w:cs="Times New Roman"/>
      <w:color w:val="auto"/>
    </w:rPr>
  </w:style>
  <w:style w:type="paragraph" w:customStyle="1" w:styleId="Principle1">
    <w:name w:val="Principle+1"/>
    <w:basedOn w:val="Default"/>
    <w:next w:val="Default"/>
    <w:rsid w:val="004D20FB"/>
    <w:rPr>
      <w:rFonts w:cs="Times New Roman"/>
      <w:color w:val="auto"/>
    </w:rPr>
  </w:style>
  <w:style w:type="paragraph" w:customStyle="1" w:styleId="OutlineNotIndented">
    <w:name w:val="Outline (Not Indented)"/>
    <w:basedOn w:val="Normal"/>
    <w:rsid w:val="00765A42"/>
    <w:pPr>
      <w:spacing w:after="0"/>
    </w:pPr>
  </w:style>
  <w:style w:type="paragraph" w:customStyle="1" w:styleId="OutlineIndented">
    <w:name w:val="Outline (Indented)"/>
    <w:basedOn w:val="Normal"/>
    <w:rsid w:val="00765A42"/>
    <w:pPr>
      <w:spacing w:after="0"/>
    </w:pPr>
  </w:style>
  <w:style w:type="paragraph" w:customStyle="1" w:styleId="TableText">
    <w:name w:val="Table Text"/>
    <w:basedOn w:val="Normal"/>
    <w:rsid w:val="00765A42"/>
    <w:pPr>
      <w:spacing w:after="0"/>
      <w:jc w:val="right"/>
    </w:pPr>
  </w:style>
  <w:style w:type="paragraph" w:customStyle="1" w:styleId="NumberList">
    <w:name w:val="Number List"/>
    <w:basedOn w:val="Normal"/>
    <w:rsid w:val="00765A42"/>
    <w:pPr>
      <w:spacing w:after="0"/>
    </w:pPr>
  </w:style>
  <w:style w:type="paragraph" w:customStyle="1" w:styleId="FirstLineIndent">
    <w:name w:val="First Line Indent"/>
    <w:basedOn w:val="Normal"/>
    <w:rsid w:val="00765A42"/>
    <w:pPr>
      <w:spacing w:after="0"/>
      <w:ind w:firstLine="720"/>
    </w:pPr>
  </w:style>
  <w:style w:type="character" w:customStyle="1" w:styleId="TitleChar">
    <w:name w:val="Title Char"/>
    <w:link w:val="Title"/>
    <w:rsid w:val="00765A42"/>
    <w:rPr>
      <w:b/>
      <w:bCs/>
      <w:sz w:val="24"/>
      <w:szCs w:val="24"/>
      <w:lang w:val="en-GB" w:eastAsia="en-US" w:bidi="ar-SA"/>
    </w:rPr>
  </w:style>
  <w:style w:type="character" w:customStyle="1" w:styleId="HeaderChar">
    <w:name w:val="Header Char"/>
    <w:link w:val="Header"/>
    <w:semiHidden/>
    <w:locked/>
    <w:rsid w:val="00765A42"/>
    <w:rPr>
      <w:rFonts w:ascii="Tahoma" w:hAnsi="Tahoma" w:cs="Arial"/>
      <w:szCs w:val="22"/>
      <w:lang w:val="en-GB" w:eastAsia="en-US" w:bidi="ar-SA"/>
    </w:rPr>
  </w:style>
  <w:style w:type="paragraph" w:customStyle="1" w:styleId="BodySingle">
    <w:name w:val="Body Single"/>
    <w:basedOn w:val="Normal"/>
    <w:rsid w:val="00765A42"/>
    <w:pPr>
      <w:spacing w:after="0"/>
    </w:pPr>
  </w:style>
  <w:style w:type="paragraph" w:customStyle="1" w:styleId="DefaultText0">
    <w:name w:val="Default Text"/>
    <w:basedOn w:val="ONRNormal"/>
    <w:link w:val="DefaultTextChar"/>
    <w:rsid w:val="00765A42"/>
    <w:pPr>
      <w:overflowPunct w:val="0"/>
      <w:autoSpaceDE w:val="0"/>
      <w:autoSpaceDN w:val="0"/>
      <w:adjustRightInd w:val="0"/>
      <w:textAlignment w:val="baseline"/>
    </w:pPr>
    <w:rPr>
      <w:szCs w:val="20"/>
    </w:rPr>
  </w:style>
  <w:style w:type="paragraph" w:styleId="Footer">
    <w:name w:val="footer"/>
    <w:basedOn w:val="ONRNormal"/>
    <w:rsid w:val="00765A42"/>
    <w:rPr>
      <w:rFonts w:ascii="Tahoma" w:hAnsi="Tahoma"/>
      <w:sz w:val="20"/>
      <w:szCs w:val="20"/>
    </w:rPr>
  </w:style>
  <w:style w:type="character" w:styleId="PageNumber">
    <w:name w:val="page number"/>
    <w:rsid w:val="00765A42"/>
    <w:rPr>
      <w:rFonts w:ascii="Tahoma" w:hAnsi="Tahoma"/>
      <w:sz w:val="20"/>
    </w:rPr>
  </w:style>
  <w:style w:type="paragraph" w:styleId="BodyText">
    <w:name w:val="Body Text"/>
    <w:basedOn w:val="ONRNormal"/>
    <w:link w:val="BodyTextChar"/>
    <w:rsid w:val="00765A42"/>
    <w:rPr>
      <w:color w:val="000000"/>
      <w:szCs w:val="20"/>
      <w:lang w:val="en-US"/>
    </w:rPr>
  </w:style>
  <w:style w:type="paragraph" w:styleId="BodyText2">
    <w:name w:val="Body Text 2"/>
    <w:basedOn w:val="ONRNormal"/>
    <w:rsid w:val="00765A42"/>
    <w:pPr>
      <w:spacing w:line="480" w:lineRule="auto"/>
    </w:pPr>
  </w:style>
  <w:style w:type="character" w:styleId="Hyperlink">
    <w:name w:val="Hyperlink"/>
    <w:uiPriority w:val="99"/>
    <w:rsid w:val="00765A42"/>
    <w:rPr>
      <w:rFonts w:ascii="Arial" w:hAnsi="Arial"/>
      <w:color w:val="0000FF"/>
      <w:u w:val="single"/>
    </w:rPr>
  </w:style>
  <w:style w:type="character" w:styleId="FollowedHyperlink">
    <w:name w:val="FollowedHyperlink"/>
    <w:rsid w:val="00765A42"/>
    <w:rPr>
      <w:rFonts w:ascii="Arial" w:hAnsi="Arial"/>
      <w:color w:val="800080"/>
      <w:u w:val="single"/>
    </w:rPr>
  </w:style>
  <w:style w:type="paragraph" w:customStyle="1" w:styleId="DefaultText1">
    <w:name w:val="Default Text:1"/>
    <w:basedOn w:val="Normal"/>
    <w:rsid w:val="00765A42"/>
    <w:pPr>
      <w:spacing w:after="0"/>
    </w:pPr>
    <w:rPr>
      <w:noProof/>
    </w:rPr>
  </w:style>
  <w:style w:type="paragraph" w:styleId="BodyTextIndent">
    <w:name w:val="Body Text Indent"/>
    <w:basedOn w:val="ONRNormal"/>
    <w:link w:val="BodyTextIndentChar"/>
    <w:rsid w:val="00765A42"/>
    <w:pPr>
      <w:ind w:left="283"/>
    </w:pPr>
  </w:style>
  <w:style w:type="paragraph" w:styleId="BodyText3">
    <w:name w:val="Body Text 3"/>
    <w:basedOn w:val="ONRNormal"/>
    <w:rsid w:val="00765A42"/>
    <w:rPr>
      <w:sz w:val="16"/>
      <w:szCs w:val="16"/>
    </w:rPr>
  </w:style>
  <w:style w:type="paragraph" w:customStyle="1" w:styleId="Normal10">
    <w:name w:val="Normal+1"/>
    <w:basedOn w:val="Default"/>
    <w:next w:val="Default"/>
    <w:rsid w:val="004D20FB"/>
    <w:rPr>
      <w:rFonts w:cs="Times New Roman"/>
      <w:color w:val="auto"/>
    </w:rPr>
  </w:style>
  <w:style w:type="paragraph" w:customStyle="1" w:styleId="DefaultText11">
    <w:name w:val="Default Text:1:1"/>
    <w:basedOn w:val="Normal"/>
    <w:rsid w:val="00765A42"/>
    <w:pPr>
      <w:spacing w:after="0"/>
    </w:pPr>
    <w:rPr>
      <w:lang w:val="en-US"/>
    </w:rPr>
  </w:style>
  <w:style w:type="paragraph" w:customStyle="1" w:styleId="SeqLevel6">
    <w:name w:val="Seq Level 6"/>
    <w:basedOn w:val="Normal"/>
    <w:rsid w:val="00765A42"/>
    <w:pPr>
      <w:spacing w:after="0"/>
    </w:pPr>
    <w:rPr>
      <w:lang w:val="en-US"/>
    </w:rPr>
  </w:style>
  <w:style w:type="paragraph" w:customStyle="1" w:styleId="SeqLevel5">
    <w:name w:val="Seq Level 5"/>
    <w:basedOn w:val="Normal"/>
    <w:rsid w:val="00765A42"/>
    <w:pPr>
      <w:spacing w:after="0"/>
    </w:pPr>
    <w:rPr>
      <w:lang w:val="en-US"/>
    </w:rPr>
  </w:style>
  <w:style w:type="paragraph" w:styleId="BalloonText">
    <w:name w:val="Balloon Text"/>
    <w:basedOn w:val="Normal"/>
    <w:semiHidden/>
    <w:rsid w:val="00765A42"/>
    <w:rPr>
      <w:rFonts w:ascii="Tahoma" w:hAnsi="Tahoma" w:cs="Tahoma"/>
      <w:sz w:val="16"/>
      <w:szCs w:val="16"/>
    </w:rPr>
  </w:style>
  <w:style w:type="character" w:styleId="Strong">
    <w:name w:val="Strong"/>
    <w:qFormat/>
    <w:rsid w:val="00765A42"/>
    <w:rPr>
      <w:rFonts w:ascii="Arial" w:hAnsi="Arial"/>
      <w:b/>
      <w:bCs/>
      <w:sz w:val="22"/>
    </w:rPr>
  </w:style>
  <w:style w:type="character" w:styleId="Emphasis">
    <w:name w:val="Emphasis"/>
    <w:qFormat/>
    <w:rsid w:val="00765A42"/>
    <w:rPr>
      <w:rFonts w:ascii="Arial" w:hAnsi="Arial"/>
      <w:i/>
      <w:iCs/>
    </w:rPr>
  </w:style>
  <w:style w:type="paragraph" w:customStyle="1" w:styleId="defaulttext2">
    <w:name w:val="defaulttext"/>
    <w:basedOn w:val="Normal"/>
    <w:rsid w:val="00765A42"/>
    <w:pPr>
      <w:spacing w:beforeAutospacing="1" w:afterAutospacing="1"/>
    </w:pPr>
    <w:rPr>
      <w:szCs w:val="24"/>
      <w:lang w:eastAsia="en-GB"/>
    </w:rPr>
  </w:style>
  <w:style w:type="paragraph" w:styleId="ListContinue3">
    <w:name w:val="List Continue 3"/>
    <w:basedOn w:val="ONRNormal"/>
    <w:rsid w:val="00765A42"/>
    <w:pPr>
      <w:ind w:left="849"/>
    </w:pPr>
  </w:style>
  <w:style w:type="character" w:customStyle="1" w:styleId="DefaultTextChar">
    <w:name w:val="Default Text Char"/>
    <w:link w:val="DefaultText0"/>
    <w:rsid w:val="00765A42"/>
    <w:rPr>
      <w:rFonts w:ascii="Arial" w:hAnsi="Arial" w:cs="Arial"/>
      <w:sz w:val="22"/>
      <w:lang w:val="en-GB" w:eastAsia="en-US" w:bidi="ar-SA"/>
    </w:rPr>
  </w:style>
  <w:style w:type="paragraph" w:customStyle="1" w:styleId="Style1">
    <w:name w:val="Style1"/>
    <w:basedOn w:val="Normal"/>
    <w:rsid w:val="00BC60BF"/>
    <w:pPr>
      <w:numPr>
        <w:numId w:val="31"/>
      </w:numPr>
    </w:pPr>
    <w:rPr>
      <w:sz w:val="20"/>
      <w:szCs w:val="24"/>
    </w:rPr>
  </w:style>
  <w:style w:type="numbering" w:styleId="111111">
    <w:name w:val="Outline List 2"/>
    <w:basedOn w:val="NoList"/>
    <w:rsid w:val="00765A42"/>
    <w:pPr>
      <w:numPr>
        <w:numId w:val="1"/>
      </w:numPr>
    </w:pPr>
  </w:style>
  <w:style w:type="numbering" w:styleId="1ai">
    <w:name w:val="Outline List 1"/>
    <w:basedOn w:val="NoList"/>
    <w:rsid w:val="00765A42"/>
    <w:pPr>
      <w:numPr>
        <w:numId w:val="2"/>
      </w:numPr>
    </w:pPr>
  </w:style>
  <w:style w:type="paragraph" w:customStyle="1" w:styleId="Principle">
    <w:name w:val="Principle"/>
    <w:basedOn w:val="Normal"/>
    <w:next w:val="Normal"/>
    <w:rsid w:val="00BC60BF"/>
    <w:pPr>
      <w:keepLines/>
      <w:spacing w:after="240"/>
    </w:pPr>
    <w:rPr>
      <w:b/>
      <w:bCs/>
      <w:sz w:val="20"/>
      <w:szCs w:val="24"/>
    </w:rPr>
  </w:style>
  <w:style w:type="paragraph" w:customStyle="1" w:styleId="Numberi">
    <w:name w:val="Number i)"/>
    <w:basedOn w:val="Normal"/>
    <w:rsid w:val="00765A42"/>
    <w:pPr>
      <w:numPr>
        <w:numId w:val="15"/>
      </w:numPr>
      <w:spacing w:after="240"/>
    </w:pPr>
    <w:rPr>
      <w:szCs w:val="24"/>
    </w:rPr>
  </w:style>
  <w:style w:type="paragraph" w:customStyle="1" w:styleId="StyleBullet2Left1Firstline01">
    <w:name w:val="Style Bullet 2 + Left:  1&quot; First line:  0&quot;1"/>
    <w:basedOn w:val="Normal"/>
    <w:rsid w:val="00765A42"/>
    <w:pPr>
      <w:numPr>
        <w:numId w:val="20"/>
      </w:numPr>
      <w:tabs>
        <w:tab w:val="left" w:pos="1440"/>
      </w:tabs>
      <w:spacing w:after="240"/>
    </w:pPr>
  </w:style>
  <w:style w:type="paragraph" w:customStyle="1" w:styleId="StyleBullet2Left1Firstline0">
    <w:name w:val="Style Bullet 2 + Left:  1&quot; First line:  0&quot;"/>
    <w:basedOn w:val="Normal"/>
    <w:rsid w:val="00765A42"/>
    <w:pPr>
      <w:numPr>
        <w:numId w:val="19"/>
      </w:numPr>
      <w:tabs>
        <w:tab w:val="left" w:pos="1440"/>
      </w:tabs>
      <w:spacing w:after="240"/>
    </w:pPr>
  </w:style>
  <w:style w:type="paragraph" w:customStyle="1" w:styleId="Number">
    <w:name w:val="Number"/>
    <w:basedOn w:val="Normal"/>
    <w:rsid w:val="00765A42"/>
    <w:pPr>
      <w:numPr>
        <w:numId w:val="14"/>
      </w:numPr>
      <w:spacing w:after="240"/>
    </w:pPr>
    <w:rPr>
      <w:szCs w:val="24"/>
    </w:rPr>
  </w:style>
  <w:style w:type="paragraph" w:styleId="ListBullet">
    <w:name w:val="List Bullet"/>
    <w:basedOn w:val="ONRNormal"/>
    <w:rsid w:val="00765A42"/>
    <w:pPr>
      <w:numPr>
        <w:numId w:val="4"/>
      </w:numPr>
    </w:pPr>
  </w:style>
  <w:style w:type="paragraph" w:styleId="ListBullet2">
    <w:name w:val="List Bullet 2"/>
    <w:basedOn w:val="ONRNormal"/>
    <w:link w:val="ListBullet2Char"/>
    <w:rsid w:val="00B0006D"/>
    <w:pPr>
      <w:numPr>
        <w:numId w:val="5"/>
      </w:numPr>
      <w:ind w:left="636" w:hanging="352"/>
    </w:pPr>
  </w:style>
  <w:style w:type="table" w:styleId="TableGrid">
    <w:name w:val="Table Grid"/>
    <w:basedOn w:val="TableNormal"/>
    <w:rsid w:val="00765A42"/>
    <w:pPr>
      <w:tabs>
        <w:tab w:val="left" w:pos="720"/>
      </w:tabs>
      <w:spacing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Numbera">
    <w:name w:val="Number a)"/>
    <w:basedOn w:val="ONRNormal"/>
    <w:rsid w:val="00765A42"/>
    <w:pPr>
      <w:spacing w:after="240"/>
    </w:pPr>
  </w:style>
  <w:style w:type="paragraph" w:customStyle="1" w:styleId="Style112">
    <w:name w:val="Style1+12"/>
    <w:basedOn w:val="Style1"/>
    <w:next w:val="Style1"/>
    <w:rsid w:val="00BC60BF"/>
    <w:pPr>
      <w:spacing w:after="240"/>
    </w:pPr>
  </w:style>
  <w:style w:type="character" w:styleId="CommentReference">
    <w:name w:val="annotation reference"/>
    <w:semiHidden/>
    <w:rsid w:val="00765A42"/>
    <w:rPr>
      <w:sz w:val="16"/>
      <w:szCs w:val="16"/>
    </w:rPr>
  </w:style>
  <w:style w:type="paragraph" w:styleId="TOC2">
    <w:name w:val="toc 2"/>
    <w:basedOn w:val="ONRNormal"/>
    <w:next w:val="ONRNormal"/>
    <w:uiPriority w:val="39"/>
    <w:qFormat/>
    <w:rsid w:val="004879C7"/>
    <w:pPr>
      <w:tabs>
        <w:tab w:val="right" w:leader="dot" w:pos="9072"/>
      </w:tabs>
      <w:ind w:left="1134" w:hanging="567"/>
    </w:pPr>
    <w:rPr>
      <w:rFonts w:cs="Times New Roman"/>
      <w:noProof/>
      <w:szCs w:val="24"/>
      <w:lang w:eastAsia="en-GB"/>
    </w:rPr>
  </w:style>
  <w:style w:type="paragraph" w:styleId="TOC3">
    <w:name w:val="toc 3"/>
    <w:basedOn w:val="ONRNormal"/>
    <w:next w:val="Normal"/>
    <w:uiPriority w:val="39"/>
    <w:qFormat/>
    <w:rsid w:val="004879C7"/>
    <w:pPr>
      <w:tabs>
        <w:tab w:val="right" w:leader="dot" w:pos="9072"/>
      </w:tabs>
      <w:ind w:left="2836" w:hanging="1418"/>
    </w:pPr>
    <w:rPr>
      <w:i/>
      <w:noProof/>
      <w:sz w:val="20"/>
    </w:rPr>
  </w:style>
  <w:style w:type="paragraph" w:styleId="NormalWeb">
    <w:name w:val="Normal (Web)"/>
    <w:basedOn w:val="ONRNormal"/>
    <w:rsid w:val="00765A42"/>
  </w:style>
  <w:style w:type="paragraph" w:styleId="BodyTextFirstIndent">
    <w:name w:val="Body Text First Indent"/>
    <w:basedOn w:val="BodyText"/>
    <w:rsid w:val="00765A42"/>
    <w:pPr>
      <w:ind w:firstLine="210"/>
    </w:pPr>
    <w:rPr>
      <w:color w:val="auto"/>
      <w:szCs w:val="22"/>
      <w:lang w:val="en-GB"/>
    </w:rPr>
  </w:style>
  <w:style w:type="paragraph" w:customStyle="1" w:styleId="Default">
    <w:name w:val="Default"/>
    <w:link w:val="DefaultChar"/>
    <w:rsid w:val="00765A42"/>
    <w:pPr>
      <w:autoSpaceDE w:val="0"/>
      <w:autoSpaceDN w:val="0"/>
      <w:adjustRightInd w:val="0"/>
    </w:pPr>
    <w:rPr>
      <w:rFonts w:ascii="Arial" w:hAnsi="Arial" w:cs="Arial"/>
      <w:color w:val="000000"/>
      <w:sz w:val="24"/>
      <w:szCs w:val="24"/>
    </w:rPr>
  </w:style>
  <w:style w:type="numbering" w:customStyle="1" w:styleId="StyleBulletedSymbolsymbolBefore19cmHanging063cm">
    <w:name w:val="Style Bulleted Symbol (symbol) Before:  1.9 cm Hanging:  0.63 cm"/>
    <w:basedOn w:val="NoList"/>
    <w:rsid w:val="00765A42"/>
    <w:pPr>
      <w:numPr>
        <w:numId w:val="23"/>
      </w:numPr>
    </w:pPr>
  </w:style>
  <w:style w:type="numbering" w:customStyle="1" w:styleId="StyleOutlinenumberedBefore349cmHanging032cm">
    <w:name w:val="Style Outline numbered Before:  3.49 cm Hanging:  0.32 cm"/>
    <w:basedOn w:val="NoList"/>
    <w:rsid w:val="00765A42"/>
    <w:pPr>
      <w:numPr>
        <w:numId w:val="28"/>
      </w:numPr>
    </w:pPr>
  </w:style>
  <w:style w:type="numbering" w:customStyle="1" w:styleId="StyleOutlinenumberedBefore16cmHanging127cm">
    <w:name w:val="Style Outline numbered Before:  1.6 cm Hanging:  1.27 cm"/>
    <w:basedOn w:val="NoList"/>
    <w:rsid w:val="00765A42"/>
    <w:pPr>
      <w:numPr>
        <w:numId w:val="26"/>
      </w:numPr>
    </w:pPr>
  </w:style>
  <w:style w:type="numbering" w:customStyle="1" w:styleId="StyleBulletedSymbolsymbolBefore16cmHanging063cm">
    <w:name w:val="Style Bulleted Symbol (symbol) Before:  1.6 cm Hanging:  0.63 cm"/>
    <w:basedOn w:val="NoList"/>
    <w:rsid w:val="00765A42"/>
    <w:pPr>
      <w:numPr>
        <w:numId w:val="21"/>
      </w:numPr>
    </w:pPr>
  </w:style>
  <w:style w:type="numbering" w:customStyle="1" w:styleId="StyleBulletedWingdingssymbolBefore317cmHanging06">
    <w:name w:val="Style Bulleted Wingdings (symbol) Before:  3.17 cm Hanging:  0.6..."/>
    <w:basedOn w:val="NoList"/>
    <w:rsid w:val="00765A42"/>
    <w:pPr>
      <w:numPr>
        <w:numId w:val="24"/>
      </w:numPr>
    </w:pPr>
  </w:style>
  <w:style w:type="numbering" w:customStyle="1" w:styleId="StyleBulletedSymbolsymbolBefore16cmHanging063cm1">
    <w:name w:val="Style Bulleted Symbol (symbol) Before:  1.6 cm Hanging:  0.63 cm1"/>
    <w:basedOn w:val="NoList"/>
    <w:rsid w:val="00765A42"/>
    <w:pPr>
      <w:numPr>
        <w:numId w:val="22"/>
      </w:numPr>
    </w:pPr>
  </w:style>
  <w:style w:type="numbering" w:customStyle="1" w:styleId="StyleOutlinenumberedBefore16cmHanging094cm">
    <w:name w:val="Style Outline numbered Before:  1.6 cm Hanging:  0.94 cm"/>
    <w:basedOn w:val="NoList"/>
    <w:rsid w:val="00765A42"/>
    <w:pPr>
      <w:numPr>
        <w:numId w:val="25"/>
      </w:numPr>
    </w:pPr>
  </w:style>
  <w:style w:type="numbering" w:customStyle="1" w:styleId="StyleOutlinenumberedBefore31cmHanging1cm">
    <w:name w:val="Style Outline numbered Before:  3.1 cm Hanging:  1 cm"/>
    <w:basedOn w:val="NoList"/>
    <w:rsid w:val="00765A42"/>
    <w:pPr>
      <w:numPr>
        <w:numId w:val="27"/>
      </w:numPr>
    </w:pPr>
  </w:style>
  <w:style w:type="numbering" w:customStyle="1" w:styleId="StyleStyleOutlinenumberedBefore31cmHanging1cmOutli">
    <w:name w:val="Style Style Outline numbered Before:  3.1 cm Hanging:  1 cm + Outli..."/>
    <w:basedOn w:val="NoList"/>
    <w:rsid w:val="00765A42"/>
    <w:pPr>
      <w:numPr>
        <w:numId w:val="29"/>
      </w:numPr>
    </w:pPr>
  </w:style>
  <w:style w:type="paragraph" w:styleId="TOC1">
    <w:name w:val="toc 1"/>
    <w:basedOn w:val="ONRNormal"/>
    <w:next w:val="ONRNormal"/>
    <w:uiPriority w:val="39"/>
    <w:qFormat/>
    <w:rsid w:val="00A420D8"/>
    <w:pPr>
      <w:tabs>
        <w:tab w:val="right" w:leader="dot" w:pos="9072"/>
      </w:tabs>
      <w:ind w:left="567" w:hanging="567"/>
    </w:pPr>
    <w:rPr>
      <w:caps/>
      <w:noProof/>
    </w:rPr>
  </w:style>
  <w:style w:type="character" w:customStyle="1" w:styleId="DefaultChar">
    <w:name w:val="Default Char"/>
    <w:link w:val="Default"/>
    <w:rsid w:val="00765A42"/>
    <w:rPr>
      <w:rFonts w:ascii="Arial" w:hAnsi="Arial" w:cs="Arial"/>
      <w:color w:val="000000"/>
      <w:sz w:val="24"/>
      <w:szCs w:val="24"/>
      <w:lang w:val="en-GB" w:eastAsia="en-GB" w:bidi="ar-SA"/>
    </w:rPr>
  </w:style>
  <w:style w:type="paragraph" w:customStyle="1" w:styleId="StyleTOC1Before0cmHanging095cm">
    <w:name w:val="Style TOC 1 + Before:  0 cm Hanging:  0.95 cm"/>
    <w:basedOn w:val="TOC1"/>
    <w:rsid w:val="00765A42"/>
  </w:style>
  <w:style w:type="character" w:styleId="FootnoteReference">
    <w:name w:val="footnote reference"/>
    <w:semiHidden/>
    <w:rsid w:val="00765A42"/>
    <w:rPr>
      <w:rFonts w:ascii="Arial" w:hAnsi="Arial"/>
      <w:dstrike w:val="0"/>
      <w:color w:val="auto"/>
      <w:sz w:val="22"/>
      <w:vertAlign w:val="superscript"/>
    </w:rPr>
  </w:style>
  <w:style w:type="paragraph" w:styleId="FootnoteText">
    <w:name w:val="footnote text"/>
    <w:basedOn w:val="ONRNormal"/>
    <w:link w:val="FootnoteTextChar1"/>
    <w:semiHidden/>
    <w:rsid w:val="00765A42"/>
    <w:pPr>
      <w:spacing w:after="60"/>
    </w:pPr>
    <w:rPr>
      <w:rFonts w:cs="Times New Roman"/>
      <w:sz w:val="18"/>
      <w:szCs w:val="20"/>
    </w:rPr>
  </w:style>
  <w:style w:type="paragraph" w:styleId="CommentText">
    <w:name w:val="annotation text"/>
    <w:basedOn w:val="Normal"/>
    <w:link w:val="CommentTextChar"/>
    <w:semiHidden/>
    <w:rsid w:val="00765A42"/>
    <w:rPr>
      <w:sz w:val="20"/>
      <w:szCs w:val="20"/>
    </w:rPr>
  </w:style>
  <w:style w:type="paragraph" w:styleId="CommentSubject">
    <w:name w:val="annotation subject"/>
    <w:basedOn w:val="CommentText"/>
    <w:next w:val="CommentText"/>
    <w:semiHidden/>
    <w:rsid w:val="00765A42"/>
    <w:rPr>
      <w:b/>
      <w:bCs/>
    </w:rPr>
  </w:style>
  <w:style w:type="character" w:customStyle="1" w:styleId="BodyTextChar">
    <w:name w:val="Body Text Char"/>
    <w:link w:val="BodyText"/>
    <w:rsid w:val="00765A42"/>
    <w:rPr>
      <w:rFonts w:ascii="Arial" w:hAnsi="Arial" w:cs="Arial"/>
      <w:color w:val="000000"/>
      <w:sz w:val="22"/>
      <w:lang w:val="en-US" w:eastAsia="en-US" w:bidi="ar-SA"/>
    </w:rPr>
  </w:style>
  <w:style w:type="character" w:customStyle="1" w:styleId="BodyTextIndentChar">
    <w:name w:val="Body Text Indent Char"/>
    <w:link w:val="BodyTextIndent"/>
    <w:rsid w:val="00765A42"/>
    <w:rPr>
      <w:rFonts w:ascii="Arial" w:hAnsi="Arial" w:cs="Arial"/>
      <w:sz w:val="22"/>
      <w:szCs w:val="22"/>
      <w:lang w:val="en-GB" w:eastAsia="en-US" w:bidi="ar-SA"/>
    </w:rPr>
  </w:style>
  <w:style w:type="paragraph" w:customStyle="1" w:styleId="ONRExecutiveSummary1">
    <w:name w:val="ONR Executive Summary 1"/>
    <w:basedOn w:val="ONRNormal"/>
    <w:rsid w:val="00765A42"/>
    <w:pPr>
      <w:ind w:left="907"/>
    </w:pPr>
  </w:style>
  <w:style w:type="paragraph" w:customStyle="1" w:styleId="ONRNumberedParagraph1">
    <w:name w:val="ONR Numbered Paragraph 1"/>
    <w:basedOn w:val="ONRNormal"/>
    <w:link w:val="ONRNumberedParagraph1CharChar"/>
    <w:rsid w:val="00765A42"/>
    <w:pPr>
      <w:numPr>
        <w:numId w:val="16"/>
      </w:numPr>
      <w:tabs>
        <w:tab w:val="left" w:pos="880"/>
      </w:tabs>
    </w:pPr>
    <w:rPr>
      <w:lang w:eastAsia="en-GB"/>
    </w:rPr>
  </w:style>
  <w:style w:type="character" w:customStyle="1" w:styleId="ONRNumberedParagraph1CharChar">
    <w:name w:val="ONR Numbered Paragraph 1 Char Char"/>
    <w:link w:val="ONRNumberedParagraph1"/>
    <w:rsid w:val="00765A42"/>
    <w:rPr>
      <w:rFonts w:ascii="Arial" w:hAnsi="Arial" w:cs="Arial"/>
      <w:sz w:val="22"/>
      <w:szCs w:val="22"/>
    </w:rPr>
  </w:style>
  <w:style w:type="paragraph" w:customStyle="1" w:styleId="ONRTableStyle">
    <w:name w:val="ONR Table Style"/>
    <w:basedOn w:val="ONRNormal"/>
    <w:rsid w:val="00765A42"/>
    <w:rPr>
      <w:iCs/>
      <w:sz w:val="20"/>
    </w:rPr>
  </w:style>
  <w:style w:type="character" w:customStyle="1" w:styleId="ONRNormalChar">
    <w:name w:val="ONR Normal Char"/>
    <w:link w:val="ONRNormal"/>
    <w:rsid w:val="00056981"/>
    <w:rPr>
      <w:rFonts w:ascii="Arial" w:hAnsi="Arial" w:cs="Arial"/>
      <w:sz w:val="22"/>
      <w:szCs w:val="22"/>
      <w:lang w:eastAsia="en-US"/>
    </w:rPr>
  </w:style>
  <w:style w:type="paragraph" w:customStyle="1" w:styleId="ONRNormal">
    <w:name w:val="ONR Normal"/>
    <w:link w:val="ONRNormalChar"/>
    <w:rsid w:val="00056981"/>
    <w:rPr>
      <w:rFonts w:ascii="Arial" w:hAnsi="Arial" w:cs="Arial"/>
      <w:sz w:val="22"/>
      <w:szCs w:val="22"/>
      <w:lang w:eastAsia="en-US"/>
    </w:rPr>
  </w:style>
  <w:style w:type="paragraph" w:styleId="HTMLAddress">
    <w:name w:val="HTML Address"/>
    <w:basedOn w:val="ONRNormal"/>
    <w:rsid w:val="00765A42"/>
    <w:rPr>
      <w:i/>
      <w:iCs/>
    </w:rPr>
  </w:style>
  <w:style w:type="paragraph" w:styleId="BlockText">
    <w:name w:val="Block Text"/>
    <w:basedOn w:val="ONRNormal"/>
    <w:link w:val="BlockTextChar"/>
    <w:rsid w:val="00765A42"/>
    <w:pPr>
      <w:ind w:left="1440" w:right="1440"/>
    </w:pPr>
  </w:style>
  <w:style w:type="paragraph" w:styleId="BodyTextIndent2">
    <w:name w:val="Body Text Indent 2"/>
    <w:basedOn w:val="ONRNormal"/>
    <w:rsid w:val="00765A42"/>
    <w:pPr>
      <w:spacing w:line="480" w:lineRule="auto"/>
      <w:ind w:left="283"/>
    </w:pPr>
  </w:style>
  <w:style w:type="paragraph" w:styleId="BodyTextIndent3">
    <w:name w:val="Body Text Indent 3"/>
    <w:basedOn w:val="ONRNormal"/>
    <w:rsid w:val="00765A42"/>
    <w:pPr>
      <w:ind w:left="283"/>
    </w:pPr>
    <w:rPr>
      <w:sz w:val="16"/>
      <w:szCs w:val="16"/>
    </w:rPr>
  </w:style>
  <w:style w:type="paragraph" w:styleId="Closing">
    <w:name w:val="Closing"/>
    <w:basedOn w:val="ONRNormal"/>
    <w:rsid w:val="00765A42"/>
    <w:pPr>
      <w:ind w:left="4252"/>
    </w:pPr>
  </w:style>
  <w:style w:type="paragraph" w:styleId="Date">
    <w:name w:val="Date"/>
    <w:basedOn w:val="ONRNormal"/>
    <w:next w:val="ONRNormal"/>
    <w:rsid w:val="00765A42"/>
  </w:style>
  <w:style w:type="paragraph" w:styleId="E-mailSignature">
    <w:name w:val="E-mail Signature"/>
    <w:basedOn w:val="ONRNormal"/>
    <w:rsid w:val="00765A42"/>
  </w:style>
  <w:style w:type="paragraph" w:styleId="EnvelopeAddress">
    <w:name w:val="envelope address"/>
    <w:basedOn w:val="ONRNormal"/>
    <w:rsid w:val="00765A42"/>
    <w:pPr>
      <w:framePr w:w="7920" w:h="1980" w:hRule="exact" w:hSpace="180" w:wrap="auto" w:hAnchor="page" w:xAlign="center" w:yAlign="bottom"/>
      <w:ind w:left="2880"/>
    </w:pPr>
    <w:rPr>
      <w:sz w:val="24"/>
      <w:szCs w:val="24"/>
    </w:rPr>
  </w:style>
  <w:style w:type="paragraph" w:styleId="EnvelopeReturn">
    <w:name w:val="envelope return"/>
    <w:basedOn w:val="ONRNormal"/>
    <w:rsid w:val="00765A42"/>
    <w:rPr>
      <w:sz w:val="20"/>
      <w:szCs w:val="20"/>
    </w:rPr>
  </w:style>
  <w:style w:type="paragraph" w:styleId="List">
    <w:name w:val="List"/>
    <w:basedOn w:val="ONRNormal"/>
    <w:rsid w:val="00765A42"/>
    <w:pPr>
      <w:ind w:left="283" w:hanging="283"/>
    </w:pPr>
  </w:style>
  <w:style w:type="paragraph" w:styleId="List2">
    <w:name w:val="List 2"/>
    <w:basedOn w:val="ONRNormal"/>
    <w:rsid w:val="00765A42"/>
    <w:pPr>
      <w:ind w:left="566" w:hanging="283"/>
    </w:pPr>
  </w:style>
  <w:style w:type="paragraph" w:styleId="List3">
    <w:name w:val="List 3"/>
    <w:basedOn w:val="ONRNormal"/>
    <w:rsid w:val="00765A42"/>
    <w:pPr>
      <w:ind w:left="849" w:hanging="283"/>
    </w:pPr>
  </w:style>
  <w:style w:type="paragraph" w:styleId="List4">
    <w:name w:val="List 4"/>
    <w:basedOn w:val="ONRNormal"/>
    <w:rsid w:val="00765A42"/>
    <w:pPr>
      <w:ind w:left="1132" w:hanging="283"/>
    </w:pPr>
  </w:style>
  <w:style w:type="paragraph" w:styleId="List5">
    <w:name w:val="List 5"/>
    <w:basedOn w:val="ONRNormal"/>
    <w:rsid w:val="00765A42"/>
    <w:pPr>
      <w:ind w:left="1415" w:hanging="283"/>
    </w:pPr>
  </w:style>
  <w:style w:type="paragraph" w:styleId="ListBullet3">
    <w:name w:val="List Bullet 3"/>
    <w:basedOn w:val="ONRNormal"/>
    <w:rsid w:val="00765A42"/>
    <w:pPr>
      <w:numPr>
        <w:numId w:val="6"/>
      </w:numPr>
    </w:pPr>
  </w:style>
  <w:style w:type="paragraph" w:styleId="ListBullet4">
    <w:name w:val="List Bullet 4"/>
    <w:basedOn w:val="ONRNormal"/>
    <w:rsid w:val="00765A42"/>
    <w:pPr>
      <w:numPr>
        <w:numId w:val="7"/>
      </w:numPr>
    </w:pPr>
  </w:style>
  <w:style w:type="paragraph" w:styleId="ListBullet5">
    <w:name w:val="List Bullet 5"/>
    <w:basedOn w:val="ONRNormal"/>
    <w:rsid w:val="00765A42"/>
    <w:pPr>
      <w:numPr>
        <w:numId w:val="8"/>
      </w:numPr>
    </w:pPr>
  </w:style>
  <w:style w:type="paragraph" w:styleId="ListContinue">
    <w:name w:val="List Continue"/>
    <w:basedOn w:val="ONRNormal"/>
    <w:rsid w:val="00765A42"/>
    <w:pPr>
      <w:ind w:left="283"/>
    </w:pPr>
  </w:style>
  <w:style w:type="paragraph" w:styleId="ListContinue2">
    <w:name w:val="List Continue 2"/>
    <w:basedOn w:val="ONRNormal"/>
    <w:rsid w:val="00765A42"/>
    <w:pPr>
      <w:ind w:left="566"/>
    </w:pPr>
  </w:style>
  <w:style w:type="paragraph" w:styleId="ListContinue4">
    <w:name w:val="List Continue 4"/>
    <w:basedOn w:val="ONRNormal"/>
    <w:rsid w:val="00765A42"/>
    <w:pPr>
      <w:ind w:left="1132"/>
    </w:pPr>
  </w:style>
  <w:style w:type="paragraph" w:styleId="ListContinue5">
    <w:name w:val="List Continue 5"/>
    <w:basedOn w:val="ONRNormal"/>
    <w:rsid w:val="00765A42"/>
    <w:pPr>
      <w:ind w:left="1415"/>
    </w:pPr>
  </w:style>
  <w:style w:type="paragraph" w:styleId="ListNumber">
    <w:name w:val="List Number"/>
    <w:basedOn w:val="ONRNormal"/>
    <w:rsid w:val="00765A42"/>
    <w:pPr>
      <w:numPr>
        <w:numId w:val="9"/>
      </w:numPr>
    </w:pPr>
  </w:style>
  <w:style w:type="paragraph" w:styleId="ListNumber2">
    <w:name w:val="List Number 2"/>
    <w:basedOn w:val="ONRNormal"/>
    <w:rsid w:val="00765A42"/>
    <w:pPr>
      <w:numPr>
        <w:numId w:val="10"/>
      </w:numPr>
    </w:pPr>
  </w:style>
  <w:style w:type="paragraph" w:styleId="ListNumber3">
    <w:name w:val="List Number 3"/>
    <w:basedOn w:val="ONRNormal"/>
    <w:rsid w:val="00765A42"/>
    <w:pPr>
      <w:numPr>
        <w:numId w:val="11"/>
      </w:numPr>
    </w:pPr>
  </w:style>
  <w:style w:type="paragraph" w:styleId="ListNumber4">
    <w:name w:val="List Number 4"/>
    <w:basedOn w:val="ONRNormal"/>
    <w:rsid w:val="00765A42"/>
    <w:pPr>
      <w:numPr>
        <w:numId w:val="12"/>
      </w:numPr>
    </w:pPr>
  </w:style>
  <w:style w:type="paragraph" w:styleId="ListNumber5">
    <w:name w:val="List Number 5"/>
    <w:basedOn w:val="ONRNormal"/>
    <w:rsid w:val="00765A42"/>
    <w:pPr>
      <w:numPr>
        <w:numId w:val="13"/>
      </w:numPr>
    </w:pPr>
  </w:style>
  <w:style w:type="paragraph" w:styleId="MessageHeader">
    <w:name w:val="Message Header"/>
    <w:basedOn w:val="ONRNormal"/>
    <w:rsid w:val="00765A42"/>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Indent">
    <w:name w:val="Normal Indent"/>
    <w:basedOn w:val="ONRNormal"/>
    <w:rsid w:val="00765A42"/>
    <w:pPr>
      <w:ind w:left="720"/>
    </w:pPr>
  </w:style>
  <w:style w:type="paragraph" w:styleId="NoteHeading">
    <w:name w:val="Note Heading"/>
    <w:basedOn w:val="ONRNormal"/>
    <w:next w:val="ONRNormal"/>
    <w:rsid w:val="00765A42"/>
  </w:style>
  <w:style w:type="paragraph" w:styleId="PlainText">
    <w:name w:val="Plain Text"/>
    <w:basedOn w:val="ONRNormal"/>
    <w:rsid w:val="00765A42"/>
    <w:rPr>
      <w:rFonts w:ascii="Courier New" w:hAnsi="Courier New" w:cs="Courier New"/>
      <w:sz w:val="20"/>
      <w:szCs w:val="20"/>
    </w:rPr>
  </w:style>
  <w:style w:type="paragraph" w:styleId="Salutation">
    <w:name w:val="Salutation"/>
    <w:basedOn w:val="ONRNormal"/>
    <w:next w:val="ONRNormal"/>
    <w:rsid w:val="00765A42"/>
  </w:style>
  <w:style w:type="paragraph" w:styleId="Signature">
    <w:name w:val="Signature"/>
    <w:basedOn w:val="ONRNormal"/>
    <w:rsid w:val="00765A42"/>
    <w:pPr>
      <w:ind w:left="4252"/>
    </w:pPr>
  </w:style>
  <w:style w:type="table" w:styleId="TableList1">
    <w:name w:val="Table List 1"/>
    <w:basedOn w:val="TableNormal"/>
    <w:rsid w:val="00765A42"/>
    <w:pPr>
      <w:tabs>
        <w:tab w:val="left" w:pos="720"/>
      </w:tabs>
      <w:spacing w:after="120"/>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65A42"/>
    <w:pPr>
      <w:tabs>
        <w:tab w:val="left" w:pos="720"/>
      </w:tabs>
      <w:spacing w:after="120"/>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5A42"/>
    <w:pPr>
      <w:tabs>
        <w:tab w:val="left" w:pos="720"/>
      </w:tabs>
      <w:spacing w:after="120"/>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765A42"/>
    <w:pPr>
      <w:tabs>
        <w:tab w:val="left" w:pos="720"/>
      </w:tabs>
      <w:spacing w:after="120"/>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2">
    <w:name w:val="Table Grid 2"/>
    <w:basedOn w:val="TableNormal"/>
    <w:rsid w:val="00765A42"/>
    <w:pPr>
      <w:tabs>
        <w:tab w:val="left" w:pos="720"/>
      </w:tabs>
      <w:spacing w:after="120"/>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765A42"/>
    <w:pPr>
      <w:tabs>
        <w:tab w:val="left" w:pos="720"/>
      </w:tabs>
      <w:spacing w:after="120"/>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765A42"/>
    <w:pPr>
      <w:tabs>
        <w:tab w:val="left" w:pos="720"/>
      </w:tabs>
      <w:spacing w:after="120"/>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rsid w:val="00765A42"/>
    <w:pPr>
      <w:tabs>
        <w:tab w:val="left" w:pos="720"/>
      </w:tabs>
      <w:spacing w:after="120"/>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4">
    <w:name w:val="toc 4"/>
    <w:basedOn w:val="ONRNormal"/>
    <w:next w:val="ONRNormal"/>
    <w:semiHidden/>
    <w:rsid w:val="00765A42"/>
    <w:pPr>
      <w:tabs>
        <w:tab w:val="right" w:leader="dot" w:pos="9628"/>
      </w:tabs>
      <w:spacing w:after="60"/>
      <w:ind w:left="2637" w:hanging="879"/>
    </w:pPr>
    <w:rPr>
      <w:i/>
      <w:sz w:val="20"/>
    </w:rPr>
  </w:style>
  <w:style w:type="paragraph" w:styleId="TOC9">
    <w:name w:val="toc 9"/>
    <w:basedOn w:val="Normal"/>
    <w:next w:val="Normal"/>
    <w:autoRedefine/>
    <w:semiHidden/>
    <w:rsid w:val="00765A42"/>
    <w:pPr>
      <w:tabs>
        <w:tab w:val="right" w:leader="dot" w:pos="9627"/>
      </w:tabs>
      <w:ind w:left="2160"/>
    </w:pPr>
    <w:rPr>
      <w:sz w:val="18"/>
    </w:rPr>
  </w:style>
  <w:style w:type="character" w:styleId="HTMLAcronym">
    <w:name w:val="HTML Acronym"/>
    <w:rsid w:val="00765A42"/>
    <w:rPr>
      <w:rFonts w:ascii="Arial" w:hAnsi="Arial"/>
    </w:rPr>
  </w:style>
  <w:style w:type="character" w:styleId="LineNumber">
    <w:name w:val="line number"/>
    <w:rsid w:val="00765A42"/>
    <w:rPr>
      <w:rFonts w:ascii="Arial" w:hAnsi="Arial"/>
    </w:rPr>
  </w:style>
  <w:style w:type="table" w:styleId="Table3Deffects1">
    <w:name w:val="Table 3D effects 1"/>
    <w:basedOn w:val="TableNormal"/>
    <w:rsid w:val="00765A42"/>
    <w:pPr>
      <w:tabs>
        <w:tab w:val="left" w:pos="720"/>
      </w:tabs>
      <w:spacing w:after="120"/>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5A42"/>
    <w:pPr>
      <w:tabs>
        <w:tab w:val="left" w:pos="720"/>
      </w:tabs>
      <w:spacing w:after="120"/>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5A42"/>
    <w:pPr>
      <w:tabs>
        <w:tab w:val="left" w:pos="720"/>
      </w:tabs>
      <w:spacing w:after="120"/>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5A42"/>
    <w:pPr>
      <w:tabs>
        <w:tab w:val="left" w:pos="720"/>
      </w:tabs>
      <w:spacing w:after="120"/>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5A42"/>
    <w:pPr>
      <w:tabs>
        <w:tab w:val="left" w:pos="720"/>
      </w:tabs>
      <w:spacing w:after="120"/>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65A42"/>
    <w:pPr>
      <w:tabs>
        <w:tab w:val="left" w:pos="720"/>
      </w:tabs>
      <w:spacing w:after="120"/>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65A42"/>
    <w:pPr>
      <w:tabs>
        <w:tab w:val="left" w:pos="720"/>
      </w:tabs>
      <w:spacing w:after="120"/>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65A42"/>
    <w:pPr>
      <w:tabs>
        <w:tab w:val="left" w:pos="720"/>
      </w:tabs>
      <w:spacing w:after="120"/>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65A42"/>
    <w:pPr>
      <w:tabs>
        <w:tab w:val="left" w:pos="720"/>
      </w:tabs>
      <w:spacing w:after="120"/>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65A42"/>
    <w:pPr>
      <w:tabs>
        <w:tab w:val="left" w:pos="720"/>
      </w:tabs>
      <w:spacing w:after="120"/>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65A42"/>
    <w:pPr>
      <w:tabs>
        <w:tab w:val="left" w:pos="720"/>
      </w:tabs>
      <w:spacing w:after="120"/>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65A42"/>
    <w:pPr>
      <w:tabs>
        <w:tab w:val="left" w:pos="720"/>
      </w:tabs>
      <w:spacing w:after="120"/>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65A42"/>
    <w:pPr>
      <w:tabs>
        <w:tab w:val="left" w:pos="720"/>
      </w:tabs>
      <w:spacing w:after="120"/>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65A42"/>
    <w:pPr>
      <w:tabs>
        <w:tab w:val="left" w:pos="720"/>
      </w:tabs>
      <w:spacing w:after="120"/>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5A42"/>
    <w:pPr>
      <w:tabs>
        <w:tab w:val="left" w:pos="720"/>
      </w:tabs>
      <w:spacing w:after="120"/>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765A42"/>
    <w:pPr>
      <w:tabs>
        <w:tab w:val="left" w:pos="720"/>
      </w:tabs>
      <w:spacing w:after="120"/>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65A42"/>
    <w:pPr>
      <w:tabs>
        <w:tab w:val="left" w:pos="720"/>
      </w:tabs>
      <w:spacing w:after="120"/>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65A42"/>
    <w:pPr>
      <w:tabs>
        <w:tab w:val="left" w:pos="720"/>
      </w:tabs>
      <w:spacing w:after="120"/>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65A42"/>
    <w:pPr>
      <w:tabs>
        <w:tab w:val="left" w:pos="720"/>
      </w:tabs>
      <w:spacing w:after="120"/>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65A42"/>
    <w:pPr>
      <w:tabs>
        <w:tab w:val="left" w:pos="720"/>
      </w:tabs>
      <w:spacing w:after="120"/>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65A42"/>
    <w:pPr>
      <w:tabs>
        <w:tab w:val="left" w:pos="720"/>
      </w:tabs>
      <w:spacing w:after="120"/>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4">
    <w:name w:val="Table List 4"/>
    <w:basedOn w:val="TableNormal"/>
    <w:rsid w:val="00765A42"/>
    <w:pPr>
      <w:tabs>
        <w:tab w:val="left" w:pos="720"/>
      </w:tabs>
      <w:spacing w:after="120"/>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6">
    <w:name w:val="Table List 6"/>
    <w:basedOn w:val="TableNormal"/>
    <w:rsid w:val="00765A42"/>
    <w:pPr>
      <w:tabs>
        <w:tab w:val="left" w:pos="720"/>
      </w:tabs>
      <w:spacing w:after="120"/>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65A42"/>
    <w:pPr>
      <w:tabs>
        <w:tab w:val="left" w:pos="720"/>
      </w:tabs>
      <w:spacing w:after="120"/>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65A42"/>
    <w:pPr>
      <w:tabs>
        <w:tab w:val="left" w:pos="720"/>
      </w:tabs>
      <w:spacing w:after="120"/>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65A42"/>
    <w:pPr>
      <w:tabs>
        <w:tab w:val="left" w:pos="720"/>
      </w:tabs>
      <w:spacing w:after="120"/>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65A42"/>
    <w:pPr>
      <w:tabs>
        <w:tab w:val="left" w:pos="720"/>
      </w:tabs>
      <w:spacing w:after="120"/>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65A42"/>
    <w:pPr>
      <w:tabs>
        <w:tab w:val="left" w:pos="720"/>
      </w:tabs>
      <w:spacing w:after="120"/>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65A42"/>
    <w:pPr>
      <w:tabs>
        <w:tab w:val="left" w:pos="720"/>
      </w:tabs>
      <w:spacing w:after="120"/>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65A42"/>
    <w:pPr>
      <w:tabs>
        <w:tab w:val="left" w:pos="720"/>
      </w:tabs>
      <w:spacing w:after="120"/>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65A42"/>
    <w:pPr>
      <w:tabs>
        <w:tab w:val="left" w:pos="720"/>
      </w:tabs>
      <w:spacing w:after="120"/>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65A42"/>
    <w:pPr>
      <w:tabs>
        <w:tab w:val="left" w:pos="720"/>
      </w:tabs>
      <w:spacing w:after="12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65A42"/>
    <w:pPr>
      <w:tabs>
        <w:tab w:val="left" w:pos="720"/>
      </w:tabs>
      <w:spacing w:after="120"/>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65A42"/>
    <w:pPr>
      <w:tabs>
        <w:tab w:val="left" w:pos="720"/>
      </w:tabs>
      <w:spacing w:after="120"/>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65A42"/>
    <w:pPr>
      <w:tabs>
        <w:tab w:val="left" w:pos="720"/>
      </w:tabs>
      <w:spacing w:after="120"/>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ONRNormal10ptAfter0pt">
    <w:name w:val="Style ONR Normal + 10 pt After:  0 pt"/>
    <w:basedOn w:val="ONRNormal"/>
    <w:rsid w:val="00765A42"/>
    <w:rPr>
      <w:rFonts w:cs="Times New Roman"/>
      <w:sz w:val="20"/>
      <w:szCs w:val="20"/>
    </w:rPr>
  </w:style>
  <w:style w:type="paragraph" w:styleId="TOC5">
    <w:name w:val="toc 5"/>
    <w:basedOn w:val="ONRNormal"/>
    <w:next w:val="ONRNormal"/>
    <w:rsid w:val="00765A42"/>
    <w:pPr>
      <w:tabs>
        <w:tab w:val="left" w:pos="2701"/>
        <w:tab w:val="right" w:leader="dot" w:pos="9628"/>
      </w:tabs>
      <w:ind w:left="3040" w:hanging="880"/>
    </w:pPr>
    <w:rPr>
      <w:rFonts w:cs="Times New Roman"/>
      <w:bCs/>
      <w:i/>
      <w:noProof/>
      <w:sz w:val="18"/>
      <w:szCs w:val="18"/>
    </w:rPr>
  </w:style>
  <w:style w:type="paragraph" w:styleId="TOC6">
    <w:name w:val="toc 6"/>
    <w:basedOn w:val="Normal"/>
    <w:next w:val="Normal"/>
    <w:autoRedefine/>
    <w:rsid w:val="00765A42"/>
    <w:pPr>
      <w:tabs>
        <w:tab w:val="left" w:pos="2640"/>
        <w:tab w:val="right" w:leader="dot" w:pos="9627"/>
      </w:tabs>
      <w:spacing w:after="60"/>
      <w:ind w:left="3039" w:hanging="879"/>
    </w:pPr>
    <w:rPr>
      <w:rFonts w:ascii="Arial Narrow" w:hAnsi="Arial Narrow" w:cs="Times New Roman"/>
      <w:bCs/>
      <w:i/>
      <w:noProof/>
      <w:sz w:val="20"/>
      <w:szCs w:val="20"/>
    </w:rPr>
  </w:style>
  <w:style w:type="paragraph" w:styleId="TOC7">
    <w:name w:val="toc 7"/>
    <w:basedOn w:val="Normal"/>
    <w:next w:val="Normal"/>
    <w:autoRedefine/>
    <w:rsid w:val="00765A42"/>
    <w:pPr>
      <w:tabs>
        <w:tab w:val="right" w:leader="dot" w:pos="9627"/>
      </w:tabs>
      <w:spacing w:after="60"/>
      <w:ind w:left="2200" w:hanging="40"/>
    </w:pPr>
    <w:rPr>
      <w:rFonts w:ascii="Times New Roman" w:hAnsi="Times New Roman" w:cs="Times New Roman"/>
      <w:bCs/>
      <w:noProof/>
      <w:sz w:val="18"/>
      <w:szCs w:val="18"/>
    </w:rPr>
  </w:style>
  <w:style w:type="paragraph" w:styleId="TOC8">
    <w:name w:val="toc 8"/>
    <w:basedOn w:val="Normal"/>
    <w:next w:val="Normal"/>
    <w:autoRedefine/>
    <w:rsid w:val="00765A42"/>
    <w:pPr>
      <w:tabs>
        <w:tab w:val="right" w:leader="dot" w:pos="9627"/>
      </w:tabs>
      <w:spacing w:after="0"/>
      <w:ind w:left="2160"/>
    </w:pPr>
    <w:rPr>
      <w:rFonts w:cs="Times New Roman"/>
      <w:bCs/>
      <w:noProof/>
      <w:sz w:val="18"/>
      <w:szCs w:val="18"/>
    </w:rPr>
  </w:style>
  <w:style w:type="character" w:customStyle="1" w:styleId="ONRFloatingHeadingBoldChar">
    <w:name w:val="ONR Floating Heading Bold Char"/>
    <w:link w:val="ONRFloatingHeadingBold"/>
    <w:rsid w:val="00813240"/>
    <w:rPr>
      <w:rFonts w:ascii="Arial Bold" w:hAnsi="Arial Bold" w:cs="Arial"/>
      <w:b/>
      <w:sz w:val="22"/>
      <w:szCs w:val="22"/>
      <w:lang w:val="en" w:eastAsia="en-US"/>
    </w:rPr>
  </w:style>
  <w:style w:type="paragraph" w:customStyle="1" w:styleId="ONRFigureTitle">
    <w:name w:val="ONR Figure Title"/>
    <w:basedOn w:val="ONRNormal"/>
    <w:link w:val="ONRFigureTitleChar"/>
    <w:rsid w:val="00765A42"/>
    <w:rPr>
      <w:b/>
      <w:sz w:val="20"/>
    </w:rPr>
  </w:style>
  <w:style w:type="paragraph" w:customStyle="1" w:styleId="ONRFooterTitle">
    <w:name w:val="ONR Footer Title"/>
    <w:basedOn w:val="Footer"/>
    <w:rsid w:val="00765A42"/>
    <w:rPr>
      <w:sz w:val="18"/>
    </w:rPr>
  </w:style>
  <w:style w:type="paragraph" w:customStyle="1" w:styleId="ONRReferenceStyle1">
    <w:name w:val="ONR Reference Style 1"/>
    <w:basedOn w:val="ONRNormal"/>
    <w:locked/>
    <w:rsid w:val="00733735"/>
    <w:pPr>
      <w:ind w:left="902" w:hanging="902"/>
    </w:pPr>
  </w:style>
  <w:style w:type="character" w:customStyle="1" w:styleId="ListBullet2Char">
    <w:name w:val="List Bullet 2 Char"/>
    <w:link w:val="ListBullet2"/>
    <w:rsid w:val="00B0006D"/>
    <w:rPr>
      <w:rFonts w:ascii="Arial" w:hAnsi="Arial" w:cs="Arial"/>
      <w:sz w:val="22"/>
      <w:szCs w:val="22"/>
      <w:lang w:eastAsia="en-US"/>
    </w:rPr>
  </w:style>
  <w:style w:type="paragraph" w:customStyle="1" w:styleId="ONRTableTitle">
    <w:name w:val="ONR Table Title"/>
    <w:basedOn w:val="ONRNormal"/>
    <w:rsid w:val="00765A42"/>
    <w:pPr>
      <w:keepNext/>
      <w:keepLines/>
    </w:pPr>
    <w:rPr>
      <w:b/>
      <w:sz w:val="20"/>
    </w:rPr>
  </w:style>
  <w:style w:type="character" w:customStyle="1" w:styleId="Heading1Char">
    <w:name w:val="Heading 1 Char"/>
    <w:aliases w:val="Centre Char,VM1 Char1"/>
    <w:link w:val="Heading1"/>
    <w:rsid w:val="002F3BC8"/>
    <w:rPr>
      <w:rFonts w:ascii="Arial Bold" w:hAnsi="Arial Bold" w:cs="Arial"/>
      <w:b/>
      <w:bCs/>
      <w:caps/>
      <w:kern w:val="32"/>
      <w:sz w:val="22"/>
      <w:szCs w:val="22"/>
      <w:lang w:eastAsia="en-US"/>
    </w:rPr>
  </w:style>
  <w:style w:type="character" w:customStyle="1" w:styleId="Heading2Char">
    <w:name w:val="Heading 2 Char"/>
    <w:aliases w:val="Left Char"/>
    <w:link w:val="Heading2"/>
    <w:rsid w:val="002F3BC8"/>
    <w:rPr>
      <w:rFonts w:ascii="Arial Bold" w:hAnsi="Arial Bold" w:cs="Arial"/>
      <w:b/>
      <w:bCs/>
      <w:iCs/>
      <w:kern w:val="32"/>
      <w:sz w:val="22"/>
      <w:szCs w:val="28"/>
      <w:lang w:eastAsia="en-US"/>
    </w:rPr>
  </w:style>
  <w:style w:type="character" w:customStyle="1" w:styleId="Heading3Char">
    <w:name w:val="Heading 3 Char"/>
    <w:aliases w:val="Sub Char"/>
    <w:link w:val="Heading3"/>
    <w:rsid w:val="007A07BD"/>
    <w:rPr>
      <w:rFonts w:ascii="Arial Bold" w:hAnsi="Arial Bold" w:cs="Arial"/>
      <w:b/>
      <w:bCs/>
      <w:iCs/>
      <w:kern w:val="32"/>
      <w:sz w:val="22"/>
      <w:szCs w:val="28"/>
      <w:lang w:eastAsia="en-US"/>
    </w:rPr>
  </w:style>
  <w:style w:type="character" w:customStyle="1" w:styleId="Heading4Char">
    <w:name w:val="Heading 4 Char"/>
    <w:link w:val="Heading4"/>
    <w:rsid w:val="00765A42"/>
    <w:rPr>
      <w:rFonts w:ascii="Arial Bold" w:hAnsi="Arial Bold" w:cs="Arial"/>
      <w:b/>
      <w:bCs/>
      <w:iCs/>
      <w:kern w:val="32"/>
      <w:sz w:val="22"/>
      <w:szCs w:val="28"/>
      <w:lang w:eastAsia="en-US"/>
    </w:rPr>
  </w:style>
  <w:style w:type="character" w:customStyle="1" w:styleId="Heading5Char">
    <w:name w:val="Heading 5 Char"/>
    <w:link w:val="Heading5"/>
    <w:rsid w:val="00765A42"/>
    <w:rPr>
      <w:rFonts w:ascii="Arial" w:hAnsi="Arial" w:cs="Arial"/>
      <w:b/>
      <w:bCs/>
      <w:iCs/>
      <w:kern w:val="32"/>
      <w:sz w:val="22"/>
      <w:szCs w:val="28"/>
      <w:lang w:eastAsia="en-US"/>
    </w:rPr>
  </w:style>
  <w:style w:type="character" w:customStyle="1" w:styleId="Heading6Char">
    <w:name w:val="Heading 6 Char"/>
    <w:link w:val="Heading6"/>
    <w:rsid w:val="00765A42"/>
    <w:rPr>
      <w:rFonts w:ascii="Arial" w:hAnsi="Arial" w:cs="Arial"/>
      <w:b/>
      <w:bCs/>
      <w:i/>
      <w:iCs/>
      <w:kern w:val="32"/>
      <w:sz w:val="22"/>
      <w:szCs w:val="28"/>
      <w:lang w:eastAsia="en-US"/>
    </w:rPr>
  </w:style>
  <w:style w:type="paragraph" w:customStyle="1" w:styleId="Normal11">
    <w:name w:val="Normal1"/>
    <w:basedOn w:val="Default"/>
    <w:next w:val="Default"/>
    <w:link w:val="normalChar"/>
    <w:rsid w:val="004D20FB"/>
    <w:rPr>
      <w:rFonts w:cs="Times New Roman"/>
      <w:color w:val="auto"/>
    </w:rPr>
  </w:style>
  <w:style w:type="paragraph" w:customStyle="1" w:styleId="ONRCopyrightBlock">
    <w:name w:val="ONR Copyright Block"/>
    <w:basedOn w:val="Normal"/>
    <w:rsid w:val="00765A42"/>
    <w:pPr>
      <w:spacing w:after="0"/>
    </w:pPr>
    <w:rPr>
      <w:sz w:val="18"/>
      <w:szCs w:val="18"/>
    </w:rPr>
  </w:style>
  <w:style w:type="paragraph" w:customStyle="1" w:styleId="ONRDocumentApprovalTables">
    <w:name w:val="ONR Document Approval Tables"/>
    <w:basedOn w:val="ONRNormal"/>
    <w:rsid w:val="00765A42"/>
    <w:rPr>
      <w:sz w:val="16"/>
      <w:szCs w:val="16"/>
    </w:rPr>
  </w:style>
  <w:style w:type="paragraph" w:customStyle="1" w:styleId="ONRFloatingHeadingBold">
    <w:name w:val="ONR Floating Heading Bold"/>
    <w:basedOn w:val="ONRNormal"/>
    <w:link w:val="ONRFloatingHeadingBoldChar"/>
    <w:qFormat/>
    <w:rsid w:val="00813240"/>
    <w:pPr>
      <w:keepNext/>
      <w:spacing w:after="240"/>
    </w:pPr>
    <w:rPr>
      <w:rFonts w:ascii="Arial Bold" w:hAnsi="Arial Bold"/>
      <w:b/>
      <w:lang w:val="en"/>
    </w:rPr>
  </w:style>
  <w:style w:type="paragraph" w:customStyle="1" w:styleId="ONRFloatingHeadingItalicUnderline">
    <w:name w:val="ONR Floating Heading Italic Underline"/>
    <w:basedOn w:val="ONRNormal"/>
    <w:rsid w:val="00765A42"/>
    <w:rPr>
      <w:i/>
      <w:u w:val="single"/>
    </w:rPr>
  </w:style>
  <w:style w:type="paragraph" w:customStyle="1" w:styleId="ONRFloatingHeadingUnderline">
    <w:name w:val="ONR Floating Heading Underline"/>
    <w:basedOn w:val="ONRNormal"/>
    <w:rsid w:val="00765A42"/>
    <w:rPr>
      <w:u w:val="single"/>
    </w:rPr>
  </w:style>
  <w:style w:type="paragraph" w:customStyle="1" w:styleId="ONRLetterAddressBlock">
    <w:name w:val="ONR Letter Address Block"/>
    <w:basedOn w:val="ONRNormal"/>
    <w:locked/>
    <w:rsid w:val="00765A42"/>
    <w:rPr>
      <w:sz w:val="20"/>
    </w:rPr>
  </w:style>
  <w:style w:type="paragraph" w:customStyle="1" w:styleId="ONRListofReferences">
    <w:name w:val="ONR List of References"/>
    <w:basedOn w:val="ONRNormal"/>
    <w:rsid w:val="00765A42"/>
    <w:rPr>
      <w:sz w:val="20"/>
    </w:rPr>
  </w:style>
  <w:style w:type="paragraph" w:customStyle="1" w:styleId="ONRProtectiveMarking">
    <w:name w:val="ONR Protective Marking"/>
    <w:basedOn w:val="ONRNormal"/>
    <w:rsid w:val="00765A42"/>
    <w:pPr>
      <w:jc w:val="center"/>
    </w:pPr>
    <w:rPr>
      <w:b/>
    </w:rPr>
  </w:style>
  <w:style w:type="paragraph" w:customStyle="1" w:styleId="ONRReferenceTable1">
    <w:name w:val="ONR Reference Table 1"/>
    <w:basedOn w:val="ONRNormal"/>
    <w:locked/>
    <w:rsid w:val="00765A42"/>
    <w:pPr>
      <w:ind w:left="902" w:hanging="902"/>
    </w:pPr>
  </w:style>
  <w:style w:type="paragraph" w:customStyle="1" w:styleId="ONRRoundBullet1">
    <w:name w:val="ONR Round Bullet 1"/>
    <w:basedOn w:val="ONRNormal"/>
    <w:rsid w:val="00765A42"/>
    <w:pPr>
      <w:numPr>
        <w:numId w:val="17"/>
      </w:numPr>
    </w:pPr>
    <w:rPr>
      <w:lang w:val="en"/>
    </w:rPr>
  </w:style>
  <w:style w:type="paragraph" w:customStyle="1" w:styleId="ONRSquareBullet1">
    <w:name w:val="ONR Square Bullet 1"/>
    <w:basedOn w:val="ONRNormal"/>
    <w:qFormat/>
    <w:rsid w:val="00D57D29"/>
    <w:pPr>
      <w:numPr>
        <w:numId w:val="18"/>
      </w:numPr>
      <w:spacing w:after="60"/>
    </w:pPr>
    <w:rPr>
      <w:color w:val="0070C0"/>
      <w:lang w:val="en"/>
    </w:rPr>
  </w:style>
  <w:style w:type="paragraph" w:customStyle="1" w:styleId="ONRTableTextStyle-Normal">
    <w:name w:val="ONR Table Text Style - Normal"/>
    <w:basedOn w:val="ONRNormal"/>
    <w:locked/>
    <w:rsid w:val="00765A42"/>
    <w:rPr>
      <w:iCs/>
      <w:sz w:val="20"/>
    </w:rPr>
  </w:style>
  <w:style w:type="paragraph" w:customStyle="1" w:styleId="ONRTableTextStyle-Small">
    <w:name w:val="ONR Table Text Style - Small"/>
    <w:basedOn w:val="ONRNormal"/>
    <w:rsid w:val="00765A42"/>
    <w:rPr>
      <w:sz w:val="18"/>
    </w:rPr>
  </w:style>
  <w:style w:type="paragraph" w:customStyle="1" w:styleId="ONRUnnumberedHeading1">
    <w:name w:val="ONR Unnumbered Heading 1"/>
    <w:basedOn w:val="Heading1"/>
    <w:rsid w:val="00765A42"/>
    <w:pPr>
      <w:numPr>
        <w:numId w:val="0"/>
      </w:numPr>
      <w:tabs>
        <w:tab w:val="left" w:pos="851"/>
      </w:tabs>
      <w:ind w:left="851" w:hanging="851"/>
    </w:pPr>
    <w:rPr>
      <w:szCs w:val="40"/>
    </w:rPr>
  </w:style>
  <w:style w:type="paragraph" w:customStyle="1" w:styleId="TSHeadingNumbered1">
    <w:name w:val="TS Heading Numbered 1"/>
    <w:basedOn w:val="Normal"/>
    <w:rsid w:val="00B0006D"/>
    <w:pPr>
      <w:numPr>
        <w:numId w:val="32"/>
      </w:numPr>
      <w:spacing w:after="220"/>
    </w:pPr>
    <w:rPr>
      <w:rFonts w:cs="Times New Roman"/>
      <w:b/>
      <w:szCs w:val="24"/>
    </w:rPr>
  </w:style>
  <w:style w:type="paragraph" w:customStyle="1" w:styleId="StyleHeading2Before12pt">
    <w:name w:val="Style Heading 2 + Before:  12 pt"/>
    <w:basedOn w:val="Heading2"/>
    <w:rsid w:val="00765A42"/>
    <w:pPr>
      <w:numPr>
        <w:ilvl w:val="0"/>
        <w:numId w:val="0"/>
      </w:numPr>
    </w:pPr>
    <w:rPr>
      <w:rFonts w:cs="Times New Roman"/>
      <w:iCs w:val="0"/>
      <w:caps/>
      <w:szCs w:val="20"/>
    </w:rPr>
  </w:style>
  <w:style w:type="paragraph" w:customStyle="1" w:styleId="StyleHeading3Before12pt">
    <w:name w:val="Style Heading 3 + Before:  12 pt"/>
    <w:basedOn w:val="Heading3"/>
    <w:rsid w:val="006E748F"/>
    <w:pPr>
      <w:spacing w:before="0" w:after="120"/>
      <w:ind w:firstLine="0"/>
    </w:pPr>
    <w:rPr>
      <w:rFonts w:cs="Times New Roman"/>
      <w:szCs w:val="20"/>
    </w:rPr>
  </w:style>
  <w:style w:type="paragraph" w:customStyle="1" w:styleId="StyleHeading410pt">
    <w:name w:val="Style Heading 4 + 10 pt"/>
    <w:basedOn w:val="Heading4"/>
    <w:rsid w:val="00765A42"/>
    <w:pPr>
      <w:numPr>
        <w:ilvl w:val="0"/>
      </w:numPr>
      <w:ind w:firstLine="709"/>
    </w:pPr>
    <w:rPr>
      <w:rFonts w:ascii="Arial" w:hAnsi="Arial"/>
      <w:caps/>
      <w:sz w:val="20"/>
    </w:rPr>
  </w:style>
  <w:style w:type="paragraph" w:customStyle="1" w:styleId="StyleHeading6NotBold">
    <w:name w:val="Style Heading 6 + Not Bold"/>
    <w:basedOn w:val="Heading6"/>
    <w:rsid w:val="00765A42"/>
    <w:pPr>
      <w:numPr>
        <w:ilvl w:val="0"/>
      </w:numPr>
      <w:ind w:firstLine="709"/>
    </w:pPr>
    <w:rPr>
      <w:b w:val="0"/>
      <w:bCs w:val="0"/>
      <w:sz w:val="20"/>
    </w:rPr>
  </w:style>
  <w:style w:type="paragraph" w:customStyle="1" w:styleId="StyleHeading9Left">
    <w:name w:val="Style Heading 9 + Left"/>
    <w:basedOn w:val="Heading9"/>
    <w:rsid w:val="00765A42"/>
    <w:pPr>
      <w:numPr>
        <w:ilvl w:val="0"/>
      </w:numPr>
      <w:ind w:firstLine="709"/>
    </w:pPr>
    <w:rPr>
      <w:rFonts w:cs="Times New Roman"/>
      <w:iCs/>
      <w:szCs w:val="20"/>
    </w:rPr>
  </w:style>
  <w:style w:type="paragraph" w:customStyle="1" w:styleId="StyleONRNumberedParagraph1Justified">
    <w:name w:val="Style ONR Numbered Paragraph 1 + Justified"/>
    <w:basedOn w:val="ONRNumberedParagraph1"/>
    <w:rsid w:val="00765A42"/>
    <w:pPr>
      <w:numPr>
        <w:numId w:val="0"/>
      </w:numPr>
    </w:pPr>
    <w:rPr>
      <w:rFonts w:cs="Times New Roman"/>
      <w:szCs w:val="20"/>
    </w:rPr>
  </w:style>
  <w:style w:type="paragraph" w:customStyle="1" w:styleId="StyleONRSquareBulletL1Left">
    <w:name w:val="Style ONR Square Bullet L1 + Left"/>
    <w:basedOn w:val="Normal"/>
    <w:rsid w:val="00765A42"/>
    <w:rPr>
      <w:rFonts w:cs="Times New Roman"/>
      <w:szCs w:val="20"/>
    </w:rPr>
  </w:style>
  <w:style w:type="table" w:customStyle="1" w:styleId="TableGrid10">
    <w:name w:val="Table Grid1"/>
    <w:basedOn w:val="TableNormal"/>
    <w:next w:val="TableGrid"/>
    <w:rsid w:val="0076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HeadingNumbered11">
    <w:name w:val="TS Heading Numbered 1.1"/>
    <w:basedOn w:val="TSHeadingNumbered1"/>
    <w:rsid w:val="00B0006D"/>
    <w:pPr>
      <w:numPr>
        <w:ilvl w:val="1"/>
      </w:numPr>
    </w:pPr>
  </w:style>
  <w:style w:type="paragraph" w:customStyle="1" w:styleId="TSHeadingNumbered111">
    <w:name w:val="TS Heading Numbered 1.1.1"/>
    <w:basedOn w:val="TSHeadingNumbered1"/>
    <w:rsid w:val="00B0006D"/>
    <w:pPr>
      <w:numPr>
        <w:ilvl w:val="2"/>
      </w:numPr>
    </w:pPr>
  </w:style>
  <w:style w:type="paragraph" w:customStyle="1" w:styleId="TSHeadingNumbered1111">
    <w:name w:val="TS Heading Numbered 1.1.1.1"/>
    <w:basedOn w:val="TSHeadingNumbered1"/>
    <w:rsid w:val="00B0006D"/>
    <w:pPr>
      <w:numPr>
        <w:ilvl w:val="3"/>
      </w:numPr>
    </w:pPr>
  </w:style>
  <w:style w:type="paragraph" w:customStyle="1" w:styleId="TSNumberedParagraph11">
    <w:name w:val="TS Numbered Paragraph 1.1"/>
    <w:basedOn w:val="TSHeadingNumbered11"/>
    <w:rsid w:val="00EB7487"/>
    <w:pPr>
      <w:numPr>
        <w:ilvl w:val="0"/>
        <w:numId w:val="0"/>
      </w:numPr>
      <w:tabs>
        <w:tab w:val="num" w:pos="-31680"/>
      </w:tabs>
      <w:ind w:left="720" w:hanging="720"/>
      <w:outlineLvl w:val="0"/>
    </w:pPr>
    <w:rPr>
      <w:b w:val="0"/>
    </w:rPr>
  </w:style>
  <w:style w:type="character" w:customStyle="1" w:styleId="TSExampleText">
    <w:name w:val="TS Example Text"/>
    <w:rsid w:val="00B0006D"/>
    <w:rPr>
      <w:i/>
      <w:iCs/>
      <w:color w:val="006D68"/>
    </w:rPr>
  </w:style>
  <w:style w:type="paragraph" w:customStyle="1" w:styleId="TSBullet1Square">
    <w:name w:val="TS Bullet 1 Square"/>
    <w:basedOn w:val="Normal"/>
    <w:link w:val="TSBullet1SquareChar"/>
    <w:rsid w:val="006F456E"/>
    <w:pPr>
      <w:numPr>
        <w:numId w:val="33"/>
      </w:numPr>
      <w:spacing w:after="60"/>
      <w:ind w:left="2127" w:hanging="709"/>
    </w:pPr>
    <w:rPr>
      <w:rFonts w:cs="Times New Roman"/>
      <w:szCs w:val="24"/>
      <w:lang w:val="en"/>
    </w:rPr>
  </w:style>
  <w:style w:type="paragraph" w:customStyle="1" w:styleId="TSBullet2Circle">
    <w:name w:val="TS Bullet 2 Circle"/>
    <w:basedOn w:val="TSBullet1Square"/>
    <w:link w:val="TSBullet2CircleChar"/>
    <w:rsid w:val="006F456E"/>
    <w:pPr>
      <w:numPr>
        <w:numId w:val="34"/>
      </w:numPr>
      <w:spacing w:after="0"/>
      <w:ind w:left="3544" w:hanging="709"/>
    </w:pPr>
    <w:rPr>
      <w:color w:val="0070C0"/>
    </w:rPr>
  </w:style>
  <w:style w:type="character" w:customStyle="1" w:styleId="TSBullet1SquareChar">
    <w:name w:val="TS Bullet 1 Square Char"/>
    <w:link w:val="TSBullet1Square"/>
    <w:rsid w:val="006F456E"/>
    <w:rPr>
      <w:rFonts w:ascii="Arial" w:hAnsi="Arial"/>
      <w:sz w:val="22"/>
      <w:szCs w:val="24"/>
      <w:lang w:val="en" w:eastAsia="en-US"/>
    </w:rPr>
  </w:style>
  <w:style w:type="character" w:customStyle="1" w:styleId="TSBullet2CircleChar">
    <w:name w:val="TS Bullet 2 Circle Char"/>
    <w:link w:val="TSBullet2Circle"/>
    <w:rsid w:val="006F456E"/>
    <w:rPr>
      <w:rFonts w:ascii="Arial" w:hAnsi="Arial"/>
      <w:color w:val="0070C0"/>
      <w:sz w:val="22"/>
      <w:szCs w:val="24"/>
      <w:lang w:val="en" w:eastAsia="en-US"/>
    </w:rPr>
  </w:style>
  <w:style w:type="paragraph" w:styleId="Quote">
    <w:name w:val="Quote"/>
    <w:basedOn w:val="Normal"/>
    <w:next w:val="Normal"/>
    <w:link w:val="QuoteChar"/>
    <w:uiPriority w:val="29"/>
    <w:qFormat/>
    <w:rsid w:val="007B1E42"/>
    <w:pPr>
      <w:ind w:left="1418"/>
    </w:pPr>
    <w:rPr>
      <w:i/>
      <w:iCs/>
      <w:color w:val="000000"/>
    </w:rPr>
  </w:style>
  <w:style w:type="character" w:customStyle="1" w:styleId="QuoteChar">
    <w:name w:val="Quote Char"/>
    <w:link w:val="Quote"/>
    <w:uiPriority w:val="29"/>
    <w:rsid w:val="007B1E42"/>
    <w:rPr>
      <w:rFonts w:ascii="Arial" w:hAnsi="Arial" w:cs="Arial"/>
      <w:i/>
      <w:iCs/>
      <w:color w:val="000000"/>
      <w:sz w:val="22"/>
      <w:szCs w:val="22"/>
      <w:lang w:eastAsia="en-US"/>
    </w:rPr>
  </w:style>
  <w:style w:type="paragraph" w:customStyle="1" w:styleId="Reference">
    <w:name w:val="Reference"/>
    <w:basedOn w:val="Normal"/>
    <w:link w:val="ReferenceChar"/>
    <w:qFormat/>
    <w:rsid w:val="002C3D52"/>
    <w:pPr>
      <w:spacing w:after="60"/>
      <w:ind w:left="1134" w:hanging="1134"/>
    </w:pPr>
    <w:rPr>
      <w:i/>
      <w:color w:val="0070C0"/>
    </w:rPr>
  </w:style>
  <w:style w:type="paragraph" w:customStyle="1" w:styleId="Appendices">
    <w:name w:val="Appendices"/>
    <w:basedOn w:val="Normal"/>
    <w:link w:val="AppendicesChar"/>
    <w:qFormat/>
    <w:rsid w:val="00087423"/>
    <w:pPr>
      <w:numPr>
        <w:ilvl w:val="1"/>
        <w:numId w:val="35"/>
      </w:numPr>
      <w:spacing w:after="240"/>
      <w:ind w:left="709"/>
    </w:pPr>
    <w:rPr>
      <w:color w:val="0070C0"/>
    </w:rPr>
  </w:style>
  <w:style w:type="character" w:customStyle="1" w:styleId="ReferenceChar">
    <w:name w:val="Reference Char"/>
    <w:link w:val="Reference"/>
    <w:rsid w:val="002C3D52"/>
    <w:rPr>
      <w:rFonts w:ascii="Arial" w:hAnsi="Arial" w:cs="Arial"/>
      <w:i/>
      <w:color w:val="0070C0"/>
      <w:sz w:val="22"/>
      <w:szCs w:val="22"/>
      <w:lang w:eastAsia="en-US"/>
    </w:rPr>
  </w:style>
  <w:style w:type="paragraph" w:customStyle="1" w:styleId="ONRroundbullet">
    <w:name w:val="ONR round bullet"/>
    <w:basedOn w:val="TSBullet2Circle"/>
    <w:link w:val="ONRroundbulletChar"/>
    <w:qFormat/>
    <w:rsid w:val="002255D6"/>
    <w:pPr>
      <w:spacing w:after="60"/>
      <w:contextualSpacing/>
    </w:pPr>
    <w:rPr>
      <w:color w:val="auto"/>
      <w:lang w:val="en-GB"/>
    </w:rPr>
  </w:style>
  <w:style w:type="character" w:customStyle="1" w:styleId="AppendicesChar">
    <w:name w:val="Appendices Char"/>
    <w:link w:val="Appendices"/>
    <w:rsid w:val="00087423"/>
    <w:rPr>
      <w:rFonts w:ascii="Arial" w:hAnsi="Arial" w:cs="Arial"/>
      <w:color w:val="0070C0"/>
      <w:sz w:val="22"/>
      <w:szCs w:val="22"/>
      <w:lang w:eastAsia="en-US"/>
    </w:rPr>
  </w:style>
  <w:style w:type="character" w:customStyle="1" w:styleId="ONRroundbulletChar">
    <w:name w:val="ONR round bullet Char"/>
    <w:link w:val="ONRroundbullet"/>
    <w:rsid w:val="002255D6"/>
    <w:rPr>
      <w:rFonts w:ascii="Arial" w:hAnsi="Arial"/>
      <w:sz w:val="22"/>
      <w:szCs w:val="24"/>
      <w:lang w:eastAsia="en-US"/>
    </w:rPr>
  </w:style>
  <w:style w:type="paragraph" w:customStyle="1" w:styleId="DefaultText3">
    <w:name w:val="Default Text"/>
    <w:basedOn w:val="Normal"/>
    <w:rsid w:val="00881E7B"/>
    <w:pPr>
      <w:spacing w:after="0"/>
    </w:pPr>
  </w:style>
  <w:style w:type="paragraph" w:customStyle="1" w:styleId="Normal2">
    <w:name w:val="Normal2"/>
    <w:basedOn w:val="Default"/>
    <w:next w:val="Default"/>
    <w:rsid w:val="00881E7B"/>
    <w:rPr>
      <w:rFonts w:cs="Times New Roman"/>
      <w:color w:val="auto"/>
    </w:rPr>
  </w:style>
  <w:style w:type="paragraph" w:styleId="TOCHeading">
    <w:name w:val="TOC Heading"/>
    <w:basedOn w:val="Heading1"/>
    <w:next w:val="Normal"/>
    <w:unhideWhenUsed/>
    <w:qFormat/>
    <w:rsid w:val="00F07B5D"/>
    <w:pPr>
      <w:keepLines/>
      <w:numPr>
        <w:numId w:val="0"/>
      </w:numPr>
      <w:spacing w:before="480" w:after="0" w:line="276" w:lineRule="auto"/>
      <w:outlineLvl w:val="9"/>
    </w:pPr>
    <w:rPr>
      <w:rFonts w:ascii="Cambria" w:eastAsia="MS Gothic" w:hAnsi="Cambria" w:cs="Times New Roman"/>
      <w:caps w:val="0"/>
      <w:color w:val="365F91"/>
      <w:kern w:val="0"/>
      <w:sz w:val="28"/>
      <w:szCs w:val="28"/>
      <w:lang w:val="en-US" w:eastAsia="ja-JP"/>
    </w:rPr>
  </w:style>
  <w:style w:type="paragraph" w:styleId="Revision">
    <w:name w:val="Revision"/>
    <w:hidden/>
    <w:uiPriority w:val="99"/>
    <w:semiHidden/>
    <w:rsid w:val="00905FDB"/>
    <w:rPr>
      <w:rFonts w:ascii="Arial" w:hAnsi="Arial" w:cs="Arial"/>
      <w:sz w:val="22"/>
      <w:szCs w:val="22"/>
      <w:lang w:eastAsia="en-US"/>
    </w:rPr>
  </w:style>
  <w:style w:type="paragraph" w:styleId="Index1">
    <w:name w:val="index 1"/>
    <w:basedOn w:val="Normal"/>
    <w:next w:val="Normal"/>
    <w:autoRedefine/>
    <w:rsid w:val="0063719B"/>
    <w:pPr>
      <w:ind w:left="240" w:hanging="240"/>
      <w:jc w:val="both"/>
    </w:pPr>
  </w:style>
  <w:style w:type="character" w:styleId="EndnoteReference">
    <w:name w:val="endnote reference"/>
    <w:basedOn w:val="DefaultParagraphFont"/>
    <w:rsid w:val="0063719B"/>
    <w:rPr>
      <w:vertAlign w:val="superscript"/>
    </w:rPr>
  </w:style>
  <w:style w:type="character" w:customStyle="1" w:styleId="StyleFootnoteReference8pt">
    <w:name w:val="Style Footnote Reference + 8 pt"/>
    <w:basedOn w:val="FootnoteReference"/>
    <w:rsid w:val="0063719B"/>
    <w:rPr>
      <w:rFonts w:ascii="Arial" w:hAnsi="Arial"/>
      <w:dstrike w:val="0"/>
      <w:color w:val="000000"/>
      <w:sz w:val="20"/>
      <w:vertAlign w:val="superscript"/>
    </w:rPr>
  </w:style>
  <w:style w:type="paragraph" w:customStyle="1" w:styleId="NumberList1">
    <w:name w:val="Number List1"/>
    <w:basedOn w:val="Normal"/>
    <w:autoRedefine/>
    <w:rsid w:val="0063719B"/>
    <w:pPr>
      <w:autoSpaceDE w:val="0"/>
      <w:autoSpaceDN w:val="0"/>
      <w:adjustRightInd w:val="0"/>
      <w:jc w:val="both"/>
    </w:pPr>
    <w:rPr>
      <w:noProof/>
      <w:szCs w:val="20"/>
    </w:rPr>
  </w:style>
  <w:style w:type="paragraph" w:styleId="HTMLPreformatted">
    <w:name w:val="HTML Preformatted"/>
    <w:basedOn w:val="Normal"/>
    <w:next w:val="FootnoteText"/>
    <w:link w:val="HTMLPreformattedChar"/>
    <w:rsid w:val="0063719B"/>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63719B"/>
    <w:rPr>
      <w:rFonts w:ascii="Arial Unicode MS" w:eastAsia="Arial Unicode MS" w:hAnsi="Arial Unicode MS" w:cs="Arial Unicode MS"/>
      <w:lang w:eastAsia="en-US"/>
    </w:rPr>
  </w:style>
  <w:style w:type="paragraph" w:styleId="Subtitle">
    <w:name w:val="Subtitle"/>
    <w:basedOn w:val="Normal"/>
    <w:link w:val="SubtitleChar"/>
    <w:autoRedefine/>
    <w:qFormat/>
    <w:rsid w:val="0063719B"/>
    <w:pPr>
      <w:jc w:val="both"/>
      <w:outlineLvl w:val="1"/>
    </w:pPr>
    <w:rPr>
      <w:sz w:val="28"/>
      <w:szCs w:val="28"/>
    </w:rPr>
  </w:style>
  <w:style w:type="character" w:customStyle="1" w:styleId="SubtitleChar">
    <w:name w:val="Subtitle Char"/>
    <w:basedOn w:val="DefaultParagraphFont"/>
    <w:link w:val="Subtitle"/>
    <w:rsid w:val="0063719B"/>
    <w:rPr>
      <w:rFonts w:ascii="Arial" w:hAnsi="Arial" w:cs="Arial"/>
      <w:sz w:val="28"/>
      <w:szCs w:val="28"/>
      <w:lang w:eastAsia="en-US"/>
    </w:rPr>
  </w:style>
  <w:style w:type="paragraph" w:customStyle="1" w:styleId="subsubhead">
    <w:name w:val="subsubhead"/>
    <w:basedOn w:val="Normal"/>
    <w:rsid w:val="0063719B"/>
    <w:pPr>
      <w:keepNext/>
      <w:keepLines/>
      <w:overflowPunct w:val="0"/>
      <w:autoSpaceDE w:val="0"/>
      <w:autoSpaceDN w:val="0"/>
      <w:adjustRightInd w:val="0"/>
      <w:spacing w:before="72" w:after="72"/>
      <w:jc w:val="both"/>
      <w:textAlignment w:val="baseline"/>
    </w:pPr>
    <w:rPr>
      <w:b/>
      <w:i/>
      <w:noProof/>
      <w:szCs w:val="20"/>
    </w:rPr>
  </w:style>
  <w:style w:type="paragraph" w:customStyle="1" w:styleId="subheading">
    <w:name w:val="subheading"/>
    <w:basedOn w:val="Normal"/>
    <w:rsid w:val="0063719B"/>
    <w:pPr>
      <w:keepNext/>
      <w:keepLines/>
      <w:overflowPunct w:val="0"/>
      <w:autoSpaceDE w:val="0"/>
      <w:autoSpaceDN w:val="0"/>
      <w:adjustRightInd w:val="0"/>
      <w:spacing w:before="72" w:after="144"/>
      <w:jc w:val="both"/>
      <w:textAlignment w:val="baseline"/>
    </w:pPr>
    <w:rPr>
      <w:b/>
      <w:noProof/>
      <w:szCs w:val="20"/>
    </w:rPr>
  </w:style>
  <w:style w:type="paragraph" w:customStyle="1" w:styleId="sube3head">
    <w:name w:val="sube3head"/>
    <w:basedOn w:val="Normal"/>
    <w:rsid w:val="0063719B"/>
    <w:pPr>
      <w:keepNext/>
      <w:keepLines/>
      <w:overflowPunct w:val="0"/>
      <w:autoSpaceDE w:val="0"/>
      <w:autoSpaceDN w:val="0"/>
      <w:adjustRightInd w:val="0"/>
      <w:spacing w:before="72" w:after="72"/>
      <w:jc w:val="both"/>
      <w:textAlignment w:val="baseline"/>
    </w:pPr>
    <w:rPr>
      <w:i/>
      <w:noProof/>
      <w:szCs w:val="20"/>
    </w:rPr>
  </w:style>
  <w:style w:type="character" w:customStyle="1" w:styleId="Heading1Char1">
    <w:name w:val="Heading 1 Char1"/>
    <w:aliases w:val="VM1 Char"/>
    <w:basedOn w:val="ONRNormalChar"/>
    <w:rsid w:val="0063719B"/>
    <w:rPr>
      <w:rFonts w:ascii="Arial Bold" w:hAnsi="Arial Bold" w:cs="Arial"/>
      <w:b/>
      <w:bCs/>
      <w:caps/>
      <w:kern w:val="32"/>
      <w:sz w:val="22"/>
      <w:szCs w:val="22"/>
      <w:lang w:val="en-GB" w:eastAsia="en-US" w:bidi="ar-SA"/>
    </w:rPr>
  </w:style>
  <w:style w:type="paragraph" w:customStyle="1" w:styleId="ONRFinding">
    <w:name w:val="ONR Finding"/>
    <w:basedOn w:val="ONRNumberedParagraph1"/>
    <w:rsid w:val="0063719B"/>
    <w:pPr>
      <w:numPr>
        <w:numId w:val="0"/>
      </w:numPr>
      <w:tabs>
        <w:tab w:val="left" w:pos="1650"/>
      </w:tabs>
      <w:spacing w:after="120"/>
      <w:ind w:left="1650" w:right="179" w:hanging="770"/>
      <w:jc w:val="both"/>
    </w:pPr>
    <w:rPr>
      <w:rFonts w:ascii="Calibri" w:hAnsi="Calibri"/>
      <w:b/>
    </w:rPr>
  </w:style>
  <w:style w:type="paragraph" w:customStyle="1" w:styleId="ONRDefinitionStyle">
    <w:name w:val="ONR Definition Style"/>
    <w:basedOn w:val="ONRNormal"/>
    <w:rsid w:val="0063719B"/>
    <w:pPr>
      <w:tabs>
        <w:tab w:val="left" w:pos="880"/>
      </w:tabs>
      <w:spacing w:after="120"/>
      <w:ind w:left="851"/>
      <w:jc w:val="both"/>
    </w:pPr>
  </w:style>
  <w:style w:type="paragraph" w:customStyle="1" w:styleId="OutlineNumbering">
    <w:name w:val="Outline Numbering"/>
    <w:basedOn w:val="Normal"/>
    <w:rsid w:val="0063719B"/>
    <w:pPr>
      <w:overflowPunct w:val="0"/>
      <w:autoSpaceDE w:val="0"/>
      <w:autoSpaceDN w:val="0"/>
      <w:adjustRightInd w:val="0"/>
      <w:jc w:val="both"/>
      <w:textAlignment w:val="baseline"/>
    </w:pPr>
    <w:rPr>
      <w:szCs w:val="20"/>
      <w:lang w:val="en-US"/>
    </w:rPr>
  </w:style>
  <w:style w:type="paragraph" w:customStyle="1" w:styleId="Style2">
    <w:name w:val="Style2"/>
    <w:rsid w:val="0063719B"/>
    <w:pPr>
      <w:numPr>
        <w:numId w:val="39"/>
      </w:numPr>
      <w:spacing w:after="120"/>
    </w:pPr>
    <w:rPr>
      <w:rFonts w:ascii="Arial" w:hAnsi="Arial"/>
      <w:lang w:eastAsia="en-US"/>
    </w:rPr>
  </w:style>
  <w:style w:type="character" w:customStyle="1" w:styleId="Fotnotsreferens">
    <w:name w:val="Fotnotsreferens"/>
    <w:rsid w:val="0063719B"/>
    <w:rPr>
      <w:rFonts w:cs="Garamond"/>
      <w:color w:val="000000"/>
    </w:rPr>
  </w:style>
  <w:style w:type="paragraph" w:customStyle="1" w:styleId="Style3">
    <w:name w:val="Style3"/>
    <w:basedOn w:val="Style1"/>
    <w:rsid w:val="0063719B"/>
    <w:pPr>
      <w:numPr>
        <w:numId w:val="40"/>
      </w:numPr>
      <w:tabs>
        <w:tab w:val="left" w:pos="540"/>
        <w:tab w:val="right" w:pos="2329"/>
      </w:tabs>
      <w:jc w:val="both"/>
    </w:pPr>
    <w:rPr>
      <w:b/>
      <w:bCs/>
      <w:sz w:val="22"/>
      <w:szCs w:val="20"/>
    </w:rPr>
  </w:style>
  <w:style w:type="character" w:customStyle="1" w:styleId="st1">
    <w:name w:val="st1"/>
    <w:basedOn w:val="DefaultParagraphFont"/>
    <w:rsid w:val="0063719B"/>
  </w:style>
  <w:style w:type="paragraph" w:customStyle="1" w:styleId="ARTableStyle">
    <w:name w:val="AR Table Style"/>
    <w:basedOn w:val="Normal"/>
    <w:link w:val="ARTableStyleChar"/>
    <w:rsid w:val="0063719B"/>
    <w:pPr>
      <w:tabs>
        <w:tab w:val="left" w:pos="720"/>
      </w:tabs>
      <w:spacing w:after="0"/>
    </w:pPr>
    <w:rPr>
      <w:iCs/>
      <w:sz w:val="20"/>
    </w:rPr>
  </w:style>
  <w:style w:type="paragraph" w:customStyle="1" w:styleId="StyleHeading2ArialAfter6pt">
    <w:name w:val="Style Heading 2 + Arial After:  6 pt"/>
    <w:basedOn w:val="Heading2"/>
    <w:rsid w:val="0063719B"/>
    <w:pPr>
      <w:numPr>
        <w:numId w:val="36"/>
      </w:numPr>
      <w:spacing w:before="120" w:after="120"/>
    </w:pPr>
    <w:rPr>
      <w:rFonts w:ascii="Arial" w:hAnsi="Arial" w:cs="Times New Roman"/>
      <w:iCs w:val="0"/>
      <w:szCs w:val="20"/>
    </w:rPr>
  </w:style>
  <w:style w:type="character" w:customStyle="1" w:styleId="Style1Char">
    <w:name w:val="Style1 Char"/>
    <w:basedOn w:val="DefaultParagraphFont"/>
    <w:rsid w:val="0063719B"/>
    <w:rPr>
      <w:rFonts w:ascii="Arial" w:hAnsi="Arial" w:cs="Arial"/>
      <w:szCs w:val="24"/>
      <w:lang w:val="en-GB" w:eastAsia="en-US" w:bidi="ar-SA"/>
    </w:rPr>
  </w:style>
  <w:style w:type="character" w:customStyle="1" w:styleId="Style112Char">
    <w:name w:val="Style1+12 Char"/>
    <w:basedOn w:val="Style1Char"/>
    <w:rsid w:val="0063719B"/>
    <w:rPr>
      <w:rFonts w:ascii="Arial" w:hAnsi="Arial" w:cs="Arial"/>
      <w:szCs w:val="24"/>
      <w:lang w:val="en-GB" w:eastAsia="en-US" w:bidi="ar-SA"/>
    </w:rPr>
  </w:style>
  <w:style w:type="paragraph" w:styleId="BodyTextFirstIndent2">
    <w:name w:val="Body Text First Indent 2"/>
    <w:basedOn w:val="BodyTextIndent"/>
    <w:link w:val="BodyTextFirstIndent2Char"/>
    <w:rsid w:val="0063719B"/>
    <w:pPr>
      <w:tabs>
        <w:tab w:val="left" w:pos="880"/>
      </w:tabs>
      <w:overflowPunct w:val="0"/>
      <w:autoSpaceDE w:val="0"/>
      <w:autoSpaceDN w:val="0"/>
      <w:adjustRightInd w:val="0"/>
      <w:spacing w:before="100" w:after="120"/>
      <w:ind w:firstLine="210"/>
      <w:jc w:val="both"/>
      <w:textAlignment w:val="baseline"/>
    </w:pPr>
    <w:rPr>
      <w:rFonts w:ascii="Times New Roman" w:hAnsi="Times New Roman"/>
      <w:szCs w:val="20"/>
    </w:rPr>
  </w:style>
  <w:style w:type="character" w:customStyle="1" w:styleId="BodyTextFirstIndent2Char">
    <w:name w:val="Body Text First Indent 2 Char"/>
    <w:basedOn w:val="BodyTextIndentChar"/>
    <w:link w:val="BodyTextFirstIndent2"/>
    <w:rsid w:val="0063719B"/>
    <w:rPr>
      <w:rFonts w:ascii="Arial" w:hAnsi="Arial" w:cs="Arial"/>
      <w:sz w:val="22"/>
      <w:szCs w:val="22"/>
      <w:lang w:val="en-GB" w:eastAsia="en-US" w:bidi="ar-SA"/>
    </w:rPr>
  </w:style>
  <w:style w:type="paragraph" w:styleId="Caption">
    <w:name w:val="caption"/>
    <w:basedOn w:val="Normal"/>
    <w:next w:val="Normal"/>
    <w:qFormat/>
    <w:rsid w:val="0063719B"/>
    <w:pPr>
      <w:spacing w:after="0"/>
      <w:jc w:val="both"/>
    </w:pPr>
    <w:rPr>
      <w:rFonts w:ascii="Times New Roman" w:hAnsi="Times New Roman" w:cs="Times New Roman"/>
      <w:b/>
      <w:bCs/>
      <w:sz w:val="20"/>
      <w:szCs w:val="20"/>
      <w:lang w:eastAsia="en-GB"/>
    </w:rPr>
  </w:style>
  <w:style w:type="paragraph" w:customStyle="1" w:styleId="ARReferenceStyle">
    <w:name w:val="AR Reference Style"/>
    <w:basedOn w:val="Normal"/>
    <w:link w:val="ARReferenceStyleChar"/>
    <w:rsid w:val="0063719B"/>
    <w:pPr>
      <w:ind w:left="902" w:hanging="902"/>
      <w:jc w:val="both"/>
    </w:pPr>
  </w:style>
  <w:style w:type="paragraph" w:styleId="Index2">
    <w:name w:val="index 2"/>
    <w:basedOn w:val="Normal"/>
    <w:next w:val="Normal"/>
    <w:autoRedefine/>
    <w:rsid w:val="0063719B"/>
    <w:pPr>
      <w:ind w:left="480" w:hanging="240"/>
      <w:jc w:val="both"/>
    </w:pPr>
  </w:style>
  <w:style w:type="paragraph" w:styleId="Index3">
    <w:name w:val="index 3"/>
    <w:basedOn w:val="Normal"/>
    <w:next w:val="Normal"/>
    <w:autoRedefine/>
    <w:rsid w:val="0063719B"/>
    <w:pPr>
      <w:ind w:left="720" w:hanging="240"/>
      <w:jc w:val="both"/>
    </w:pPr>
  </w:style>
  <w:style w:type="paragraph" w:styleId="Index4">
    <w:name w:val="index 4"/>
    <w:basedOn w:val="Normal"/>
    <w:next w:val="Normal"/>
    <w:autoRedefine/>
    <w:rsid w:val="0063719B"/>
    <w:pPr>
      <w:ind w:left="960" w:hanging="240"/>
      <w:jc w:val="both"/>
    </w:pPr>
  </w:style>
  <w:style w:type="paragraph" w:styleId="Index5">
    <w:name w:val="index 5"/>
    <w:basedOn w:val="Normal"/>
    <w:next w:val="Normal"/>
    <w:autoRedefine/>
    <w:rsid w:val="0063719B"/>
    <w:pPr>
      <w:ind w:left="1200" w:hanging="240"/>
      <w:jc w:val="both"/>
    </w:pPr>
  </w:style>
  <w:style w:type="paragraph" w:styleId="Index6">
    <w:name w:val="index 6"/>
    <w:basedOn w:val="Normal"/>
    <w:next w:val="Normal"/>
    <w:autoRedefine/>
    <w:rsid w:val="0063719B"/>
    <w:pPr>
      <w:ind w:left="1440" w:hanging="240"/>
      <w:jc w:val="both"/>
    </w:pPr>
  </w:style>
  <w:style w:type="paragraph" w:styleId="Index7">
    <w:name w:val="index 7"/>
    <w:basedOn w:val="Normal"/>
    <w:next w:val="Normal"/>
    <w:autoRedefine/>
    <w:rsid w:val="0063719B"/>
    <w:pPr>
      <w:ind w:left="1680" w:hanging="240"/>
      <w:jc w:val="both"/>
    </w:pPr>
  </w:style>
  <w:style w:type="paragraph" w:styleId="Index8">
    <w:name w:val="index 8"/>
    <w:basedOn w:val="Normal"/>
    <w:next w:val="Normal"/>
    <w:autoRedefine/>
    <w:rsid w:val="0063719B"/>
    <w:pPr>
      <w:ind w:left="1920" w:hanging="240"/>
      <w:jc w:val="both"/>
    </w:pPr>
  </w:style>
  <w:style w:type="paragraph" w:styleId="Index9">
    <w:name w:val="index 9"/>
    <w:basedOn w:val="Normal"/>
    <w:next w:val="Normal"/>
    <w:autoRedefine/>
    <w:rsid w:val="0063719B"/>
    <w:pPr>
      <w:ind w:left="2160" w:hanging="240"/>
      <w:jc w:val="both"/>
    </w:pPr>
  </w:style>
  <w:style w:type="paragraph" w:styleId="IndexHeading">
    <w:name w:val="index heading"/>
    <w:basedOn w:val="Normal"/>
    <w:next w:val="Index1"/>
    <w:rsid w:val="0063719B"/>
    <w:pPr>
      <w:jc w:val="both"/>
    </w:pPr>
    <w:rPr>
      <w:b/>
      <w:bCs/>
    </w:rPr>
  </w:style>
  <w:style w:type="paragraph" w:styleId="MacroText">
    <w:name w:val="macro"/>
    <w:link w:val="MacroTextChar"/>
    <w:rsid w:val="006371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3719B"/>
    <w:rPr>
      <w:rFonts w:ascii="Courier New" w:hAnsi="Courier New" w:cs="Courier New"/>
      <w:lang w:eastAsia="en-US"/>
    </w:rPr>
  </w:style>
  <w:style w:type="paragraph" w:styleId="TableofAuthorities">
    <w:name w:val="table of authorities"/>
    <w:basedOn w:val="Normal"/>
    <w:next w:val="Normal"/>
    <w:rsid w:val="0063719B"/>
    <w:pPr>
      <w:ind w:left="240" w:hanging="240"/>
      <w:jc w:val="both"/>
    </w:pPr>
  </w:style>
  <w:style w:type="paragraph" w:styleId="TableofFigures">
    <w:name w:val="table of figures"/>
    <w:basedOn w:val="Normal"/>
    <w:next w:val="Normal"/>
    <w:rsid w:val="0063719B"/>
    <w:pPr>
      <w:ind w:left="480" w:hanging="480"/>
      <w:jc w:val="both"/>
    </w:pPr>
  </w:style>
  <w:style w:type="paragraph" w:styleId="TOAHeading">
    <w:name w:val="toa heading"/>
    <w:basedOn w:val="Normal"/>
    <w:next w:val="Normal"/>
    <w:rsid w:val="0063719B"/>
    <w:pPr>
      <w:spacing w:before="120"/>
      <w:jc w:val="both"/>
    </w:pPr>
    <w:rPr>
      <w:b/>
      <w:bCs/>
    </w:rPr>
  </w:style>
  <w:style w:type="paragraph" w:customStyle="1" w:styleId="StylenormalCalibri">
    <w:name w:val="Style normal + Calibri"/>
    <w:basedOn w:val="Normal11"/>
    <w:link w:val="StylenormalCalibriChar"/>
    <w:rsid w:val="0063719B"/>
    <w:rPr>
      <w:iCs/>
    </w:rPr>
  </w:style>
  <w:style w:type="character" w:customStyle="1" w:styleId="normalChar">
    <w:name w:val="normal Char"/>
    <w:basedOn w:val="DefaultParagraphFont"/>
    <w:link w:val="Normal11"/>
    <w:rsid w:val="0063719B"/>
    <w:rPr>
      <w:rFonts w:ascii="Arial" w:hAnsi="Arial"/>
      <w:sz w:val="24"/>
      <w:szCs w:val="24"/>
    </w:rPr>
  </w:style>
  <w:style w:type="character" w:customStyle="1" w:styleId="StylenormalCalibriChar">
    <w:name w:val="Style normal + Calibri Char"/>
    <w:basedOn w:val="normalChar"/>
    <w:link w:val="StylenormalCalibri"/>
    <w:rsid w:val="0063719B"/>
    <w:rPr>
      <w:rFonts w:ascii="Arial" w:hAnsi="Arial"/>
      <w:iCs/>
      <w:sz w:val="24"/>
      <w:szCs w:val="24"/>
    </w:rPr>
  </w:style>
  <w:style w:type="paragraph" w:customStyle="1" w:styleId="Reporttext">
    <w:name w:val="Report text"/>
    <w:basedOn w:val="Normal"/>
    <w:rsid w:val="0063719B"/>
    <w:pPr>
      <w:overflowPunct w:val="0"/>
      <w:autoSpaceDE w:val="0"/>
      <w:autoSpaceDN w:val="0"/>
      <w:adjustRightInd w:val="0"/>
      <w:jc w:val="both"/>
      <w:textAlignment w:val="baseline"/>
    </w:pPr>
    <w:rPr>
      <w:szCs w:val="20"/>
      <w:lang w:val="en-US"/>
    </w:rPr>
  </w:style>
  <w:style w:type="paragraph" w:customStyle="1" w:styleId="NumberListReferences">
    <w:name w:val="Number List References"/>
    <w:basedOn w:val="Normal"/>
    <w:rsid w:val="0063719B"/>
    <w:pPr>
      <w:tabs>
        <w:tab w:val="num" w:pos="907"/>
      </w:tabs>
      <w:spacing w:before="60" w:after="0"/>
      <w:ind w:left="907" w:hanging="907"/>
      <w:jc w:val="both"/>
    </w:pPr>
    <w:rPr>
      <w:rFonts w:cs="Times New Roman"/>
      <w:bCs/>
    </w:rPr>
  </w:style>
  <w:style w:type="paragraph" w:customStyle="1" w:styleId="Pane1">
    <w:name w:val="Pane 1"/>
    <w:basedOn w:val="Normal"/>
    <w:rsid w:val="0063719B"/>
    <w:pPr>
      <w:framePr w:hSpace="57" w:wrap="around" w:hAnchor="margin" w:x="1" w:y="1"/>
      <w:jc w:val="both"/>
    </w:pPr>
    <w:rPr>
      <w:rFonts w:cs="Times New Roman"/>
      <w:bCs/>
      <w:sz w:val="20"/>
      <w:szCs w:val="20"/>
    </w:rPr>
  </w:style>
  <w:style w:type="paragraph" w:customStyle="1" w:styleId="ONRPlainHeadingStyle">
    <w:name w:val="ONR Plain Heading Style"/>
    <w:basedOn w:val="ONRNormal"/>
    <w:rsid w:val="0063719B"/>
    <w:pPr>
      <w:tabs>
        <w:tab w:val="left" w:pos="880"/>
      </w:tabs>
      <w:spacing w:after="120"/>
      <w:jc w:val="both"/>
    </w:pPr>
    <w:rPr>
      <w:rFonts w:ascii="Arial Bold" w:hAnsi="Arial Bold"/>
      <w:b/>
      <w:caps/>
      <w:color w:val="333333"/>
    </w:rPr>
  </w:style>
  <w:style w:type="character" w:customStyle="1" w:styleId="ARReferenceStyleChar">
    <w:name w:val="AR Reference Style Char"/>
    <w:basedOn w:val="DefaultParagraphFont"/>
    <w:link w:val="ARReferenceStyle"/>
    <w:locked/>
    <w:rsid w:val="0063719B"/>
    <w:rPr>
      <w:rFonts w:ascii="Arial" w:hAnsi="Arial" w:cs="Arial"/>
      <w:sz w:val="22"/>
      <w:szCs w:val="22"/>
      <w:lang w:eastAsia="en-US"/>
    </w:rPr>
  </w:style>
  <w:style w:type="paragraph" w:customStyle="1" w:styleId="StyleListBulletAfter0pt">
    <w:name w:val="Style List Bullet + After:  0 pt"/>
    <w:basedOn w:val="ListBullet"/>
    <w:rsid w:val="0063719B"/>
    <w:pPr>
      <w:numPr>
        <w:numId w:val="41"/>
      </w:numPr>
      <w:tabs>
        <w:tab w:val="left" w:pos="880"/>
      </w:tabs>
      <w:jc w:val="both"/>
    </w:pPr>
    <w:rPr>
      <w:rFonts w:cs="Times New Roman"/>
      <w:bCs/>
      <w:szCs w:val="20"/>
    </w:rPr>
  </w:style>
  <w:style w:type="character" w:customStyle="1" w:styleId="BlockTextChar">
    <w:name w:val="Block Text Char"/>
    <w:basedOn w:val="DefaultParagraphFont"/>
    <w:link w:val="BlockText"/>
    <w:locked/>
    <w:rsid w:val="0063719B"/>
    <w:rPr>
      <w:rFonts w:ascii="Arial" w:hAnsi="Arial" w:cs="Arial"/>
      <w:sz w:val="22"/>
      <w:szCs w:val="22"/>
      <w:lang w:eastAsia="en-US"/>
    </w:rPr>
  </w:style>
  <w:style w:type="character" w:customStyle="1" w:styleId="FootnoteTextChar1">
    <w:name w:val="Footnote Text Char1"/>
    <w:basedOn w:val="DefaultParagraphFont"/>
    <w:link w:val="FootnoteText"/>
    <w:semiHidden/>
    <w:rsid w:val="0063719B"/>
    <w:rPr>
      <w:rFonts w:ascii="Arial" w:hAnsi="Arial"/>
      <w:sz w:val="18"/>
      <w:lang w:eastAsia="en-US"/>
    </w:rPr>
  </w:style>
  <w:style w:type="paragraph" w:customStyle="1" w:styleId="Stylenormal11ptJustifiedAfter6pt">
    <w:name w:val="Style normal + 11 pt Justified After:  6 pt"/>
    <w:basedOn w:val="Normal11"/>
    <w:rsid w:val="0063719B"/>
    <w:pPr>
      <w:spacing w:after="120"/>
    </w:pPr>
    <w:rPr>
      <w:iCs/>
      <w:szCs w:val="20"/>
    </w:rPr>
  </w:style>
  <w:style w:type="character" w:customStyle="1" w:styleId="ARTableStyleChar">
    <w:name w:val="AR Table Style Char"/>
    <w:basedOn w:val="DefaultParagraphFont"/>
    <w:link w:val="ARTableStyle"/>
    <w:rsid w:val="0063719B"/>
    <w:rPr>
      <w:rFonts w:ascii="Arial" w:hAnsi="Arial" w:cs="Arial"/>
      <w:iCs/>
      <w:szCs w:val="22"/>
      <w:lang w:eastAsia="en-US"/>
    </w:rPr>
  </w:style>
  <w:style w:type="character" w:styleId="HTMLCite">
    <w:name w:val="HTML Cite"/>
    <w:basedOn w:val="DefaultParagraphFont"/>
    <w:rsid w:val="0063719B"/>
    <w:rPr>
      <w:i w:val="0"/>
      <w:iCs w:val="0"/>
      <w:color w:val="0E774A"/>
    </w:rPr>
  </w:style>
  <w:style w:type="character" w:customStyle="1" w:styleId="CharChar12">
    <w:name w:val="Char Char12"/>
    <w:basedOn w:val="DefaultParagraphFont"/>
    <w:locked/>
    <w:rsid w:val="0063719B"/>
    <w:rPr>
      <w:rFonts w:ascii="Arial" w:hAnsi="Arial" w:cs="Arial"/>
      <w:b/>
      <w:bCs/>
      <w:kern w:val="28"/>
      <w:sz w:val="28"/>
      <w:szCs w:val="32"/>
      <w:lang w:val="en-GB" w:eastAsia="en-US" w:bidi="ar-SA"/>
    </w:rPr>
  </w:style>
  <w:style w:type="paragraph" w:customStyle="1" w:styleId="Bullet">
    <w:name w:val="Bullet"/>
    <w:basedOn w:val="Normal"/>
    <w:autoRedefine/>
    <w:rsid w:val="0063719B"/>
    <w:pPr>
      <w:numPr>
        <w:numId w:val="42"/>
      </w:numPr>
      <w:overflowPunct w:val="0"/>
      <w:autoSpaceDE w:val="0"/>
      <w:autoSpaceDN w:val="0"/>
      <w:adjustRightInd w:val="0"/>
      <w:ind w:left="568" w:hanging="284"/>
      <w:jc w:val="both"/>
      <w:textAlignment w:val="baseline"/>
    </w:pPr>
    <w:rPr>
      <w:rFonts w:cs="Times New Roman"/>
      <w:sz w:val="24"/>
      <w:szCs w:val="20"/>
    </w:rPr>
  </w:style>
  <w:style w:type="paragraph" w:styleId="ListParagraph">
    <w:name w:val="List Paragraph"/>
    <w:basedOn w:val="Normal"/>
    <w:link w:val="ListParagraphChar"/>
    <w:uiPriority w:val="34"/>
    <w:qFormat/>
    <w:rsid w:val="0063719B"/>
    <w:pPr>
      <w:spacing w:after="200" w:line="276" w:lineRule="auto"/>
      <w:ind w:left="720"/>
      <w:contextualSpacing/>
      <w:jc w:val="both"/>
    </w:pPr>
    <w:rPr>
      <w:rFonts w:cs="Times New Roman"/>
      <w:sz w:val="24"/>
    </w:rPr>
  </w:style>
  <w:style w:type="character" w:customStyle="1" w:styleId="ListParagraphChar">
    <w:name w:val="List Paragraph Char"/>
    <w:link w:val="ListParagraph"/>
    <w:locked/>
    <w:rsid w:val="0063719B"/>
    <w:rPr>
      <w:rFonts w:ascii="Arial" w:hAnsi="Arial"/>
      <w:sz w:val="24"/>
      <w:szCs w:val="22"/>
      <w:lang w:eastAsia="en-US"/>
    </w:rPr>
  </w:style>
  <w:style w:type="character" w:customStyle="1" w:styleId="FootnoteTextChar">
    <w:name w:val="Footnote Text Char"/>
    <w:semiHidden/>
    <w:locked/>
    <w:rsid w:val="0063719B"/>
    <w:rPr>
      <w:rFonts w:ascii="Arial" w:hAnsi="Arial" w:cs="Times New Roman"/>
      <w:sz w:val="20"/>
      <w:szCs w:val="20"/>
    </w:rPr>
  </w:style>
  <w:style w:type="character" w:customStyle="1" w:styleId="CharacterStyle1">
    <w:name w:val="Character Style 1"/>
    <w:rsid w:val="0063719B"/>
    <w:rPr>
      <w:rFonts w:ascii="Arial" w:hAnsi="Arial" w:cs="Arial" w:hint="default"/>
      <w:sz w:val="24"/>
    </w:rPr>
  </w:style>
  <w:style w:type="paragraph" w:customStyle="1" w:styleId="Maintext">
    <w:name w:val="Main text"/>
    <w:basedOn w:val="Normal"/>
    <w:rsid w:val="0063719B"/>
    <w:pPr>
      <w:numPr>
        <w:numId w:val="43"/>
      </w:numPr>
      <w:spacing w:before="240" w:after="0" w:line="240" w:lineRule="atLeast"/>
      <w:jc w:val="both"/>
    </w:pPr>
    <w:rPr>
      <w:rFonts w:cs="Times New Roman"/>
      <w:sz w:val="20"/>
      <w:szCs w:val="20"/>
      <w:lang w:eastAsia="en-GB"/>
    </w:rPr>
  </w:style>
  <w:style w:type="paragraph" w:customStyle="1" w:styleId="subtext2">
    <w:name w:val="subtext2"/>
    <w:basedOn w:val="Maintext"/>
    <w:autoRedefine/>
    <w:rsid w:val="0063719B"/>
    <w:pPr>
      <w:widowControl w:val="0"/>
      <w:numPr>
        <w:ilvl w:val="1"/>
      </w:numPr>
      <w:tabs>
        <w:tab w:val="left" w:pos="1418"/>
      </w:tabs>
      <w:spacing w:before="120"/>
    </w:pPr>
  </w:style>
  <w:style w:type="paragraph" w:customStyle="1" w:styleId="subsubtext">
    <w:name w:val="subsubtext"/>
    <w:basedOn w:val="subtext2"/>
    <w:autoRedefine/>
    <w:rsid w:val="0063719B"/>
    <w:pPr>
      <w:numPr>
        <w:ilvl w:val="2"/>
      </w:numPr>
      <w:tabs>
        <w:tab w:val="clear" w:pos="1418"/>
        <w:tab w:val="left" w:pos="2127"/>
      </w:tabs>
      <w:spacing w:before="60"/>
    </w:pPr>
  </w:style>
  <w:style w:type="paragraph" w:customStyle="1" w:styleId="subtext">
    <w:name w:val="subtext"/>
    <w:basedOn w:val="Maintext"/>
    <w:rsid w:val="0063719B"/>
    <w:pPr>
      <w:numPr>
        <w:ilvl w:val="7"/>
      </w:numPr>
      <w:spacing w:before="120"/>
    </w:pPr>
  </w:style>
  <w:style w:type="paragraph" w:customStyle="1" w:styleId="Heading1Line-1">
    <w:name w:val="Heading1Line-1"/>
    <w:basedOn w:val="ONRNormal"/>
    <w:next w:val="ONRNormal"/>
    <w:rsid w:val="0063719B"/>
    <w:pPr>
      <w:tabs>
        <w:tab w:val="left" w:pos="880"/>
      </w:tabs>
      <w:jc w:val="both"/>
    </w:pPr>
    <w:rPr>
      <w:sz w:val="2"/>
      <w:szCs w:val="6"/>
    </w:rPr>
  </w:style>
  <w:style w:type="paragraph" w:customStyle="1" w:styleId="Style14">
    <w:name w:val="Style 14"/>
    <w:rsid w:val="0063719B"/>
    <w:pPr>
      <w:widowControl w:val="0"/>
      <w:autoSpaceDE w:val="0"/>
      <w:autoSpaceDN w:val="0"/>
      <w:adjustRightInd w:val="0"/>
    </w:pPr>
    <w:rPr>
      <w:rFonts w:ascii="Arial" w:hAnsi="Arial" w:cs="Arial"/>
      <w:sz w:val="24"/>
      <w:szCs w:val="24"/>
      <w:lang w:val="en-US"/>
    </w:rPr>
  </w:style>
  <w:style w:type="paragraph" w:customStyle="1" w:styleId="Style10">
    <w:name w:val="Style 1"/>
    <w:rsid w:val="0063719B"/>
    <w:pPr>
      <w:widowControl w:val="0"/>
      <w:autoSpaceDE w:val="0"/>
      <w:autoSpaceDN w:val="0"/>
      <w:adjustRightInd w:val="0"/>
    </w:pPr>
    <w:rPr>
      <w:lang w:val="en-US"/>
    </w:rPr>
  </w:style>
  <w:style w:type="character" w:customStyle="1" w:styleId="CharChar">
    <w:name w:val="Char Char"/>
    <w:basedOn w:val="DefaultParagraphFont"/>
    <w:rsid w:val="0063719B"/>
    <w:rPr>
      <w:rFonts w:ascii="Calibri" w:hAnsi="Calibri" w:cs="Arial" w:hint="default"/>
      <w:bCs/>
      <w:sz w:val="22"/>
      <w:szCs w:val="22"/>
      <w:lang w:eastAsia="en-US"/>
    </w:rPr>
  </w:style>
  <w:style w:type="paragraph" w:customStyle="1" w:styleId="default0">
    <w:name w:val="default"/>
    <w:basedOn w:val="Normal"/>
    <w:rsid w:val="0063719B"/>
    <w:pPr>
      <w:spacing w:before="100" w:beforeAutospacing="1" w:after="100" w:afterAutospacing="1"/>
      <w:jc w:val="both"/>
    </w:pPr>
    <w:rPr>
      <w:rFonts w:cs="Times New Roman"/>
      <w:szCs w:val="24"/>
      <w:lang w:eastAsia="en-GB"/>
    </w:rPr>
  </w:style>
  <w:style w:type="character" w:customStyle="1" w:styleId="a">
    <w:name w:val="a"/>
    <w:basedOn w:val="DefaultParagraphFont"/>
    <w:rsid w:val="0063719B"/>
    <w:rPr>
      <w:rFonts w:ascii="Arial" w:hAnsi="Arial"/>
      <w:sz w:val="22"/>
    </w:rPr>
  </w:style>
  <w:style w:type="paragraph" w:customStyle="1" w:styleId="Subhead">
    <w:name w:val="Subhead"/>
    <w:basedOn w:val="Normal"/>
    <w:rsid w:val="0063719B"/>
    <w:pPr>
      <w:overflowPunct w:val="0"/>
      <w:autoSpaceDE w:val="0"/>
      <w:autoSpaceDN w:val="0"/>
      <w:adjustRightInd w:val="0"/>
      <w:spacing w:after="240"/>
      <w:jc w:val="both"/>
      <w:textAlignment w:val="baseline"/>
    </w:pPr>
    <w:rPr>
      <w:rFonts w:cs="Times New Roman"/>
      <w:b/>
      <w:i/>
      <w:sz w:val="24"/>
      <w:szCs w:val="20"/>
    </w:rPr>
  </w:style>
  <w:style w:type="paragraph" w:customStyle="1" w:styleId="StyleONRNumberedParagraph1Left">
    <w:name w:val="Style ONR Numbered Paragraph 1 + Left"/>
    <w:basedOn w:val="ONRNumberedParagraph1"/>
    <w:rsid w:val="0063719B"/>
    <w:pPr>
      <w:numPr>
        <w:numId w:val="0"/>
      </w:numPr>
      <w:tabs>
        <w:tab w:val="num" w:pos="907"/>
      </w:tabs>
      <w:spacing w:after="120"/>
      <w:ind w:left="907" w:hanging="907"/>
      <w:jc w:val="both"/>
    </w:pPr>
    <w:rPr>
      <w:rFonts w:cs="Times New Roman"/>
      <w:szCs w:val="20"/>
    </w:rPr>
  </w:style>
  <w:style w:type="paragraph" w:customStyle="1" w:styleId="StyleStyleONRNumberedParagraph1LeftJustified">
    <w:name w:val="Style Style ONR Numbered Paragraph 1 + Left + Justified"/>
    <w:basedOn w:val="StyleONRNumberedParagraph1Left"/>
    <w:rsid w:val="0063719B"/>
  </w:style>
  <w:style w:type="paragraph" w:customStyle="1" w:styleId="StyleONRNumberedParagraph1Left1">
    <w:name w:val="Style ONR Numbered Paragraph 1 + Left1"/>
    <w:basedOn w:val="ONRNumberedParagraph1"/>
    <w:rsid w:val="0063719B"/>
    <w:pPr>
      <w:numPr>
        <w:numId w:val="44"/>
      </w:numPr>
      <w:spacing w:after="120"/>
      <w:jc w:val="both"/>
    </w:pPr>
    <w:rPr>
      <w:rFonts w:cs="Times New Roman"/>
      <w:szCs w:val="20"/>
    </w:rPr>
  </w:style>
  <w:style w:type="character" w:customStyle="1" w:styleId="ONRFigureTitleChar">
    <w:name w:val="ONR Figure Title Char"/>
    <w:basedOn w:val="ONRNormalChar"/>
    <w:link w:val="ONRFigureTitle"/>
    <w:rsid w:val="0063719B"/>
    <w:rPr>
      <w:rFonts w:ascii="Arial" w:hAnsi="Arial" w:cs="Arial"/>
      <w:b/>
      <w:sz w:val="22"/>
      <w:szCs w:val="22"/>
      <w:lang w:eastAsia="en-US"/>
    </w:rPr>
  </w:style>
  <w:style w:type="paragraph" w:customStyle="1" w:styleId="Indented">
    <w:name w:val="Indented"/>
    <w:basedOn w:val="Normal"/>
    <w:rsid w:val="0063719B"/>
    <w:pPr>
      <w:numPr>
        <w:numId w:val="45"/>
      </w:numPr>
      <w:spacing w:before="240" w:after="0"/>
      <w:jc w:val="both"/>
    </w:pPr>
    <w:rPr>
      <w:rFonts w:cs="Times New Roman"/>
      <w:kern w:val="24"/>
      <w:sz w:val="20"/>
      <w:szCs w:val="20"/>
      <w:lang w:eastAsia="en-GB"/>
    </w:rPr>
  </w:style>
  <w:style w:type="paragraph" w:customStyle="1" w:styleId="Normal10pt">
    <w:name w:val="Normal + 10 pt"/>
    <w:aliases w:val="Before:  5 pt,After:  5 pt"/>
    <w:basedOn w:val="ONRNormal"/>
    <w:rsid w:val="0063719B"/>
    <w:pPr>
      <w:tabs>
        <w:tab w:val="left" w:pos="880"/>
      </w:tabs>
      <w:spacing w:after="120"/>
      <w:jc w:val="both"/>
    </w:pPr>
    <w:rPr>
      <w:sz w:val="20"/>
      <w:szCs w:val="20"/>
      <w:lang w:val="en" w:eastAsia="en-GB"/>
    </w:rPr>
  </w:style>
  <w:style w:type="character" w:customStyle="1" w:styleId="CommentTextChar">
    <w:name w:val="Comment Text Char"/>
    <w:basedOn w:val="DefaultParagraphFont"/>
    <w:link w:val="CommentText"/>
    <w:semiHidden/>
    <w:locked/>
    <w:rsid w:val="0063719B"/>
    <w:rPr>
      <w:rFonts w:ascii="Arial" w:hAnsi="Arial" w:cs="Arial"/>
      <w:lang w:eastAsia="en-US"/>
    </w:rPr>
  </w:style>
  <w:style w:type="paragraph" w:customStyle="1" w:styleId="StyleONRNumberedParagraph1Left0cmFirstline0cm">
    <w:name w:val="Style ONR Numbered Paragraph 1 + Left:  0 cm First line:  0 cm"/>
    <w:basedOn w:val="ONRNumberedParagraph1"/>
    <w:rsid w:val="0063719B"/>
    <w:pPr>
      <w:numPr>
        <w:numId w:val="37"/>
      </w:numPr>
      <w:spacing w:after="120"/>
      <w:ind w:left="0" w:firstLine="0"/>
      <w:jc w:val="both"/>
    </w:pPr>
    <w:rPr>
      <w:rFonts w:cs="Times New Roman"/>
      <w:szCs w:val="20"/>
    </w:rPr>
  </w:style>
  <w:style w:type="paragraph" w:customStyle="1" w:styleId="Refs">
    <w:name w:val="Refs"/>
    <w:basedOn w:val="Normal"/>
    <w:rsid w:val="0063719B"/>
    <w:pPr>
      <w:tabs>
        <w:tab w:val="left" w:pos="851"/>
        <w:tab w:val="left" w:pos="3856"/>
      </w:tabs>
      <w:spacing w:after="0" w:line="280" w:lineRule="exact"/>
      <w:jc w:val="both"/>
    </w:pPr>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716">
      <w:bodyDiv w:val="1"/>
      <w:marLeft w:val="0"/>
      <w:marRight w:val="0"/>
      <w:marTop w:val="0"/>
      <w:marBottom w:val="0"/>
      <w:divBdr>
        <w:top w:val="none" w:sz="0" w:space="0" w:color="auto"/>
        <w:left w:val="none" w:sz="0" w:space="0" w:color="auto"/>
        <w:bottom w:val="none" w:sz="0" w:space="0" w:color="auto"/>
        <w:right w:val="none" w:sz="0" w:space="0" w:color="auto"/>
      </w:divBdr>
      <w:divsChild>
        <w:div w:id="112285173">
          <w:marLeft w:val="0"/>
          <w:marRight w:val="0"/>
          <w:marTop w:val="0"/>
          <w:marBottom w:val="0"/>
          <w:divBdr>
            <w:top w:val="none" w:sz="0" w:space="0" w:color="auto"/>
            <w:left w:val="none" w:sz="0" w:space="0" w:color="auto"/>
            <w:bottom w:val="none" w:sz="0" w:space="0" w:color="auto"/>
            <w:right w:val="none" w:sz="0" w:space="0" w:color="auto"/>
          </w:divBdr>
        </w:div>
        <w:div w:id="127432717">
          <w:marLeft w:val="0"/>
          <w:marRight w:val="0"/>
          <w:marTop w:val="0"/>
          <w:marBottom w:val="0"/>
          <w:divBdr>
            <w:top w:val="none" w:sz="0" w:space="0" w:color="auto"/>
            <w:left w:val="none" w:sz="0" w:space="0" w:color="auto"/>
            <w:bottom w:val="none" w:sz="0" w:space="0" w:color="auto"/>
            <w:right w:val="none" w:sz="0" w:space="0" w:color="auto"/>
          </w:divBdr>
        </w:div>
        <w:div w:id="191382320">
          <w:marLeft w:val="0"/>
          <w:marRight w:val="0"/>
          <w:marTop w:val="0"/>
          <w:marBottom w:val="0"/>
          <w:divBdr>
            <w:top w:val="none" w:sz="0" w:space="0" w:color="auto"/>
            <w:left w:val="none" w:sz="0" w:space="0" w:color="auto"/>
            <w:bottom w:val="none" w:sz="0" w:space="0" w:color="auto"/>
            <w:right w:val="none" w:sz="0" w:space="0" w:color="auto"/>
          </w:divBdr>
        </w:div>
        <w:div w:id="440496110">
          <w:marLeft w:val="0"/>
          <w:marRight w:val="0"/>
          <w:marTop w:val="0"/>
          <w:marBottom w:val="0"/>
          <w:divBdr>
            <w:top w:val="none" w:sz="0" w:space="0" w:color="auto"/>
            <w:left w:val="none" w:sz="0" w:space="0" w:color="auto"/>
            <w:bottom w:val="none" w:sz="0" w:space="0" w:color="auto"/>
            <w:right w:val="none" w:sz="0" w:space="0" w:color="auto"/>
          </w:divBdr>
        </w:div>
        <w:div w:id="452554995">
          <w:marLeft w:val="0"/>
          <w:marRight w:val="0"/>
          <w:marTop w:val="0"/>
          <w:marBottom w:val="0"/>
          <w:divBdr>
            <w:top w:val="none" w:sz="0" w:space="0" w:color="auto"/>
            <w:left w:val="none" w:sz="0" w:space="0" w:color="auto"/>
            <w:bottom w:val="none" w:sz="0" w:space="0" w:color="auto"/>
            <w:right w:val="none" w:sz="0" w:space="0" w:color="auto"/>
          </w:divBdr>
        </w:div>
        <w:div w:id="886141403">
          <w:marLeft w:val="0"/>
          <w:marRight w:val="0"/>
          <w:marTop w:val="0"/>
          <w:marBottom w:val="0"/>
          <w:divBdr>
            <w:top w:val="none" w:sz="0" w:space="0" w:color="auto"/>
            <w:left w:val="none" w:sz="0" w:space="0" w:color="auto"/>
            <w:bottom w:val="none" w:sz="0" w:space="0" w:color="auto"/>
            <w:right w:val="none" w:sz="0" w:space="0" w:color="auto"/>
          </w:divBdr>
        </w:div>
        <w:div w:id="1077826212">
          <w:marLeft w:val="0"/>
          <w:marRight w:val="0"/>
          <w:marTop w:val="0"/>
          <w:marBottom w:val="0"/>
          <w:divBdr>
            <w:top w:val="none" w:sz="0" w:space="0" w:color="auto"/>
            <w:left w:val="none" w:sz="0" w:space="0" w:color="auto"/>
            <w:bottom w:val="none" w:sz="0" w:space="0" w:color="auto"/>
            <w:right w:val="none" w:sz="0" w:space="0" w:color="auto"/>
          </w:divBdr>
        </w:div>
        <w:div w:id="1086612476">
          <w:marLeft w:val="0"/>
          <w:marRight w:val="0"/>
          <w:marTop w:val="0"/>
          <w:marBottom w:val="0"/>
          <w:divBdr>
            <w:top w:val="none" w:sz="0" w:space="0" w:color="auto"/>
            <w:left w:val="none" w:sz="0" w:space="0" w:color="auto"/>
            <w:bottom w:val="none" w:sz="0" w:space="0" w:color="auto"/>
            <w:right w:val="none" w:sz="0" w:space="0" w:color="auto"/>
          </w:divBdr>
        </w:div>
        <w:div w:id="1300185171">
          <w:marLeft w:val="0"/>
          <w:marRight w:val="0"/>
          <w:marTop w:val="0"/>
          <w:marBottom w:val="0"/>
          <w:divBdr>
            <w:top w:val="none" w:sz="0" w:space="0" w:color="auto"/>
            <w:left w:val="none" w:sz="0" w:space="0" w:color="auto"/>
            <w:bottom w:val="none" w:sz="0" w:space="0" w:color="auto"/>
            <w:right w:val="none" w:sz="0" w:space="0" w:color="auto"/>
          </w:divBdr>
        </w:div>
        <w:div w:id="1323896629">
          <w:marLeft w:val="0"/>
          <w:marRight w:val="0"/>
          <w:marTop w:val="0"/>
          <w:marBottom w:val="0"/>
          <w:divBdr>
            <w:top w:val="none" w:sz="0" w:space="0" w:color="auto"/>
            <w:left w:val="none" w:sz="0" w:space="0" w:color="auto"/>
            <w:bottom w:val="none" w:sz="0" w:space="0" w:color="auto"/>
            <w:right w:val="none" w:sz="0" w:space="0" w:color="auto"/>
          </w:divBdr>
        </w:div>
        <w:div w:id="1350335225">
          <w:marLeft w:val="0"/>
          <w:marRight w:val="0"/>
          <w:marTop w:val="0"/>
          <w:marBottom w:val="0"/>
          <w:divBdr>
            <w:top w:val="none" w:sz="0" w:space="0" w:color="auto"/>
            <w:left w:val="none" w:sz="0" w:space="0" w:color="auto"/>
            <w:bottom w:val="none" w:sz="0" w:space="0" w:color="auto"/>
            <w:right w:val="none" w:sz="0" w:space="0" w:color="auto"/>
          </w:divBdr>
        </w:div>
        <w:div w:id="1465931702">
          <w:marLeft w:val="0"/>
          <w:marRight w:val="0"/>
          <w:marTop w:val="0"/>
          <w:marBottom w:val="0"/>
          <w:divBdr>
            <w:top w:val="none" w:sz="0" w:space="0" w:color="auto"/>
            <w:left w:val="none" w:sz="0" w:space="0" w:color="auto"/>
            <w:bottom w:val="none" w:sz="0" w:space="0" w:color="auto"/>
            <w:right w:val="none" w:sz="0" w:space="0" w:color="auto"/>
          </w:divBdr>
        </w:div>
        <w:div w:id="1495410489">
          <w:marLeft w:val="0"/>
          <w:marRight w:val="0"/>
          <w:marTop w:val="0"/>
          <w:marBottom w:val="0"/>
          <w:divBdr>
            <w:top w:val="none" w:sz="0" w:space="0" w:color="auto"/>
            <w:left w:val="none" w:sz="0" w:space="0" w:color="auto"/>
            <w:bottom w:val="none" w:sz="0" w:space="0" w:color="auto"/>
            <w:right w:val="none" w:sz="0" w:space="0" w:color="auto"/>
          </w:divBdr>
        </w:div>
      </w:divsChild>
    </w:div>
    <w:div w:id="81074499">
      <w:bodyDiv w:val="1"/>
      <w:marLeft w:val="375"/>
      <w:marRight w:val="0"/>
      <w:marTop w:val="375"/>
      <w:marBottom w:val="0"/>
      <w:divBdr>
        <w:top w:val="none" w:sz="0" w:space="0" w:color="auto"/>
        <w:left w:val="none" w:sz="0" w:space="0" w:color="auto"/>
        <w:bottom w:val="none" w:sz="0" w:space="0" w:color="auto"/>
        <w:right w:val="none" w:sz="0" w:space="0" w:color="auto"/>
      </w:divBdr>
      <w:divsChild>
        <w:div w:id="178198919">
          <w:marLeft w:val="0"/>
          <w:marRight w:val="0"/>
          <w:marTop w:val="0"/>
          <w:marBottom w:val="0"/>
          <w:divBdr>
            <w:top w:val="none" w:sz="0" w:space="0" w:color="auto"/>
            <w:left w:val="none" w:sz="0" w:space="0" w:color="auto"/>
            <w:bottom w:val="none" w:sz="0" w:space="0" w:color="auto"/>
            <w:right w:val="none" w:sz="0" w:space="0" w:color="auto"/>
          </w:divBdr>
        </w:div>
        <w:div w:id="220866380">
          <w:marLeft w:val="0"/>
          <w:marRight w:val="0"/>
          <w:marTop w:val="0"/>
          <w:marBottom w:val="0"/>
          <w:divBdr>
            <w:top w:val="none" w:sz="0" w:space="0" w:color="auto"/>
            <w:left w:val="none" w:sz="0" w:space="0" w:color="auto"/>
            <w:bottom w:val="none" w:sz="0" w:space="0" w:color="auto"/>
            <w:right w:val="none" w:sz="0" w:space="0" w:color="auto"/>
          </w:divBdr>
        </w:div>
        <w:div w:id="530845563">
          <w:marLeft w:val="0"/>
          <w:marRight w:val="0"/>
          <w:marTop w:val="0"/>
          <w:marBottom w:val="0"/>
          <w:divBdr>
            <w:top w:val="none" w:sz="0" w:space="0" w:color="auto"/>
            <w:left w:val="none" w:sz="0" w:space="0" w:color="auto"/>
            <w:bottom w:val="none" w:sz="0" w:space="0" w:color="auto"/>
            <w:right w:val="none" w:sz="0" w:space="0" w:color="auto"/>
          </w:divBdr>
        </w:div>
        <w:div w:id="1323505612">
          <w:marLeft w:val="0"/>
          <w:marRight w:val="0"/>
          <w:marTop w:val="0"/>
          <w:marBottom w:val="0"/>
          <w:divBdr>
            <w:top w:val="none" w:sz="0" w:space="0" w:color="auto"/>
            <w:left w:val="none" w:sz="0" w:space="0" w:color="auto"/>
            <w:bottom w:val="none" w:sz="0" w:space="0" w:color="auto"/>
            <w:right w:val="none" w:sz="0" w:space="0" w:color="auto"/>
          </w:divBdr>
        </w:div>
        <w:div w:id="1843814892">
          <w:marLeft w:val="0"/>
          <w:marRight w:val="0"/>
          <w:marTop w:val="0"/>
          <w:marBottom w:val="0"/>
          <w:divBdr>
            <w:top w:val="none" w:sz="0" w:space="0" w:color="auto"/>
            <w:left w:val="none" w:sz="0" w:space="0" w:color="auto"/>
            <w:bottom w:val="none" w:sz="0" w:space="0" w:color="auto"/>
            <w:right w:val="none" w:sz="0" w:space="0" w:color="auto"/>
          </w:divBdr>
        </w:div>
        <w:div w:id="1849713784">
          <w:marLeft w:val="0"/>
          <w:marRight w:val="0"/>
          <w:marTop w:val="0"/>
          <w:marBottom w:val="0"/>
          <w:divBdr>
            <w:top w:val="none" w:sz="0" w:space="0" w:color="auto"/>
            <w:left w:val="none" w:sz="0" w:space="0" w:color="auto"/>
            <w:bottom w:val="none" w:sz="0" w:space="0" w:color="auto"/>
            <w:right w:val="none" w:sz="0" w:space="0" w:color="auto"/>
          </w:divBdr>
        </w:div>
        <w:div w:id="2059014295">
          <w:marLeft w:val="0"/>
          <w:marRight w:val="0"/>
          <w:marTop w:val="0"/>
          <w:marBottom w:val="0"/>
          <w:divBdr>
            <w:top w:val="none" w:sz="0" w:space="0" w:color="auto"/>
            <w:left w:val="none" w:sz="0" w:space="0" w:color="auto"/>
            <w:bottom w:val="none" w:sz="0" w:space="0" w:color="auto"/>
            <w:right w:val="none" w:sz="0" w:space="0" w:color="auto"/>
          </w:divBdr>
        </w:div>
      </w:divsChild>
    </w:div>
    <w:div w:id="117653246">
      <w:bodyDiv w:val="1"/>
      <w:marLeft w:val="0"/>
      <w:marRight w:val="0"/>
      <w:marTop w:val="0"/>
      <w:marBottom w:val="0"/>
      <w:divBdr>
        <w:top w:val="none" w:sz="0" w:space="0" w:color="auto"/>
        <w:left w:val="none" w:sz="0" w:space="0" w:color="auto"/>
        <w:bottom w:val="none" w:sz="0" w:space="0" w:color="auto"/>
        <w:right w:val="none" w:sz="0" w:space="0" w:color="auto"/>
      </w:divBdr>
    </w:div>
    <w:div w:id="130246868">
      <w:bodyDiv w:val="1"/>
      <w:marLeft w:val="0"/>
      <w:marRight w:val="0"/>
      <w:marTop w:val="0"/>
      <w:marBottom w:val="0"/>
      <w:divBdr>
        <w:top w:val="none" w:sz="0" w:space="0" w:color="auto"/>
        <w:left w:val="none" w:sz="0" w:space="0" w:color="auto"/>
        <w:bottom w:val="none" w:sz="0" w:space="0" w:color="auto"/>
        <w:right w:val="none" w:sz="0" w:space="0" w:color="auto"/>
      </w:divBdr>
    </w:div>
    <w:div w:id="218901002">
      <w:bodyDiv w:val="1"/>
      <w:marLeft w:val="0"/>
      <w:marRight w:val="0"/>
      <w:marTop w:val="0"/>
      <w:marBottom w:val="0"/>
      <w:divBdr>
        <w:top w:val="none" w:sz="0" w:space="0" w:color="auto"/>
        <w:left w:val="none" w:sz="0" w:space="0" w:color="auto"/>
        <w:bottom w:val="none" w:sz="0" w:space="0" w:color="auto"/>
        <w:right w:val="none" w:sz="0" w:space="0" w:color="auto"/>
      </w:divBdr>
      <w:divsChild>
        <w:div w:id="16933910">
          <w:marLeft w:val="0"/>
          <w:marRight w:val="0"/>
          <w:marTop w:val="0"/>
          <w:marBottom w:val="0"/>
          <w:divBdr>
            <w:top w:val="none" w:sz="0" w:space="0" w:color="auto"/>
            <w:left w:val="none" w:sz="0" w:space="0" w:color="auto"/>
            <w:bottom w:val="none" w:sz="0" w:space="0" w:color="auto"/>
            <w:right w:val="none" w:sz="0" w:space="0" w:color="auto"/>
          </w:divBdr>
        </w:div>
        <w:div w:id="90013521">
          <w:marLeft w:val="0"/>
          <w:marRight w:val="0"/>
          <w:marTop w:val="0"/>
          <w:marBottom w:val="0"/>
          <w:divBdr>
            <w:top w:val="none" w:sz="0" w:space="0" w:color="auto"/>
            <w:left w:val="none" w:sz="0" w:space="0" w:color="auto"/>
            <w:bottom w:val="none" w:sz="0" w:space="0" w:color="auto"/>
            <w:right w:val="none" w:sz="0" w:space="0" w:color="auto"/>
          </w:divBdr>
        </w:div>
        <w:div w:id="156848323">
          <w:marLeft w:val="0"/>
          <w:marRight w:val="0"/>
          <w:marTop w:val="0"/>
          <w:marBottom w:val="0"/>
          <w:divBdr>
            <w:top w:val="none" w:sz="0" w:space="0" w:color="auto"/>
            <w:left w:val="none" w:sz="0" w:space="0" w:color="auto"/>
            <w:bottom w:val="none" w:sz="0" w:space="0" w:color="auto"/>
            <w:right w:val="none" w:sz="0" w:space="0" w:color="auto"/>
          </w:divBdr>
        </w:div>
        <w:div w:id="221796323">
          <w:marLeft w:val="0"/>
          <w:marRight w:val="0"/>
          <w:marTop w:val="0"/>
          <w:marBottom w:val="0"/>
          <w:divBdr>
            <w:top w:val="none" w:sz="0" w:space="0" w:color="auto"/>
            <w:left w:val="none" w:sz="0" w:space="0" w:color="auto"/>
            <w:bottom w:val="none" w:sz="0" w:space="0" w:color="auto"/>
            <w:right w:val="none" w:sz="0" w:space="0" w:color="auto"/>
          </w:divBdr>
        </w:div>
        <w:div w:id="238711588">
          <w:marLeft w:val="0"/>
          <w:marRight w:val="0"/>
          <w:marTop w:val="0"/>
          <w:marBottom w:val="0"/>
          <w:divBdr>
            <w:top w:val="none" w:sz="0" w:space="0" w:color="auto"/>
            <w:left w:val="none" w:sz="0" w:space="0" w:color="auto"/>
            <w:bottom w:val="none" w:sz="0" w:space="0" w:color="auto"/>
            <w:right w:val="none" w:sz="0" w:space="0" w:color="auto"/>
          </w:divBdr>
        </w:div>
        <w:div w:id="239024984">
          <w:marLeft w:val="0"/>
          <w:marRight w:val="0"/>
          <w:marTop w:val="0"/>
          <w:marBottom w:val="0"/>
          <w:divBdr>
            <w:top w:val="none" w:sz="0" w:space="0" w:color="auto"/>
            <w:left w:val="none" w:sz="0" w:space="0" w:color="auto"/>
            <w:bottom w:val="none" w:sz="0" w:space="0" w:color="auto"/>
            <w:right w:val="none" w:sz="0" w:space="0" w:color="auto"/>
          </w:divBdr>
        </w:div>
        <w:div w:id="328335530">
          <w:marLeft w:val="0"/>
          <w:marRight w:val="0"/>
          <w:marTop w:val="0"/>
          <w:marBottom w:val="0"/>
          <w:divBdr>
            <w:top w:val="none" w:sz="0" w:space="0" w:color="auto"/>
            <w:left w:val="none" w:sz="0" w:space="0" w:color="auto"/>
            <w:bottom w:val="none" w:sz="0" w:space="0" w:color="auto"/>
            <w:right w:val="none" w:sz="0" w:space="0" w:color="auto"/>
          </w:divBdr>
        </w:div>
        <w:div w:id="350843853">
          <w:marLeft w:val="0"/>
          <w:marRight w:val="0"/>
          <w:marTop w:val="0"/>
          <w:marBottom w:val="0"/>
          <w:divBdr>
            <w:top w:val="none" w:sz="0" w:space="0" w:color="auto"/>
            <w:left w:val="none" w:sz="0" w:space="0" w:color="auto"/>
            <w:bottom w:val="none" w:sz="0" w:space="0" w:color="auto"/>
            <w:right w:val="none" w:sz="0" w:space="0" w:color="auto"/>
          </w:divBdr>
        </w:div>
        <w:div w:id="460617245">
          <w:marLeft w:val="0"/>
          <w:marRight w:val="0"/>
          <w:marTop w:val="0"/>
          <w:marBottom w:val="0"/>
          <w:divBdr>
            <w:top w:val="none" w:sz="0" w:space="0" w:color="auto"/>
            <w:left w:val="none" w:sz="0" w:space="0" w:color="auto"/>
            <w:bottom w:val="none" w:sz="0" w:space="0" w:color="auto"/>
            <w:right w:val="none" w:sz="0" w:space="0" w:color="auto"/>
          </w:divBdr>
        </w:div>
        <w:div w:id="613904635">
          <w:marLeft w:val="0"/>
          <w:marRight w:val="0"/>
          <w:marTop w:val="0"/>
          <w:marBottom w:val="0"/>
          <w:divBdr>
            <w:top w:val="none" w:sz="0" w:space="0" w:color="auto"/>
            <w:left w:val="none" w:sz="0" w:space="0" w:color="auto"/>
            <w:bottom w:val="none" w:sz="0" w:space="0" w:color="auto"/>
            <w:right w:val="none" w:sz="0" w:space="0" w:color="auto"/>
          </w:divBdr>
        </w:div>
        <w:div w:id="647630310">
          <w:marLeft w:val="0"/>
          <w:marRight w:val="0"/>
          <w:marTop w:val="0"/>
          <w:marBottom w:val="0"/>
          <w:divBdr>
            <w:top w:val="none" w:sz="0" w:space="0" w:color="auto"/>
            <w:left w:val="none" w:sz="0" w:space="0" w:color="auto"/>
            <w:bottom w:val="none" w:sz="0" w:space="0" w:color="auto"/>
            <w:right w:val="none" w:sz="0" w:space="0" w:color="auto"/>
          </w:divBdr>
        </w:div>
        <w:div w:id="745884070">
          <w:marLeft w:val="0"/>
          <w:marRight w:val="0"/>
          <w:marTop w:val="0"/>
          <w:marBottom w:val="0"/>
          <w:divBdr>
            <w:top w:val="none" w:sz="0" w:space="0" w:color="auto"/>
            <w:left w:val="none" w:sz="0" w:space="0" w:color="auto"/>
            <w:bottom w:val="none" w:sz="0" w:space="0" w:color="auto"/>
            <w:right w:val="none" w:sz="0" w:space="0" w:color="auto"/>
          </w:divBdr>
        </w:div>
        <w:div w:id="774061621">
          <w:marLeft w:val="0"/>
          <w:marRight w:val="0"/>
          <w:marTop w:val="0"/>
          <w:marBottom w:val="0"/>
          <w:divBdr>
            <w:top w:val="none" w:sz="0" w:space="0" w:color="auto"/>
            <w:left w:val="none" w:sz="0" w:space="0" w:color="auto"/>
            <w:bottom w:val="none" w:sz="0" w:space="0" w:color="auto"/>
            <w:right w:val="none" w:sz="0" w:space="0" w:color="auto"/>
          </w:divBdr>
        </w:div>
        <w:div w:id="788276466">
          <w:marLeft w:val="0"/>
          <w:marRight w:val="0"/>
          <w:marTop w:val="0"/>
          <w:marBottom w:val="0"/>
          <w:divBdr>
            <w:top w:val="none" w:sz="0" w:space="0" w:color="auto"/>
            <w:left w:val="none" w:sz="0" w:space="0" w:color="auto"/>
            <w:bottom w:val="none" w:sz="0" w:space="0" w:color="auto"/>
            <w:right w:val="none" w:sz="0" w:space="0" w:color="auto"/>
          </w:divBdr>
        </w:div>
        <w:div w:id="1021780921">
          <w:marLeft w:val="0"/>
          <w:marRight w:val="0"/>
          <w:marTop w:val="0"/>
          <w:marBottom w:val="0"/>
          <w:divBdr>
            <w:top w:val="none" w:sz="0" w:space="0" w:color="auto"/>
            <w:left w:val="none" w:sz="0" w:space="0" w:color="auto"/>
            <w:bottom w:val="none" w:sz="0" w:space="0" w:color="auto"/>
            <w:right w:val="none" w:sz="0" w:space="0" w:color="auto"/>
          </w:divBdr>
        </w:div>
        <w:div w:id="1038775693">
          <w:marLeft w:val="0"/>
          <w:marRight w:val="0"/>
          <w:marTop w:val="0"/>
          <w:marBottom w:val="0"/>
          <w:divBdr>
            <w:top w:val="none" w:sz="0" w:space="0" w:color="auto"/>
            <w:left w:val="none" w:sz="0" w:space="0" w:color="auto"/>
            <w:bottom w:val="none" w:sz="0" w:space="0" w:color="auto"/>
            <w:right w:val="none" w:sz="0" w:space="0" w:color="auto"/>
          </w:divBdr>
        </w:div>
        <w:div w:id="1266495601">
          <w:marLeft w:val="0"/>
          <w:marRight w:val="0"/>
          <w:marTop w:val="0"/>
          <w:marBottom w:val="0"/>
          <w:divBdr>
            <w:top w:val="none" w:sz="0" w:space="0" w:color="auto"/>
            <w:left w:val="none" w:sz="0" w:space="0" w:color="auto"/>
            <w:bottom w:val="none" w:sz="0" w:space="0" w:color="auto"/>
            <w:right w:val="none" w:sz="0" w:space="0" w:color="auto"/>
          </w:divBdr>
        </w:div>
        <w:div w:id="1278678549">
          <w:marLeft w:val="0"/>
          <w:marRight w:val="0"/>
          <w:marTop w:val="0"/>
          <w:marBottom w:val="0"/>
          <w:divBdr>
            <w:top w:val="none" w:sz="0" w:space="0" w:color="auto"/>
            <w:left w:val="none" w:sz="0" w:space="0" w:color="auto"/>
            <w:bottom w:val="none" w:sz="0" w:space="0" w:color="auto"/>
            <w:right w:val="none" w:sz="0" w:space="0" w:color="auto"/>
          </w:divBdr>
        </w:div>
        <w:div w:id="1322005041">
          <w:marLeft w:val="0"/>
          <w:marRight w:val="0"/>
          <w:marTop w:val="0"/>
          <w:marBottom w:val="0"/>
          <w:divBdr>
            <w:top w:val="none" w:sz="0" w:space="0" w:color="auto"/>
            <w:left w:val="none" w:sz="0" w:space="0" w:color="auto"/>
            <w:bottom w:val="none" w:sz="0" w:space="0" w:color="auto"/>
            <w:right w:val="none" w:sz="0" w:space="0" w:color="auto"/>
          </w:divBdr>
        </w:div>
        <w:div w:id="1343118680">
          <w:marLeft w:val="0"/>
          <w:marRight w:val="0"/>
          <w:marTop w:val="0"/>
          <w:marBottom w:val="0"/>
          <w:divBdr>
            <w:top w:val="none" w:sz="0" w:space="0" w:color="auto"/>
            <w:left w:val="none" w:sz="0" w:space="0" w:color="auto"/>
            <w:bottom w:val="none" w:sz="0" w:space="0" w:color="auto"/>
            <w:right w:val="none" w:sz="0" w:space="0" w:color="auto"/>
          </w:divBdr>
        </w:div>
        <w:div w:id="1360277947">
          <w:marLeft w:val="0"/>
          <w:marRight w:val="0"/>
          <w:marTop w:val="0"/>
          <w:marBottom w:val="0"/>
          <w:divBdr>
            <w:top w:val="none" w:sz="0" w:space="0" w:color="auto"/>
            <w:left w:val="none" w:sz="0" w:space="0" w:color="auto"/>
            <w:bottom w:val="none" w:sz="0" w:space="0" w:color="auto"/>
            <w:right w:val="none" w:sz="0" w:space="0" w:color="auto"/>
          </w:divBdr>
        </w:div>
        <w:div w:id="1462924320">
          <w:marLeft w:val="0"/>
          <w:marRight w:val="0"/>
          <w:marTop w:val="0"/>
          <w:marBottom w:val="0"/>
          <w:divBdr>
            <w:top w:val="none" w:sz="0" w:space="0" w:color="auto"/>
            <w:left w:val="none" w:sz="0" w:space="0" w:color="auto"/>
            <w:bottom w:val="none" w:sz="0" w:space="0" w:color="auto"/>
            <w:right w:val="none" w:sz="0" w:space="0" w:color="auto"/>
          </w:divBdr>
        </w:div>
        <w:div w:id="1542742425">
          <w:marLeft w:val="0"/>
          <w:marRight w:val="0"/>
          <w:marTop w:val="0"/>
          <w:marBottom w:val="0"/>
          <w:divBdr>
            <w:top w:val="none" w:sz="0" w:space="0" w:color="auto"/>
            <w:left w:val="none" w:sz="0" w:space="0" w:color="auto"/>
            <w:bottom w:val="none" w:sz="0" w:space="0" w:color="auto"/>
            <w:right w:val="none" w:sz="0" w:space="0" w:color="auto"/>
          </w:divBdr>
        </w:div>
        <w:div w:id="1555383576">
          <w:marLeft w:val="0"/>
          <w:marRight w:val="0"/>
          <w:marTop w:val="0"/>
          <w:marBottom w:val="0"/>
          <w:divBdr>
            <w:top w:val="none" w:sz="0" w:space="0" w:color="auto"/>
            <w:left w:val="none" w:sz="0" w:space="0" w:color="auto"/>
            <w:bottom w:val="none" w:sz="0" w:space="0" w:color="auto"/>
            <w:right w:val="none" w:sz="0" w:space="0" w:color="auto"/>
          </w:divBdr>
        </w:div>
        <w:div w:id="1575092867">
          <w:marLeft w:val="0"/>
          <w:marRight w:val="0"/>
          <w:marTop w:val="0"/>
          <w:marBottom w:val="0"/>
          <w:divBdr>
            <w:top w:val="none" w:sz="0" w:space="0" w:color="auto"/>
            <w:left w:val="none" w:sz="0" w:space="0" w:color="auto"/>
            <w:bottom w:val="none" w:sz="0" w:space="0" w:color="auto"/>
            <w:right w:val="none" w:sz="0" w:space="0" w:color="auto"/>
          </w:divBdr>
        </w:div>
        <w:div w:id="1623151409">
          <w:marLeft w:val="0"/>
          <w:marRight w:val="0"/>
          <w:marTop w:val="0"/>
          <w:marBottom w:val="0"/>
          <w:divBdr>
            <w:top w:val="none" w:sz="0" w:space="0" w:color="auto"/>
            <w:left w:val="none" w:sz="0" w:space="0" w:color="auto"/>
            <w:bottom w:val="none" w:sz="0" w:space="0" w:color="auto"/>
            <w:right w:val="none" w:sz="0" w:space="0" w:color="auto"/>
          </w:divBdr>
        </w:div>
        <w:div w:id="1648052832">
          <w:marLeft w:val="0"/>
          <w:marRight w:val="0"/>
          <w:marTop w:val="0"/>
          <w:marBottom w:val="0"/>
          <w:divBdr>
            <w:top w:val="none" w:sz="0" w:space="0" w:color="auto"/>
            <w:left w:val="none" w:sz="0" w:space="0" w:color="auto"/>
            <w:bottom w:val="none" w:sz="0" w:space="0" w:color="auto"/>
            <w:right w:val="none" w:sz="0" w:space="0" w:color="auto"/>
          </w:divBdr>
        </w:div>
        <w:div w:id="1682705286">
          <w:marLeft w:val="0"/>
          <w:marRight w:val="0"/>
          <w:marTop w:val="0"/>
          <w:marBottom w:val="0"/>
          <w:divBdr>
            <w:top w:val="none" w:sz="0" w:space="0" w:color="auto"/>
            <w:left w:val="none" w:sz="0" w:space="0" w:color="auto"/>
            <w:bottom w:val="none" w:sz="0" w:space="0" w:color="auto"/>
            <w:right w:val="none" w:sz="0" w:space="0" w:color="auto"/>
          </w:divBdr>
        </w:div>
        <w:div w:id="1932203923">
          <w:marLeft w:val="0"/>
          <w:marRight w:val="0"/>
          <w:marTop w:val="0"/>
          <w:marBottom w:val="0"/>
          <w:divBdr>
            <w:top w:val="none" w:sz="0" w:space="0" w:color="auto"/>
            <w:left w:val="none" w:sz="0" w:space="0" w:color="auto"/>
            <w:bottom w:val="none" w:sz="0" w:space="0" w:color="auto"/>
            <w:right w:val="none" w:sz="0" w:space="0" w:color="auto"/>
          </w:divBdr>
        </w:div>
        <w:div w:id="2094425933">
          <w:marLeft w:val="0"/>
          <w:marRight w:val="0"/>
          <w:marTop w:val="0"/>
          <w:marBottom w:val="0"/>
          <w:divBdr>
            <w:top w:val="none" w:sz="0" w:space="0" w:color="auto"/>
            <w:left w:val="none" w:sz="0" w:space="0" w:color="auto"/>
            <w:bottom w:val="none" w:sz="0" w:space="0" w:color="auto"/>
            <w:right w:val="none" w:sz="0" w:space="0" w:color="auto"/>
          </w:divBdr>
        </w:div>
        <w:div w:id="2127578184">
          <w:marLeft w:val="0"/>
          <w:marRight w:val="0"/>
          <w:marTop w:val="0"/>
          <w:marBottom w:val="0"/>
          <w:divBdr>
            <w:top w:val="none" w:sz="0" w:space="0" w:color="auto"/>
            <w:left w:val="none" w:sz="0" w:space="0" w:color="auto"/>
            <w:bottom w:val="none" w:sz="0" w:space="0" w:color="auto"/>
            <w:right w:val="none" w:sz="0" w:space="0" w:color="auto"/>
          </w:divBdr>
        </w:div>
      </w:divsChild>
    </w:div>
    <w:div w:id="231159640">
      <w:bodyDiv w:val="1"/>
      <w:marLeft w:val="0"/>
      <w:marRight w:val="0"/>
      <w:marTop w:val="0"/>
      <w:marBottom w:val="0"/>
      <w:divBdr>
        <w:top w:val="none" w:sz="0" w:space="0" w:color="auto"/>
        <w:left w:val="none" w:sz="0" w:space="0" w:color="auto"/>
        <w:bottom w:val="none" w:sz="0" w:space="0" w:color="auto"/>
        <w:right w:val="none" w:sz="0" w:space="0" w:color="auto"/>
      </w:divBdr>
      <w:divsChild>
        <w:div w:id="876508055">
          <w:marLeft w:val="0"/>
          <w:marRight w:val="0"/>
          <w:marTop w:val="0"/>
          <w:marBottom w:val="0"/>
          <w:divBdr>
            <w:top w:val="none" w:sz="0" w:space="0" w:color="auto"/>
            <w:left w:val="none" w:sz="0" w:space="0" w:color="auto"/>
            <w:bottom w:val="none" w:sz="0" w:space="0" w:color="auto"/>
            <w:right w:val="none" w:sz="0" w:space="0" w:color="auto"/>
          </w:divBdr>
        </w:div>
      </w:divsChild>
    </w:div>
    <w:div w:id="254095127">
      <w:bodyDiv w:val="1"/>
      <w:marLeft w:val="0"/>
      <w:marRight w:val="0"/>
      <w:marTop w:val="0"/>
      <w:marBottom w:val="0"/>
      <w:divBdr>
        <w:top w:val="none" w:sz="0" w:space="0" w:color="auto"/>
        <w:left w:val="none" w:sz="0" w:space="0" w:color="auto"/>
        <w:bottom w:val="none" w:sz="0" w:space="0" w:color="auto"/>
        <w:right w:val="none" w:sz="0" w:space="0" w:color="auto"/>
      </w:divBdr>
    </w:div>
    <w:div w:id="271206077">
      <w:bodyDiv w:val="1"/>
      <w:marLeft w:val="0"/>
      <w:marRight w:val="0"/>
      <w:marTop w:val="0"/>
      <w:marBottom w:val="0"/>
      <w:divBdr>
        <w:top w:val="none" w:sz="0" w:space="0" w:color="auto"/>
        <w:left w:val="none" w:sz="0" w:space="0" w:color="auto"/>
        <w:bottom w:val="none" w:sz="0" w:space="0" w:color="auto"/>
        <w:right w:val="none" w:sz="0" w:space="0" w:color="auto"/>
      </w:divBdr>
    </w:div>
    <w:div w:id="358358446">
      <w:bodyDiv w:val="1"/>
      <w:marLeft w:val="0"/>
      <w:marRight w:val="0"/>
      <w:marTop w:val="0"/>
      <w:marBottom w:val="0"/>
      <w:divBdr>
        <w:top w:val="none" w:sz="0" w:space="0" w:color="auto"/>
        <w:left w:val="none" w:sz="0" w:space="0" w:color="auto"/>
        <w:bottom w:val="none" w:sz="0" w:space="0" w:color="auto"/>
        <w:right w:val="none" w:sz="0" w:space="0" w:color="auto"/>
      </w:divBdr>
      <w:divsChild>
        <w:div w:id="167915254">
          <w:marLeft w:val="0"/>
          <w:marRight w:val="0"/>
          <w:marTop w:val="0"/>
          <w:marBottom w:val="0"/>
          <w:divBdr>
            <w:top w:val="none" w:sz="0" w:space="0" w:color="auto"/>
            <w:left w:val="none" w:sz="0" w:space="0" w:color="auto"/>
            <w:bottom w:val="none" w:sz="0" w:space="0" w:color="auto"/>
            <w:right w:val="none" w:sz="0" w:space="0" w:color="auto"/>
          </w:divBdr>
        </w:div>
        <w:div w:id="514006077">
          <w:marLeft w:val="0"/>
          <w:marRight w:val="0"/>
          <w:marTop w:val="0"/>
          <w:marBottom w:val="0"/>
          <w:divBdr>
            <w:top w:val="none" w:sz="0" w:space="0" w:color="auto"/>
            <w:left w:val="none" w:sz="0" w:space="0" w:color="auto"/>
            <w:bottom w:val="none" w:sz="0" w:space="0" w:color="auto"/>
            <w:right w:val="none" w:sz="0" w:space="0" w:color="auto"/>
          </w:divBdr>
        </w:div>
        <w:div w:id="1358235068">
          <w:marLeft w:val="0"/>
          <w:marRight w:val="0"/>
          <w:marTop w:val="0"/>
          <w:marBottom w:val="0"/>
          <w:divBdr>
            <w:top w:val="none" w:sz="0" w:space="0" w:color="auto"/>
            <w:left w:val="none" w:sz="0" w:space="0" w:color="auto"/>
            <w:bottom w:val="none" w:sz="0" w:space="0" w:color="auto"/>
            <w:right w:val="none" w:sz="0" w:space="0" w:color="auto"/>
          </w:divBdr>
        </w:div>
      </w:divsChild>
    </w:div>
    <w:div w:id="383800434">
      <w:bodyDiv w:val="1"/>
      <w:marLeft w:val="0"/>
      <w:marRight w:val="0"/>
      <w:marTop w:val="0"/>
      <w:marBottom w:val="0"/>
      <w:divBdr>
        <w:top w:val="none" w:sz="0" w:space="0" w:color="auto"/>
        <w:left w:val="none" w:sz="0" w:space="0" w:color="auto"/>
        <w:bottom w:val="none" w:sz="0" w:space="0" w:color="auto"/>
        <w:right w:val="none" w:sz="0" w:space="0" w:color="auto"/>
      </w:divBdr>
      <w:divsChild>
        <w:div w:id="1176075066">
          <w:marLeft w:val="0"/>
          <w:marRight w:val="0"/>
          <w:marTop w:val="0"/>
          <w:marBottom w:val="0"/>
          <w:divBdr>
            <w:top w:val="none" w:sz="0" w:space="0" w:color="auto"/>
            <w:left w:val="none" w:sz="0" w:space="0" w:color="auto"/>
            <w:bottom w:val="none" w:sz="0" w:space="0" w:color="auto"/>
            <w:right w:val="none" w:sz="0" w:space="0" w:color="auto"/>
          </w:divBdr>
        </w:div>
      </w:divsChild>
    </w:div>
    <w:div w:id="394665608">
      <w:bodyDiv w:val="1"/>
      <w:marLeft w:val="0"/>
      <w:marRight w:val="0"/>
      <w:marTop w:val="0"/>
      <w:marBottom w:val="0"/>
      <w:divBdr>
        <w:top w:val="none" w:sz="0" w:space="0" w:color="auto"/>
        <w:left w:val="none" w:sz="0" w:space="0" w:color="auto"/>
        <w:bottom w:val="none" w:sz="0" w:space="0" w:color="auto"/>
        <w:right w:val="none" w:sz="0" w:space="0" w:color="auto"/>
      </w:divBdr>
    </w:div>
    <w:div w:id="452209273">
      <w:bodyDiv w:val="1"/>
      <w:marLeft w:val="0"/>
      <w:marRight w:val="0"/>
      <w:marTop w:val="0"/>
      <w:marBottom w:val="0"/>
      <w:divBdr>
        <w:top w:val="none" w:sz="0" w:space="0" w:color="auto"/>
        <w:left w:val="none" w:sz="0" w:space="0" w:color="auto"/>
        <w:bottom w:val="none" w:sz="0" w:space="0" w:color="auto"/>
        <w:right w:val="none" w:sz="0" w:space="0" w:color="auto"/>
      </w:divBdr>
    </w:div>
    <w:div w:id="481190973">
      <w:bodyDiv w:val="1"/>
      <w:marLeft w:val="0"/>
      <w:marRight w:val="0"/>
      <w:marTop w:val="0"/>
      <w:marBottom w:val="0"/>
      <w:divBdr>
        <w:top w:val="none" w:sz="0" w:space="0" w:color="auto"/>
        <w:left w:val="none" w:sz="0" w:space="0" w:color="auto"/>
        <w:bottom w:val="none" w:sz="0" w:space="0" w:color="auto"/>
        <w:right w:val="none" w:sz="0" w:space="0" w:color="auto"/>
      </w:divBdr>
    </w:div>
    <w:div w:id="487937077">
      <w:bodyDiv w:val="1"/>
      <w:marLeft w:val="0"/>
      <w:marRight w:val="0"/>
      <w:marTop w:val="0"/>
      <w:marBottom w:val="0"/>
      <w:divBdr>
        <w:top w:val="none" w:sz="0" w:space="0" w:color="auto"/>
        <w:left w:val="none" w:sz="0" w:space="0" w:color="auto"/>
        <w:bottom w:val="none" w:sz="0" w:space="0" w:color="auto"/>
        <w:right w:val="none" w:sz="0" w:space="0" w:color="auto"/>
      </w:divBdr>
      <w:divsChild>
        <w:div w:id="698362123">
          <w:marLeft w:val="0"/>
          <w:marRight w:val="0"/>
          <w:marTop w:val="0"/>
          <w:marBottom w:val="0"/>
          <w:divBdr>
            <w:top w:val="none" w:sz="0" w:space="0" w:color="auto"/>
            <w:left w:val="none" w:sz="0" w:space="0" w:color="auto"/>
            <w:bottom w:val="none" w:sz="0" w:space="0" w:color="auto"/>
            <w:right w:val="none" w:sz="0" w:space="0" w:color="auto"/>
          </w:divBdr>
        </w:div>
      </w:divsChild>
    </w:div>
    <w:div w:id="536236341">
      <w:bodyDiv w:val="1"/>
      <w:marLeft w:val="0"/>
      <w:marRight w:val="0"/>
      <w:marTop w:val="0"/>
      <w:marBottom w:val="0"/>
      <w:divBdr>
        <w:top w:val="none" w:sz="0" w:space="0" w:color="auto"/>
        <w:left w:val="none" w:sz="0" w:space="0" w:color="auto"/>
        <w:bottom w:val="none" w:sz="0" w:space="0" w:color="auto"/>
        <w:right w:val="none" w:sz="0" w:space="0" w:color="auto"/>
      </w:divBdr>
      <w:divsChild>
        <w:div w:id="904338311">
          <w:marLeft w:val="2549"/>
          <w:marRight w:val="0"/>
          <w:marTop w:val="0"/>
          <w:marBottom w:val="60"/>
          <w:divBdr>
            <w:top w:val="none" w:sz="0" w:space="0" w:color="auto"/>
            <w:left w:val="none" w:sz="0" w:space="0" w:color="auto"/>
            <w:bottom w:val="none" w:sz="0" w:space="0" w:color="auto"/>
            <w:right w:val="none" w:sz="0" w:space="0" w:color="auto"/>
          </w:divBdr>
        </w:div>
      </w:divsChild>
    </w:div>
    <w:div w:id="546992508">
      <w:bodyDiv w:val="1"/>
      <w:marLeft w:val="0"/>
      <w:marRight w:val="0"/>
      <w:marTop w:val="0"/>
      <w:marBottom w:val="0"/>
      <w:divBdr>
        <w:top w:val="none" w:sz="0" w:space="0" w:color="auto"/>
        <w:left w:val="none" w:sz="0" w:space="0" w:color="auto"/>
        <w:bottom w:val="none" w:sz="0" w:space="0" w:color="auto"/>
        <w:right w:val="none" w:sz="0" w:space="0" w:color="auto"/>
      </w:divBdr>
    </w:div>
    <w:div w:id="558252661">
      <w:bodyDiv w:val="1"/>
      <w:marLeft w:val="0"/>
      <w:marRight w:val="0"/>
      <w:marTop w:val="0"/>
      <w:marBottom w:val="0"/>
      <w:divBdr>
        <w:top w:val="none" w:sz="0" w:space="0" w:color="auto"/>
        <w:left w:val="none" w:sz="0" w:space="0" w:color="auto"/>
        <w:bottom w:val="none" w:sz="0" w:space="0" w:color="auto"/>
        <w:right w:val="none" w:sz="0" w:space="0" w:color="auto"/>
      </w:divBdr>
    </w:div>
    <w:div w:id="631062311">
      <w:bodyDiv w:val="1"/>
      <w:marLeft w:val="0"/>
      <w:marRight w:val="0"/>
      <w:marTop w:val="0"/>
      <w:marBottom w:val="0"/>
      <w:divBdr>
        <w:top w:val="none" w:sz="0" w:space="0" w:color="auto"/>
        <w:left w:val="none" w:sz="0" w:space="0" w:color="auto"/>
        <w:bottom w:val="none" w:sz="0" w:space="0" w:color="auto"/>
        <w:right w:val="none" w:sz="0" w:space="0" w:color="auto"/>
      </w:divBdr>
    </w:div>
    <w:div w:id="670181680">
      <w:bodyDiv w:val="1"/>
      <w:marLeft w:val="0"/>
      <w:marRight w:val="0"/>
      <w:marTop w:val="0"/>
      <w:marBottom w:val="0"/>
      <w:divBdr>
        <w:top w:val="none" w:sz="0" w:space="0" w:color="auto"/>
        <w:left w:val="none" w:sz="0" w:space="0" w:color="auto"/>
        <w:bottom w:val="none" w:sz="0" w:space="0" w:color="auto"/>
        <w:right w:val="none" w:sz="0" w:space="0" w:color="auto"/>
      </w:divBdr>
      <w:divsChild>
        <w:div w:id="473714441">
          <w:marLeft w:val="0"/>
          <w:marRight w:val="0"/>
          <w:marTop w:val="0"/>
          <w:marBottom w:val="0"/>
          <w:divBdr>
            <w:top w:val="none" w:sz="0" w:space="0" w:color="auto"/>
            <w:left w:val="none" w:sz="0" w:space="0" w:color="auto"/>
            <w:bottom w:val="none" w:sz="0" w:space="0" w:color="auto"/>
            <w:right w:val="none" w:sz="0" w:space="0" w:color="auto"/>
          </w:divBdr>
        </w:div>
      </w:divsChild>
    </w:div>
    <w:div w:id="779570483">
      <w:bodyDiv w:val="1"/>
      <w:marLeft w:val="0"/>
      <w:marRight w:val="0"/>
      <w:marTop w:val="0"/>
      <w:marBottom w:val="0"/>
      <w:divBdr>
        <w:top w:val="none" w:sz="0" w:space="0" w:color="auto"/>
        <w:left w:val="none" w:sz="0" w:space="0" w:color="auto"/>
        <w:bottom w:val="none" w:sz="0" w:space="0" w:color="auto"/>
        <w:right w:val="none" w:sz="0" w:space="0" w:color="auto"/>
      </w:divBdr>
    </w:div>
    <w:div w:id="796610526">
      <w:bodyDiv w:val="1"/>
      <w:marLeft w:val="375"/>
      <w:marRight w:val="0"/>
      <w:marTop w:val="375"/>
      <w:marBottom w:val="0"/>
      <w:divBdr>
        <w:top w:val="none" w:sz="0" w:space="0" w:color="auto"/>
        <w:left w:val="none" w:sz="0" w:space="0" w:color="auto"/>
        <w:bottom w:val="none" w:sz="0" w:space="0" w:color="auto"/>
        <w:right w:val="none" w:sz="0" w:space="0" w:color="auto"/>
      </w:divBdr>
      <w:divsChild>
        <w:div w:id="413666484">
          <w:marLeft w:val="0"/>
          <w:marRight w:val="0"/>
          <w:marTop w:val="0"/>
          <w:marBottom w:val="0"/>
          <w:divBdr>
            <w:top w:val="none" w:sz="0" w:space="0" w:color="auto"/>
            <w:left w:val="none" w:sz="0" w:space="0" w:color="auto"/>
            <w:bottom w:val="none" w:sz="0" w:space="0" w:color="auto"/>
            <w:right w:val="none" w:sz="0" w:space="0" w:color="auto"/>
          </w:divBdr>
        </w:div>
        <w:div w:id="580412766">
          <w:marLeft w:val="0"/>
          <w:marRight w:val="0"/>
          <w:marTop w:val="0"/>
          <w:marBottom w:val="0"/>
          <w:divBdr>
            <w:top w:val="none" w:sz="0" w:space="0" w:color="auto"/>
            <w:left w:val="none" w:sz="0" w:space="0" w:color="auto"/>
            <w:bottom w:val="none" w:sz="0" w:space="0" w:color="auto"/>
            <w:right w:val="none" w:sz="0" w:space="0" w:color="auto"/>
          </w:divBdr>
        </w:div>
        <w:div w:id="1306079592">
          <w:marLeft w:val="0"/>
          <w:marRight w:val="0"/>
          <w:marTop w:val="0"/>
          <w:marBottom w:val="0"/>
          <w:divBdr>
            <w:top w:val="none" w:sz="0" w:space="0" w:color="auto"/>
            <w:left w:val="none" w:sz="0" w:space="0" w:color="auto"/>
            <w:bottom w:val="none" w:sz="0" w:space="0" w:color="auto"/>
            <w:right w:val="none" w:sz="0" w:space="0" w:color="auto"/>
          </w:divBdr>
        </w:div>
        <w:div w:id="1410997910">
          <w:marLeft w:val="0"/>
          <w:marRight w:val="0"/>
          <w:marTop w:val="0"/>
          <w:marBottom w:val="0"/>
          <w:divBdr>
            <w:top w:val="none" w:sz="0" w:space="0" w:color="auto"/>
            <w:left w:val="none" w:sz="0" w:space="0" w:color="auto"/>
            <w:bottom w:val="none" w:sz="0" w:space="0" w:color="auto"/>
            <w:right w:val="none" w:sz="0" w:space="0" w:color="auto"/>
          </w:divBdr>
        </w:div>
        <w:div w:id="1842810853">
          <w:marLeft w:val="0"/>
          <w:marRight w:val="0"/>
          <w:marTop w:val="0"/>
          <w:marBottom w:val="0"/>
          <w:divBdr>
            <w:top w:val="none" w:sz="0" w:space="0" w:color="auto"/>
            <w:left w:val="none" w:sz="0" w:space="0" w:color="auto"/>
            <w:bottom w:val="none" w:sz="0" w:space="0" w:color="auto"/>
            <w:right w:val="none" w:sz="0" w:space="0" w:color="auto"/>
          </w:divBdr>
        </w:div>
        <w:div w:id="1853252072">
          <w:marLeft w:val="0"/>
          <w:marRight w:val="0"/>
          <w:marTop w:val="0"/>
          <w:marBottom w:val="0"/>
          <w:divBdr>
            <w:top w:val="none" w:sz="0" w:space="0" w:color="auto"/>
            <w:left w:val="none" w:sz="0" w:space="0" w:color="auto"/>
            <w:bottom w:val="none" w:sz="0" w:space="0" w:color="auto"/>
            <w:right w:val="none" w:sz="0" w:space="0" w:color="auto"/>
          </w:divBdr>
        </w:div>
        <w:div w:id="1964923846">
          <w:marLeft w:val="0"/>
          <w:marRight w:val="0"/>
          <w:marTop w:val="0"/>
          <w:marBottom w:val="0"/>
          <w:divBdr>
            <w:top w:val="none" w:sz="0" w:space="0" w:color="auto"/>
            <w:left w:val="none" w:sz="0" w:space="0" w:color="auto"/>
            <w:bottom w:val="none" w:sz="0" w:space="0" w:color="auto"/>
            <w:right w:val="none" w:sz="0" w:space="0" w:color="auto"/>
          </w:divBdr>
        </w:div>
        <w:div w:id="2025278564">
          <w:marLeft w:val="0"/>
          <w:marRight w:val="0"/>
          <w:marTop w:val="0"/>
          <w:marBottom w:val="0"/>
          <w:divBdr>
            <w:top w:val="none" w:sz="0" w:space="0" w:color="auto"/>
            <w:left w:val="none" w:sz="0" w:space="0" w:color="auto"/>
            <w:bottom w:val="none" w:sz="0" w:space="0" w:color="auto"/>
            <w:right w:val="none" w:sz="0" w:space="0" w:color="auto"/>
          </w:divBdr>
        </w:div>
      </w:divsChild>
    </w:div>
    <w:div w:id="819925620">
      <w:bodyDiv w:val="1"/>
      <w:marLeft w:val="300"/>
      <w:marRight w:val="0"/>
      <w:marTop w:val="375"/>
      <w:marBottom w:val="0"/>
      <w:divBdr>
        <w:top w:val="none" w:sz="0" w:space="0" w:color="auto"/>
        <w:left w:val="none" w:sz="0" w:space="0" w:color="auto"/>
        <w:bottom w:val="none" w:sz="0" w:space="0" w:color="auto"/>
        <w:right w:val="none" w:sz="0" w:space="0" w:color="auto"/>
      </w:divBdr>
      <w:divsChild>
        <w:div w:id="96566634">
          <w:marLeft w:val="0"/>
          <w:marRight w:val="0"/>
          <w:marTop w:val="0"/>
          <w:marBottom w:val="0"/>
          <w:divBdr>
            <w:top w:val="none" w:sz="0" w:space="0" w:color="auto"/>
            <w:left w:val="none" w:sz="0" w:space="0" w:color="auto"/>
            <w:bottom w:val="none" w:sz="0" w:space="0" w:color="auto"/>
            <w:right w:val="none" w:sz="0" w:space="0" w:color="auto"/>
          </w:divBdr>
        </w:div>
        <w:div w:id="234973062">
          <w:marLeft w:val="0"/>
          <w:marRight w:val="0"/>
          <w:marTop w:val="0"/>
          <w:marBottom w:val="0"/>
          <w:divBdr>
            <w:top w:val="none" w:sz="0" w:space="0" w:color="auto"/>
            <w:left w:val="none" w:sz="0" w:space="0" w:color="auto"/>
            <w:bottom w:val="none" w:sz="0" w:space="0" w:color="auto"/>
            <w:right w:val="none" w:sz="0" w:space="0" w:color="auto"/>
          </w:divBdr>
        </w:div>
        <w:div w:id="272372207">
          <w:marLeft w:val="0"/>
          <w:marRight w:val="0"/>
          <w:marTop w:val="0"/>
          <w:marBottom w:val="0"/>
          <w:divBdr>
            <w:top w:val="none" w:sz="0" w:space="0" w:color="auto"/>
            <w:left w:val="none" w:sz="0" w:space="0" w:color="auto"/>
            <w:bottom w:val="none" w:sz="0" w:space="0" w:color="auto"/>
            <w:right w:val="none" w:sz="0" w:space="0" w:color="auto"/>
          </w:divBdr>
        </w:div>
        <w:div w:id="322200054">
          <w:marLeft w:val="0"/>
          <w:marRight w:val="0"/>
          <w:marTop w:val="0"/>
          <w:marBottom w:val="0"/>
          <w:divBdr>
            <w:top w:val="none" w:sz="0" w:space="0" w:color="auto"/>
            <w:left w:val="none" w:sz="0" w:space="0" w:color="auto"/>
            <w:bottom w:val="none" w:sz="0" w:space="0" w:color="auto"/>
            <w:right w:val="none" w:sz="0" w:space="0" w:color="auto"/>
          </w:divBdr>
        </w:div>
        <w:div w:id="335227723">
          <w:marLeft w:val="0"/>
          <w:marRight w:val="0"/>
          <w:marTop w:val="0"/>
          <w:marBottom w:val="0"/>
          <w:divBdr>
            <w:top w:val="none" w:sz="0" w:space="0" w:color="auto"/>
            <w:left w:val="none" w:sz="0" w:space="0" w:color="auto"/>
            <w:bottom w:val="none" w:sz="0" w:space="0" w:color="auto"/>
            <w:right w:val="none" w:sz="0" w:space="0" w:color="auto"/>
          </w:divBdr>
        </w:div>
        <w:div w:id="383145195">
          <w:marLeft w:val="0"/>
          <w:marRight w:val="0"/>
          <w:marTop w:val="0"/>
          <w:marBottom w:val="0"/>
          <w:divBdr>
            <w:top w:val="none" w:sz="0" w:space="0" w:color="auto"/>
            <w:left w:val="none" w:sz="0" w:space="0" w:color="auto"/>
            <w:bottom w:val="none" w:sz="0" w:space="0" w:color="auto"/>
            <w:right w:val="none" w:sz="0" w:space="0" w:color="auto"/>
          </w:divBdr>
        </w:div>
        <w:div w:id="425074829">
          <w:marLeft w:val="0"/>
          <w:marRight w:val="0"/>
          <w:marTop w:val="0"/>
          <w:marBottom w:val="0"/>
          <w:divBdr>
            <w:top w:val="none" w:sz="0" w:space="0" w:color="auto"/>
            <w:left w:val="none" w:sz="0" w:space="0" w:color="auto"/>
            <w:bottom w:val="none" w:sz="0" w:space="0" w:color="auto"/>
            <w:right w:val="none" w:sz="0" w:space="0" w:color="auto"/>
          </w:divBdr>
        </w:div>
        <w:div w:id="587806492">
          <w:marLeft w:val="0"/>
          <w:marRight w:val="0"/>
          <w:marTop w:val="0"/>
          <w:marBottom w:val="0"/>
          <w:divBdr>
            <w:top w:val="none" w:sz="0" w:space="0" w:color="auto"/>
            <w:left w:val="none" w:sz="0" w:space="0" w:color="auto"/>
            <w:bottom w:val="none" w:sz="0" w:space="0" w:color="auto"/>
            <w:right w:val="none" w:sz="0" w:space="0" w:color="auto"/>
          </w:divBdr>
        </w:div>
        <w:div w:id="599873077">
          <w:marLeft w:val="0"/>
          <w:marRight w:val="0"/>
          <w:marTop w:val="0"/>
          <w:marBottom w:val="0"/>
          <w:divBdr>
            <w:top w:val="none" w:sz="0" w:space="0" w:color="auto"/>
            <w:left w:val="none" w:sz="0" w:space="0" w:color="auto"/>
            <w:bottom w:val="none" w:sz="0" w:space="0" w:color="auto"/>
            <w:right w:val="none" w:sz="0" w:space="0" w:color="auto"/>
          </w:divBdr>
        </w:div>
        <w:div w:id="612442134">
          <w:marLeft w:val="0"/>
          <w:marRight w:val="0"/>
          <w:marTop w:val="0"/>
          <w:marBottom w:val="0"/>
          <w:divBdr>
            <w:top w:val="none" w:sz="0" w:space="0" w:color="auto"/>
            <w:left w:val="none" w:sz="0" w:space="0" w:color="auto"/>
            <w:bottom w:val="none" w:sz="0" w:space="0" w:color="auto"/>
            <w:right w:val="none" w:sz="0" w:space="0" w:color="auto"/>
          </w:divBdr>
        </w:div>
        <w:div w:id="696008901">
          <w:marLeft w:val="0"/>
          <w:marRight w:val="0"/>
          <w:marTop w:val="0"/>
          <w:marBottom w:val="0"/>
          <w:divBdr>
            <w:top w:val="none" w:sz="0" w:space="0" w:color="auto"/>
            <w:left w:val="none" w:sz="0" w:space="0" w:color="auto"/>
            <w:bottom w:val="none" w:sz="0" w:space="0" w:color="auto"/>
            <w:right w:val="none" w:sz="0" w:space="0" w:color="auto"/>
          </w:divBdr>
        </w:div>
        <w:div w:id="723718174">
          <w:marLeft w:val="0"/>
          <w:marRight w:val="0"/>
          <w:marTop w:val="0"/>
          <w:marBottom w:val="0"/>
          <w:divBdr>
            <w:top w:val="none" w:sz="0" w:space="0" w:color="auto"/>
            <w:left w:val="none" w:sz="0" w:space="0" w:color="auto"/>
            <w:bottom w:val="none" w:sz="0" w:space="0" w:color="auto"/>
            <w:right w:val="none" w:sz="0" w:space="0" w:color="auto"/>
          </w:divBdr>
        </w:div>
        <w:div w:id="750739103">
          <w:marLeft w:val="0"/>
          <w:marRight w:val="0"/>
          <w:marTop w:val="0"/>
          <w:marBottom w:val="0"/>
          <w:divBdr>
            <w:top w:val="none" w:sz="0" w:space="0" w:color="auto"/>
            <w:left w:val="none" w:sz="0" w:space="0" w:color="auto"/>
            <w:bottom w:val="none" w:sz="0" w:space="0" w:color="auto"/>
            <w:right w:val="none" w:sz="0" w:space="0" w:color="auto"/>
          </w:divBdr>
        </w:div>
        <w:div w:id="774133529">
          <w:marLeft w:val="0"/>
          <w:marRight w:val="0"/>
          <w:marTop w:val="0"/>
          <w:marBottom w:val="0"/>
          <w:divBdr>
            <w:top w:val="none" w:sz="0" w:space="0" w:color="auto"/>
            <w:left w:val="none" w:sz="0" w:space="0" w:color="auto"/>
            <w:bottom w:val="none" w:sz="0" w:space="0" w:color="auto"/>
            <w:right w:val="none" w:sz="0" w:space="0" w:color="auto"/>
          </w:divBdr>
        </w:div>
        <w:div w:id="1026055833">
          <w:marLeft w:val="0"/>
          <w:marRight w:val="0"/>
          <w:marTop w:val="0"/>
          <w:marBottom w:val="0"/>
          <w:divBdr>
            <w:top w:val="none" w:sz="0" w:space="0" w:color="auto"/>
            <w:left w:val="none" w:sz="0" w:space="0" w:color="auto"/>
            <w:bottom w:val="none" w:sz="0" w:space="0" w:color="auto"/>
            <w:right w:val="none" w:sz="0" w:space="0" w:color="auto"/>
          </w:divBdr>
        </w:div>
        <w:div w:id="1101219866">
          <w:marLeft w:val="0"/>
          <w:marRight w:val="0"/>
          <w:marTop w:val="0"/>
          <w:marBottom w:val="0"/>
          <w:divBdr>
            <w:top w:val="none" w:sz="0" w:space="0" w:color="auto"/>
            <w:left w:val="none" w:sz="0" w:space="0" w:color="auto"/>
            <w:bottom w:val="none" w:sz="0" w:space="0" w:color="auto"/>
            <w:right w:val="none" w:sz="0" w:space="0" w:color="auto"/>
          </w:divBdr>
        </w:div>
        <w:div w:id="1227033243">
          <w:marLeft w:val="0"/>
          <w:marRight w:val="0"/>
          <w:marTop w:val="0"/>
          <w:marBottom w:val="0"/>
          <w:divBdr>
            <w:top w:val="none" w:sz="0" w:space="0" w:color="auto"/>
            <w:left w:val="none" w:sz="0" w:space="0" w:color="auto"/>
            <w:bottom w:val="none" w:sz="0" w:space="0" w:color="auto"/>
            <w:right w:val="none" w:sz="0" w:space="0" w:color="auto"/>
          </w:divBdr>
        </w:div>
        <w:div w:id="1237470355">
          <w:marLeft w:val="0"/>
          <w:marRight w:val="0"/>
          <w:marTop w:val="0"/>
          <w:marBottom w:val="0"/>
          <w:divBdr>
            <w:top w:val="none" w:sz="0" w:space="0" w:color="auto"/>
            <w:left w:val="none" w:sz="0" w:space="0" w:color="auto"/>
            <w:bottom w:val="none" w:sz="0" w:space="0" w:color="auto"/>
            <w:right w:val="none" w:sz="0" w:space="0" w:color="auto"/>
          </w:divBdr>
        </w:div>
        <w:div w:id="1243955819">
          <w:marLeft w:val="0"/>
          <w:marRight w:val="0"/>
          <w:marTop w:val="0"/>
          <w:marBottom w:val="0"/>
          <w:divBdr>
            <w:top w:val="none" w:sz="0" w:space="0" w:color="auto"/>
            <w:left w:val="none" w:sz="0" w:space="0" w:color="auto"/>
            <w:bottom w:val="none" w:sz="0" w:space="0" w:color="auto"/>
            <w:right w:val="none" w:sz="0" w:space="0" w:color="auto"/>
          </w:divBdr>
        </w:div>
        <w:div w:id="1291977512">
          <w:marLeft w:val="0"/>
          <w:marRight w:val="0"/>
          <w:marTop w:val="0"/>
          <w:marBottom w:val="0"/>
          <w:divBdr>
            <w:top w:val="none" w:sz="0" w:space="0" w:color="auto"/>
            <w:left w:val="none" w:sz="0" w:space="0" w:color="auto"/>
            <w:bottom w:val="none" w:sz="0" w:space="0" w:color="auto"/>
            <w:right w:val="none" w:sz="0" w:space="0" w:color="auto"/>
          </w:divBdr>
        </w:div>
        <w:div w:id="1386836707">
          <w:marLeft w:val="0"/>
          <w:marRight w:val="0"/>
          <w:marTop w:val="0"/>
          <w:marBottom w:val="0"/>
          <w:divBdr>
            <w:top w:val="none" w:sz="0" w:space="0" w:color="auto"/>
            <w:left w:val="none" w:sz="0" w:space="0" w:color="auto"/>
            <w:bottom w:val="none" w:sz="0" w:space="0" w:color="auto"/>
            <w:right w:val="none" w:sz="0" w:space="0" w:color="auto"/>
          </w:divBdr>
        </w:div>
        <w:div w:id="1390767828">
          <w:marLeft w:val="0"/>
          <w:marRight w:val="0"/>
          <w:marTop w:val="0"/>
          <w:marBottom w:val="0"/>
          <w:divBdr>
            <w:top w:val="none" w:sz="0" w:space="0" w:color="auto"/>
            <w:left w:val="none" w:sz="0" w:space="0" w:color="auto"/>
            <w:bottom w:val="none" w:sz="0" w:space="0" w:color="auto"/>
            <w:right w:val="none" w:sz="0" w:space="0" w:color="auto"/>
          </w:divBdr>
        </w:div>
        <w:div w:id="1429932162">
          <w:marLeft w:val="0"/>
          <w:marRight w:val="0"/>
          <w:marTop w:val="0"/>
          <w:marBottom w:val="0"/>
          <w:divBdr>
            <w:top w:val="none" w:sz="0" w:space="0" w:color="auto"/>
            <w:left w:val="none" w:sz="0" w:space="0" w:color="auto"/>
            <w:bottom w:val="none" w:sz="0" w:space="0" w:color="auto"/>
            <w:right w:val="none" w:sz="0" w:space="0" w:color="auto"/>
          </w:divBdr>
        </w:div>
        <w:div w:id="1506480573">
          <w:marLeft w:val="0"/>
          <w:marRight w:val="0"/>
          <w:marTop w:val="0"/>
          <w:marBottom w:val="0"/>
          <w:divBdr>
            <w:top w:val="none" w:sz="0" w:space="0" w:color="auto"/>
            <w:left w:val="none" w:sz="0" w:space="0" w:color="auto"/>
            <w:bottom w:val="none" w:sz="0" w:space="0" w:color="auto"/>
            <w:right w:val="none" w:sz="0" w:space="0" w:color="auto"/>
          </w:divBdr>
        </w:div>
        <w:div w:id="1685590198">
          <w:marLeft w:val="0"/>
          <w:marRight w:val="0"/>
          <w:marTop w:val="0"/>
          <w:marBottom w:val="0"/>
          <w:divBdr>
            <w:top w:val="none" w:sz="0" w:space="0" w:color="auto"/>
            <w:left w:val="none" w:sz="0" w:space="0" w:color="auto"/>
            <w:bottom w:val="none" w:sz="0" w:space="0" w:color="auto"/>
            <w:right w:val="none" w:sz="0" w:space="0" w:color="auto"/>
          </w:divBdr>
        </w:div>
        <w:div w:id="1785882843">
          <w:marLeft w:val="0"/>
          <w:marRight w:val="0"/>
          <w:marTop w:val="0"/>
          <w:marBottom w:val="0"/>
          <w:divBdr>
            <w:top w:val="none" w:sz="0" w:space="0" w:color="auto"/>
            <w:left w:val="none" w:sz="0" w:space="0" w:color="auto"/>
            <w:bottom w:val="none" w:sz="0" w:space="0" w:color="auto"/>
            <w:right w:val="none" w:sz="0" w:space="0" w:color="auto"/>
          </w:divBdr>
        </w:div>
        <w:div w:id="1790397151">
          <w:marLeft w:val="0"/>
          <w:marRight w:val="0"/>
          <w:marTop w:val="0"/>
          <w:marBottom w:val="0"/>
          <w:divBdr>
            <w:top w:val="none" w:sz="0" w:space="0" w:color="auto"/>
            <w:left w:val="none" w:sz="0" w:space="0" w:color="auto"/>
            <w:bottom w:val="none" w:sz="0" w:space="0" w:color="auto"/>
            <w:right w:val="none" w:sz="0" w:space="0" w:color="auto"/>
          </w:divBdr>
        </w:div>
        <w:div w:id="1825976116">
          <w:marLeft w:val="0"/>
          <w:marRight w:val="0"/>
          <w:marTop w:val="0"/>
          <w:marBottom w:val="0"/>
          <w:divBdr>
            <w:top w:val="none" w:sz="0" w:space="0" w:color="auto"/>
            <w:left w:val="none" w:sz="0" w:space="0" w:color="auto"/>
            <w:bottom w:val="none" w:sz="0" w:space="0" w:color="auto"/>
            <w:right w:val="none" w:sz="0" w:space="0" w:color="auto"/>
          </w:divBdr>
        </w:div>
        <w:div w:id="1831482129">
          <w:marLeft w:val="0"/>
          <w:marRight w:val="0"/>
          <w:marTop w:val="0"/>
          <w:marBottom w:val="0"/>
          <w:divBdr>
            <w:top w:val="none" w:sz="0" w:space="0" w:color="auto"/>
            <w:left w:val="none" w:sz="0" w:space="0" w:color="auto"/>
            <w:bottom w:val="none" w:sz="0" w:space="0" w:color="auto"/>
            <w:right w:val="none" w:sz="0" w:space="0" w:color="auto"/>
          </w:divBdr>
        </w:div>
        <w:div w:id="1916158178">
          <w:marLeft w:val="0"/>
          <w:marRight w:val="0"/>
          <w:marTop w:val="0"/>
          <w:marBottom w:val="0"/>
          <w:divBdr>
            <w:top w:val="none" w:sz="0" w:space="0" w:color="auto"/>
            <w:left w:val="none" w:sz="0" w:space="0" w:color="auto"/>
            <w:bottom w:val="none" w:sz="0" w:space="0" w:color="auto"/>
            <w:right w:val="none" w:sz="0" w:space="0" w:color="auto"/>
          </w:divBdr>
        </w:div>
        <w:div w:id="1935703110">
          <w:marLeft w:val="0"/>
          <w:marRight w:val="0"/>
          <w:marTop w:val="0"/>
          <w:marBottom w:val="0"/>
          <w:divBdr>
            <w:top w:val="none" w:sz="0" w:space="0" w:color="auto"/>
            <w:left w:val="none" w:sz="0" w:space="0" w:color="auto"/>
            <w:bottom w:val="none" w:sz="0" w:space="0" w:color="auto"/>
            <w:right w:val="none" w:sz="0" w:space="0" w:color="auto"/>
          </w:divBdr>
        </w:div>
        <w:div w:id="2110926078">
          <w:marLeft w:val="0"/>
          <w:marRight w:val="0"/>
          <w:marTop w:val="0"/>
          <w:marBottom w:val="0"/>
          <w:divBdr>
            <w:top w:val="none" w:sz="0" w:space="0" w:color="auto"/>
            <w:left w:val="none" w:sz="0" w:space="0" w:color="auto"/>
            <w:bottom w:val="none" w:sz="0" w:space="0" w:color="auto"/>
            <w:right w:val="none" w:sz="0" w:space="0" w:color="auto"/>
          </w:divBdr>
        </w:div>
      </w:divsChild>
    </w:div>
    <w:div w:id="874318937">
      <w:bodyDiv w:val="1"/>
      <w:marLeft w:val="0"/>
      <w:marRight w:val="0"/>
      <w:marTop w:val="0"/>
      <w:marBottom w:val="0"/>
      <w:divBdr>
        <w:top w:val="none" w:sz="0" w:space="0" w:color="auto"/>
        <w:left w:val="none" w:sz="0" w:space="0" w:color="auto"/>
        <w:bottom w:val="none" w:sz="0" w:space="0" w:color="auto"/>
        <w:right w:val="none" w:sz="0" w:space="0" w:color="auto"/>
      </w:divBdr>
      <w:divsChild>
        <w:div w:id="16153712">
          <w:marLeft w:val="0"/>
          <w:marRight w:val="0"/>
          <w:marTop w:val="0"/>
          <w:marBottom w:val="0"/>
          <w:divBdr>
            <w:top w:val="none" w:sz="0" w:space="0" w:color="auto"/>
            <w:left w:val="none" w:sz="0" w:space="0" w:color="auto"/>
            <w:bottom w:val="none" w:sz="0" w:space="0" w:color="auto"/>
            <w:right w:val="none" w:sz="0" w:space="0" w:color="auto"/>
          </w:divBdr>
        </w:div>
        <w:div w:id="87579591">
          <w:marLeft w:val="0"/>
          <w:marRight w:val="0"/>
          <w:marTop w:val="0"/>
          <w:marBottom w:val="0"/>
          <w:divBdr>
            <w:top w:val="none" w:sz="0" w:space="0" w:color="auto"/>
            <w:left w:val="none" w:sz="0" w:space="0" w:color="auto"/>
            <w:bottom w:val="none" w:sz="0" w:space="0" w:color="auto"/>
            <w:right w:val="none" w:sz="0" w:space="0" w:color="auto"/>
          </w:divBdr>
        </w:div>
        <w:div w:id="144661538">
          <w:marLeft w:val="0"/>
          <w:marRight w:val="0"/>
          <w:marTop w:val="0"/>
          <w:marBottom w:val="0"/>
          <w:divBdr>
            <w:top w:val="none" w:sz="0" w:space="0" w:color="auto"/>
            <w:left w:val="none" w:sz="0" w:space="0" w:color="auto"/>
            <w:bottom w:val="none" w:sz="0" w:space="0" w:color="auto"/>
            <w:right w:val="none" w:sz="0" w:space="0" w:color="auto"/>
          </w:divBdr>
        </w:div>
        <w:div w:id="231162523">
          <w:marLeft w:val="0"/>
          <w:marRight w:val="0"/>
          <w:marTop w:val="0"/>
          <w:marBottom w:val="0"/>
          <w:divBdr>
            <w:top w:val="none" w:sz="0" w:space="0" w:color="auto"/>
            <w:left w:val="none" w:sz="0" w:space="0" w:color="auto"/>
            <w:bottom w:val="none" w:sz="0" w:space="0" w:color="auto"/>
            <w:right w:val="none" w:sz="0" w:space="0" w:color="auto"/>
          </w:divBdr>
        </w:div>
        <w:div w:id="473646534">
          <w:marLeft w:val="0"/>
          <w:marRight w:val="0"/>
          <w:marTop w:val="0"/>
          <w:marBottom w:val="0"/>
          <w:divBdr>
            <w:top w:val="none" w:sz="0" w:space="0" w:color="auto"/>
            <w:left w:val="none" w:sz="0" w:space="0" w:color="auto"/>
            <w:bottom w:val="none" w:sz="0" w:space="0" w:color="auto"/>
            <w:right w:val="none" w:sz="0" w:space="0" w:color="auto"/>
          </w:divBdr>
        </w:div>
        <w:div w:id="771168225">
          <w:marLeft w:val="0"/>
          <w:marRight w:val="0"/>
          <w:marTop w:val="0"/>
          <w:marBottom w:val="0"/>
          <w:divBdr>
            <w:top w:val="none" w:sz="0" w:space="0" w:color="auto"/>
            <w:left w:val="none" w:sz="0" w:space="0" w:color="auto"/>
            <w:bottom w:val="none" w:sz="0" w:space="0" w:color="auto"/>
            <w:right w:val="none" w:sz="0" w:space="0" w:color="auto"/>
          </w:divBdr>
        </w:div>
        <w:div w:id="985278808">
          <w:marLeft w:val="0"/>
          <w:marRight w:val="0"/>
          <w:marTop w:val="0"/>
          <w:marBottom w:val="0"/>
          <w:divBdr>
            <w:top w:val="none" w:sz="0" w:space="0" w:color="auto"/>
            <w:left w:val="none" w:sz="0" w:space="0" w:color="auto"/>
            <w:bottom w:val="none" w:sz="0" w:space="0" w:color="auto"/>
            <w:right w:val="none" w:sz="0" w:space="0" w:color="auto"/>
          </w:divBdr>
        </w:div>
        <w:div w:id="1133863679">
          <w:marLeft w:val="0"/>
          <w:marRight w:val="0"/>
          <w:marTop w:val="0"/>
          <w:marBottom w:val="0"/>
          <w:divBdr>
            <w:top w:val="none" w:sz="0" w:space="0" w:color="auto"/>
            <w:left w:val="none" w:sz="0" w:space="0" w:color="auto"/>
            <w:bottom w:val="none" w:sz="0" w:space="0" w:color="auto"/>
            <w:right w:val="none" w:sz="0" w:space="0" w:color="auto"/>
          </w:divBdr>
        </w:div>
        <w:div w:id="1213811382">
          <w:marLeft w:val="0"/>
          <w:marRight w:val="0"/>
          <w:marTop w:val="0"/>
          <w:marBottom w:val="0"/>
          <w:divBdr>
            <w:top w:val="none" w:sz="0" w:space="0" w:color="auto"/>
            <w:left w:val="none" w:sz="0" w:space="0" w:color="auto"/>
            <w:bottom w:val="none" w:sz="0" w:space="0" w:color="auto"/>
            <w:right w:val="none" w:sz="0" w:space="0" w:color="auto"/>
          </w:divBdr>
        </w:div>
        <w:div w:id="1288194990">
          <w:marLeft w:val="0"/>
          <w:marRight w:val="0"/>
          <w:marTop w:val="0"/>
          <w:marBottom w:val="0"/>
          <w:divBdr>
            <w:top w:val="none" w:sz="0" w:space="0" w:color="auto"/>
            <w:left w:val="none" w:sz="0" w:space="0" w:color="auto"/>
            <w:bottom w:val="none" w:sz="0" w:space="0" w:color="auto"/>
            <w:right w:val="none" w:sz="0" w:space="0" w:color="auto"/>
          </w:divBdr>
        </w:div>
        <w:div w:id="1316910280">
          <w:marLeft w:val="0"/>
          <w:marRight w:val="0"/>
          <w:marTop w:val="0"/>
          <w:marBottom w:val="0"/>
          <w:divBdr>
            <w:top w:val="none" w:sz="0" w:space="0" w:color="auto"/>
            <w:left w:val="none" w:sz="0" w:space="0" w:color="auto"/>
            <w:bottom w:val="none" w:sz="0" w:space="0" w:color="auto"/>
            <w:right w:val="none" w:sz="0" w:space="0" w:color="auto"/>
          </w:divBdr>
        </w:div>
        <w:div w:id="1550267105">
          <w:marLeft w:val="0"/>
          <w:marRight w:val="0"/>
          <w:marTop w:val="0"/>
          <w:marBottom w:val="0"/>
          <w:divBdr>
            <w:top w:val="none" w:sz="0" w:space="0" w:color="auto"/>
            <w:left w:val="none" w:sz="0" w:space="0" w:color="auto"/>
            <w:bottom w:val="none" w:sz="0" w:space="0" w:color="auto"/>
            <w:right w:val="none" w:sz="0" w:space="0" w:color="auto"/>
          </w:divBdr>
        </w:div>
        <w:div w:id="1761833687">
          <w:marLeft w:val="0"/>
          <w:marRight w:val="0"/>
          <w:marTop w:val="0"/>
          <w:marBottom w:val="0"/>
          <w:divBdr>
            <w:top w:val="none" w:sz="0" w:space="0" w:color="auto"/>
            <w:left w:val="none" w:sz="0" w:space="0" w:color="auto"/>
            <w:bottom w:val="none" w:sz="0" w:space="0" w:color="auto"/>
            <w:right w:val="none" w:sz="0" w:space="0" w:color="auto"/>
          </w:divBdr>
        </w:div>
        <w:div w:id="1766685203">
          <w:marLeft w:val="0"/>
          <w:marRight w:val="0"/>
          <w:marTop w:val="0"/>
          <w:marBottom w:val="0"/>
          <w:divBdr>
            <w:top w:val="none" w:sz="0" w:space="0" w:color="auto"/>
            <w:left w:val="none" w:sz="0" w:space="0" w:color="auto"/>
            <w:bottom w:val="none" w:sz="0" w:space="0" w:color="auto"/>
            <w:right w:val="none" w:sz="0" w:space="0" w:color="auto"/>
          </w:divBdr>
        </w:div>
        <w:div w:id="1912428267">
          <w:marLeft w:val="0"/>
          <w:marRight w:val="0"/>
          <w:marTop w:val="0"/>
          <w:marBottom w:val="0"/>
          <w:divBdr>
            <w:top w:val="none" w:sz="0" w:space="0" w:color="auto"/>
            <w:left w:val="none" w:sz="0" w:space="0" w:color="auto"/>
            <w:bottom w:val="none" w:sz="0" w:space="0" w:color="auto"/>
            <w:right w:val="none" w:sz="0" w:space="0" w:color="auto"/>
          </w:divBdr>
        </w:div>
        <w:div w:id="1982803900">
          <w:marLeft w:val="0"/>
          <w:marRight w:val="0"/>
          <w:marTop w:val="0"/>
          <w:marBottom w:val="0"/>
          <w:divBdr>
            <w:top w:val="none" w:sz="0" w:space="0" w:color="auto"/>
            <w:left w:val="none" w:sz="0" w:space="0" w:color="auto"/>
            <w:bottom w:val="none" w:sz="0" w:space="0" w:color="auto"/>
            <w:right w:val="none" w:sz="0" w:space="0" w:color="auto"/>
          </w:divBdr>
        </w:div>
        <w:div w:id="1990818938">
          <w:marLeft w:val="0"/>
          <w:marRight w:val="0"/>
          <w:marTop w:val="0"/>
          <w:marBottom w:val="0"/>
          <w:divBdr>
            <w:top w:val="none" w:sz="0" w:space="0" w:color="auto"/>
            <w:left w:val="none" w:sz="0" w:space="0" w:color="auto"/>
            <w:bottom w:val="none" w:sz="0" w:space="0" w:color="auto"/>
            <w:right w:val="none" w:sz="0" w:space="0" w:color="auto"/>
          </w:divBdr>
        </w:div>
        <w:div w:id="2123500184">
          <w:marLeft w:val="0"/>
          <w:marRight w:val="0"/>
          <w:marTop w:val="0"/>
          <w:marBottom w:val="0"/>
          <w:divBdr>
            <w:top w:val="none" w:sz="0" w:space="0" w:color="auto"/>
            <w:left w:val="none" w:sz="0" w:space="0" w:color="auto"/>
            <w:bottom w:val="none" w:sz="0" w:space="0" w:color="auto"/>
            <w:right w:val="none" w:sz="0" w:space="0" w:color="auto"/>
          </w:divBdr>
        </w:div>
      </w:divsChild>
    </w:div>
    <w:div w:id="938752837">
      <w:bodyDiv w:val="1"/>
      <w:marLeft w:val="0"/>
      <w:marRight w:val="0"/>
      <w:marTop w:val="0"/>
      <w:marBottom w:val="0"/>
      <w:divBdr>
        <w:top w:val="none" w:sz="0" w:space="0" w:color="auto"/>
        <w:left w:val="none" w:sz="0" w:space="0" w:color="auto"/>
        <w:bottom w:val="none" w:sz="0" w:space="0" w:color="auto"/>
        <w:right w:val="none" w:sz="0" w:space="0" w:color="auto"/>
      </w:divBdr>
      <w:divsChild>
        <w:div w:id="274292821">
          <w:marLeft w:val="0"/>
          <w:marRight w:val="0"/>
          <w:marTop w:val="0"/>
          <w:marBottom w:val="0"/>
          <w:divBdr>
            <w:top w:val="none" w:sz="0" w:space="0" w:color="auto"/>
            <w:left w:val="none" w:sz="0" w:space="0" w:color="auto"/>
            <w:bottom w:val="none" w:sz="0" w:space="0" w:color="auto"/>
            <w:right w:val="none" w:sz="0" w:space="0" w:color="auto"/>
          </w:divBdr>
        </w:div>
        <w:div w:id="337853944">
          <w:marLeft w:val="0"/>
          <w:marRight w:val="0"/>
          <w:marTop w:val="0"/>
          <w:marBottom w:val="0"/>
          <w:divBdr>
            <w:top w:val="none" w:sz="0" w:space="0" w:color="auto"/>
            <w:left w:val="none" w:sz="0" w:space="0" w:color="auto"/>
            <w:bottom w:val="none" w:sz="0" w:space="0" w:color="auto"/>
            <w:right w:val="none" w:sz="0" w:space="0" w:color="auto"/>
          </w:divBdr>
        </w:div>
        <w:div w:id="1214999167">
          <w:marLeft w:val="0"/>
          <w:marRight w:val="0"/>
          <w:marTop w:val="0"/>
          <w:marBottom w:val="0"/>
          <w:divBdr>
            <w:top w:val="none" w:sz="0" w:space="0" w:color="auto"/>
            <w:left w:val="none" w:sz="0" w:space="0" w:color="auto"/>
            <w:bottom w:val="none" w:sz="0" w:space="0" w:color="auto"/>
            <w:right w:val="none" w:sz="0" w:space="0" w:color="auto"/>
          </w:divBdr>
        </w:div>
        <w:div w:id="1604533392">
          <w:marLeft w:val="0"/>
          <w:marRight w:val="0"/>
          <w:marTop w:val="0"/>
          <w:marBottom w:val="0"/>
          <w:divBdr>
            <w:top w:val="none" w:sz="0" w:space="0" w:color="auto"/>
            <w:left w:val="none" w:sz="0" w:space="0" w:color="auto"/>
            <w:bottom w:val="none" w:sz="0" w:space="0" w:color="auto"/>
            <w:right w:val="none" w:sz="0" w:space="0" w:color="auto"/>
          </w:divBdr>
        </w:div>
        <w:div w:id="2064210591">
          <w:marLeft w:val="0"/>
          <w:marRight w:val="0"/>
          <w:marTop w:val="0"/>
          <w:marBottom w:val="0"/>
          <w:divBdr>
            <w:top w:val="none" w:sz="0" w:space="0" w:color="auto"/>
            <w:left w:val="none" w:sz="0" w:space="0" w:color="auto"/>
            <w:bottom w:val="none" w:sz="0" w:space="0" w:color="auto"/>
            <w:right w:val="none" w:sz="0" w:space="0" w:color="auto"/>
          </w:divBdr>
        </w:div>
      </w:divsChild>
    </w:div>
    <w:div w:id="947587089">
      <w:bodyDiv w:val="1"/>
      <w:marLeft w:val="0"/>
      <w:marRight w:val="0"/>
      <w:marTop w:val="0"/>
      <w:marBottom w:val="0"/>
      <w:divBdr>
        <w:top w:val="none" w:sz="0" w:space="0" w:color="auto"/>
        <w:left w:val="none" w:sz="0" w:space="0" w:color="auto"/>
        <w:bottom w:val="none" w:sz="0" w:space="0" w:color="auto"/>
        <w:right w:val="none" w:sz="0" w:space="0" w:color="auto"/>
      </w:divBdr>
      <w:divsChild>
        <w:div w:id="259339654">
          <w:marLeft w:val="0"/>
          <w:marRight w:val="0"/>
          <w:marTop w:val="0"/>
          <w:marBottom w:val="0"/>
          <w:divBdr>
            <w:top w:val="none" w:sz="0" w:space="0" w:color="auto"/>
            <w:left w:val="none" w:sz="0" w:space="0" w:color="auto"/>
            <w:bottom w:val="none" w:sz="0" w:space="0" w:color="auto"/>
            <w:right w:val="none" w:sz="0" w:space="0" w:color="auto"/>
          </w:divBdr>
        </w:div>
        <w:div w:id="307441360">
          <w:marLeft w:val="0"/>
          <w:marRight w:val="0"/>
          <w:marTop w:val="0"/>
          <w:marBottom w:val="0"/>
          <w:divBdr>
            <w:top w:val="none" w:sz="0" w:space="0" w:color="auto"/>
            <w:left w:val="none" w:sz="0" w:space="0" w:color="auto"/>
            <w:bottom w:val="none" w:sz="0" w:space="0" w:color="auto"/>
            <w:right w:val="none" w:sz="0" w:space="0" w:color="auto"/>
          </w:divBdr>
        </w:div>
        <w:div w:id="864834194">
          <w:marLeft w:val="0"/>
          <w:marRight w:val="0"/>
          <w:marTop w:val="0"/>
          <w:marBottom w:val="0"/>
          <w:divBdr>
            <w:top w:val="none" w:sz="0" w:space="0" w:color="auto"/>
            <w:left w:val="none" w:sz="0" w:space="0" w:color="auto"/>
            <w:bottom w:val="none" w:sz="0" w:space="0" w:color="auto"/>
            <w:right w:val="none" w:sz="0" w:space="0" w:color="auto"/>
          </w:divBdr>
        </w:div>
        <w:div w:id="905337064">
          <w:marLeft w:val="0"/>
          <w:marRight w:val="0"/>
          <w:marTop w:val="0"/>
          <w:marBottom w:val="0"/>
          <w:divBdr>
            <w:top w:val="none" w:sz="0" w:space="0" w:color="auto"/>
            <w:left w:val="none" w:sz="0" w:space="0" w:color="auto"/>
            <w:bottom w:val="none" w:sz="0" w:space="0" w:color="auto"/>
            <w:right w:val="none" w:sz="0" w:space="0" w:color="auto"/>
          </w:divBdr>
        </w:div>
        <w:div w:id="1476993864">
          <w:marLeft w:val="0"/>
          <w:marRight w:val="0"/>
          <w:marTop w:val="0"/>
          <w:marBottom w:val="0"/>
          <w:divBdr>
            <w:top w:val="none" w:sz="0" w:space="0" w:color="auto"/>
            <w:left w:val="none" w:sz="0" w:space="0" w:color="auto"/>
            <w:bottom w:val="none" w:sz="0" w:space="0" w:color="auto"/>
            <w:right w:val="none" w:sz="0" w:space="0" w:color="auto"/>
          </w:divBdr>
        </w:div>
        <w:div w:id="1626041906">
          <w:marLeft w:val="0"/>
          <w:marRight w:val="0"/>
          <w:marTop w:val="0"/>
          <w:marBottom w:val="0"/>
          <w:divBdr>
            <w:top w:val="none" w:sz="0" w:space="0" w:color="auto"/>
            <w:left w:val="none" w:sz="0" w:space="0" w:color="auto"/>
            <w:bottom w:val="none" w:sz="0" w:space="0" w:color="auto"/>
            <w:right w:val="none" w:sz="0" w:space="0" w:color="auto"/>
          </w:divBdr>
        </w:div>
        <w:div w:id="1796483820">
          <w:marLeft w:val="0"/>
          <w:marRight w:val="0"/>
          <w:marTop w:val="0"/>
          <w:marBottom w:val="0"/>
          <w:divBdr>
            <w:top w:val="none" w:sz="0" w:space="0" w:color="auto"/>
            <w:left w:val="none" w:sz="0" w:space="0" w:color="auto"/>
            <w:bottom w:val="none" w:sz="0" w:space="0" w:color="auto"/>
            <w:right w:val="none" w:sz="0" w:space="0" w:color="auto"/>
          </w:divBdr>
        </w:div>
        <w:div w:id="2128233061">
          <w:marLeft w:val="0"/>
          <w:marRight w:val="0"/>
          <w:marTop w:val="0"/>
          <w:marBottom w:val="0"/>
          <w:divBdr>
            <w:top w:val="none" w:sz="0" w:space="0" w:color="auto"/>
            <w:left w:val="none" w:sz="0" w:space="0" w:color="auto"/>
            <w:bottom w:val="none" w:sz="0" w:space="0" w:color="auto"/>
            <w:right w:val="none" w:sz="0" w:space="0" w:color="auto"/>
          </w:divBdr>
        </w:div>
        <w:div w:id="2134790214">
          <w:marLeft w:val="0"/>
          <w:marRight w:val="0"/>
          <w:marTop w:val="0"/>
          <w:marBottom w:val="0"/>
          <w:divBdr>
            <w:top w:val="none" w:sz="0" w:space="0" w:color="auto"/>
            <w:left w:val="none" w:sz="0" w:space="0" w:color="auto"/>
            <w:bottom w:val="none" w:sz="0" w:space="0" w:color="auto"/>
            <w:right w:val="none" w:sz="0" w:space="0" w:color="auto"/>
          </w:divBdr>
        </w:div>
      </w:divsChild>
    </w:div>
    <w:div w:id="1009143615">
      <w:bodyDiv w:val="1"/>
      <w:marLeft w:val="0"/>
      <w:marRight w:val="0"/>
      <w:marTop w:val="0"/>
      <w:marBottom w:val="0"/>
      <w:divBdr>
        <w:top w:val="none" w:sz="0" w:space="0" w:color="auto"/>
        <w:left w:val="none" w:sz="0" w:space="0" w:color="auto"/>
        <w:bottom w:val="none" w:sz="0" w:space="0" w:color="auto"/>
        <w:right w:val="none" w:sz="0" w:space="0" w:color="auto"/>
      </w:divBdr>
    </w:div>
    <w:div w:id="1069154685">
      <w:bodyDiv w:val="1"/>
      <w:marLeft w:val="0"/>
      <w:marRight w:val="0"/>
      <w:marTop w:val="0"/>
      <w:marBottom w:val="0"/>
      <w:divBdr>
        <w:top w:val="none" w:sz="0" w:space="0" w:color="auto"/>
        <w:left w:val="none" w:sz="0" w:space="0" w:color="auto"/>
        <w:bottom w:val="none" w:sz="0" w:space="0" w:color="auto"/>
        <w:right w:val="none" w:sz="0" w:space="0" w:color="auto"/>
      </w:divBdr>
      <w:divsChild>
        <w:div w:id="1987125759">
          <w:marLeft w:val="0"/>
          <w:marRight w:val="0"/>
          <w:marTop w:val="0"/>
          <w:marBottom w:val="0"/>
          <w:divBdr>
            <w:top w:val="none" w:sz="0" w:space="0" w:color="auto"/>
            <w:left w:val="none" w:sz="0" w:space="0" w:color="auto"/>
            <w:bottom w:val="none" w:sz="0" w:space="0" w:color="auto"/>
            <w:right w:val="none" w:sz="0" w:space="0" w:color="auto"/>
          </w:divBdr>
          <w:divsChild>
            <w:div w:id="352533250">
              <w:marLeft w:val="0"/>
              <w:marRight w:val="0"/>
              <w:marTop w:val="0"/>
              <w:marBottom w:val="0"/>
              <w:divBdr>
                <w:top w:val="none" w:sz="0" w:space="0" w:color="auto"/>
                <w:left w:val="none" w:sz="0" w:space="0" w:color="auto"/>
                <w:bottom w:val="none" w:sz="0" w:space="0" w:color="auto"/>
                <w:right w:val="none" w:sz="0" w:space="0" w:color="auto"/>
              </w:divBdr>
            </w:div>
            <w:div w:id="944117929">
              <w:marLeft w:val="0"/>
              <w:marRight w:val="0"/>
              <w:marTop w:val="0"/>
              <w:marBottom w:val="0"/>
              <w:divBdr>
                <w:top w:val="none" w:sz="0" w:space="0" w:color="auto"/>
                <w:left w:val="none" w:sz="0" w:space="0" w:color="auto"/>
                <w:bottom w:val="none" w:sz="0" w:space="0" w:color="auto"/>
                <w:right w:val="none" w:sz="0" w:space="0" w:color="auto"/>
              </w:divBdr>
            </w:div>
            <w:div w:id="1122115221">
              <w:marLeft w:val="0"/>
              <w:marRight w:val="0"/>
              <w:marTop w:val="0"/>
              <w:marBottom w:val="0"/>
              <w:divBdr>
                <w:top w:val="none" w:sz="0" w:space="0" w:color="auto"/>
                <w:left w:val="none" w:sz="0" w:space="0" w:color="auto"/>
                <w:bottom w:val="none" w:sz="0" w:space="0" w:color="auto"/>
                <w:right w:val="none" w:sz="0" w:space="0" w:color="auto"/>
              </w:divBdr>
            </w:div>
            <w:div w:id="1662394523">
              <w:marLeft w:val="0"/>
              <w:marRight w:val="0"/>
              <w:marTop w:val="0"/>
              <w:marBottom w:val="0"/>
              <w:divBdr>
                <w:top w:val="none" w:sz="0" w:space="0" w:color="auto"/>
                <w:left w:val="none" w:sz="0" w:space="0" w:color="auto"/>
                <w:bottom w:val="none" w:sz="0" w:space="0" w:color="auto"/>
                <w:right w:val="none" w:sz="0" w:space="0" w:color="auto"/>
              </w:divBdr>
            </w:div>
            <w:div w:id="1702779520">
              <w:marLeft w:val="0"/>
              <w:marRight w:val="0"/>
              <w:marTop w:val="0"/>
              <w:marBottom w:val="0"/>
              <w:divBdr>
                <w:top w:val="none" w:sz="0" w:space="0" w:color="auto"/>
                <w:left w:val="none" w:sz="0" w:space="0" w:color="auto"/>
                <w:bottom w:val="none" w:sz="0" w:space="0" w:color="auto"/>
                <w:right w:val="none" w:sz="0" w:space="0" w:color="auto"/>
              </w:divBdr>
            </w:div>
            <w:div w:id="18928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5813">
      <w:bodyDiv w:val="1"/>
      <w:marLeft w:val="0"/>
      <w:marRight w:val="0"/>
      <w:marTop w:val="0"/>
      <w:marBottom w:val="0"/>
      <w:divBdr>
        <w:top w:val="none" w:sz="0" w:space="0" w:color="auto"/>
        <w:left w:val="none" w:sz="0" w:space="0" w:color="auto"/>
        <w:bottom w:val="none" w:sz="0" w:space="0" w:color="auto"/>
        <w:right w:val="none" w:sz="0" w:space="0" w:color="auto"/>
      </w:divBdr>
      <w:divsChild>
        <w:div w:id="260455559">
          <w:marLeft w:val="0"/>
          <w:marRight w:val="0"/>
          <w:marTop w:val="0"/>
          <w:marBottom w:val="0"/>
          <w:divBdr>
            <w:top w:val="none" w:sz="0" w:space="0" w:color="auto"/>
            <w:left w:val="none" w:sz="0" w:space="0" w:color="auto"/>
            <w:bottom w:val="none" w:sz="0" w:space="0" w:color="auto"/>
            <w:right w:val="none" w:sz="0" w:space="0" w:color="auto"/>
          </w:divBdr>
        </w:div>
        <w:div w:id="379791458">
          <w:marLeft w:val="0"/>
          <w:marRight w:val="0"/>
          <w:marTop w:val="0"/>
          <w:marBottom w:val="0"/>
          <w:divBdr>
            <w:top w:val="none" w:sz="0" w:space="0" w:color="auto"/>
            <w:left w:val="none" w:sz="0" w:space="0" w:color="auto"/>
            <w:bottom w:val="none" w:sz="0" w:space="0" w:color="auto"/>
            <w:right w:val="none" w:sz="0" w:space="0" w:color="auto"/>
          </w:divBdr>
        </w:div>
        <w:div w:id="526020206">
          <w:marLeft w:val="0"/>
          <w:marRight w:val="0"/>
          <w:marTop w:val="0"/>
          <w:marBottom w:val="0"/>
          <w:divBdr>
            <w:top w:val="none" w:sz="0" w:space="0" w:color="auto"/>
            <w:left w:val="none" w:sz="0" w:space="0" w:color="auto"/>
            <w:bottom w:val="none" w:sz="0" w:space="0" w:color="auto"/>
            <w:right w:val="none" w:sz="0" w:space="0" w:color="auto"/>
          </w:divBdr>
        </w:div>
        <w:div w:id="1290748531">
          <w:marLeft w:val="0"/>
          <w:marRight w:val="0"/>
          <w:marTop w:val="0"/>
          <w:marBottom w:val="0"/>
          <w:divBdr>
            <w:top w:val="none" w:sz="0" w:space="0" w:color="auto"/>
            <w:left w:val="none" w:sz="0" w:space="0" w:color="auto"/>
            <w:bottom w:val="none" w:sz="0" w:space="0" w:color="auto"/>
            <w:right w:val="none" w:sz="0" w:space="0" w:color="auto"/>
          </w:divBdr>
        </w:div>
        <w:div w:id="1327977474">
          <w:marLeft w:val="0"/>
          <w:marRight w:val="0"/>
          <w:marTop w:val="0"/>
          <w:marBottom w:val="0"/>
          <w:divBdr>
            <w:top w:val="none" w:sz="0" w:space="0" w:color="auto"/>
            <w:left w:val="none" w:sz="0" w:space="0" w:color="auto"/>
            <w:bottom w:val="none" w:sz="0" w:space="0" w:color="auto"/>
            <w:right w:val="none" w:sz="0" w:space="0" w:color="auto"/>
          </w:divBdr>
        </w:div>
        <w:div w:id="1330131066">
          <w:marLeft w:val="0"/>
          <w:marRight w:val="0"/>
          <w:marTop w:val="0"/>
          <w:marBottom w:val="0"/>
          <w:divBdr>
            <w:top w:val="none" w:sz="0" w:space="0" w:color="auto"/>
            <w:left w:val="none" w:sz="0" w:space="0" w:color="auto"/>
            <w:bottom w:val="none" w:sz="0" w:space="0" w:color="auto"/>
            <w:right w:val="none" w:sz="0" w:space="0" w:color="auto"/>
          </w:divBdr>
        </w:div>
        <w:div w:id="1591347648">
          <w:marLeft w:val="0"/>
          <w:marRight w:val="0"/>
          <w:marTop w:val="0"/>
          <w:marBottom w:val="0"/>
          <w:divBdr>
            <w:top w:val="none" w:sz="0" w:space="0" w:color="auto"/>
            <w:left w:val="none" w:sz="0" w:space="0" w:color="auto"/>
            <w:bottom w:val="none" w:sz="0" w:space="0" w:color="auto"/>
            <w:right w:val="none" w:sz="0" w:space="0" w:color="auto"/>
          </w:divBdr>
        </w:div>
        <w:div w:id="1851289140">
          <w:marLeft w:val="0"/>
          <w:marRight w:val="0"/>
          <w:marTop w:val="0"/>
          <w:marBottom w:val="0"/>
          <w:divBdr>
            <w:top w:val="none" w:sz="0" w:space="0" w:color="auto"/>
            <w:left w:val="none" w:sz="0" w:space="0" w:color="auto"/>
            <w:bottom w:val="none" w:sz="0" w:space="0" w:color="auto"/>
            <w:right w:val="none" w:sz="0" w:space="0" w:color="auto"/>
          </w:divBdr>
        </w:div>
        <w:div w:id="1970747060">
          <w:marLeft w:val="0"/>
          <w:marRight w:val="0"/>
          <w:marTop w:val="0"/>
          <w:marBottom w:val="0"/>
          <w:divBdr>
            <w:top w:val="none" w:sz="0" w:space="0" w:color="auto"/>
            <w:left w:val="none" w:sz="0" w:space="0" w:color="auto"/>
            <w:bottom w:val="none" w:sz="0" w:space="0" w:color="auto"/>
            <w:right w:val="none" w:sz="0" w:space="0" w:color="auto"/>
          </w:divBdr>
        </w:div>
      </w:divsChild>
    </w:div>
    <w:div w:id="1154639993">
      <w:bodyDiv w:val="1"/>
      <w:marLeft w:val="0"/>
      <w:marRight w:val="0"/>
      <w:marTop w:val="0"/>
      <w:marBottom w:val="0"/>
      <w:divBdr>
        <w:top w:val="none" w:sz="0" w:space="0" w:color="auto"/>
        <w:left w:val="none" w:sz="0" w:space="0" w:color="auto"/>
        <w:bottom w:val="none" w:sz="0" w:space="0" w:color="auto"/>
        <w:right w:val="none" w:sz="0" w:space="0" w:color="auto"/>
      </w:divBdr>
    </w:div>
    <w:div w:id="1172262381">
      <w:bodyDiv w:val="1"/>
      <w:marLeft w:val="0"/>
      <w:marRight w:val="0"/>
      <w:marTop w:val="0"/>
      <w:marBottom w:val="0"/>
      <w:divBdr>
        <w:top w:val="none" w:sz="0" w:space="0" w:color="auto"/>
        <w:left w:val="none" w:sz="0" w:space="0" w:color="auto"/>
        <w:bottom w:val="none" w:sz="0" w:space="0" w:color="auto"/>
        <w:right w:val="none" w:sz="0" w:space="0" w:color="auto"/>
      </w:divBdr>
    </w:div>
    <w:div w:id="1182091239">
      <w:bodyDiv w:val="1"/>
      <w:marLeft w:val="0"/>
      <w:marRight w:val="0"/>
      <w:marTop w:val="0"/>
      <w:marBottom w:val="0"/>
      <w:divBdr>
        <w:top w:val="none" w:sz="0" w:space="0" w:color="auto"/>
        <w:left w:val="none" w:sz="0" w:space="0" w:color="auto"/>
        <w:bottom w:val="none" w:sz="0" w:space="0" w:color="auto"/>
        <w:right w:val="none" w:sz="0" w:space="0" w:color="auto"/>
      </w:divBdr>
      <w:divsChild>
        <w:div w:id="65610716">
          <w:marLeft w:val="0"/>
          <w:marRight w:val="0"/>
          <w:marTop w:val="0"/>
          <w:marBottom w:val="0"/>
          <w:divBdr>
            <w:top w:val="none" w:sz="0" w:space="0" w:color="auto"/>
            <w:left w:val="none" w:sz="0" w:space="0" w:color="auto"/>
            <w:bottom w:val="none" w:sz="0" w:space="0" w:color="auto"/>
            <w:right w:val="none" w:sz="0" w:space="0" w:color="auto"/>
          </w:divBdr>
        </w:div>
        <w:div w:id="883371977">
          <w:marLeft w:val="0"/>
          <w:marRight w:val="0"/>
          <w:marTop w:val="0"/>
          <w:marBottom w:val="0"/>
          <w:divBdr>
            <w:top w:val="none" w:sz="0" w:space="0" w:color="auto"/>
            <w:left w:val="none" w:sz="0" w:space="0" w:color="auto"/>
            <w:bottom w:val="none" w:sz="0" w:space="0" w:color="auto"/>
            <w:right w:val="none" w:sz="0" w:space="0" w:color="auto"/>
          </w:divBdr>
        </w:div>
        <w:div w:id="1304385646">
          <w:marLeft w:val="0"/>
          <w:marRight w:val="0"/>
          <w:marTop w:val="0"/>
          <w:marBottom w:val="0"/>
          <w:divBdr>
            <w:top w:val="none" w:sz="0" w:space="0" w:color="auto"/>
            <w:left w:val="none" w:sz="0" w:space="0" w:color="auto"/>
            <w:bottom w:val="none" w:sz="0" w:space="0" w:color="auto"/>
            <w:right w:val="none" w:sz="0" w:space="0" w:color="auto"/>
          </w:divBdr>
        </w:div>
      </w:divsChild>
    </w:div>
    <w:div w:id="1294024791">
      <w:bodyDiv w:val="1"/>
      <w:marLeft w:val="0"/>
      <w:marRight w:val="0"/>
      <w:marTop w:val="0"/>
      <w:marBottom w:val="0"/>
      <w:divBdr>
        <w:top w:val="none" w:sz="0" w:space="0" w:color="auto"/>
        <w:left w:val="none" w:sz="0" w:space="0" w:color="auto"/>
        <w:bottom w:val="none" w:sz="0" w:space="0" w:color="auto"/>
        <w:right w:val="none" w:sz="0" w:space="0" w:color="auto"/>
      </w:divBdr>
    </w:div>
    <w:div w:id="1392314570">
      <w:bodyDiv w:val="1"/>
      <w:marLeft w:val="0"/>
      <w:marRight w:val="0"/>
      <w:marTop w:val="0"/>
      <w:marBottom w:val="0"/>
      <w:divBdr>
        <w:top w:val="none" w:sz="0" w:space="0" w:color="auto"/>
        <w:left w:val="none" w:sz="0" w:space="0" w:color="auto"/>
        <w:bottom w:val="none" w:sz="0" w:space="0" w:color="auto"/>
        <w:right w:val="none" w:sz="0" w:space="0" w:color="auto"/>
      </w:divBdr>
    </w:div>
    <w:div w:id="1436487555">
      <w:bodyDiv w:val="1"/>
      <w:marLeft w:val="0"/>
      <w:marRight w:val="0"/>
      <w:marTop w:val="0"/>
      <w:marBottom w:val="0"/>
      <w:divBdr>
        <w:top w:val="none" w:sz="0" w:space="0" w:color="auto"/>
        <w:left w:val="none" w:sz="0" w:space="0" w:color="auto"/>
        <w:bottom w:val="none" w:sz="0" w:space="0" w:color="auto"/>
        <w:right w:val="none" w:sz="0" w:space="0" w:color="auto"/>
      </w:divBdr>
    </w:div>
    <w:div w:id="1445080134">
      <w:bodyDiv w:val="1"/>
      <w:marLeft w:val="0"/>
      <w:marRight w:val="0"/>
      <w:marTop w:val="0"/>
      <w:marBottom w:val="0"/>
      <w:divBdr>
        <w:top w:val="none" w:sz="0" w:space="0" w:color="auto"/>
        <w:left w:val="none" w:sz="0" w:space="0" w:color="auto"/>
        <w:bottom w:val="none" w:sz="0" w:space="0" w:color="auto"/>
        <w:right w:val="none" w:sz="0" w:space="0" w:color="auto"/>
      </w:divBdr>
    </w:div>
    <w:div w:id="1517041601">
      <w:bodyDiv w:val="1"/>
      <w:marLeft w:val="0"/>
      <w:marRight w:val="0"/>
      <w:marTop w:val="0"/>
      <w:marBottom w:val="0"/>
      <w:divBdr>
        <w:top w:val="none" w:sz="0" w:space="0" w:color="auto"/>
        <w:left w:val="none" w:sz="0" w:space="0" w:color="auto"/>
        <w:bottom w:val="none" w:sz="0" w:space="0" w:color="auto"/>
        <w:right w:val="none" w:sz="0" w:space="0" w:color="auto"/>
      </w:divBdr>
    </w:div>
    <w:div w:id="1673219329">
      <w:bodyDiv w:val="1"/>
      <w:marLeft w:val="0"/>
      <w:marRight w:val="0"/>
      <w:marTop w:val="0"/>
      <w:marBottom w:val="0"/>
      <w:divBdr>
        <w:top w:val="none" w:sz="0" w:space="0" w:color="auto"/>
        <w:left w:val="none" w:sz="0" w:space="0" w:color="auto"/>
        <w:bottom w:val="none" w:sz="0" w:space="0" w:color="auto"/>
        <w:right w:val="none" w:sz="0" w:space="0" w:color="auto"/>
      </w:divBdr>
    </w:div>
    <w:div w:id="1752507631">
      <w:bodyDiv w:val="1"/>
      <w:marLeft w:val="0"/>
      <w:marRight w:val="0"/>
      <w:marTop w:val="0"/>
      <w:marBottom w:val="0"/>
      <w:divBdr>
        <w:top w:val="none" w:sz="0" w:space="0" w:color="auto"/>
        <w:left w:val="none" w:sz="0" w:space="0" w:color="auto"/>
        <w:bottom w:val="none" w:sz="0" w:space="0" w:color="auto"/>
        <w:right w:val="none" w:sz="0" w:space="0" w:color="auto"/>
      </w:divBdr>
    </w:div>
    <w:div w:id="1800874116">
      <w:bodyDiv w:val="1"/>
      <w:marLeft w:val="0"/>
      <w:marRight w:val="0"/>
      <w:marTop w:val="0"/>
      <w:marBottom w:val="0"/>
      <w:divBdr>
        <w:top w:val="none" w:sz="0" w:space="0" w:color="auto"/>
        <w:left w:val="none" w:sz="0" w:space="0" w:color="auto"/>
        <w:bottom w:val="none" w:sz="0" w:space="0" w:color="auto"/>
        <w:right w:val="none" w:sz="0" w:space="0" w:color="auto"/>
      </w:divBdr>
    </w:div>
    <w:div w:id="1818300482">
      <w:bodyDiv w:val="1"/>
      <w:marLeft w:val="0"/>
      <w:marRight w:val="0"/>
      <w:marTop w:val="0"/>
      <w:marBottom w:val="0"/>
      <w:divBdr>
        <w:top w:val="none" w:sz="0" w:space="0" w:color="auto"/>
        <w:left w:val="none" w:sz="0" w:space="0" w:color="auto"/>
        <w:bottom w:val="none" w:sz="0" w:space="0" w:color="auto"/>
        <w:right w:val="none" w:sz="0" w:space="0" w:color="auto"/>
      </w:divBdr>
      <w:divsChild>
        <w:div w:id="617563726">
          <w:marLeft w:val="0"/>
          <w:marRight w:val="0"/>
          <w:marTop w:val="0"/>
          <w:marBottom w:val="0"/>
          <w:divBdr>
            <w:top w:val="none" w:sz="0" w:space="0" w:color="auto"/>
            <w:left w:val="none" w:sz="0" w:space="0" w:color="auto"/>
            <w:bottom w:val="none" w:sz="0" w:space="0" w:color="auto"/>
            <w:right w:val="none" w:sz="0" w:space="0" w:color="auto"/>
          </w:divBdr>
        </w:div>
        <w:div w:id="663825388">
          <w:marLeft w:val="0"/>
          <w:marRight w:val="0"/>
          <w:marTop w:val="0"/>
          <w:marBottom w:val="0"/>
          <w:divBdr>
            <w:top w:val="none" w:sz="0" w:space="0" w:color="auto"/>
            <w:left w:val="none" w:sz="0" w:space="0" w:color="auto"/>
            <w:bottom w:val="none" w:sz="0" w:space="0" w:color="auto"/>
            <w:right w:val="none" w:sz="0" w:space="0" w:color="auto"/>
          </w:divBdr>
        </w:div>
        <w:div w:id="1256943326">
          <w:marLeft w:val="0"/>
          <w:marRight w:val="0"/>
          <w:marTop w:val="0"/>
          <w:marBottom w:val="0"/>
          <w:divBdr>
            <w:top w:val="none" w:sz="0" w:space="0" w:color="auto"/>
            <w:left w:val="none" w:sz="0" w:space="0" w:color="auto"/>
            <w:bottom w:val="none" w:sz="0" w:space="0" w:color="auto"/>
            <w:right w:val="none" w:sz="0" w:space="0" w:color="auto"/>
          </w:divBdr>
        </w:div>
      </w:divsChild>
    </w:div>
    <w:div w:id="1867211403">
      <w:bodyDiv w:val="1"/>
      <w:marLeft w:val="0"/>
      <w:marRight w:val="0"/>
      <w:marTop w:val="0"/>
      <w:marBottom w:val="0"/>
      <w:divBdr>
        <w:top w:val="none" w:sz="0" w:space="0" w:color="auto"/>
        <w:left w:val="none" w:sz="0" w:space="0" w:color="auto"/>
        <w:bottom w:val="none" w:sz="0" w:space="0" w:color="auto"/>
        <w:right w:val="none" w:sz="0" w:space="0" w:color="auto"/>
      </w:divBdr>
    </w:div>
    <w:div w:id="1925723481">
      <w:bodyDiv w:val="1"/>
      <w:marLeft w:val="0"/>
      <w:marRight w:val="0"/>
      <w:marTop w:val="0"/>
      <w:marBottom w:val="0"/>
      <w:divBdr>
        <w:top w:val="none" w:sz="0" w:space="0" w:color="auto"/>
        <w:left w:val="none" w:sz="0" w:space="0" w:color="auto"/>
        <w:bottom w:val="none" w:sz="0" w:space="0" w:color="auto"/>
        <w:right w:val="none" w:sz="0" w:space="0" w:color="auto"/>
      </w:divBdr>
      <w:divsChild>
        <w:div w:id="889540960">
          <w:marLeft w:val="0"/>
          <w:marRight w:val="0"/>
          <w:marTop w:val="0"/>
          <w:marBottom w:val="0"/>
          <w:divBdr>
            <w:top w:val="none" w:sz="0" w:space="0" w:color="auto"/>
            <w:left w:val="none" w:sz="0" w:space="0" w:color="auto"/>
            <w:bottom w:val="none" w:sz="0" w:space="0" w:color="auto"/>
            <w:right w:val="none" w:sz="0" w:space="0" w:color="auto"/>
          </w:divBdr>
        </w:div>
      </w:divsChild>
    </w:div>
    <w:div w:id="1931113099">
      <w:bodyDiv w:val="1"/>
      <w:marLeft w:val="0"/>
      <w:marRight w:val="0"/>
      <w:marTop w:val="0"/>
      <w:marBottom w:val="0"/>
      <w:divBdr>
        <w:top w:val="none" w:sz="0" w:space="0" w:color="auto"/>
        <w:left w:val="none" w:sz="0" w:space="0" w:color="auto"/>
        <w:bottom w:val="none" w:sz="0" w:space="0" w:color="auto"/>
        <w:right w:val="none" w:sz="0" w:space="0" w:color="auto"/>
      </w:divBdr>
    </w:div>
    <w:div w:id="2065327881">
      <w:bodyDiv w:val="1"/>
      <w:marLeft w:val="0"/>
      <w:marRight w:val="0"/>
      <w:marTop w:val="0"/>
      <w:marBottom w:val="0"/>
      <w:divBdr>
        <w:top w:val="none" w:sz="0" w:space="0" w:color="auto"/>
        <w:left w:val="none" w:sz="0" w:space="0" w:color="auto"/>
        <w:bottom w:val="none" w:sz="0" w:space="0" w:color="auto"/>
        <w:right w:val="none" w:sz="0" w:space="0" w:color="auto"/>
      </w:divBdr>
    </w:div>
    <w:div w:id="20868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aea.org" TargetMode="External"/><Relationship Id="rId18" Type="http://schemas.openxmlformats.org/officeDocument/2006/relationships/hyperlink" Target="http://www.onr.org.uk/operational/tech_asst_guides/index.htm"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onr.org.uk/operational/tech_asst_guides/index.htm" TargetMode="External"/><Relationship Id="rId7" Type="http://schemas.openxmlformats.org/officeDocument/2006/relationships/footnotes" Target="footnotes.xml"/><Relationship Id="rId12" Type="http://schemas.openxmlformats.org/officeDocument/2006/relationships/hyperlink" Target="http://www.onr.org.uk/operational/tech_asst_guides/index.htm" TargetMode="External"/><Relationship Id="rId17" Type="http://schemas.openxmlformats.org/officeDocument/2006/relationships/hyperlink" Target="http://www.iaea.org" TargetMode="External"/><Relationship Id="rId25" Type="http://schemas.openxmlformats.org/officeDocument/2006/relationships/hyperlink" Target="http://www.onr.org.uk/operational/tech_asst_guides/index.htm"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iaea.org" TargetMode="External"/><Relationship Id="rId20" Type="http://schemas.openxmlformats.org/officeDocument/2006/relationships/hyperlink" Target="http://www.onr.org.uk/operational/tech_asst_guides/index.htm" TargetMode="Externa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onr.org.uk/operational/tech_insp_guides/index.htm" TargetMode="External"/><Relationship Id="rId24" Type="http://schemas.openxmlformats.org/officeDocument/2006/relationships/hyperlink" Target="http://www.onr.org.uk/operational/tech_asst_guides/index.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aea.org" TargetMode="External"/><Relationship Id="rId23" Type="http://schemas.openxmlformats.org/officeDocument/2006/relationships/hyperlink" Target="http://www.onr.org.uk/operational/tech_asst_guides/index.htm" TargetMode="External"/><Relationship Id="rId28" Type="http://schemas.openxmlformats.org/officeDocument/2006/relationships/footer" Target="footer1.xml"/><Relationship Id="rId10" Type="http://schemas.openxmlformats.org/officeDocument/2006/relationships/hyperlink" Target="http://www.onr.org.uk/documents/licence-condition-handbook.pdf" TargetMode="External"/><Relationship Id="rId19" Type="http://schemas.openxmlformats.org/officeDocument/2006/relationships/hyperlink" Target="http://www.onr.org.uk/operational/tech_asst_guides/index.htm"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onr.org.uk/copyright" TargetMode="External"/><Relationship Id="rId14" Type="http://schemas.openxmlformats.org/officeDocument/2006/relationships/hyperlink" Target="http://www.iaea.org" TargetMode="External"/><Relationship Id="rId22" Type="http://schemas.openxmlformats.org/officeDocument/2006/relationships/hyperlink" Target="http://www.iaea.org"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546A4-8397-45BA-BF60-35F29015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14880</Words>
  <Characters>84822</Characters>
  <Application>Microsoft Office Word</Application>
  <DocSecurity>4</DocSecurity>
  <Lines>706</Lines>
  <Paragraphs>199</Paragraphs>
  <ScaleCrop>false</ScaleCrop>
  <HeadingPairs>
    <vt:vector size="2" baseType="variant">
      <vt:variant>
        <vt:lpstr>Title</vt:lpstr>
      </vt:variant>
      <vt:variant>
        <vt:i4>1</vt:i4>
      </vt:variant>
    </vt:vector>
  </HeadingPairs>
  <TitlesOfParts>
    <vt:vector size="1" baseType="lpstr">
      <vt:lpstr>NS-TAST-GD-050 - Periodic Safety Reviews</vt:lpstr>
    </vt:vector>
  </TitlesOfParts>
  <Company>Health and Safety Executive</Company>
  <LinksUpToDate>false</LinksUpToDate>
  <CharactersWithSpaces>99503</CharactersWithSpaces>
  <SharedDoc>false</SharedDoc>
  <HLinks>
    <vt:vector size="78" baseType="variant">
      <vt:variant>
        <vt:i4>7536673</vt:i4>
      </vt:variant>
      <vt:variant>
        <vt:i4>72</vt:i4>
      </vt:variant>
      <vt:variant>
        <vt:i4>0</vt:i4>
      </vt:variant>
      <vt:variant>
        <vt:i4>5</vt:i4>
      </vt:variant>
      <vt:variant>
        <vt:lpwstr>http://www.onr.org.uk/copyright</vt:lpwstr>
      </vt:variant>
      <vt:variant>
        <vt:lpwstr/>
      </vt:variant>
      <vt:variant>
        <vt:i4>7143466</vt:i4>
      </vt:variant>
      <vt:variant>
        <vt:i4>69</vt:i4>
      </vt:variant>
      <vt:variant>
        <vt:i4>0</vt:i4>
      </vt:variant>
      <vt:variant>
        <vt:i4>5</vt:i4>
      </vt:variant>
      <vt:variant>
        <vt:lpwstr>blocked::blocked::BLOCKED::http://www.hse.gov.uk/copyright</vt:lpwstr>
      </vt:variant>
      <vt:variant>
        <vt:lpwstr/>
      </vt:variant>
      <vt:variant>
        <vt:i4>1114161</vt:i4>
      </vt:variant>
      <vt:variant>
        <vt:i4>62</vt:i4>
      </vt:variant>
      <vt:variant>
        <vt:i4>0</vt:i4>
      </vt:variant>
      <vt:variant>
        <vt:i4>5</vt:i4>
      </vt:variant>
      <vt:variant>
        <vt:lpwstr/>
      </vt:variant>
      <vt:variant>
        <vt:lpwstr>_Toc434483923</vt:lpwstr>
      </vt:variant>
      <vt:variant>
        <vt:i4>1114161</vt:i4>
      </vt:variant>
      <vt:variant>
        <vt:i4>56</vt:i4>
      </vt:variant>
      <vt:variant>
        <vt:i4>0</vt:i4>
      </vt:variant>
      <vt:variant>
        <vt:i4>5</vt:i4>
      </vt:variant>
      <vt:variant>
        <vt:lpwstr/>
      </vt:variant>
      <vt:variant>
        <vt:lpwstr>_Toc434483922</vt:lpwstr>
      </vt:variant>
      <vt:variant>
        <vt:i4>1114161</vt:i4>
      </vt:variant>
      <vt:variant>
        <vt:i4>50</vt:i4>
      </vt:variant>
      <vt:variant>
        <vt:i4>0</vt:i4>
      </vt:variant>
      <vt:variant>
        <vt:i4>5</vt:i4>
      </vt:variant>
      <vt:variant>
        <vt:lpwstr/>
      </vt:variant>
      <vt:variant>
        <vt:lpwstr>_Toc434483921</vt:lpwstr>
      </vt:variant>
      <vt:variant>
        <vt:i4>1114161</vt:i4>
      </vt:variant>
      <vt:variant>
        <vt:i4>44</vt:i4>
      </vt:variant>
      <vt:variant>
        <vt:i4>0</vt:i4>
      </vt:variant>
      <vt:variant>
        <vt:i4>5</vt:i4>
      </vt:variant>
      <vt:variant>
        <vt:lpwstr/>
      </vt:variant>
      <vt:variant>
        <vt:lpwstr>_Toc434483920</vt:lpwstr>
      </vt:variant>
      <vt:variant>
        <vt:i4>1179697</vt:i4>
      </vt:variant>
      <vt:variant>
        <vt:i4>38</vt:i4>
      </vt:variant>
      <vt:variant>
        <vt:i4>0</vt:i4>
      </vt:variant>
      <vt:variant>
        <vt:i4>5</vt:i4>
      </vt:variant>
      <vt:variant>
        <vt:lpwstr/>
      </vt:variant>
      <vt:variant>
        <vt:lpwstr>_Toc434483919</vt:lpwstr>
      </vt:variant>
      <vt:variant>
        <vt:i4>1179697</vt:i4>
      </vt:variant>
      <vt:variant>
        <vt:i4>32</vt:i4>
      </vt:variant>
      <vt:variant>
        <vt:i4>0</vt:i4>
      </vt:variant>
      <vt:variant>
        <vt:i4>5</vt:i4>
      </vt:variant>
      <vt:variant>
        <vt:lpwstr/>
      </vt:variant>
      <vt:variant>
        <vt:lpwstr>_Toc434483918</vt:lpwstr>
      </vt:variant>
      <vt:variant>
        <vt:i4>1179697</vt:i4>
      </vt:variant>
      <vt:variant>
        <vt:i4>26</vt:i4>
      </vt:variant>
      <vt:variant>
        <vt:i4>0</vt:i4>
      </vt:variant>
      <vt:variant>
        <vt:i4>5</vt:i4>
      </vt:variant>
      <vt:variant>
        <vt:lpwstr/>
      </vt:variant>
      <vt:variant>
        <vt:lpwstr>_Toc434483917</vt:lpwstr>
      </vt:variant>
      <vt:variant>
        <vt:i4>1179697</vt:i4>
      </vt:variant>
      <vt:variant>
        <vt:i4>20</vt:i4>
      </vt:variant>
      <vt:variant>
        <vt:i4>0</vt:i4>
      </vt:variant>
      <vt:variant>
        <vt:i4>5</vt:i4>
      </vt:variant>
      <vt:variant>
        <vt:lpwstr/>
      </vt:variant>
      <vt:variant>
        <vt:lpwstr>_Toc434483916</vt:lpwstr>
      </vt:variant>
      <vt:variant>
        <vt:i4>1179697</vt:i4>
      </vt:variant>
      <vt:variant>
        <vt:i4>14</vt:i4>
      </vt:variant>
      <vt:variant>
        <vt:i4>0</vt:i4>
      </vt:variant>
      <vt:variant>
        <vt:i4>5</vt:i4>
      </vt:variant>
      <vt:variant>
        <vt:lpwstr/>
      </vt:variant>
      <vt:variant>
        <vt:lpwstr>_Toc434483915</vt:lpwstr>
      </vt:variant>
      <vt:variant>
        <vt:i4>1179697</vt:i4>
      </vt:variant>
      <vt:variant>
        <vt:i4>8</vt:i4>
      </vt:variant>
      <vt:variant>
        <vt:i4>0</vt:i4>
      </vt:variant>
      <vt:variant>
        <vt:i4>5</vt:i4>
      </vt:variant>
      <vt:variant>
        <vt:lpwstr/>
      </vt:variant>
      <vt:variant>
        <vt:lpwstr>_Toc434483914</vt:lpwstr>
      </vt:variant>
      <vt:variant>
        <vt:i4>1179697</vt:i4>
      </vt:variant>
      <vt:variant>
        <vt:i4>2</vt:i4>
      </vt:variant>
      <vt:variant>
        <vt:i4>0</vt:i4>
      </vt:variant>
      <vt:variant>
        <vt:i4>5</vt:i4>
      </vt:variant>
      <vt:variant>
        <vt:lpwstr/>
      </vt:variant>
      <vt:variant>
        <vt:lpwstr>_Toc434483913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NS-TAST-GD-050 - Periodic Safety Reviews</dc:title>
  <cp:revision>2</cp:revision>
  <cp:lastPrinted>2017-07-06T09:49:00Z</cp:lastPrinted>
  <dcterms:created xsi:type="dcterms:W3CDTF">2022-12-22T09:34:00Z</dcterms:created>
  <dcterms:modified xsi:type="dcterms:W3CDTF">2022-12-22T09:34:00Z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2022-12-02T09:33:28Z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c5f0ba49-158b-438b-9581-5e1a2e191626</vt:lpwstr>
  </property>
  <property fmtid="{D5CDD505-2E9C-101B-9397-08002B2CF9AE}" pid="9" name="MSIP_Label_9e5e003a-90eb-47c9-a506-ad47e7a0b281_ContentBits">
    <vt:lpwstr>0</vt:lpwstr>
  </property>
</Properties>
</file>